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autoSpaceDE w:val="0"/>
        <w:autoSpaceDN w:val="0"/>
        <w:adjustRightInd w:val="0"/>
        <w:spacing w:line="360" w:lineRule="auto"/>
        <w:jc w:val="center"/>
        <w:rPr>
          <w:rFonts w:hAnsi="宋体"/>
          <w:bCs/>
          <w:kern w:val="0"/>
          <w:sz w:val="52"/>
          <w:szCs w:val="52"/>
          <w:highlight w:val="none"/>
        </w:rPr>
      </w:pPr>
    </w:p>
    <w:p>
      <w:pPr>
        <w:pStyle w:val="14"/>
        <w:autoSpaceDE w:val="0"/>
        <w:autoSpaceDN w:val="0"/>
        <w:adjustRightInd w:val="0"/>
        <w:spacing w:line="360" w:lineRule="auto"/>
        <w:jc w:val="center"/>
        <w:rPr>
          <w:rFonts w:hAnsi="宋体"/>
          <w:b/>
          <w:kern w:val="0"/>
          <w:sz w:val="52"/>
          <w:szCs w:val="52"/>
          <w:highlight w:val="none"/>
        </w:rPr>
      </w:pPr>
      <w:r>
        <w:rPr>
          <w:rFonts w:hint="eastAsia" w:hAnsi="宋体"/>
          <w:b/>
          <w:kern w:val="0"/>
          <w:sz w:val="52"/>
          <w:szCs w:val="52"/>
          <w:highlight w:val="none"/>
        </w:rPr>
        <w:t>云南省森林消防总队个人防护装备（头盔、灯类）购置项目</w:t>
      </w:r>
    </w:p>
    <w:p>
      <w:pPr>
        <w:pStyle w:val="14"/>
        <w:spacing w:line="360" w:lineRule="auto"/>
        <w:jc w:val="center"/>
        <w:rPr>
          <w:rFonts w:hAnsi="宋体"/>
          <w:bCs/>
          <w:sz w:val="48"/>
          <w:highlight w:val="none"/>
        </w:rPr>
      </w:pPr>
    </w:p>
    <w:p>
      <w:pPr>
        <w:pStyle w:val="14"/>
        <w:spacing w:line="360" w:lineRule="auto"/>
        <w:rPr>
          <w:rFonts w:hAnsi="宋体"/>
          <w:bCs/>
          <w:sz w:val="72"/>
          <w:highlight w:val="none"/>
        </w:rPr>
      </w:pPr>
    </w:p>
    <w:p>
      <w:pPr>
        <w:pStyle w:val="14"/>
        <w:autoSpaceDE w:val="0"/>
        <w:autoSpaceDN w:val="0"/>
        <w:adjustRightInd w:val="0"/>
        <w:spacing w:line="360" w:lineRule="auto"/>
        <w:jc w:val="center"/>
        <w:rPr>
          <w:rFonts w:hAnsi="宋体"/>
          <w:b/>
          <w:bCs/>
          <w:kern w:val="0"/>
          <w:sz w:val="84"/>
          <w:szCs w:val="84"/>
          <w:highlight w:val="none"/>
        </w:rPr>
      </w:pPr>
      <w:r>
        <w:rPr>
          <w:rFonts w:hint="eastAsia" w:hAnsi="宋体"/>
          <w:b/>
          <w:bCs/>
          <w:kern w:val="0"/>
          <w:sz w:val="84"/>
          <w:szCs w:val="84"/>
          <w:highlight w:val="none"/>
        </w:rPr>
        <w:t>招 标 文 件</w:t>
      </w:r>
    </w:p>
    <w:p>
      <w:pPr>
        <w:pStyle w:val="14"/>
        <w:spacing w:line="360" w:lineRule="auto"/>
        <w:jc w:val="center"/>
        <w:rPr>
          <w:rFonts w:hAnsi="宋体"/>
          <w:b/>
          <w:bCs/>
          <w:kern w:val="0"/>
          <w:sz w:val="32"/>
          <w:szCs w:val="32"/>
          <w:highlight w:val="none"/>
        </w:rPr>
      </w:pPr>
    </w:p>
    <w:p>
      <w:pPr>
        <w:pStyle w:val="14"/>
        <w:spacing w:line="360" w:lineRule="auto"/>
        <w:jc w:val="center"/>
        <w:rPr>
          <w:rFonts w:hAnsi="宋体"/>
          <w:b/>
          <w:bCs/>
          <w:kern w:val="0"/>
          <w:sz w:val="32"/>
          <w:szCs w:val="32"/>
          <w:highlight w:val="none"/>
        </w:rPr>
      </w:pPr>
      <w:r>
        <w:rPr>
          <w:rFonts w:hint="eastAsia" w:hAnsi="宋体"/>
          <w:b/>
          <w:bCs/>
          <w:kern w:val="0"/>
          <w:sz w:val="32"/>
          <w:szCs w:val="32"/>
          <w:highlight w:val="none"/>
        </w:rPr>
        <w:t>项目编号：云赛招字2024-115</w:t>
      </w:r>
    </w:p>
    <w:p>
      <w:pPr>
        <w:pStyle w:val="14"/>
        <w:spacing w:line="360" w:lineRule="auto"/>
        <w:jc w:val="center"/>
        <w:rPr>
          <w:rFonts w:hAnsi="宋体"/>
          <w:b/>
          <w:bCs/>
          <w:kern w:val="0"/>
          <w:sz w:val="32"/>
          <w:szCs w:val="32"/>
          <w:highlight w:val="none"/>
        </w:rPr>
      </w:pPr>
    </w:p>
    <w:p>
      <w:pPr>
        <w:pStyle w:val="14"/>
        <w:spacing w:line="360" w:lineRule="auto"/>
        <w:rPr>
          <w:rFonts w:hAnsi="宋体"/>
          <w:highlight w:val="none"/>
        </w:rPr>
      </w:pPr>
    </w:p>
    <w:p>
      <w:pPr>
        <w:pStyle w:val="14"/>
        <w:spacing w:line="360" w:lineRule="auto"/>
        <w:rPr>
          <w:rFonts w:hAnsi="宋体"/>
          <w:highlight w:val="none"/>
        </w:rPr>
      </w:pPr>
    </w:p>
    <w:p>
      <w:pPr>
        <w:pStyle w:val="14"/>
        <w:spacing w:line="360" w:lineRule="auto"/>
        <w:rPr>
          <w:rFonts w:hAnsi="宋体"/>
          <w:highlight w:val="none"/>
        </w:rPr>
      </w:pPr>
    </w:p>
    <w:p>
      <w:pPr>
        <w:pStyle w:val="14"/>
        <w:spacing w:line="360" w:lineRule="auto"/>
        <w:rPr>
          <w:rFonts w:hAnsi="宋体"/>
          <w:highlight w:val="none"/>
        </w:rPr>
      </w:pPr>
    </w:p>
    <w:p>
      <w:pPr>
        <w:pStyle w:val="14"/>
        <w:spacing w:line="360" w:lineRule="auto"/>
        <w:rPr>
          <w:rFonts w:hAnsi="宋体"/>
          <w:highlight w:val="none"/>
        </w:rPr>
      </w:pPr>
    </w:p>
    <w:p>
      <w:pPr>
        <w:pStyle w:val="14"/>
        <w:spacing w:line="360" w:lineRule="auto"/>
        <w:rPr>
          <w:rFonts w:hAnsi="宋体"/>
          <w:highlight w:val="none"/>
        </w:rPr>
      </w:pPr>
    </w:p>
    <w:p>
      <w:pPr>
        <w:pStyle w:val="14"/>
        <w:spacing w:line="360" w:lineRule="auto"/>
        <w:rPr>
          <w:rFonts w:hAnsi="宋体"/>
          <w:highlight w:val="none"/>
        </w:rPr>
      </w:pPr>
    </w:p>
    <w:p>
      <w:pPr>
        <w:spacing w:line="480" w:lineRule="auto"/>
        <w:ind w:left="1800" w:leftChars="857"/>
        <w:rPr>
          <w:rFonts w:ascii="宋体" w:hAnsi="宋体" w:eastAsia="宋体" w:cs="宋体"/>
          <w:bCs/>
          <w:sz w:val="32"/>
          <w:szCs w:val="32"/>
          <w:highlight w:val="none"/>
          <w:u w:val="single"/>
        </w:rPr>
      </w:pPr>
      <w:r>
        <w:rPr>
          <w:rFonts w:hint="eastAsia" w:ascii="宋体" w:hAnsi="宋体" w:eastAsia="宋体" w:cs="宋体"/>
          <w:bCs/>
          <w:sz w:val="32"/>
          <w:szCs w:val="32"/>
          <w:highlight w:val="none"/>
        </w:rPr>
        <w:t>招   标   人 ：</w:t>
      </w:r>
      <w:r>
        <w:rPr>
          <w:rFonts w:hint="eastAsia" w:ascii="宋体" w:hAnsi="宋体" w:eastAsia="宋体" w:cs="宋体"/>
          <w:bCs/>
          <w:sz w:val="32"/>
          <w:szCs w:val="32"/>
          <w:highlight w:val="none"/>
          <w:u w:val="single"/>
        </w:rPr>
        <w:t>云南省森林消防总队</w:t>
      </w:r>
    </w:p>
    <w:p>
      <w:pPr>
        <w:spacing w:line="480" w:lineRule="auto"/>
        <w:ind w:left="1800" w:leftChars="857"/>
        <w:rPr>
          <w:rFonts w:ascii="宋体" w:hAnsi="宋体" w:eastAsia="宋体" w:cs="宋体"/>
          <w:bCs/>
          <w:sz w:val="32"/>
          <w:szCs w:val="32"/>
          <w:highlight w:val="none"/>
          <w:u w:val="single"/>
        </w:rPr>
      </w:pPr>
      <w:r>
        <w:rPr>
          <w:rFonts w:hint="eastAsia" w:ascii="宋体" w:hAnsi="宋体" w:eastAsia="宋体" w:cs="宋体"/>
          <w:bCs/>
          <w:sz w:val="32"/>
          <w:szCs w:val="32"/>
          <w:highlight w:val="none"/>
        </w:rPr>
        <w:t>招标代理机构 ：</w:t>
      </w:r>
      <w:r>
        <w:rPr>
          <w:rFonts w:hint="eastAsia" w:ascii="宋体" w:hAnsi="宋体" w:eastAsia="宋体" w:cs="宋体"/>
          <w:bCs/>
          <w:sz w:val="32"/>
          <w:szCs w:val="32"/>
          <w:highlight w:val="none"/>
          <w:u w:val="single"/>
        </w:rPr>
        <w:t>云南赛林工程管理咨询有限公司</w:t>
      </w:r>
    </w:p>
    <w:p>
      <w:pPr>
        <w:pStyle w:val="14"/>
        <w:spacing w:line="360" w:lineRule="auto"/>
        <w:ind w:firstLine="2240" w:firstLineChars="700"/>
        <w:rPr>
          <w:rFonts w:hAnsi="宋体"/>
          <w:b/>
          <w:sz w:val="36"/>
          <w:highlight w:val="none"/>
        </w:rPr>
      </w:pPr>
      <w:r>
        <w:rPr>
          <w:rFonts w:hint="eastAsia" w:hAnsi="宋体" w:eastAsia="宋体" w:cs="宋体"/>
          <w:bCs/>
          <w:sz w:val="32"/>
          <w:szCs w:val="32"/>
          <w:highlight w:val="none"/>
        </w:rPr>
        <w:t xml:space="preserve">日     期 ： </w:t>
      </w:r>
      <w:r>
        <w:rPr>
          <w:rFonts w:hint="eastAsia" w:hAnsi="宋体" w:eastAsia="宋体" w:cs="宋体"/>
          <w:bCs/>
          <w:sz w:val="32"/>
          <w:szCs w:val="32"/>
          <w:highlight w:val="none"/>
          <w:u w:val="single"/>
        </w:rPr>
        <w:t>二〇二四年六月</w:t>
      </w:r>
    </w:p>
    <w:p>
      <w:pPr>
        <w:rPr>
          <w:rFonts w:hAnsi="宋体"/>
          <w:b/>
          <w:sz w:val="32"/>
          <w:szCs w:val="32"/>
          <w:highlight w:val="none"/>
        </w:rPr>
      </w:pPr>
      <w:r>
        <w:rPr>
          <w:rFonts w:hint="eastAsia" w:hAnsi="宋体"/>
          <w:b/>
          <w:sz w:val="32"/>
          <w:szCs w:val="32"/>
          <w:highlight w:val="none"/>
        </w:rPr>
        <w:br w:type="page"/>
      </w:r>
    </w:p>
    <w:p>
      <w:pPr>
        <w:pStyle w:val="14"/>
        <w:spacing w:line="360" w:lineRule="auto"/>
        <w:jc w:val="center"/>
        <w:rPr>
          <w:rFonts w:hAnsi="宋体"/>
          <w:b/>
          <w:sz w:val="32"/>
          <w:szCs w:val="32"/>
          <w:highlight w:val="none"/>
        </w:rPr>
      </w:pPr>
      <w:r>
        <w:rPr>
          <w:rFonts w:hint="eastAsia" w:hAnsi="宋体"/>
          <w:b/>
          <w:sz w:val="32"/>
          <w:szCs w:val="32"/>
          <w:highlight w:val="none"/>
        </w:rPr>
        <w:t>目     录</w:t>
      </w:r>
    </w:p>
    <w:p>
      <w:pPr>
        <w:pStyle w:val="19"/>
        <w:tabs>
          <w:tab w:val="right" w:leader="dot" w:pos="9638"/>
          <w:tab w:val="clear" w:pos="9628"/>
        </w:tabs>
      </w:pPr>
      <w:r>
        <w:rPr>
          <w:rFonts w:asciiTheme="minorEastAsia" w:hAnsiTheme="minorEastAsia"/>
          <w:b w:val="0"/>
          <w:bCs w:val="0"/>
          <w:caps w:val="0"/>
          <w:smallCaps/>
          <w:sz w:val="21"/>
          <w:szCs w:val="21"/>
          <w:highlight w:val="none"/>
        </w:rPr>
        <w:fldChar w:fldCharType="begin"/>
      </w:r>
      <w:r>
        <w:rPr>
          <w:rFonts w:asciiTheme="minorEastAsia" w:hAnsiTheme="minorEastAsia"/>
          <w:b w:val="0"/>
          <w:bCs w:val="0"/>
          <w:caps w:val="0"/>
          <w:smallCaps/>
          <w:sz w:val="21"/>
          <w:szCs w:val="21"/>
          <w:highlight w:val="none"/>
        </w:rPr>
        <w:instrText xml:space="preserve"> TOC \o "1-2" \h \z \u </w:instrText>
      </w:r>
      <w:r>
        <w:rPr>
          <w:rFonts w:asciiTheme="minorEastAsia" w:hAnsiTheme="minorEastAsia"/>
          <w:b w:val="0"/>
          <w:bCs w:val="0"/>
          <w:caps w:val="0"/>
          <w:smallCaps/>
          <w:sz w:val="21"/>
          <w:szCs w:val="21"/>
          <w:highlight w:val="none"/>
        </w:rPr>
        <w:fldChar w:fldCharType="separate"/>
      </w:r>
      <w:r>
        <w:rPr>
          <w:rFonts w:asciiTheme="minorEastAsia" w:hAnsiTheme="minorEastAsia"/>
          <w:bCs w:val="0"/>
          <w:caps w:val="0"/>
          <w:smallCaps/>
          <w:szCs w:val="21"/>
          <w:highlight w:val="none"/>
        </w:rPr>
        <w:fldChar w:fldCharType="begin"/>
      </w:r>
      <w:r>
        <w:rPr>
          <w:rFonts w:asciiTheme="minorEastAsia" w:hAnsiTheme="minorEastAsia"/>
          <w:bCs w:val="0"/>
          <w:caps w:val="0"/>
          <w:smallCaps/>
          <w:szCs w:val="21"/>
          <w:highlight w:val="none"/>
        </w:rPr>
        <w:instrText xml:space="preserve"> HYPERLINK \l _Toc17839 </w:instrText>
      </w:r>
      <w:r>
        <w:rPr>
          <w:rFonts w:asciiTheme="minorEastAsia" w:hAnsiTheme="minorEastAsia"/>
          <w:bCs w:val="0"/>
          <w:caps w:val="0"/>
          <w:smallCaps/>
          <w:szCs w:val="21"/>
          <w:highlight w:val="none"/>
        </w:rPr>
        <w:fldChar w:fldCharType="separate"/>
      </w:r>
      <w:r>
        <w:rPr>
          <w:rFonts w:hint="eastAsia" w:ascii="宋体" w:hAnsi="宋体" w:eastAsia="宋体"/>
          <w:highlight w:val="none"/>
        </w:rPr>
        <w:t>第一章 招标公告</w:t>
      </w:r>
      <w:r>
        <w:tab/>
      </w:r>
      <w:r>
        <w:fldChar w:fldCharType="begin"/>
      </w:r>
      <w:r>
        <w:instrText xml:space="preserve"> PAGEREF _Toc17839 \h </w:instrText>
      </w:r>
      <w:r>
        <w:fldChar w:fldCharType="separate"/>
      </w:r>
      <w:r>
        <w:t>3</w:t>
      </w:r>
      <w:r>
        <w:fldChar w:fldCharType="end"/>
      </w:r>
      <w:r>
        <w:rPr>
          <w:rFonts w:asciiTheme="minorEastAsia" w:hAnsiTheme="minorEastAsia"/>
          <w:bCs w:val="0"/>
          <w:caps w:val="0"/>
          <w:smallCaps/>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_Toc8367 </w:instrText>
      </w:r>
      <w:r>
        <w:rPr>
          <w:rFonts w:asciiTheme="minorEastAsia" w:hAnsiTheme="minorEastAsia"/>
          <w:bCs/>
          <w:caps/>
          <w:smallCaps w:val="0"/>
          <w:szCs w:val="21"/>
          <w:highlight w:val="none"/>
        </w:rPr>
        <w:fldChar w:fldCharType="separate"/>
      </w:r>
      <w:r>
        <w:rPr>
          <w:rFonts w:hint="eastAsia" w:cs="宋体" w:asciiTheme="minorEastAsia" w:hAnsiTheme="minorEastAsia"/>
          <w:kern w:val="0"/>
          <w:highlight w:val="none"/>
        </w:rPr>
        <w:t>一、项目基本情况</w:t>
      </w:r>
      <w:r>
        <w:tab/>
      </w:r>
      <w:r>
        <w:fldChar w:fldCharType="begin"/>
      </w:r>
      <w:r>
        <w:instrText xml:space="preserve"> PAGEREF _Toc8367 \h </w:instrText>
      </w:r>
      <w:r>
        <w:fldChar w:fldCharType="separate"/>
      </w:r>
      <w:r>
        <w:t>3</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_Toc31720 </w:instrText>
      </w:r>
      <w:r>
        <w:rPr>
          <w:rFonts w:asciiTheme="minorEastAsia" w:hAnsiTheme="minorEastAsia"/>
          <w:bCs/>
          <w:caps/>
          <w:smallCaps w:val="0"/>
          <w:szCs w:val="21"/>
          <w:highlight w:val="none"/>
        </w:rPr>
        <w:fldChar w:fldCharType="separate"/>
      </w:r>
      <w:r>
        <w:rPr>
          <w:rFonts w:hint="eastAsia" w:cs="宋体" w:asciiTheme="minorEastAsia" w:hAnsiTheme="minorEastAsia"/>
          <w:kern w:val="0"/>
          <w:highlight w:val="none"/>
        </w:rPr>
        <w:t>二、投标人的资格要求：</w:t>
      </w:r>
      <w:r>
        <w:tab/>
      </w:r>
      <w:r>
        <w:fldChar w:fldCharType="begin"/>
      </w:r>
      <w:r>
        <w:instrText xml:space="preserve"> PAGEREF _Toc31720 \h </w:instrText>
      </w:r>
      <w:r>
        <w:fldChar w:fldCharType="separate"/>
      </w:r>
      <w:r>
        <w:t>4</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_Toc16189 </w:instrText>
      </w:r>
      <w:r>
        <w:rPr>
          <w:rFonts w:asciiTheme="minorEastAsia" w:hAnsiTheme="minorEastAsia"/>
          <w:bCs/>
          <w:caps/>
          <w:smallCaps w:val="0"/>
          <w:szCs w:val="21"/>
          <w:highlight w:val="none"/>
        </w:rPr>
        <w:fldChar w:fldCharType="separate"/>
      </w:r>
      <w:r>
        <w:rPr>
          <w:rFonts w:hint="eastAsia" w:cs="宋体" w:asciiTheme="minorEastAsia" w:hAnsiTheme="minorEastAsia"/>
          <w:kern w:val="0"/>
          <w:highlight w:val="none"/>
        </w:rPr>
        <w:t>三、获取招标文件</w:t>
      </w:r>
      <w:r>
        <w:tab/>
      </w:r>
      <w:r>
        <w:fldChar w:fldCharType="begin"/>
      </w:r>
      <w:r>
        <w:instrText xml:space="preserve"> PAGEREF _Toc16189 \h </w:instrText>
      </w:r>
      <w:r>
        <w:fldChar w:fldCharType="separate"/>
      </w:r>
      <w:r>
        <w:t>5</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_Toc26926 </w:instrText>
      </w:r>
      <w:r>
        <w:rPr>
          <w:rFonts w:asciiTheme="minorEastAsia" w:hAnsiTheme="minorEastAsia"/>
          <w:bCs/>
          <w:caps/>
          <w:smallCaps w:val="0"/>
          <w:szCs w:val="21"/>
          <w:highlight w:val="none"/>
        </w:rPr>
        <w:fldChar w:fldCharType="separate"/>
      </w:r>
      <w:r>
        <w:rPr>
          <w:rFonts w:hint="eastAsia" w:cs="宋体" w:asciiTheme="minorEastAsia" w:hAnsiTheme="minorEastAsia"/>
          <w:kern w:val="0"/>
          <w:highlight w:val="none"/>
        </w:rPr>
        <w:t>四、截止时间、开标时间和地点</w:t>
      </w:r>
      <w:r>
        <w:tab/>
      </w:r>
      <w:r>
        <w:fldChar w:fldCharType="begin"/>
      </w:r>
      <w:r>
        <w:instrText xml:space="preserve"> PAGEREF _Toc26926 \h </w:instrText>
      </w:r>
      <w:r>
        <w:fldChar w:fldCharType="separate"/>
      </w:r>
      <w:r>
        <w:t>5</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_Toc30397 </w:instrText>
      </w:r>
      <w:r>
        <w:rPr>
          <w:rFonts w:asciiTheme="minorEastAsia" w:hAnsiTheme="minorEastAsia"/>
          <w:bCs/>
          <w:caps/>
          <w:smallCaps w:val="0"/>
          <w:szCs w:val="21"/>
          <w:highlight w:val="none"/>
        </w:rPr>
        <w:fldChar w:fldCharType="separate"/>
      </w:r>
      <w:r>
        <w:rPr>
          <w:rFonts w:hint="eastAsia" w:cs="宋体" w:asciiTheme="minorEastAsia" w:hAnsiTheme="minorEastAsia"/>
          <w:kern w:val="0"/>
          <w:highlight w:val="none"/>
        </w:rPr>
        <w:t>五、公告期限</w:t>
      </w:r>
      <w:r>
        <w:tab/>
      </w:r>
      <w:r>
        <w:fldChar w:fldCharType="begin"/>
      </w:r>
      <w:r>
        <w:instrText xml:space="preserve"> PAGEREF _Toc30397 \h </w:instrText>
      </w:r>
      <w:r>
        <w:fldChar w:fldCharType="separate"/>
      </w:r>
      <w:r>
        <w:t>5</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_Toc13920 </w:instrText>
      </w:r>
      <w:r>
        <w:rPr>
          <w:rFonts w:asciiTheme="minorEastAsia" w:hAnsiTheme="minorEastAsia"/>
          <w:bCs/>
          <w:caps/>
          <w:smallCaps w:val="0"/>
          <w:szCs w:val="21"/>
          <w:highlight w:val="none"/>
        </w:rPr>
        <w:fldChar w:fldCharType="separate"/>
      </w:r>
      <w:r>
        <w:rPr>
          <w:rFonts w:hint="eastAsia" w:cs="宋体" w:asciiTheme="minorEastAsia" w:hAnsiTheme="minorEastAsia"/>
          <w:kern w:val="0"/>
          <w:highlight w:val="none"/>
        </w:rPr>
        <w:t>六、其他补充事宜</w:t>
      </w:r>
      <w:r>
        <w:tab/>
      </w:r>
      <w:r>
        <w:fldChar w:fldCharType="begin"/>
      </w:r>
      <w:r>
        <w:instrText xml:space="preserve"> PAGEREF _Toc13920 \h </w:instrText>
      </w:r>
      <w:r>
        <w:fldChar w:fldCharType="separate"/>
      </w:r>
      <w:r>
        <w:t>5</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_Toc24373 </w:instrText>
      </w:r>
      <w:r>
        <w:rPr>
          <w:rFonts w:asciiTheme="minorEastAsia" w:hAnsiTheme="minorEastAsia"/>
          <w:bCs/>
          <w:caps/>
          <w:smallCaps w:val="0"/>
          <w:szCs w:val="21"/>
          <w:highlight w:val="none"/>
        </w:rPr>
        <w:fldChar w:fldCharType="separate"/>
      </w:r>
      <w:r>
        <w:rPr>
          <w:rFonts w:hint="eastAsia" w:cs="宋体" w:asciiTheme="minorEastAsia" w:hAnsiTheme="minorEastAsia"/>
          <w:kern w:val="0"/>
          <w:highlight w:val="none"/>
        </w:rPr>
        <w:t>七、对本次招标提出询问，请按以下方式联系</w:t>
      </w:r>
      <w:r>
        <w:tab/>
      </w:r>
      <w:r>
        <w:fldChar w:fldCharType="begin"/>
      </w:r>
      <w:r>
        <w:instrText xml:space="preserve"> PAGEREF _Toc24373 \h </w:instrText>
      </w:r>
      <w:r>
        <w:fldChar w:fldCharType="separate"/>
      </w:r>
      <w:r>
        <w:t>6</w:t>
      </w:r>
      <w:r>
        <w:fldChar w:fldCharType="end"/>
      </w:r>
      <w:r>
        <w:rPr>
          <w:rFonts w:asciiTheme="minorEastAsia" w:hAnsiTheme="minorEastAsia"/>
          <w:bCs/>
          <w:caps/>
          <w:smallCaps w:val="0"/>
          <w:szCs w:val="21"/>
          <w:highlight w:val="none"/>
        </w:rPr>
        <w:fldChar w:fldCharType="end"/>
      </w:r>
    </w:p>
    <w:p>
      <w:pPr>
        <w:pStyle w:val="19"/>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_Toc2920 </w:instrText>
      </w:r>
      <w:r>
        <w:rPr>
          <w:rFonts w:asciiTheme="minorEastAsia" w:hAnsiTheme="minorEastAsia"/>
          <w:bCs/>
          <w:caps/>
          <w:smallCaps w:val="0"/>
          <w:szCs w:val="21"/>
          <w:highlight w:val="none"/>
        </w:rPr>
        <w:fldChar w:fldCharType="separate"/>
      </w:r>
      <w:r>
        <w:rPr>
          <w:rFonts w:hint="eastAsia" w:ascii="宋体" w:hAnsi="宋体"/>
          <w:bCs w:val="0"/>
          <w:kern w:val="44"/>
          <w:szCs w:val="20"/>
          <w:highlight w:val="none"/>
        </w:rPr>
        <w:t>第二章 投标人须知</w:t>
      </w:r>
      <w:r>
        <w:tab/>
      </w:r>
      <w:r>
        <w:fldChar w:fldCharType="begin"/>
      </w:r>
      <w:r>
        <w:instrText xml:space="preserve"> PAGEREF _Toc2920 \h </w:instrText>
      </w:r>
      <w:r>
        <w:fldChar w:fldCharType="separate"/>
      </w:r>
      <w:r>
        <w:t>11</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_Toc14564 </w:instrText>
      </w:r>
      <w:r>
        <w:rPr>
          <w:rFonts w:asciiTheme="minorEastAsia" w:hAnsiTheme="minorEastAsia"/>
          <w:bCs/>
          <w:caps/>
          <w:smallCaps w:val="0"/>
          <w:szCs w:val="21"/>
          <w:highlight w:val="none"/>
        </w:rPr>
        <w:fldChar w:fldCharType="separate"/>
      </w:r>
      <w:r>
        <w:rPr>
          <w:rFonts w:hint="eastAsia" w:ascii="宋体" w:hAnsi="宋体" w:eastAsia="宋体"/>
          <w:bCs/>
          <w:szCs w:val="32"/>
          <w:highlight w:val="none"/>
        </w:rPr>
        <w:t>投标人须知前附表</w:t>
      </w:r>
      <w:r>
        <w:tab/>
      </w:r>
      <w:r>
        <w:fldChar w:fldCharType="begin"/>
      </w:r>
      <w:r>
        <w:instrText xml:space="preserve"> PAGEREF _Toc14564 \h </w:instrText>
      </w:r>
      <w:r>
        <w:fldChar w:fldCharType="separate"/>
      </w:r>
      <w:r>
        <w:t>11</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_Toc26531 </w:instrText>
      </w:r>
      <w:r>
        <w:rPr>
          <w:rFonts w:asciiTheme="minorEastAsia" w:hAnsiTheme="minorEastAsia"/>
          <w:bCs/>
          <w:caps/>
          <w:smallCaps w:val="0"/>
          <w:szCs w:val="21"/>
          <w:highlight w:val="none"/>
        </w:rPr>
        <w:fldChar w:fldCharType="separate"/>
      </w:r>
      <w:r>
        <w:rPr>
          <w:rFonts w:hint="eastAsia" w:ascii="宋体" w:hAnsi="宋体" w:eastAsia="宋体"/>
          <w:szCs w:val="28"/>
          <w:highlight w:val="none"/>
        </w:rPr>
        <w:t>一</w:t>
      </w:r>
      <w:r>
        <w:rPr>
          <w:rFonts w:hint="eastAsia" w:ascii="宋体" w:hAnsi="宋体" w:eastAsia="宋体"/>
          <w:kern w:val="44"/>
          <w:szCs w:val="28"/>
          <w:highlight w:val="none"/>
        </w:rPr>
        <w:t>、总  则</w:t>
      </w:r>
      <w:r>
        <w:tab/>
      </w:r>
      <w:r>
        <w:fldChar w:fldCharType="begin"/>
      </w:r>
      <w:r>
        <w:instrText xml:space="preserve"> PAGEREF _Toc26531 \h </w:instrText>
      </w:r>
      <w:r>
        <w:fldChar w:fldCharType="separate"/>
      </w:r>
      <w:r>
        <w:t>16</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_Toc3457 </w:instrText>
      </w:r>
      <w:r>
        <w:rPr>
          <w:rFonts w:asciiTheme="minorEastAsia" w:hAnsiTheme="minorEastAsia"/>
          <w:bCs/>
          <w:caps/>
          <w:smallCaps w:val="0"/>
          <w:szCs w:val="21"/>
          <w:highlight w:val="none"/>
        </w:rPr>
        <w:fldChar w:fldCharType="separate"/>
      </w:r>
      <w:r>
        <w:rPr>
          <w:rFonts w:hint="eastAsia" w:ascii="宋体" w:hAnsi="宋体" w:eastAsia="宋体"/>
          <w:szCs w:val="28"/>
          <w:highlight w:val="none"/>
        </w:rPr>
        <w:t>二、招标文件</w:t>
      </w:r>
      <w:r>
        <w:tab/>
      </w:r>
      <w:r>
        <w:fldChar w:fldCharType="begin"/>
      </w:r>
      <w:r>
        <w:instrText xml:space="preserve"> PAGEREF _Toc3457 \h </w:instrText>
      </w:r>
      <w:r>
        <w:fldChar w:fldCharType="separate"/>
      </w:r>
      <w:r>
        <w:t>17</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_Toc16009 </w:instrText>
      </w:r>
      <w:r>
        <w:rPr>
          <w:rFonts w:asciiTheme="minorEastAsia" w:hAnsiTheme="minorEastAsia"/>
          <w:bCs/>
          <w:caps/>
          <w:smallCaps w:val="0"/>
          <w:szCs w:val="21"/>
          <w:highlight w:val="none"/>
        </w:rPr>
        <w:fldChar w:fldCharType="separate"/>
      </w:r>
      <w:r>
        <w:rPr>
          <w:rFonts w:hint="eastAsia" w:ascii="宋体" w:hAnsi="宋体" w:eastAsia="宋体"/>
          <w:szCs w:val="28"/>
          <w:highlight w:val="none"/>
        </w:rPr>
        <w:t>三、投标文件</w:t>
      </w:r>
      <w:r>
        <w:tab/>
      </w:r>
      <w:r>
        <w:fldChar w:fldCharType="begin"/>
      </w:r>
      <w:r>
        <w:instrText xml:space="preserve"> PAGEREF _Toc16009 \h </w:instrText>
      </w:r>
      <w:r>
        <w:fldChar w:fldCharType="separate"/>
      </w:r>
      <w:r>
        <w:t>18</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_Toc22709 </w:instrText>
      </w:r>
      <w:r>
        <w:rPr>
          <w:rFonts w:asciiTheme="minorEastAsia" w:hAnsiTheme="minorEastAsia"/>
          <w:bCs/>
          <w:caps/>
          <w:smallCaps w:val="0"/>
          <w:szCs w:val="21"/>
          <w:highlight w:val="none"/>
        </w:rPr>
        <w:fldChar w:fldCharType="separate"/>
      </w:r>
      <w:r>
        <w:rPr>
          <w:rFonts w:hint="eastAsia" w:ascii="宋体" w:hAnsi="宋体" w:eastAsia="宋体"/>
          <w:szCs w:val="28"/>
          <w:highlight w:val="none"/>
        </w:rPr>
        <w:t>四、投标文件的提交</w:t>
      </w:r>
      <w:r>
        <w:tab/>
      </w:r>
      <w:r>
        <w:fldChar w:fldCharType="begin"/>
      </w:r>
      <w:r>
        <w:instrText xml:space="preserve"> PAGEREF _Toc22709 \h </w:instrText>
      </w:r>
      <w:r>
        <w:fldChar w:fldCharType="separate"/>
      </w:r>
      <w:r>
        <w:t>21</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_Toc722 </w:instrText>
      </w:r>
      <w:r>
        <w:rPr>
          <w:rFonts w:asciiTheme="minorEastAsia" w:hAnsiTheme="minorEastAsia"/>
          <w:bCs/>
          <w:caps/>
          <w:smallCaps w:val="0"/>
          <w:szCs w:val="21"/>
          <w:highlight w:val="none"/>
        </w:rPr>
        <w:fldChar w:fldCharType="separate"/>
      </w:r>
      <w:r>
        <w:rPr>
          <w:rFonts w:hint="eastAsia" w:ascii="宋体" w:hAnsi="宋体" w:eastAsia="宋体"/>
          <w:szCs w:val="28"/>
          <w:highlight w:val="none"/>
        </w:rPr>
        <w:t>五、开标与评标</w:t>
      </w:r>
      <w:r>
        <w:tab/>
      </w:r>
      <w:r>
        <w:fldChar w:fldCharType="begin"/>
      </w:r>
      <w:r>
        <w:instrText xml:space="preserve"> PAGEREF _Toc722 \h </w:instrText>
      </w:r>
      <w:r>
        <w:fldChar w:fldCharType="separate"/>
      </w:r>
      <w:r>
        <w:t>21</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_Toc22861 </w:instrText>
      </w:r>
      <w:r>
        <w:rPr>
          <w:rFonts w:asciiTheme="minorEastAsia" w:hAnsiTheme="minorEastAsia"/>
          <w:bCs/>
          <w:caps/>
          <w:smallCaps w:val="0"/>
          <w:szCs w:val="21"/>
          <w:highlight w:val="none"/>
        </w:rPr>
        <w:fldChar w:fldCharType="separate"/>
      </w:r>
      <w:r>
        <w:rPr>
          <w:rFonts w:hint="eastAsia" w:ascii="宋体" w:hAnsi="宋体" w:eastAsia="宋体"/>
          <w:szCs w:val="28"/>
          <w:highlight w:val="none"/>
        </w:rPr>
        <w:t>六、中标结果</w:t>
      </w:r>
      <w:r>
        <w:tab/>
      </w:r>
      <w:r>
        <w:fldChar w:fldCharType="begin"/>
      </w:r>
      <w:r>
        <w:instrText xml:space="preserve"> PAGEREF _Toc22861 \h </w:instrText>
      </w:r>
      <w:r>
        <w:fldChar w:fldCharType="separate"/>
      </w:r>
      <w:r>
        <w:t>23</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_Toc23385 </w:instrText>
      </w:r>
      <w:r>
        <w:rPr>
          <w:rFonts w:asciiTheme="minorEastAsia" w:hAnsiTheme="minorEastAsia"/>
          <w:bCs/>
          <w:caps/>
          <w:smallCaps w:val="0"/>
          <w:szCs w:val="21"/>
          <w:highlight w:val="none"/>
        </w:rPr>
        <w:fldChar w:fldCharType="separate"/>
      </w:r>
      <w:r>
        <w:rPr>
          <w:rFonts w:hint="eastAsia" w:ascii="宋体" w:hAnsi="宋体" w:eastAsia="宋体" w:cs="宋体"/>
          <w:szCs w:val="28"/>
          <w:highlight w:val="none"/>
        </w:rPr>
        <w:t>七、其他事项</w:t>
      </w:r>
      <w:r>
        <w:tab/>
      </w:r>
      <w:r>
        <w:fldChar w:fldCharType="begin"/>
      </w:r>
      <w:r>
        <w:instrText xml:space="preserve"> PAGEREF _Toc23385 \h </w:instrText>
      </w:r>
      <w:r>
        <w:fldChar w:fldCharType="separate"/>
      </w:r>
      <w:r>
        <w:t>24</w:t>
      </w:r>
      <w:r>
        <w:fldChar w:fldCharType="end"/>
      </w:r>
      <w:r>
        <w:rPr>
          <w:rFonts w:asciiTheme="minorEastAsia" w:hAnsiTheme="minorEastAsia"/>
          <w:bCs/>
          <w:caps/>
          <w:smallCaps w:val="0"/>
          <w:szCs w:val="21"/>
          <w:highlight w:val="none"/>
        </w:rPr>
        <w:fldChar w:fldCharType="end"/>
      </w:r>
    </w:p>
    <w:p>
      <w:pPr>
        <w:pStyle w:val="19"/>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_Toc30952 </w:instrText>
      </w:r>
      <w:r>
        <w:rPr>
          <w:rFonts w:asciiTheme="minorEastAsia" w:hAnsiTheme="minorEastAsia"/>
          <w:bCs/>
          <w:caps/>
          <w:smallCaps w:val="0"/>
          <w:szCs w:val="21"/>
          <w:highlight w:val="none"/>
        </w:rPr>
        <w:fldChar w:fldCharType="separate"/>
      </w:r>
      <w:r>
        <w:rPr>
          <w:rFonts w:hint="eastAsia"/>
        </w:rPr>
        <w:t xml:space="preserve">第三章 </w:t>
      </w:r>
      <w:r>
        <w:rPr>
          <w:rFonts w:hint="eastAsia" w:ascii="宋体" w:hAnsi="宋体"/>
          <w:bCs w:val="0"/>
          <w:kern w:val="44"/>
          <w:szCs w:val="20"/>
          <w:highlight w:val="none"/>
        </w:rPr>
        <w:t>合同基本格式及主要条款</w:t>
      </w:r>
      <w:r>
        <w:tab/>
      </w:r>
      <w:r>
        <w:fldChar w:fldCharType="begin"/>
      </w:r>
      <w:r>
        <w:instrText xml:space="preserve"> PAGEREF _Toc30952 \h </w:instrText>
      </w:r>
      <w:r>
        <w:fldChar w:fldCharType="separate"/>
      </w:r>
      <w:r>
        <w:t>25</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_Toc22677 </w:instrText>
      </w:r>
      <w:r>
        <w:rPr>
          <w:rFonts w:asciiTheme="minorEastAsia" w:hAnsiTheme="minorEastAsia"/>
          <w:bCs/>
          <w:caps/>
          <w:smallCaps w:val="0"/>
          <w:szCs w:val="21"/>
          <w:highlight w:val="none"/>
        </w:rPr>
        <w:fldChar w:fldCharType="separate"/>
      </w:r>
      <w:r>
        <w:rPr>
          <w:rFonts w:hint="eastAsia" w:ascii="黑体" w:hAnsi="华文中宋"/>
          <w:szCs w:val="28"/>
          <w:highlight w:val="none"/>
        </w:rPr>
        <w:t>第一节</w:t>
      </w:r>
      <w:r>
        <w:rPr>
          <w:rFonts w:ascii="黑体" w:hAnsi="华文中宋"/>
          <w:szCs w:val="28"/>
          <w:highlight w:val="none"/>
        </w:rPr>
        <w:t xml:space="preserve"> </w:t>
      </w:r>
      <w:r>
        <w:rPr>
          <w:rFonts w:hint="eastAsia" w:ascii="黑体" w:hAnsi="华文中宋"/>
          <w:szCs w:val="28"/>
          <w:highlight w:val="none"/>
        </w:rPr>
        <w:t>政府采购合同协议书</w:t>
      </w:r>
      <w:r>
        <w:tab/>
      </w:r>
      <w:r>
        <w:fldChar w:fldCharType="begin"/>
      </w:r>
      <w:r>
        <w:instrText xml:space="preserve"> PAGEREF _Toc22677 \h </w:instrText>
      </w:r>
      <w:r>
        <w:fldChar w:fldCharType="separate"/>
      </w:r>
      <w:r>
        <w:t>26</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_Toc26162 </w:instrText>
      </w:r>
      <w:r>
        <w:rPr>
          <w:rFonts w:asciiTheme="minorEastAsia" w:hAnsiTheme="minorEastAsia"/>
          <w:bCs/>
          <w:caps/>
          <w:smallCaps w:val="0"/>
          <w:szCs w:val="21"/>
          <w:highlight w:val="none"/>
        </w:rPr>
        <w:fldChar w:fldCharType="separate"/>
      </w:r>
      <w:r>
        <w:rPr>
          <w:rFonts w:hint="eastAsia" w:ascii="黑体" w:hAnsi="黑体"/>
          <w:szCs w:val="28"/>
          <w:highlight w:val="none"/>
        </w:rPr>
        <w:t>第二节 政府采购合同通用条款</w:t>
      </w:r>
      <w:r>
        <w:tab/>
      </w:r>
      <w:r>
        <w:fldChar w:fldCharType="begin"/>
      </w:r>
      <w:r>
        <w:instrText xml:space="preserve"> PAGEREF _Toc26162 \h </w:instrText>
      </w:r>
      <w:r>
        <w:fldChar w:fldCharType="separate"/>
      </w:r>
      <w:r>
        <w:t>38</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_Toc30304 </w:instrText>
      </w:r>
      <w:r>
        <w:rPr>
          <w:rFonts w:asciiTheme="minorEastAsia" w:hAnsiTheme="minorEastAsia"/>
          <w:bCs/>
          <w:caps/>
          <w:smallCaps w:val="0"/>
          <w:szCs w:val="21"/>
          <w:highlight w:val="none"/>
        </w:rPr>
        <w:fldChar w:fldCharType="separate"/>
      </w:r>
      <w:r>
        <w:rPr>
          <w:rFonts w:hint="eastAsia" w:ascii="黑体" w:hAnsi="华文中宋"/>
          <w:szCs w:val="28"/>
          <w:highlight w:val="none"/>
        </w:rPr>
        <w:t>第三节 政府采购合同专用条款</w:t>
      </w:r>
      <w:r>
        <w:tab/>
      </w:r>
      <w:r>
        <w:fldChar w:fldCharType="begin"/>
      </w:r>
      <w:r>
        <w:instrText xml:space="preserve"> PAGEREF _Toc30304 \h </w:instrText>
      </w:r>
      <w:r>
        <w:fldChar w:fldCharType="separate"/>
      </w:r>
      <w:r>
        <w:t>44</w:t>
      </w:r>
      <w:r>
        <w:fldChar w:fldCharType="end"/>
      </w:r>
      <w:r>
        <w:rPr>
          <w:rFonts w:asciiTheme="minorEastAsia" w:hAnsiTheme="minorEastAsia"/>
          <w:bCs/>
          <w:caps/>
          <w:smallCaps w:val="0"/>
          <w:szCs w:val="21"/>
          <w:highlight w:val="none"/>
        </w:rPr>
        <w:fldChar w:fldCharType="end"/>
      </w:r>
    </w:p>
    <w:p>
      <w:pPr>
        <w:pStyle w:val="19"/>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_Toc7665 </w:instrText>
      </w:r>
      <w:r>
        <w:rPr>
          <w:rFonts w:asciiTheme="minorEastAsia" w:hAnsiTheme="minorEastAsia"/>
          <w:bCs/>
          <w:caps/>
          <w:smallCaps w:val="0"/>
          <w:szCs w:val="21"/>
          <w:highlight w:val="none"/>
        </w:rPr>
        <w:fldChar w:fldCharType="separate"/>
      </w:r>
      <w:r>
        <w:rPr>
          <w:rFonts w:hint="eastAsia" w:ascii="宋体" w:hAnsi="宋体"/>
          <w:bCs w:val="0"/>
          <w:kern w:val="44"/>
          <w:szCs w:val="20"/>
          <w:highlight w:val="none"/>
        </w:rPr>
        <w:t>第四章  投标文件格式</w:t>
      </w:r>
      <w:r>
        <w:tab/>
      </w:r>
      <w:r>
        <w:fldChar w:fldCharType="begin"/>
      </w:r>
      <w:r>
        <w:instrText xml:space="preserve"> PAGEREF _Toc7665 \h </w:instrText>
      </w:r>
      <w:r>
        <w:fldChar w:fldCharType="separate"/>
      </w:r>
      <w:r>
        <w:t>46</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_Toc21855 </w:instrText>
      </w:r>
      <w:r>
        <w:rPr>
          <w:rFonts w:asciiTheme="minorEastAsia" w:hAnsiTheme="minorEastAsia"/>
          <w:bCs/>
          <w:caps/>
          <w:smallCaps w:val="0"/>
          <w:szCs w:val="21"/>
          <w:highlight w:val="none"/>
        </w:rPr>
        <w:fldChar w:fldCharType="separate"/>
      </w:r>
      <w:r>
        <w:rPr>
          <w:rFonts w:ascii="宋体" w:hAnsi="宋体" w:eastAsia="宋体"/>
          <w:szCs w:val="32"/>
          <w:highlight w:val="none"/>
        </w:rPr>
        <w:t>一</w:t>
      </w:r>
      <w:r>
        <w:rPr>
          <w:rFonts w:hint="eastAsia" w:ascii="宋体" w:hAnsi="宋体" w:eastAsia="宋体"/>
          <w:szCs w:val="32"/>
          <w:highlight w:val="none"/>
        </w:rPr>
        <w:t>、</w:t>
      </w:r>
      <w:r>
        <w:rPr>
          <w:rFonts w:ascii="宋体" w:hAnsi="宋体" w:eastAsia="宋体"/>
          <w:szCs w:val="32"/>
          <w:highlight w:val="none"/>
        </w:rPr>
        <w:t>资格</w:t>
      </w:r>
      <w:r>
        <w:rPr>
          <w:rFonts w:hint="eastAsia" w:ascii="宋体" w:hAnsi="宋体" w:eastAsia="宋体"/>
          <w:szCs w:val="32"/>
          <w:highlight w:val="none"/>
        </w:rPr>
        <w:t>审查部分</w:t>
      </w:r>
      <w:r>
        <w:tab/>
      </w:r>
      <w:r>
        <w:fldChar w:fldCharType="begin"/>
      </w:r>
      <w:r>
        <w:instrText xml:space="preserve"> PAGEREF _Toc21855 \h </w:instrText>
      </w:r>
      <w:r>
        <w:fldChar w:fldCharType="separate"/>
      </w:r>
      <w:r>
        <w:t>47</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_Toc16741 </w:instrText>
      </w:r>
      <w:r>
        <w:rPr>
          <w:rFonts w:asciiTheme="minorEastAsia" w:hAnsiTheme="minorEastAsia"/>
          <w:bCs/>
          <w:caps/>
          <w:smallCaps w:val="0"/>
          <w:szCs w:val="21"/>
          <w:highlight w:val="none"/>
        </w:rPr>
        <w:fldChar w:fldCharType="separate"/>
      </w:r>
      <w:r>
        <w:rPr>
          <w:rFonts w:ascii="宋体" w:hAnsi="宋体" w:eastAsia="宋体"/>
          <w:szCs w:val="30"/>
          <w:highlight w:val="none"/>
        </w:rPr>
        <w:t>二、</w:t>
      </w:r>
      <w:r>
        <w:rPr>
          <w:rFonts w:hint="eastAsia" w:ascii="宋体" w:hAnsi="宋体" w:eastAsia="宋体"/>
          <w:szCs w:val="30"/>
          <w:highlight w:val="none"/>
        </w:rPr>
        <w:t>商务</w:t>
      </w:r>
      <w:r>
        <w:rPr>
          <w:rFonts w:ascii="宋体" w:hAnsi="宋体" w:eastAsia="宋体"/>
          <w:szCs w:val="30"/>
          <w:highlight w:val="none"/>
        </w:rPr>
        <w:t>部分</w:t>
      </w:r>
      <w:r>
        <w:tab/>
      </w:r>
      <w:r>
        <w:fldChar w:fldCharType="begin"/>
      </w:r>
      <w:r>
        <w:instrText xml:space="preserve"> PAGEREF _Toc16741 \h </w:instrText>
      </w:r>
      <w:r>
        <w:fldChar w:fldCharType="separate"/>
      </w:r>
      <w:r>
        <w:t>54</w:t>
      </w:r>
      <w:r>
        <w:fldChar w:fldCharType="end"/>
      </w:r>
      <w:r>
        <w:rPr>
          <w:rFonts w:asciiTheme="minorEastAsia" w:hAnsiTheme="minorEastAsia"/>
          <w:bCs/>
          <w:caps/>
          <w:smallCaps w:val="0"/>
          <w:szCs w:val="21"/>
          <w:highlight w:val="none"/>
        </w:rPr>
        <w:fldChar w:fldCharType="end"/>
      </w:r>
    </w:p>
    <w:p>
      <w:pPr>
        <w:pStyle w:val="21"/>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_Toc12366 </w:instrText>
      </w:r>
      <w:r>
        <w:rPr>
          <w:rFonts w:asciiTheme="minorEastAsia" w:hAnsiTheme="minorEastAsia"/>
          <w:bCs/>
          <w:caps/>
          <w:smallCaps w:val="0"/>
          <w:szCs w:val="21"/>
          <w:highlight w:val="none"/>
        </w:rPr>
        <w:fldChar w:fldCharType="separate"/>
      </w:r>
      <w:r>
        <w:rPr>
          <w:rFonts w:hint="eastAsia" w:ascii="宋体" w:hAnsi="宋体" w:eastAsia="宋体"/>
          <w:szCs w:val="32"/>
          <w:highlight w:val="none"/>
        </w:rPr>
        <w:t>三、技术部分</w:t>
      </w:r>
      <w:r>
        <w:tab/>
      </w:r>
      <w:r>
        <w:fldChar w:fldCharType="begin"/>
      </w:r>
      <w:r>
        <w:instrText xml:space="preserve"> PAGEREF _Toc12366 \h </w:instrText>
      </w:r>
      <w:r>
        <w:fldChar w:fldCharType="separate"/>
      </w:r>
      <w:r>
        <w:t>61</w:t>
      </w:r>
      <w:r>
        <w:fldChar w:fldCharType="end"/>
      </w:r>
      <w:r>
        <w:rPr>
          <w:rFonts w:asciiTheme="minorEastAsia" w:hAnsiTheme="minorEastAsia"/>
          <w:bCs/>
          <w:caps/>
          <w:smallCaps w:val="0"/>
          <w:szCs w:val="21"/>
          <w:highlight w:val="none"/>
        </w:rPr>
        <w:fldChar w:fldCharType="end"/>
      </w:r>
    </w:p>
    <w:p>
      <w:pPr>
        <w:pStyle w:val="19"/>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_Toc19668 </w:instrText>
      </w:r>
      <w:r>
        <w:rPr>
          <w:rFonts w:asciiTheme="minorEastAsia" w:hAnsiTheme="minorEastAsia"/>
          <w:bCs/>
          <w:caps/>
          <w:smallCaps w:val="0"/>
          <w:szCs w:val="21"/>
          <w:highlight w:val="none"/>
        </w:rPr>
        <w:fldChar w:fldCharType="separate"/>
      </w:r>
      <w:r>
        <w:rPr>
          <w:rFonts w:hint="eastAsia" w:ascii="宋体" w:hAnsi="宋体"/>
          <w:bCs w:val="0"/>
          <w:kern w:val="44"/>
          <w:szCs w:val="20"/>
        </w:rPr>
        <w:t xml:space="preserve">第五章 </w:t>
      </w:r>
      <w:r>
        <w:rPr>
          <w:rFonts w:hint="eastAsia" w:ascii="宋体" w:hAnsi="宋体"/>
          <w:bCs w:val="0"/>
          <w:kern w:val="44"/>
          <w:szCs w:val="20"/>
          <w:highlight w:val="none"/>
        </w:rPr>
        <w:t>项目需求及</w:t>
      </w:r>
      <w:r>
        <w:rPr>
          <w:rFonts w:ascii="宋体" w:hAnsi="宋体"/>
          <w:bCs w:val="0"/>
          <w:kern w:val="44"/>
          <w:szCs w:val="20"/>
          <w:highlight w:val="none"/>
        </w:rPr>
        <w:t>技术要求</w:t>
      </w:r>
      <w:r>
        <w:tab/>
      </w:r>
      <w:r>
        <w:fldChar w:fldCharType="begin"/>
      </w:r>
      <w:r>
        <w:instrText xml:space="preserve"> PAGEREF _Toc19668 \h </w:instrText>
      </w:r>
      <w:r>
        <w:fldChar w:fldCharType="separate"/>
      </w:r>
      <w:r>
        <w:t>67</w:t>
      </w:r>
      <w:r>
        <w:fldChar w:fldCharType="end"/>
      </w:r>
      <w:r>
        <w:rPr>
          <w:rFonts w:asciiTheme="minorEastAsia" w:hAnsiTheme="minorEastAsia"/>
          <w:bCs/>
          <w:caps/>
          <w:smallCaps w:val="0"/>
          <w:szCs w:val="21"/>
          <w:highlight w:val="none"/>
        </w:rPr>
        <w:fldChar w:fldCharType="end"/>
      </w:r>
    </w:p>
    <w:p>
      <w:pPr>
        <w:pStyle w:val="19"/>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_Toc29940 </w:instrText>
      </w:r>
      <w:r>
        <w:rPr>
          <w:rFonts w:asciiTheme="minorEastAsia" w:hAnsiTheme="minorEastAsia"/>
          <w:bCs/>
          <w:caps/>
          <w:smallCaps w:val="0"/>
          <w:szCs w:val="21"/>
          <w:highlight w:val="none"/>
        </w:rPr>
        <w:fldChar w:fldCharType="separate"/>
      </w:r>
      <w:r>
        <w:rPr>
          <w:rFonts w:hint="eastAsia" w:ascii="宋体" w:hAnsi="宋体" w:eastAsia="宋体"/>
          <w:highlight w:val="none"/>
        </w:rPr>
        <w:t>第六章 资格评审标准</w:t>
      </w:r>
      <w:r>
        <w:tab/>
      </w:r>
      <w:r>
        <w:fldChar w:fldCharType="begin"/>
      </w:r>
      <w:r>
        <w:instrText xml:space="preserve"> PAGEREF _Toc29940 \h </w:instrText>
      </w:r>
      <w:r>
        <w:fldChar w:fldCharType="separate"/>
      </w:r>
      <w:r>
        <w:t>128</w:t>
      </w:r>
      <w:r>
        <w:fldChar w:fldCharType="end"/>
      </w:r>
      <w:r>
        <w:rPr>
          <w:rFonts w:asciiTheme="minorEastAsia" w:hAnsiTheme="minorEastAsia"/>
          <w:bCs/>
          <w:caps/>
          <w:smallCaps w:val="0"/>
          <w:szCs w:val="21"/>
          <w:highlight w:val="none"/>
        </w:rPr>
        <w:fldChar w:fldCharType="end"/>
      </w:r>
    </w:p>
    <w:p>
      <w:pPr>
        <w:pStyle w:val="19"/>
        <w:tabs>
          <w:tab w:val="right" w:leader="dot" w:pos="9638"/>
          <w:tab w:val="clear" w:pos="9628"/>
        </w:tabs>
      </w:pPr>
      <w:r>
        <w:rPr>
          <w:rFonts w:asciiTheme="minorEastAsia" w:hAnsiTheme="minorEastAsia"/>
          <w:bCs/>
          <w:caps/>
          <w:smallCaps w:val="0"/>
          <w:szCs w:val="21"/>
          <w:highlight w:val="none"/>
        </w:rPr>
        <w:fldChar w:fldCharType="begin"/>
      </w:r>
      <w:r>
        <w:rPr>
          <w:rFonts w:asciiTheme="minorEastAsia" w:hAnsiTheme="minorEastAsia"/>
          <w:bCs/>
          <w:caps/>
          <w:smallCaps w:val="0"/>
          <w:szCs w:val="21"/>
          <w:highlight w:val="none"/>
        </w:rPr>
        <w:instrText xml:space="preserve"> HYPERLINK \l _Toc5935 </w:instrText>
      </w:r>
      <w:r>
        <w:rPr>
          <w:rFonts w:asciiTheme="minorEastAsia" w:hAnsiTheme="minorEastAsia"/>
          <w:bCs/>
          <w:caps/>
          <w:smallCaps w:val="0"/>
          <w:szCs w:val="21"/>
          <w:highlight w:val="none"/>
        </w:rPr>
        <w:fldChar w:fldCharType="separate"/>
      </w:r>
      <w:r>
        <w:rPr>
          <w:rFonts w:hint="eastAsia" w:ascii="宋体" w:hAnsi="宋体" w:eastAsia="宋体"/>
          <w:highlight w:val="none"/>
        </w:rPr>
        <w:t>第七章 评标方法（综合评分法）</w:t>
      </w:r>
      <w:r>
        <w:tab/>
      </w:r>
      <w:r>
        <w:fldChar w:fldCharType="begin"/>
      </w:r>
      <w:r>
        <w:instrText xml:space="preserve"> PAGEREF _Toc5935 \h </w:instrText>
      </w:r>
      <w:r>
        <w:fldChar w:fldCharType="separate"/>
      </w:r>
      <w:r>
        <w:t>130</w:t>
      </w:r>
      <w:r>
        <w:fldChar w:fldCharType="end"/>
      </w:r>
      <w:r>
        <w:rPr>
          <w:rFonts w:asciiTheme="minorEastAsia" w:hAnsiTheme="minorEastAsia"/>
          <w:bCs/>
          <w:caps/>
          <w:smallCaps w:val="0"/>
          <w:szCs w:val="21"/>
          <w:highlight w:val="none"/>
        </w:rPr>
        <w:fldChar w:fldCharType="end"/>
      </w:r>
    </w:p>
    <w:p>
      <w:pPr>
        <w:pStyle w:val="21"/>
        <w:adjustRightInd w:val="0"/>
        <w:snapToGrid w:val="0"/>
        <w:spacing w:line="360" w:lineRule="auto"/>
        <w:ind w:left="0" w:firstLine="400" w:firstLineChars="200"/>
        <w:rPr>
          <w:rFonts w:ascii="宋体" w:hAnsi="宋体" w:eastAsia="宋体"/>
          <w:highlight w:val="none"/>
        </w:rPr>
        <w:sectPr>
          <w:footerReference r:id="rId6" w:type="first"/>
          <w:headerReference r:id="rId3" w:type="default"/>
          <w:footerReference r:id="rId4" w:type="default"/>
          <w:footerReference r:id="rId5" w:type="even"/>
          <w:pgSz w:w="11906" w:h="16838"/>
          <w:pgMar w:top="987" w:right="1134" w:bottom="822" w:left="1134" w:header="720" w:footer="720" w:gutter="0"/>
          <w:cols w:space="720" w:num="1"/>
          <w:titlePg/>
          <w:docGrid w:type="lines" w:linePitch="331" w:charSpace="0"/>
        </w:sectPr>
      </w:pPr>
      <w:r>
        <w:rPr>
          <w:rFonts w:asciiTheme="minorEastAsia" w:hAnsiTheme="minorEastAsia"/>
          <w:bCs/>
          <w:caps/>
          <w:smallCaps w:val="0"/>
          <w:szCs w:val="21"/>
          <w:highlight w:val="none"/>
        </w:rPr>
        <w:fldChar w:fldCharType="end"/>
      </w:r>
    </w:p>
    <w:p>
      <w:pPr>
        <w:pStyle w:val="2"/>
        <w:numPr>
          <w:ilvl w:val="0"/>
          <w:numId w:val="0"/>
        </w:numPr>
        <w:snapToGrid w:val="0"/>
        <w:spacing w:before="240"/>
        <w:jc w:val="center"/>
        <w:rPr>
          <w:rFonts w:ascii="宋体" w:hAnsi="宋体" w:eastAsia="宋体"/>
          <w:sz w:val="36"/>
          <w:highlight w:val="none"/>
        </w:rPr>
      </w:pPr>
      <w:bookmarkStart w:id="0" w:name="_Toc393784369"/>
      <w:bookmarkStart w:id="1" w:name="_Toc20411"/>
      <w:bookmarkStart w:id="2" w:name="_Toc16249"/>
      <w:bookmarkStart w:id="3" w:name="_Toc168573746"/>
      <w:bookmarkStart w:id="4" w:name="_Toc13559"/>
      <w:bookmarkStart w:id="5" w:name="_Toc17839"/>
      <w:bookmarkStart w:id="6" w:name="_Toc20380"/>
      <w:r>
        <w:rPr>
          <w:rFonts w:hint="eastAsia" w:ascii="宋体" w:hAnsi="宋体" w:eastAsia="宋体"/>
          <w:sz w:val="36"/>
          <w:highlight w:val="none"/>
        </w:rPr>
        <w:t xml:space="preserve">第一章 </w:t>
      </w:r>
      <w:bookmarkEnd w:id="0"/>
      <w:bookmarkStart w:id="7" w:name="OLE_LINK3"/>
      <w:r>
        <w:rPr>
          <w:rFonts w:hint="eastAsia" w:ascii="宋体" w:hAnsi="宋体" w:eastAsia="宋体"/>
          <w:sz w:val="36"/>
          <w:highlight w:val="none"/>
        </w:rPr>
        <w:t>招标公告</w:t>
      </w:r>
      <w:bookmarkEnd w:id="1"/>
      <w:bookmarkEnd w:id="2"/>
      <w:bookmarkEnd w:id="3"/>
      <w:bookmarkEnd w:id="4"/>
      <w:bookmarkEnd w:id="5"/>
      <w:bookmarkEnd w:id="6"/>
    </w:p>
    <w:p>
      <w:pPr>
        <w:pBdr>
          <w:top w:val="single" w:color="auto" w:sz="4" w:space="2"/>
          <w:left w:val="single" w:color="auto" w:sz="4" w:space="26"/>
          <w:bottom w:val="single" w:color="auto" w:sz="4" w:space="1"/>
          <w:right w:val="single" w:color="auto" w:sz="4" w:space="4"/>
        </w:pBdr>
        <w:spacing w:before="240" w:line="360" w:lineRule="auto"/>
        <w:ind w:firstLine="422" w:firstLineChars="200"/>
        <w:rPr>
          <w:rFonts w:ascii="宋体" w:hAnsi="宋体"/>
          <w:b/>
          <w:szCs w:val="21"/>
          <w:highlight w:val="none"/>
        </w:rPr>
      </w:pPr>
      <w:r>
        <w:rPr>
          <w:rFonts w:hint="eastAsia" w:ascii="宋体" w:hAnsi="宋体"/>
          <w:b/>
          <w:szCs w:val="21"/>
          <w:highlight w:val="none"/>
        </w:rPr>
        <w:t>项目概况</w:t>
      </w:r>
    </w:p>
    <w:p>
      <w:pPr>
        <w:pBdr>
          <w:top w:val="single" w:color="auto" w:sz="4" w:space="2"/>
          <w:left w:val="single" w:color="auto" w:sz="4" w:space="26"/>
          <w:bottom w:val="single" w:color="auto" w:sz="4" w:space="1"/>
          <w:right w:val="single" w:color="auto" w:sz="4" w:space="4"/>
        </w:pBdr>
        <w:spacing w:before="240" w:line="360" w:lineRule="auto"/>
        <w:ind w:firstLine="420" w:firstLineChars="200"/>
        <w:rPr>
          <w:rFonts w:ascii="宋体" w:hAnsi="宋体"/>
          <w:b/>
          <w:szCs w:val="21"/>
          <w:highlight w:val="none"/>
        </w:rPr>
      </w:pPr>
      <w:r>
        <w:rPr>
          <w:rFonts w:hint="eastAsia" w:cs="宋体" w:asciiTheme="minorEastAsia" w:hAnsiTheme="minorEastAsia"/>
          <w:kern w:val="0"/>
          <w:szCs w:val="21"/>
          <w:highlight w:val="none"/>
          <w:u w:val="single"/>
        </w:rPr>
        <w:t>云南省森林消防总队个人防护装备（头盔、灯类）购置项目</w:t>
      </w:r>
      <w:r>
        <w:rPr>
          <w:rFonts w:hint="eastAsia" w:cs="宋体" w:asciiTheme="minorEastAsia" w:hAnsiTheme="minorEastAsia"/>
          <w:kern w:val="0"/>
          <w:szCs w:val="21"/>
          <w:highlight w:val="none"/>
        </w:rPr>
        <w:t>招标项目的潜在投标人应在云南省公共资源交易信息网（网址：</w:t>
      </w:r>
      <w:r>
        <w:rPr>
          <w:highlight w:val="none"/>
        </w:rPr>
        <w:fldChar w:fldCharType="begin"/>
      </w:r>
      <w:r>
        <w:rPr>
          <w:highlight w:val="none"/>
        </w:rPr>
        <w:instrText xml:space="preserve"> HYPERLINK "https://ggzy.yn.gov.cn/homePage" \l "/homePage）获取招标文件，并于2023年" </w:instrText>
      </w:r>
      <w:r>
        <w:rPr>
          <w:highlight w:val="none"/>
        </w:rPr>
        <w:fldChar w:fldCharType="separate"/>
      </w:r>
      <w:r>
        <w:rPr>
          <w:rFonts w:cs="宋体" w:asciiTheme="minorEastAsia" w:hAnsiTheme="minorEastAsia"/>
          <w:kern w:val="0"/>
          <w:szCs w:val="21"/>
          <w:highlight w:val="none"/>
        </w:rPr>
        <w:t>https://ggzy.yn.gov.cn/ynggfwpt-home-web/#/homePage</w:t>
      </w:r>
      <w:r>
        <w:rPr>
          <w:rStyle w:val="33"/>
          <w:rFonts w:hint="eastAsia" w:cs="宋体" w:asciiTheme="minorEastAsia" w:hAnsiTheme="minorEastAsia"/>
          <w:color w:val="auto"/>
          <w:kern w:val="0"/>
          <w:szCs w:val="21"/>
          <w:highlight w:val="none"/>
          <w:u w:val="none"/>
        </w:rPr>
        <w:t>）获取招标文件，并于2024年</w:t>
      </w:r>
      <w:r>
        <w:rPr>
          <w:rStyle w:val="33"/>
          <w:rFonts w:hint="eastAsia" w:cs="宋体" w:asciiTheme="minorEastAsia" w:hAnsiTheme="minorEastAsia"/>
          <w:color w:val="auto"/>
          <w:kern w:val="0"/>
          <w:szCs w:val="21"/>
          <w:highlight w:val="none"/>
          <w:u w:val="none"/>
        </w:rPr>
        <w:fldChar w:fldCharType="end"/>
      </w:r>
      <w:r>
        <w:rPr>
          <w:rFonts w:hint="eastAsia" w:cs="宋体" w:asciiTheme="minorEastAsia" w:hAnsiTheme="minorEastAsia"/>
          <w:kern w:val="0"/>
          <w:szCs w:val="21"/>
          <w:highlight w:val="none"/>
          <w:lang w:val="en-US" w:eastAsia="zh-CN"/>
        </w:rPr>
        <w:t>07</w:t>
      </w:r>
      <w:r>
        <w:rPr>
          <w:rFonts w:hint="eastAsia" w:cs="宋体" w:asciiTheme="minorEastAsia" w:hAnsiTheme="minorEastAsia"/>
          <w:kern w:val="0"/>
          <w:szCs w:val="21"/>
          <w:highlight w:val="none"/>
        </w:rPr>
        <w:t>月</w:t>
      </w:r>
      <w:r>
        <w:rPr>
          <w:rFonts w:hint="eastAsia" w:cs="宋体" w:asciiTheme="minorEastAsia" w:hAnsiTheme="minorEastAsia"/>
          <w:kern w:val="0"/>
          <w:szCs w:val="21"/>
          <w:highlight w:val="none"/>
          <w:lang w:val="en-US" w:eastAsia="zh-CN"/>
        </w:rPr>
        <w:t>01</w:t>
      </w:r>
      <w:r>
        <w:rPr>
          <w:rFonts w:hint="eastAsia" w:cs="宋体" w:asciiTheme="minorEastAsia" w:hAnsiTheme="minorEastAsia"/>
          <w:kern w:val="0"/>
          <w:szCs w:val="21"/>
          <w:highlight w:val="none"/>
        </w:rPr>
        <w:t>日</w:t>
      </w:r>
      <w:r>
        <w:rPr>
          <w:rFonts w:hint="eastAsia" w:cs="宋体" w:asciiTheme="minorEastAsia" w:hAnsiTheme="minorEastAsia"/>
          <w:kern w:val="0"/>
          <w:szCs w:val="21"/>
          <w:highlight w:val="none"/>
          <w:lang w:val="en-US" w:eastAsia="zh-CN"/>
        </w:rPr>
        <w:t>09</w:t>
      </w:r>
      <w:r>
        <w:rPr>
          <w:rFonts w:hint="eastAsia" w:cs="宋体" w:asciiTheme="minorEastAsia" w:hAnsiTheme="minorEastAsia"/>
          <w:kern w:val="0"/>
          <w:szCs w:val="21"/>
          <w:highlight w:val="none"/>
        </w:rPr>
        <w:t>时</w:t>
      </w:r>
      <w:r>
        <w:rPr>
          <w:rFonts w:hint="eastAsia" w:cs="宋体" w:asciiTheme="minorEastAsia" w:hAnsiTheme="minorEastAsia"/>
          <w:kern w:val="0"/>
          <w:szCs w:val="21"/>
          <w:highlight w:val="none"/>
          <w:lang w:val="en-US" w:eastAsia="zh-CN"/>
        </w:rPr>
        <w:t>00</w:t>
      </w:r>
      <w:r>
        <w:rPr>
          <w:rFonts w:hint="eastAsia" w:cs="宋体" w:asciiTheme="minorEastAsia" w:hAnsiTheme="minorEastAsia"/>
          <w:kern w:val="0"/>
          <w:szCs w:val="21"/>
          <w:highlight w:val="none"/>
        </w:rPr>
        <w:t>分（北京时间）前递交投标文件。</w:t>
      </w:r>
    </w:p>
    <w:p>
      <w:pPr>
        <w:widowControl/>
        <w:spacing w:before="120" w:line="360" w:lineRule="auto"/>
        <w:jc w:val="left"/>
        <w:outlineLvl w:val="1"/>
        <w:rPr>
          <w:rFonts w:cs="宋体" w:asciiTheme="minorEastAsia" w:hAnsiTheme="minorEastAsia"/>
          <w:b/>
          <w:kern w:val="0"/>
          <w:sz w:val="24"/>
          <w:highlight w:val="none"/>
        </w:rPr>
      </w:pPr>
      <w:bookmarkStart w:id="8" w:name="_Hlk24379207"/>
      <w:bookmarkEnd w:id="8"/>
      <w:bookmarkStart w:id="9" w:name="_Toc44610636"/>
      <w:bookmarkEnd w:id="9"/>
      <w:bookmarkStart w:id="10" w:name="_Toc35393790"/>
      <w:bookmarkEnd w:id="10"/>
      <w:bookmarkStart w:id="11" w:name="_Toc28359079"/>
      <w:bookmarkEnd w:id="11"/>
      <w:bookmarkStart w:id="12" w:name="_Toc28359002"/>
      <w:bookmarkEnd w:id="12"/>
      <w:bookmarkStart w:id="13" w:name="_Toc4454"/>
      <w:bookmarkStart w:id="14" w:name="_Toc21271"/>
      <w:bookmarkStart w:id="15" w:name="_Toc8367"/>
      <w:bookmarkStart w:id="16" w:name="_Toc3049"/>
      <w:bookmarkStart w:id="17" w:name="_Toc35393621"/>
      <w:bookmarkStart w:id="18" w:name="_Toc31917"/>
      <w:r>
        <w:rPr>
          <w:rFonts w:cs="宋体" w:asciiTheme="minorEastAsia" w:hAnsiTheme="minorEastAsia"/>
          <w:b/>
          <w:kern w:val="0"/>
          <w:sz w:val="24"/>
          <w:highlight w:val="none"/>
        </w:rPr>
        <w:fldChar w:fldCharType="begin"/>
      </w:r>
      <w:r>
        <w:rPr>
          <w:rFonts w:cs="宋体" w:asciiTheme="minorEastAsia" w:hAnsiTheme="minorEastAsia"/>
          <w:b/>
          <w:kern w:val="0"/>
          <w:sz w:val="24"/>
          <w:highlight w:val="none"/>
        </w:rPr>
        <w:instrText xml:space="preserve"> HYPERLINK "http://"</w:instrText>
      </w:r>
      <w:r>
        <w:rPr>
          <w:rFonts w:cs="宋体" w:asciiTheme="minorEastAsia" w:hAnsiTheme="minorEastAsia"/>
          <w:b/>
          <w:kern w:val="0"/>
          <w:sz w:val="24"/>
          <w:highlight w:val="none"/>
        </w:rPr>
        <w:fldChar w:fldCharType="separate"/>
      </w:r>
      <w:bookmarkStart w:id="19" w:name="_Toc168573747"/>
      <w:r>
        <w:rPr>
          <w:rFonts w:hint="eastAsia" w:cs="宋体" w:asciiTheme="minorEastAsia" w:hAnsiTheme="minorEastAsia"/>
          <w:b/>
          <w:kern w:val="0"/>
          <w:sz w:val="24"/>
          <w:highlight w:val="none"/>
        </w:rPr>
        <w:t>一、项目基本情况</w:t>
      </w:r>
      <w:bookmarkEnd w:id="19"/>
      <w:r>
        <w:rPr>
          <w:rFonts w:cs="宋体" w:asciiTheme="minorEastAsia" w:hAnsiTheme="minorEastAsia"/>
          <w:b/>
          <w:kern w:val="0"/>
          <w:sz w:val="24"/>
          <w:highlight w:val="none"/>
        </w:rPr>
        <w:fldChar w:fldCharType="end"/>
      </w:r>
      <w:bookmarkEnd w:id="13"/>
      <w:bookmarkEnd w:id="14"/>
      <w:bookmarkEnd w:id="15"/>
      <w:bookmarkEnd w:id="16"/>
      <w:bookmarkEnd w:id="17"/>
      <w:bookmarkEnd w:id="18"/>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项目编号：云赛招字2024-115</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项目名称：云南省森林消防总队个人防护装备（头盔、灯类）购置项目</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预算金额：1548.</w:t>
      </w:r>
      <w:r>
        <w:rPr>
          <w:rFonts w:hint="eastAsia" w:cs="宋体" w:asciiTheme="minorEastAsia" w:hAnsiTheme="minorEastAsia"/>
          <w:kern w:val="0"/>
          <w:highlight w:val="none"/>
          <w:lang w:val="en-US" w:eastAsia="zh-CN"/>
        </w:rPr>
        <w:t>61</w:t>
      </w:r>
      <w:r>
        <w:rPr>
          <w:rFonts w:hint="eastAsia" w:cs="宋体" w:asciiTheme="minorEastAsia" w:hAnsiTheme="minorEastAsia"/>
          <w:kern w:val="0"/>
          <w:highlight w:val="none"/>
        </w:rPr>
        <w:t>万元。其中1标包：1245.</w:t>
      </w:r>
      <w:r>
        <w:rPr>
          <w:rFonts w:hint="eastAsia" w:cs="宋体" w:asciiTheme="minorEastAsia" w:hAnsiTheme="minorEastAsia"/>
          <w:kern w:val="0"/>
          <w:highlight w:val="none"/>
          <w:lang w:val="en-US" w:eastAsia="zh-CN"/>
        </w:rPr>
        <w:t>57</w:t>
      </w:r>
      <w:r>
        <w:rPr>
          <w:rFonts w:hint="eastAsia" w:cs="宋体" w:asciiTheme="minorEastAsia" w:hAnsiTheme="minorEastAsia"/>
          <w:kern w:val="0"/>
          <w:highlight w:val="none"/>
        </w:rPr>
        <w:t>万元；2标包303.</w:t>
      </w:r>
      <w:r>
        <w:rPr>
          <w:rFonts w:hint="eastAsia" w:cs="宋体" w:asciiTheme="minorEastAsia" w:hAnsiTheme="minorEastAsia"/>
          <w:kern w:val="0"/>
          <w:highlight w:val="none"/>
          <w:lang w:val="en-US" w:eastAsia="zh-CN"/>
        </w:rPr>
        <w:t>04</w:t>
      </w:r>
      <w:r>
        <w:rPr>
          <w:rFonts w:hint="eastAsia" w:cs="宋体" w:asciiTheme="minorEastAsia" w:hAnsiTheme="minorEastAsia"/>
          <w:kern w:val="0"/>
          <w:highlight w:val="none"/>
        </w:rPr>
        <w:t>万元。</w:t>
      </w:r>
    </w:p>
    <w:p>
      <w:pPr>
        <w:widowControl/>
        <w:ind w:firstLine="420" w:firstLineChars="200"/>
        <w:jc w:val="left"/>
        <w:rPr>
          <w:rFonts w:cs="宋体" w:asciiTheme="minorEastAsia" w:hAnsiTheme="minorEastAsia"/>
          <w:kern w:val="0"/>
          <w:highlight w:val="none"/>
        </w:rPr>
      </w:pPr>
      <w:r>
        <w:rPr>
          <w:rFonts w:hint="eastAsia" w:cs="宋体" w:asciiTheme="minorEastAsia" w:hAnsiTheme="minorEastAsia"/>
          <w:kern w:val="0"/>
          <w:highlight w:val="none"/>
        </w:rPr>
        <w:t>最高限价：1320.3551万元。其中1标包：1017.3141万元；2标包303.041万元。</w:t>
      </w:r>
    </w:p>
    <w:p>
      <w:pPr>
        <w:widowControl/>
        <w:spacing w:line="360" w:lineRule="auto"/>
        <w:ind w:firstLine="420" w:firstLineChars="200"/>
        <w:jc w:val="left"/>
        <w:rPr>
          <w:rFonts w:cs="宋体" w:asciiTheme="minorEastAsia" w:hAnsiTheme="minorEastAsia"/>
          <w:kern w:val="0"/>
          <w:highlight w:val="none"/>
        </w:rPr>
      </w:pPr>
      <w:r>
        <w:rPr>
          <w:rFonts w:hint="eastAsia" w:cs="宋体" w:asciiTheme="minorEastAsia" w:hAnsiTheme="minorEastAsia"/>
          <w:kern w:val="0"/>
          <w:highlight w:val="none"/>
        </w:rPr>
        <w:t>采购需求：需求一览表，具体内容见下表及招标文件第五章《项目需求及技术要求》。</w:t>
      </w:r>
    </w:p>
    <w:tbl>
      <w:tblPr>
        <w:tblStyle w:val="28"/>
        <w:tblW w:w="10050" w:type="dxa"/>
        <w:tblInd w:w="-775" w:type="dxa"/>
        <w:tblLayout w:type="fixed"/>
        <w:tblCellMar>
          <w:top w:w="0" w:type="dxa"/>
          <w:left w:w="108" w:type="dxa"/>
          <w:bottom w:w="0" w:type="dxa"/>
          <w:right w:w="108" w:type="dxa"/>
        </w:tblCellMar>
      </w:tblPr>
      <w:tblGrid>
        <w:gridCol w:w="599"/>
        <w:gridCol w:w="710"/>
        <w:gridCol w:w="1541"/>
        <w:gridCol w:w="855"/>
        <w:gridCol w:w="870"/>
        <w:gridCol w:w="780"/>
        <w:gridCol w:w="1215"/>
        <w:gridCol w:w="1125"/>
        <w:gridCol w:w="1185"/>
        <w:gridCol w:w="1170"/>
      </w:tblGrid>
      <w:tr>
        <w:tblPrEx>
          <w:tblCellMar>
            <w:top w:w="0" w:type="dxa"/>
            <w:left w:w="108" w:type="dxa"/>
            <w:bottom w:w="0" w:type="dxa"/>
            <w:right w:w="108" w:type="dxa"/>
          </w:tblCellMar>
        </w:tblPrEx>
        <w:trPr>
          <w:trHeight w:val="1200" w:hRule="exact"/>
        </w:trPr>
        <w:tc>
          <w:tcPr>
            <w:tcW w:w="599" w:type="dxa"/>
            <w:vMerge w:val="restart"/>
            <w:tcBorders>
              <w:top w:val="single" w:color="000000" w:sz="4" w:space="0"/>
              <w:left w:val="single" w:color="000000" w:sz="4" w:space="0"/>
              <w:right w:val="single" w:color="000000" w:sz="4" w:space="0"/>
            </w:tcBorders>
            <w:noWrap/>
            <w:vAlign w:val="center"/>
          </w:tcPr>
          <w:p>
            <w:pPr>
              <w:spacing w:line="360" w:lineRule="auto"/>
              <w:rPr>
                <w:rFonts w:ascii="宋体" w:hAnsi="宋体" w:eastAsia="宋体" w:cs="宋体"/>
                <w:szCs w:val="21"/>
                <w:highlight w:val="none"/>
              </w:rPr>
            </w:pPr>
            <w:r>
              <w:rPr>
                <w:rFonts w:hint="eastAsia" w:ascii="宋体" w:hAnsi="宋体" w:eastAsia="宋体" w:cs="宋体"/>
                <w:szCs w:val="21"/>
                <w:highlight w:val="none"/>
              </w:rPr>
              <w:t>标包</w:t>
            </w:r>
          </w:p>
        </w:tc>
        <w:tc>
          <w:tcPr>
            <w:tcW w:w="710" w:type="dxa"/>
            <w:vMerge w:val="restart"/>
            <w:tcBorders>
              <w:top w:val="single" w:color="000000" w:sz="4" w:space="0"/>
              <w:left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序号</w:t>
            </w:r>
          </w:p>
        </w:tc>
        <w:tc>
          <w:tcPr>
            <w:tcW w:w="1541" w:type="dxa"/>
            <w:vMerge w:val="restart"/>
            <w:tcBorders>
              <w:top w:val="single" w:color="000000" w:sz="4" w:space="0"/>
              <w:left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设备名称</w:t>
            </w:r>
          </w:p>
        </w:tc>
        <w:tc>
          <w:tcPr>
            <w:tcW w:w="855" w:type="dxa"/>
            <w:vMerge w:val="restart"/>
            <w:tcBorders>
              <w:top w:val="single" w:color="000000" w:sz="4" w:space="0"/>
              <w:left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单位</w:t>
            </w:r>
          </w:p>
        </w:tc>
        <w:tc>
          <w:tcPr>
            <w:tcW w:w="870" w:type="dxa"/>
            <w:vMerge w:val="restart"/>
            <w:tcBorders>
              <w:top w:val="single" w:color="000000" w:sz="4" w:space="0"/>
              <w:left w:val="single" w:color="000000" w:sz="4" w:space="0"/>
              <w:right w:val="single" w:color="auto"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数量</w:t>
            </w:r>
          </w:p>
        </w:tc>
        <w:tc>
          <w:tcPr>
            <w:tcW w:w="780" w:type="dxa"/>
            <w:vMerge w:val="restart"/>
            <w:tcBorders>
              <w:top w:val="single" w:color="000000" w:sz="4" w:space="0"/>
              <w:left w:val="single" w:color="auto" w:sz="4" w:space="0"/>
              <w:right w:val="single" w:color="000000" w:sz="4" w:space="0"/>
            </w:tcBorders>
            <w:vAlign w:val="center"/>
          </w:tcPr>
          <w:p>
            <w:pPr>
              <w:spacing w:line="360" w:lineRule="auto"/>
              <w:jc w:val="center"/>
              <w:rPr>
                <w:rFonts w:ascii="宋体" w:hAnsi="宋体" w:eastAsia="宋体" w:cs="宋体"/>
                <w:bCs/>
                <w:kern w:val="0"/>
                <w:szCs w:val="21"/>
                <w:highlight w:val="none"/>
              </w:rPr>
            </w:pPr>
            <w:r>
              <w:rPr>
                <w:rFonts w:hint="eastAsia" w:ascii="宋体" w:hAnsi="宋体" w:eastAsia="宋体" w:cs="宋体"/>
                <w:bCs/>
                <w:kern w:val="0"/>
                <w:szCs w:val="21"/>
                <w:highlight w:val="none"/>
              </w:rPr>
              <w:t>核心</w:t>
            </w:r>
          </w:p>
          <w:p>
            <w:pPr>
              <w:spacing w:line="360" w:lineRule="auto"/>
              <w:jc w:val="center"/>
              <w:rPr>
                <w:rFonts w:ascii="宋体" w:hAnsi="宋体" w:eastAsia="宋体" w:cs="宋体"/>
                <w:szCs w:val="21"/>
                <w:highlight w:val="none"/>
              </w:rPr>
            </w:pPr>
            <w:r>
              <w:rPr>
                <w:rFonts w:hint="eastAsia" w:ascii="宋体" w:hAnsi="宋体" w:eastAsia="宋体" w:cs="宋体"/>
                <w:bCs/>
                <w:kern w:val="0"/>
                <w:szCs w:val="21"/>
                <w:highlight w:val="none"/>
              </w:rPr>
              <w:t>产品</w:t>
            </w:r>
          </w:p>
        </w:tc>
        <w:tc>
          <w:tcPr>
            <w:tcW w:w="2340" w:type="dxa"/>
            <w:gridSpan w:val="2"/>
            <w:tcBorders>
              <w:top w:val="single" w:color="000000" w:sz="4" w:space="0"/>
              <w:left w:val="single" w:color="000000" w:sz="4" w:space="0"/>
              <w:bottom w:val="single" w:color="auto" w:sz="4" w:space="0"/>
              <w:right w:val="single" w:color="auto" w:sz="4" w:space="0"/>
            </w:tcBorders>
            <w:noWrap/>
            <w:vAlign w:val="center"/>
          </w:tcPr>
          <w:p>
            <w:pPr>
              <w:widowControl/>
              <w:jc w:val="center"/>
              <w:rPr>
                <w:rFonts w:cs="宋体"/>
                <w:bCs/>
                <w:kern w:val="0"/>
                <w:szCs w:val="21"/>
                <w:highlight w:val="none"/>
              </w:rPr>
            </w:pPr>
            <w:r>
              <w:rPr>
                <w:rFonts w:hint="eastAsia" w:ascii="宋体" w:hAnsi="宋体" w:eastAsia="宋体" w:cs="宋体"/>
                <w:bCs/>
                <w:kern w:val="0"/>
                <w:szCs w:val="21"/>
                <w:highlight w:val="none"/>
              </w:rPr>
              <w:t>预算金额（万元）</w:t>
            </w:r>
          </w:p>
        </w:tc>
        <w:tc>
          <w:tcPr>
            <w:tcW w:w="2355" w:type="dxa"/>
            <w:gridSpan w:val="2"/>
            <w:tcBorders>
              <w:top w:val="single" w:color="000000" w:sz="4" w:space="0"/>
              <w:left w:val="single" w:color="auto" w:sz="4" w:space="0"/>
              <w:bottom w:val="single" w:color="auto" w:sz="4" w:space="0"/>
              <w:right w:val="single" w:color="000000" w:sz="4" w:space="0"/>
            </w:tcBorders>
            <w:vAlign w:val="center"/>
          </w:tcPr>
          <w:p>
            <w:pPr>
              <w:widowControl/>
              <w:jc w:val="center"/>
              <w:rPr>
                <w:rFonts w:cs="宋体"/>
                <w:bCs/>
                <w:kern w:val="0"/>
                <w:szCs w:val="21"/>
                <w:highlight w:val="none"/>
              </w:rPr>
            </w:pPr>
            <w:r>
              <w:rPr>
                <w:rFonts w:hint="eastAsia" w:cs="宋体"/>
                <w:bCs/>
                <w:kern w:val="0"/>
                <w:szCs w:val="21"/>
                <w:highlight w:val="none"/>
              </w:rPr>
              <w:t>最高限价</w:t>
            </w:r>
            <w:r>
              <w:rPr>
                <w:rFonts w:hint="eastAsia" w:ascii="宋体" w:hAnsi="宋体" w:eastAsia="宋体" w:cs="宋体"/>
                <w:bCs/>
                <w:kern w:val="0"/>
                <w:szCs w:val="21"/>
                <w:highlight w:val="none"/>
              </w:rPr>
              <w:t>（万元）</w:t>
            </w:r>
          </w:p>
        </w:tc>
      </w:tr>
      <w:tr>
        <w:tblPrEx>
          <w:tblCellMar>
            <w:top w:w="0" w:type="dxa"/>
            <w:left w:w="108" w:type="dxa"/>
            <w:bottom w:w="0" w:type="dxa"/>
            <w:right w:w="108" w:type="dxa"/>
          </w:tblCellMar>
        </w:tblPrEx>
        <w:trPr>
          <w:trHeight w:val="919" w:hRule="exact"/>
        </w:trPr>
        <w:tc>
          <w:tcPr>
            <w:tcW w:w="599" w:type="dxa"/>
            <w:vMerge w:val="continue"/>
            <w:tcBorders>
              <w:left w:val="single" w:color="000000" w:sz="4" w:space="0"/>
              <w:bottom w:val="single" w:color="auto" w:sz="4" w:space="0"/>
              <w:right w:val="single" w:color="000000" w:sz="4" w:space="0"/>
            </w:tcBorders>
            <w:noWrap/>
            <w:vAlign w:val="center"/>
          </w:tcPr>
          <w:p>
            <w:pPr>
              <w:spacing w:line="360" w:lineRule="auto"/>
              <w:rPr>
                <w:rFonts w:ascii="宋体" w:hAnsi="宋体" w:eastAsia="宋体" w:cs="宋体"/>
                <w:szCs w:val="21"/>
                <w:highlight w:val="none"/>
              </w:rPr>
            </w:pPr>
          </w:p>
        </w:tc>
        <w:tc>
          <w:tcPr>
            <w:tcW w:w="710" w:type="dxa"/>
            <w:vMerge w:val="continue"/>
            <w:tcBorders>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p>
        </w:tc>
        <w:tc>
          <w:tcPr>
            <w:tcW w:w="1541" w:type="dxa"/>
            <w:vMerge w:val="continue"/>
            <w:tcBorders>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p>
        </w:tc>
        <w:tc>
          <w:tcPr>
            <w:tcW w:w="855" w:type="dxa"/>
            <w:vMerge w:val="continue"/>
            <w:tcBorders>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p>
        </w:tc>
        <w:tc>
          <w:tcPr>
            <w:tcW w:w="870" w:type="dxa"/>
            <w:vMerge w:val="continue"/>
            <w:tcBorders>
              <w:left w:val="single" w:color="000000" w:sz="4" w:space="0"/>
              <w:bottom w:val="single" w:color="000000" w:sz="4" w:space="0"/>
              <w:right w:val="single" w:color="auto" w:sz="4" w:space="0"/>
            </w:tcBorders>
            <w:noWrap/>
            <w:vAlign w:val="center"/>
          </w:tcPr>
          <w:p>
            <w:pPr>
              <w:spacing w:line="360" w:lineRule="auto"/>
              <w:jc w:val="center"/>
              <w:rPr>
                <w:rFonts w:ascii="宋体" w:hAnsi="宋体" w:eastAsia="宋体" w:cs="宋体"/>
                <w:szCs w:val="21"/>
                <w:highlight w:val="none"/>
              </w:rPr>
            </w:pPr>
          </w:p>
        </w:tc>
        <w:tc>
          <w:tcPr>
            <w:tcW w:w="780" w:type="dxa"/>
            <w:vMerge w:val="continue"/>
            <w:tcBorders>
              <w:left w:val="single" w:color="auto" w:sz="4" w:space="0"/>
              <w:bottom w:val="single" w:color="000000" w:sz="4" w:space="0"/>
              <w:right w:val="single" w:color="000000" w:sz="4" w:space="0"/>
            </w:tcBorders>
            <w:vAlign w:val="center"/>
          </w:tcPr>
          <w:p>
            <w:pPr>
              <w:spacing w:line="360" w:lineRule="auto"/>
              <w:jc w:val="center"/>
              <w:rPr>
                <w:rFonts w:ascii="宋体" w:hAnsi="宋体" w:eastAsia="宋体" w:cs="宋体"/>
                <w:bCs/>
                <w:kern w:val="0"/>
                <w:szCs w:val="21"/>
                <w:highlight w:val="none"/>
              </w:rPr>
            </w:pPr>
          </w:p>
        </w:tc>
        <w:tc>
          <w:tcPr>
            <w:tcW w:w="1215" w:type="dxa"/>
            <w:tcBorders>
              <w:top w:val="single" w:color="auto" w:sz="4" w:space="0"/>
              <w:left w:val="single" w:color="000000" w:sz="4" w:space="0"/>
              <w:bottom w:val="single" w:color="000000" w:sz="4" w:space="0"/>
              <w:right w:val="single" w:color="auto" w:sz="4" w:space="0"/>
            </w:tcBorders>
            <w:noWrap/>
            <w:vAlign w:val="center"/>
          </w:tcPr>
          <w:p>
            <w:pPr>
              <w:widowControl/>
              <w:jc w:val="center"/>
              <w:rPr>
                <w:rFonts w:ascii="宋体" w:hAnsi="宋体" w:eastAsia="宋体" w:cs="宋体"/>
                <w:bCs/>
                <w:kern w:val="0"/>
                <w:szCs w:val="21"/>
                <w:highlight w:val="none"/>
              </w:rPr>
            </w:pPr>
            <w:r>
              <w:rPr>
                <w:rFonts w:hint="eastAsia" w:ascii="宋体" w:hAnsi="宋体" w:eastAsia="宋体" w:cs="宋体"/>
                <w:bCs/>
                <w:kern w:val="0"/>
                <w:szCs w:val="21"/>
                <w:highlight w:val="none"/>
              </w:rPr>
              <w:t>单价</w:t>
            </w:r>
          </w:p>
        </w:tc>
        <w:tc>
          <w:tcPr>
            <w:tcW w:w="1125" w:type="dxa"/>
            <w:tcBorders>
              <w:top w:val="single" w:color="auto" w:sz="4" w:space="0"/>
              <w:left w:val="single" w:color="auto" w:sz="4" w:space="0"/>
              <w:bottom w:val="single" w:color="000000" w:sz="4" w:space="0"/>
              <w:right w:val="single" w:color="auto" w:sz="4" w:space="0"/>
            </w:tcBorders>
            <w:vAlign w:val="center"/>
          </w:tcPr>
          <w:p>
            <w:pPr>
              <w:jc w:val="center"/>
              <w:rPr>
                <w:rFonts w:ascii="宋体" w:hAnsi="宋体" w:eastAsia="宋体" w:cs="宋体"/>
                <w:bCs/>
                <w:kern w:val="0"/>
                <w:szCs w:val="21"/>
                <w:highlight w:val="none"/>
              </w:rPr>
            </w:pPr>
            <w:r>
              <w:rPr>
                <w:rFonts w:hint="eastAsia" w:ascii="宋体" w:hAnsi="宋体" w:eastAsia="宋体" w:cs="宋体"/>
                <w:bCs/>
                <w:kern w:val="0"/>
                <w:szCs w:val="21"/>
                <w:highlight w:val="none"/>
              </w:rPr>
              <w:t>合价</w:t>
            </w:r>
          </w:p>
        </w:tc>
        <w:tc>
          <w:tcPr>
            <w:tcW w:w="1185" w:type="dxa"/>
            <w:tcBorders>
              <w:top w:val="single" w:color="auto" w:sz="4" w:space="0"/>
              <w:left w:val="single" w:color="auto" w:sz="4" w:space="0"/>
              <w:bottom w:val="single" w:color="000000" w:sz="4" w:space="0"/>
              <w:right w:val="single" w:color="auto" w:sz="4" w:space="0"/>
            </w:tcBorders>
            <w:vAlign w:val="center"/>
          </w:tcPr>
          <w:p>
            <w:pPr>
              <w:jc w:val="center"/>
              <w:rPr>
                <w:rFonts w:cs="宋体"/>
                <w:bCs/>
                <w:kern w:val="0"/>
                <w:szCs w:val="21"/>
                <w:highlight w:val="none"/>
              </w:rPr>
            </w:pPr>
            <w:r>
              <w:rPr>
                <w:rFonts w:hint="eastAsia" w:ascii="宋体" w:hAnsi="宋体" w:eastAsia="宋体" w:cs="宋体"/>
                <w:bCs/>
                <w:kern w:val="0"/>
                <w:szCs w:val="21"/>
                <w:highlight w:val="none"/>
              </w:rPr>
              <w:t>单价</w:t>
            </w:r>
          </w:p>
        </w:tc>
        <w:tc>
          <w:tcPr>
            <w:tcW w:w="1170" w:type="dxa"/>
            <w:tcBorders>
              <w:top w:val="single" w:color="auto" w:sz="4" w:space="0"/>
              <w:left w:val="single" w:color="auto" w:sz="4" w:space="0"/>
              <w:bottom w:val="single" w:color="000000" w:sz="4" w:space="0"/>
              <w:right w:val="single" w:color="000000" w:sz="4" w:space="0"/>
            </w:tcBorders>
            <w:vAlign w:val="center"/>
          </w:tcPr>
          <w:p>
            <w:pPr>
              <w:jc w:val="center"/>
              <w:rPr>
                <w:rFonts w:cs="宋体"/>
                <w:bCs/>
                <w:kern w:val="0"/>
                <w:szCs w:val="21"/>
                <w:highlight w:val="none"/>
              </w:rPr>
            </w:pPr>
            <w:r>
              <w:rPr>
                <w:rFonts w:hint="eastAsia" w:ascii="宋体" w:hAnsi="宋体" w:eastAsia="宋体" w:cs="宋体"/>
                <w:bCs/>
                <w:kern w:val="0"/>
                <w:szCs w:val="21"/>
                <w:highlight w:val="none"/>
              </w:rPr>
              <w:t>合价</w:t>
            </w:r>
          </w:p>
        </w:tc>
      </w:tr>
      <w:tr>
        <w:tblPrEx>
          <w:tblCellMar>
            <w:top w:w="0" w:type="dxa"/>
            <w:left w:w="108" w:type="dxa"/>
            <w:bottom w:w="0" w:type="dxa"/>
            <w:right w:w="108" w:type="dxa"/>
          </w:tblCellMar>
        </w:tblPrEx>
        <w:trPr>
          <w:trHeight w:val="902" w:hRule="exact"/>
        </w:trPr>
        <w:tc>
          <w:tcPr>
            <w:tcW w:w="599" w:type="dxa"/>
            <w:vMerge w:val="restar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1标包</w:t>
            </w:r>
          </w:p>
        </w:tc>
        <w:tc>
          <w:tcPr>
            <w:tcW w:w="710" w:type="dxa"/>
            <w:tcBorders>
              <w:top w:val="single" w:color="000000" w:sz="4" w:space="0"/>
              <w:left w:val="single" w:color="auto"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1</w:t>
            </w:r>
          </w:p>
        </w:tc>
        <w:tc>
          <w:tcPr>
            <w:tcW w:w="154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森林灭火防护头盔</w:t>
            </w:r>
          </w:p>
        </w:tc>
        <w:tc>
          <w:tcPr>
            <w:tcW w:w="85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个</w:t>
            </w:r>
          </w:p>
        </w:tc>
        <w:tc>
          <w:tcPr>
            <w:tcW w:w="870" w:type="dxa"/>
            <w:tcBorders>
              <w:top w:val="single" w:color="000000" w:sz="4" w:space="0"/>
              <w:left w:val="single" w:color="000000" w:sz="4" w:space="0"/>
              <w:bottom w:val="single" w:color="000000" w:sz="4" w:space="0"/>
              <w:right w:val="single" w:color="auto"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3129</w:t>
            </w:r>
          </w:p>
        </w:tc>
        <w:tc>
          <w:tcPr>
            <w:tcW w:w="780" w:type="dxa"/>
            <w:tcBorders>
              <w:top w:val="single" w:color="000000" w:sz="4" w:space="0"/>
              <w:left w:val="single" w:color="auto" w:sz="4" w:space="0"/>
              <w:bottom w:val="single" w:color="000000" w:sz="4" w:space="0"/>
              <w:right w:val="single" w:color="000000" w:sz="4" w:space="0"/>
            </w:tcBorders>
            <w:vAlign w:val="center"/>
          </w:tcPr>
          <w:p>
            <w:pPr>
              <w:spacing w:line="360" w:lineRule="auto"/>
              <w:ind w:left="40" w:leftChars="19" w:firstLine="210" w:firstLineChars="100"/>
              <w:rPr>
                <w:rFonts w:ascii="宋体" w:hAnsi="宋体" w:eastAsia="宋体" w:cs="宋体"/>
                <w:szCs w:val="21"/>
                <w:highlight w:val="none"/>
              </w:rPr>
            </w:pPr>
            <w:r>
              <w:rPr>
                <w:rFonts w:hint="eastAsia" w:ascii="宋体" w:hAnsi="宋体" w:eastAsia="宋体" w:cs="宋体"/>
                <w:szCs w:val="21"/>
                <w:highlight w:val="none"/>
              </w:rPr>
              <w:t>是</w:t>
            </w:r>
          </w:p>
        </w:tc>
        <w:tc>
          <w:tcPr>
            <w:tcW w:w="1215" w:type="dxa"/>
            <w:tcBorders>
              <w:top w:val="single" w:color="000000" w:sz="4" w:space="0"/>
              <w:left w:val="single" w:color="000000" w:sz="4" w:space="0"/>
              <w:bottom w:val="single" w:color="000000" w:sz="4" w:space="0"/>
              <w:right w:val="single" w:color="auto" w:sz="4" w:space="0"/>
            </w:tcBorders>
            <w:noWrap/>
            <w:vAlign w:val="center"/>
          </w:tcPr>
          <w:p>
            <w:pPr>
              <w:widowControl/>
              <w:jc w:val="center"/>
              <w:textAlignment w:val="center"/>
              <w:rPr>
                <w:rFonts w:ascii="宋体" w:hAnsi="宋体" w:eastAsia="宋体" w:cs="宋体"/>
                <w:sz w:val="20"/>
                <w:szCs w:val="20"/>
                <w:highlight w:val="none"/>
              </w:rPr>
            </w:pPr>
            <w:r>
              <w:rPr>
                <w:rFonts w:hint="eastAsia" w:ascii="宋体" w:hAnsi="宋体" w:eastAsia="宋体" w:cs="宋体"/>
                <w:kern w:val="0"/>
                <w:sz w:val="20"/>
                <w:szCs w:val="20"/>
                <w:highlight w:val="none"/>
                <w:lang w:bidi="ar"/>
              </w:rPr>
              <w:t>0.0829</w:t>
            </w:r>
          </w:p>
        </w:tc>
        <w:tc>
          <w:tcPr>
            <w:tcW w:w="1125" w:type="dxa"/>
            <w:tcBorders>
              <w:top w:val="single" w:color="000000" w:sz="4" w:space="0"/>
              <w:left w:val="single" w:color="auto" w:sz="4" w:space="0"/>
              <w:bottom w:val="single" w:color="000000" w:sz="4" w:space="0"/>
              <w:right w:val="single" w:color="auto" w:sz="4" w:space="0"/>
            </w:tcBorders>
            <w:vAlign w:val="center"/>
          </w:tcPr>
          <w:p>
            <w:pPr>
              <w:widowControl/>
              <w:jc w:val="right"/>
              <w:textAlignment w:val="center"/>
              <w:rPr>
                <w:rFonts w:ascii="宋体" w:hAnsi="宋体" w:eastAsia="宋体" w:cs="宋体"/>
                <w:kern w:val="0"/>
                <w:sz w:val="20"/>
                <w:szCs w:val="20"/>
                <w:highlight w:val="none"/>
                <w:lang w:bidi="ar"/>
              </w:rPr>
            </w:pPr>
            <w:r>
              <w:rPr>
                <w:rFonts w:hint="eastAsia" w:ascii="宋体" w:hAnsi="宋体" w:eastAsia="宋体" w:cs="宋体"/>
                <w:kern w:val="0"/>
                <w:sz w:val="22"/>
                <w:szCs w:val="22"/>
                <w:highlight w:val="none"/>
                <w:lang w:bidi="ar"/>
              </w:rPr>
              <w:t>259.3941</w:t>
            </w:r>
          </w:p>
        </w:tc>
        <w:tc>
          <w:tcPr>
            <w:tcW w:w="1185" w:type="dxa"/>
            <w:tcBorders>
              <w:top w:val="single" w:color="000000"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 w:val="20"/>
                <w:szCs w:val="20"/>
                <w:highlight w:val="none"/>
                <w:lang w:bidi="ar"/>
              </w:rPr>
              <w:t>0.0829</w:t>
            </w:r>
          </w:p>
        </w:tc>
        <w:tc>
          <w:tcPr>
            <w:tcW w:w="1170" w:type="dxa"/>
            <w:tcBorders>
              <w:top w:val="single" w:color="000000" w:sz="4" w:space="0"/>
              <w:left w:val="single" w:color="auto" w:sz="4" w:space="0"/>
              <w:bottom w:val="single" w:color="000000" w:sz="4" w:space="0"/>
              <w:right w:val="single" w:color="000000" w:sz="4" w:space="0"/>
            </w:tcBorders>
            <w:vAlign w:val="center"/>
          </w:tcPr>
          <w:p>
            <w:pPr>
              <w:widowControl/>
              <w:jc w:val="right"/>
              <w:textAlignment w:val="center"/>
              <w:rPr>
                <w:rFonts w:ascii="宋体" w:hAnsi="宋体" w:eastAsia="宋体" w:cs="宋体"/>
                <w:szCs w:val="21"/>
                <w:highlight w:val="none"/>
              </w:rPr>
            </w:pPr>
            <w:r>
              <w:rPr>
                <w:rFonts w:hint="eastAsia" w:ascii="宋体" w:hAnsi="宋体" w:eastAsia="宋体" w:cs="宋体"/>
                <w:kern w:val="0"/>
                <w:sz w:val="22"/>
                <w:szCs w:val="22"/>
                <w:highlight w:val="none"/>
                <w:lang w:bidi="ar"/>
              </w:rPr>
              <w:t>259.3941</w:t>
            </w:r>
          </w:p>
        </w:tc>
      </w:tr>
      <w:tr>
        <w:tblPrEx>
          <w:tblCellMar>
            <w:top w:w="0" w:type="dxa"/>
            <w:left w:w="108" w:type="dxa"/>
            <w:bottom w:w="0" w:type="dxa"/>
            <w:right w:w="108" w:type="dxa"/>
          </w:tblCellMar>
        </w:tblPrEx>
        <w:trPr>
          <w:trHeight w:val="554" w:hRule="exact"/>
        </w:trPr>
        <w:tc>
          <w:tcPr>
            <w:tcW w:w="599" w:type="dxa"/>
            <w:vMerge w:val="continue"/>
            <w:tcBorders>
              <w:top w:val="single" w:color="auto" w:sz="4" w:space="0"/>
              <w:left w:val="single" w:color="auto" w:sz="4" w:space="0"/>
              <w:bottom w:val="single" w:color="auto" w:sz="4" w:space="0"/>
              <w:right w:val="single" w:color="auto" w:sz="4" w:space="0"/>
            </w:tcBorders>
            <w:noWrap/>
            <w:vAlign w:val="center"/>
          </w:tcPr>
          <w:p>
            <w:pPr>
              <w:spacing w:line="360" w:lineRule="auto"/>
              <w:ind w:firstLine="420" w:firstLineChars="200"/>
              <w:jc w:val="center"/>
              <w:rPr>
                <w:rFonts w:ascii="宋体" w:hAnsi="宋体" w:eastAsia="宋体" w:cs="宋体"/>
                <w:szCs w:val="21"/>
                <w:highlight w:val="none"/>
              </w:rPr>
            </w:pPr>
          </w:p>
        </w:tc>
        <w:tc>
          <w:tcPr>
            <w:tcW w:w="710" w:type="dxa"/>
            <w:tcBorders>
              <w:top w:val="single" w:color="000000" w:sz="4" w:space="0"/>
              <w:left w:val="single" w:color="auto"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2</w:t>
            </w:r>
          </w:p>
        </w:tc>
        <w:tc>
          <w:tcPr>
            <w:tcW w:w="154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抢险救援头盔</w:t>
            </w:r>
          </w:p>
        </w:tc>
        <w:tc>
          <w:tcPr>
            <w:tcW w:w="85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个</w:t>
            </w:r>
          </w:p>
        </w:tc>
        <w:tc>
          <w:tcPr>
            <w:tcW w:w="870" w:type="dxa"/>
            <w:tcBorders>
              <w:top w:val="single" w:color="000000" w:sz="4" w:space="0"/>
              <w:left w:val="single" w:color="000000" w:sz="4" w:space="0"/>
              <w:bottom w:val="single" w:color="000000" w:sz="4" w:space="0"/>
              <w:right w:val="single" w:color="auto"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4386</w:t>
            </w:r>
          </w:p>
        </w:tc>
        <w:tc>
          <w:tcPr>
            <w:tcW w:w="780" w:type="dxa"/>
            <w:tcBorders>
              <w:top w:val="single" w:color="000000" w:sz="4" w:space="0"/>
              <w:left w:val="single" w:color="auto" w:sz="4" w:space="0"/>
              <w:bottom w:val="single" w:color="000000" w:sz="4" w:space="0"/>
              <w:right w:val="single" w:color="000000" w:sz="4" w:space="0"/>
            </w:tcBorders>
            <w:vAlign w:val="center"/>
          </w:tcPr>
          <w:p>
            <w:pPr>
              <w:spacing w:line="360" w:lineRule="auto"/>
              <w:ind w:left="40" w:leftChars="19" w:firstLine="210" w:firstLineChars="100"/>
              <w:rPr>
                <w:rFonts w:ascii="宋体" w:hAnsi="宋体" w:eastAsia="宋体" w:cs="宋体"/>
                <w:szCs w:val="21"/>
                <w:highlight w:val="none"/>
              </w:rPr>
            </w:pPr>
            <w:r>
              <w:rPr>
                <w:rFonts w:hint="eastAsia" w:ascii="宋体" w:hAnsi="宋体" w:eastAsia="宋体" w:cs="宋体"/>
                <w:szCs w:val="21"/>
                <w:highlight w:val="none"/>
              </w:rPr>
              <w:t>否</w:t>
            </w:r>
          </w:p>
        </w:tc>
        <w:tc>
          <w:tcPr>
            <w:tcW w:w="1215" w:type="dxa"/>
            <w:tcBorders>
              <w:top w:val="single" w:color="000000" w:sz="4" w:space="0"/>
              <w:left w:val="single" w:color="000000" w:sz="4" w:space="0"/>
              <w:bottom w:val="single" w:color="000000" w:sz="4" w:space="0"/>
              <w:right w:val="single" w:color="auto" w:sz="4" w:space="0"/>
            </w:tcBorders>
            <w:noWrap/>
            <w:vAlign w:val="center"/>
          </w:tcPr>
          <w:p>
            <w:pPr>
              <w:widowControl/>
              <w:jc w:val="center"/>
              <w:textAlignment w:val="center"/>
              <w:rPr>
                <w:rFonts w:ascii="宋体" w:hAnsi="宋体" w:eastAsia="宋体" w:cs="宋体"/>
                <w:sz w:val="20"/>
                <w:szCs w:val="20"/>
                <w:highlight w:val="none"/>
              </w:rPr>
            </w:pPr>
            <w:r>
              <w:rPr>
                <w:rFonts w:hint="eastAsia" w:ascii="宋体" w:hAnsi="宋体" w:eastAsia="宋体" w:cs="宋体"/>
                <w:kern w:val="0"/>
                <w:sz w:val="20"/>
                <w:szCs w:val="20"/>
                <w:highlight w:val="none"/>
                <w:lang w:bidi="ar"/>
              </w:rPr>
              <w:t>0.1562</w:t>
            </w:r>
          </w:p>
        </w:tc>
        <w:tc>
          <w:tcPr>
            <w:tcW w:w="1125" w:type="dxa"/>
            <w:tcBorders>
              <w:top w:val="single" w:color="000000" w:sz="4" w:space="0"/>
              <w:left w:val="single" w:color="auto" w:sz="4" w:space="0"/>
              <w:bottom w:val="single" w:color="000000" w:sz="4" w:space="0"/>
              <w:right w:val="single" w:color="auto" w:sz="4" w:space="0"/>
            </w:tcBorders>
            <w:vAlign w:val="center"/>
          </w:tcPr>
          <w:p>
            <w:pPr>
              <w:widowControl/>
              <w:jc w:val="right"/>
              <w:textAlignment w:val="center"/>
              <w:rPr>
                <w:rFonts w:ascii="宋体" w:hAnsi="宋体" w:eastAsia="宋体" w:cs="宋体"/>
                <w:kern w:val="0"/>
                <w:sz w:val="20"/>
                <w:szCs w:val="20"/>
                <w:highlight w:val="none"/>
                <w:lang w:bidi="ar"/>
              </w:rPr>
            </w:pPr>
            <w:r>
              <w:rPr>
                <w:rFonts w:hint="eastAsia" w:ascii="宋体" w:hAnsi="宋体" w:eastAsia="宋体" w:cs="宋体"/>
                <w:kern w:val="0"/>
                <w:sz w:val="22"/>
                <w:szCs w:val="22"/>
                <w:highlight w:val="none"/>
                <w:lang w:bidi="ar"/>
              </w:rPr>
              <w:t>685.0932</w:t>
            </w:r>
          </w:p>
        </w:tc>
        <w:tc>
          <w:tcPr>
            <w:tcW w:w="1185" w:type="dxa"/>
            <w:tcBorders>
              <w:top w:val="single" w:color="000000"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 w:val="20"/>
                <w:szCs w:val="20"/>
                <w:highlight w:val="none"/>
                <w:lang w:bidi="ar"/>
              </w:rPr>
              <w:t>0.12</w:t>
            </w:r>
          </w:p>
        </w:tc>
        <w:tc>
          <w:tcPr>
            <w:tcW w:w="1170" w:type="dxa"/>
            <w:tcBorders>
              <w:top w:val="single" w:color="000000" w:sz="4" w:space="0"/>
              <w:left w:val="single" w:color="auto" w:sz="4" w:space="0"/>
              <w:bottom w:val="single" w:color="000000" w:sz="4" w:space="0"/>
              <w:right w:val="single" w:color="000000" w:sz="4" w:space="0"/>
            </w:tcBorders>
            <w:vAlign w:val="center"/>
          </w:tcPr>
          <w:p>
            <w:pPr>
              <w:widowControl/>
              <w:jc w:val="right"/>
              <w:textAlignment w:val="center"/>
              <w:rPr>
                <w:rFonts w:ascii="宋体" w:hAnsi="宋体" w:eastAsia="宋体" w:cs="宋体"/>
                <w:szCs w:val="21"/>
                <w:highlight w:val="none"/>
              </w:rPr>
            </w:pPr>
            <w:r>
              <w:rPr>
                <w:rFonts w:hint="eastAsia" w:ascii="宋体" w:hAnsi="宋体" w:eastAsia="宋体" w:cs="宋体"/>
                <w:kern w:val="0"/>
                <w:sz w:val="22"/>
                <w:szCs w:val="22"/>
                <w:highlight w:val="none"/>
                <w:lang w:bidi="ar"/>
              </w:rPr>
              <w:t>526.32</w:t>
            </w:r>
          </w:p>
        </w:tc>
      </w:tr>
      <w:tr>
        <w:tblPrEx>
          <w:tblCellMar>
            <w:top w:w="0" w:type="dxa"/>
            <w:left w:w="108" w:type="dxa"/>
            <w:bottom w:w="0" w:type="dxa"/>
            <w:right w:w="108" w:type="dxa"/>
          </w:tblCellMar>
        </w:tblPrEx>
        <w:trPr>
          <w:trHeight w:val="576" w:hRule="exact"/>
        </w:trPr>
        <w:tc>
          <w:tcPr>
            <w:tcW w:w="599" w:type="dxa"/>
            <w:vMerge w:val="continue"/>
            <w:tcBorders>
              <w:top w:val="single" w:color="auto" w:sz="4" w:space="0"/>
              <w:left w:val="single" w:color="auto" w:sz="4" w:space="0"/>
              <w:bottom w:val="single" w:color="auto" w:sz="4" w:space="0"/>
              <w:right w:val="single" w:color="auto" w:sz="4" w:space="0"/>
            </w:tcBorders>
            <w:noWrap/>
            <w:vAlign w:val="center"/>
          </w:tcPr>
          <w:p>
            <w:pPr>
              <w:spacing w:line="360" w:lineRule="auto"/>
              <w:ind w:firstLine="420" w:firstLineChars="200"/>
              <w:jc w:val="center"/>
              <w:rPr>
                <w:rFonts w:ascii="宋体" w:hAnsi="宋体" w:eastAsia="宋体" w:cs="宋体"/>
                <w:szCs w:val="21"/>
                <w:highlight w:val="none"/>
              </w:rPr>
            </w:pPr>
          </w:p>
        </w:tc>
        <w:tc>
          <w:tcPr>
            <w:tcW w:w="710" w:type="dxa"/>
            <w:tcBorders>
              <w:top w:val="single" w:color="000000" w:sz="4" w:space="0"/>
              <w:left w:val="single" w:color="auto"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3</w:t>
            </w:r>
          </w:p>
        </w:tc>
        <w:tc>
          <w:tcPr>
            <w:tcW w:w="154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水域救援头盔</w:t>
            </w:r>
          </w:p>
        </w:tc>
        <w:tc>
          <w:tcPr>
            <w:tcW w:w="85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个</w:t>
            </w:r>
          </w:p>
        </w:tc>
        <w:tc>
          <w:tcPr>
            <w:tcW w:w="870" w:type="dxa"/>
            <w:tcBorders>
              <w:top w:val="single" w:color="000000" w:sz="4" w:space="0"/>
              <w:left w:val="single" w:color="000000" w:sz="4" w:space="0"/>
              <w:bottom w:val="single" w:color="000000" w:sz="4" w:space="0"/>
              <w:right w:val="single" w:color="auto"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3860</w:t>
            </w:r>
          </w:p>
        </w:tc>
        <w:tc>
          <w:tcPr>
            <w:tcW w:w="780" w:type="dxa"/>
            <w:tcBorders>
              <w:top w:val="single" w:color="000000" w:sz="4" w:space="0"/>
              <w:left w:val="single" w:color="auto" w:sz="4" w:space="0"/>
              <w:bottom w:val="single" w:color="000000" w:sz="4" w:space="0"/>
              <w:right w:val="single" w:color="000000" w:sz="4" w:space="0"/>
            </w:tcBorders>
            <w:vAlign w:val="center"/>
          </w:tcPr>
          <w:p>
            <w:pPr>
              <w:spacing w:line="360" w:lineRule="auto"/>
              <w:ind w:left="40" w:leftChars="19" w:firstLine="210" w:firstLineChars="100"/>
              <w:rPr>
                <w:rFonts w:ascii="宋体" w:hAnsi="宋体" w:eastAsia="宋体" w:cs="宋体"/>
                <w:szCs w:val="21"/>
                <w:highlight w:val="none"/>
              </w:rPr>
            </w:pPr>
            <w:r>
              <w:rPr>
                <w:rFonts w:hint="eastAsia" w:ascii="宋体" w:hAnsi="宋体" w:eastAsia="宋体" w:cs="宋体"/>
                <w:szCs w:val="21"/>
                <w:highlight w:val="none"/>
              </w:rPr>
              <w:t>否</w:t>
            </w:r>
          </w:p>
        </w:tc>
        <w:tc>
          <w:tcPr>
            <w:tcW w:w="1215" w:type="dxa"/>
            <w:tcBorders>
              <w:top w:val="single" w:color="000000" w:sz="4" w:space="0"/>
              <w:left w:val="single" w:color="000000" w:sz="4" w:space="0"/>
              <w:bottom w:val="single" w:color="000000" w:sz="4" w:space="0"/>
              <w:right w:val="single" w:color="auto" w:sz="4" w:space="0"/>
            </w:tcBorders>
            <w:noWrap/>
            <w:vAlign w:val="center"/>
          </w:tcPr>
          <w:p>
            <w:pPr>
              <w:widowControl/>
              <w:jc w:val="center"/>
              <w:textAlignment w:val="center"/>
              <w:rPr>
                <w:rFonts w:ascii="宋体" w:hAnsi="宋体" w:eastAsia="宋体" w:cs="宋体"/>
                <w:sz w:val="20"/>
                <w:szCs w:val="20"/>
                <w:highlight w:val="none"/>
              </w:rPr>
            </w:pPr>
            <w:r>
              <w:rPr>
                <w:rFonts w:hint="eastAsia" w:ascii="宋体" w:hAnsi="宋体" w:eastAsia="宋体" w:cs="宋体"/>
                <w:kern w:val="0"/>
                <w:sz w:val="20"/>
                <w:szCs w:val="20"/>
                <w:highlight w:val="none"/>
                <w:lang w:bidi="ar"/>
              </w:rPr>
              <w:t>0.0780</w:t>
            </w:r>
          </w:p>
        </w:tc>
        <w:tc>
          <w:tcPr>
            <w:tcW w:w="1125" w:type="dxa"/>
            <w:tcBorders>
              <w:top w:val="single" w:color="000000" w:sz="4" w:space="0"/>
              <w:left w:val="single" w:color="auto" w:sz="4" w:space="0"/>
              <w:bottom w:val="single" w:color="000000" w:sz="4" w:space="0"/>
              <w:right w:val="single" w:color="auto" w:sz="4" w:space="0"/>
            </w:tcBorders>
            <w:vAlign w:val="center"/>
          </w:tcPr>
          <w:p>
            <w:pPr>
              <w:widowControl/>
              <w:jc w:val="right"/>
              <w:textAlignment w:val="center"/>
              <w:rPr>
                <w:rFonts w:ascii="宋体" w:hAnsi="宋体" w:eastAsia="宋体" w:cs="宋体"/>
                <w:kern w:val="0"/>
                <w:sz w:val="20"/>
                <w:szCs w:val="20"/>
                <w:highlight w:val="none"/>
                <w:lang w:bidi="ar"/>
              </w:rPr>
            </w:pPr>
            <w:r>
              <w:rPr>
                <w:rFonts w:hint="eastAsia" w:ascii="宋体" w:hAnsi="宋体" w:eastAsia="宋体" w:cs="宋体"/>
                <w:kern w:val="0"/>
                <w:sz w:val="22"/>
                <w:szCs w:val="22"/>
                <w:highlight w:val="none"/>
                <w:lang w:bidi="ar"/>
              </w:rPr>
              <w:t>301.08</w:t>
            </w:r>
          </w:p>
        </w:tc>
        <w:tc>
          <w:tcPr>
            <w:tcW w:w="1185" w:type="dxa"/>
            <w:tcBorders>
              <w:top w:val="single" w:color="000000"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 w:val="20"/>
                <w:szCs w:val="20"/>
                <w:highlight w:val="none"/>
                <w:lang w:bidi="ar"/>
              </w:rPr>
              <w:t>0.06</w:t>
            </w:r>
          </w:p>
        </w:tc>
        <w:tc>
          <w:tcPr>
            <w:tcW w:w="1170" w:type="dxa"/>
            <w:tcBorders>
              <w:top w:val="single" w:color="000000" w:sz="4" w:space="0"/>
              <w:left w:val="single" w:color="auto" w:sz="4" w:space="0"/>
              <w:bottom w:val="single" w:color="000000" w:sz="4" w:space="0"/>
              <w:right w:val="single" w:color="000000" w:sz="4" w:space="0"/>
            </w:tcBorders>
            <w:vAlign w:val="center"/>
          </w:tcPr>
          <w:p>
            <w:pPr>
              <w:widowControl/>
              <w:jc w:val="right"/>
              <w:textAlignment w:val="center"/>
              <w:rPr>
                <w:rFonts w:ascii="宋体" w:hAnsi="宋体" w:eastAsia="宋体" w:cs="宋体"/>
                <w:szCs w:val="21"/>
                <w:highlight w:val="none"/>
              </w:rPr>
            </w:pPr>
            <w:r>
              <w:rPr>
                <w:rFonts w:hint="eastAsia" w:ascii="宋体" w:hAnsi="宋体" w:eastAsia="宋体" w:cs="宋体"/>
                <w:kern w:val="0"/>
                <w:sz w:val="22"/>
                <w:szCs w:val="22"/>
                <w:highlight w:val="none"/>
                <w:lang w:bidi="ar"/>
              </w:rPr>
              <w:t>231.6</w:t>
            </w:r>
          </w:p>
        </w:tc>
      </w:tr>
      <w:tr>
        <w:tblPrEx>
          <w:tblCellMar>
            <w:top w:w="0" w:type="dxa"/>
            <w:left w:w="108" w:type="dxa"/>
            <w:bottom w:w="0" w:type="dxa"/>
            <w:right w:w="108" w:type="dxa"/>
          </w:tblCellMar>
        </w:tblPrEx>
        <w:trPr>
          <w:trHeight w:val="570" w:hRule="exact"/>
        </w:trPr>
        <w:tc>
          <w:tcPr>
            <w:tcW w:w="599" w:type="dxa"/>
            <w:vMerge w:val="restart"/>
            <w:tcBorders>
              <w:top w:val="single" w:color="auto" w:sz="4" w:space="0"/>
              <w:left w:val="single" w:color="auto" w:sz="4" w:space="0"/>
              <w:right w:val="single" w:color="auto"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2标包</w:t>
            </w:r>
          </w:p>
        </w:tc>
        <w:tc>
          <w:tcPr>
            <w:tcW w:w="710" w:type="dxa"/>
            <w:tcBorders>
              <w:top w:val="single" w:color="000000" w:sz="4" w:space="0"/>
              <w:left w:val="single" w:color="auto"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1</w:t>
            </w:r>
          </w:p>
        </w:tc>
        <w:tc>
          <w:tcPr>
            <w:tcW w:w="154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佩戴式头灯</w:t>
            </w:r>
          </w:p>
        </w:tc>
        <w:tc>
          <w:tcPr>
            <w:tcW w:w="85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个</w:t>
            </w:r>
          </w:p>
        </w:tc>
        <w:tc>
          <w:tcPr>
            <w:tcW w:w="870" w:type="dxa"/>
            <w:tcBorders>
              <w:top w:val="single" w:color="000000" w:sz="4" w:space="0"/>
              <w:left w:val="single" w:color="000000" w:sz="4" w:space="0"/>
              <w:bottom w:val="single" w:color="000000" w:sz="4" w:space="0"/>
              <w:right w:val="single" w:color="auto"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3129</w:t>
            </w:r>
          </w:p>
        </w:tc>
        <w:tc>
          <w:tcPr>
            <w:tcW w:w="780" w:type="dxa"/>
            <w:tcBorders>
              <w:top w:val="single" w:color="000000" w:sz="4" w:space="0"/>
              <w:left w:val="single" w:color="auto" w:sz="4" w:space="0"/>
              <w:bottom w:val="single" w:color="000000" w:sz="4" w:space="0"/>
              <w:right w:val="single" w:color="000000" w:sz="4" w:space="0"/>
            </w:tcBorders>
            <w:vAlign w:val="center"/>
          </w:tcPr>
          <w:p>
            <w:pPr>
              <w:spacing w:line="360" w:lineRule="auto"/>
              <w:ind w:left="40" w:leftChars="19" w:firstLine="210" w:firstLineChars="100"/>
              <w:rPr>
                <w:rFonts w:ascii="宋体" w:hAnsi="宋体" w:eastAsia="宋体" w:cs="宋体"/>
                <w:szCs w:val="21"/>
                <w:highlight w:val="none"/>
              </w:rPr>
            </w:pPr>
            <w:r>
              <w:rPr>
                <w:rFonts w:hint="eastAsia" w:ascii="宋体" w:hAnsi="宋体" w:eastAsia="宋体" w:cs="宋体"/>
                <w:szCs w:val="21"/>
                <w:highlight w:val="none"/>
              </w:rPr>
              <w:t>否</w:t>
            </w:r>
          </w:p>
        </w:tc>
        <w:tc>
          <w:tcPr>
            <w:tcW w:w="1215" w:type="dxa"/>
            <w:tcBorders>
              <w:top w:val="single" w:color="000000" w:sz="4" w:space="0"/>
              <w:left w:val="single" w:color="000000" w:sz="4" w:space="0"/>
              <w:bottom w:val="single" w:color="000000" w:sz="4" w:space="0"/>
              <w:right w:val="single" w:color="auto" w:sz="4" w:space="0"/>
            </w:tcBorders>
            <w:noWrap/>
            <w:vAlign w:val="center"/>
          </w:tcPr>
          <w:p>
            <w:pPr>
              <w:widowControl/>
              <w:jc w:val="center"/>
              <w:textAlignment w:val="center"/>
              <w:rPr>
                <w:rFonts w:ascii="宋体" w:hAnsi="宋体" w:eastAsia="宋体" w:cs="宋体"/>
                <w:sz w:val="20"/>
                <w:szCs w:val="20"/>
                <w:highlight w:val="none"/>
              </w:rPr>
            </w:pPr>
            <w:r>
              <w:rPr>
                <w:rFonts w:hint="eastAsia" w:ascii="宋体" w:hAnsi="宋体" w:eastAsia="宋体" w:cs="宋体"/>
                <w:kern w:val="0"/>
                <w:sz w:val="20"/>
                <w:szCs w:val="20"/>
                <w:highlight w:val="none"/>
                <w:lang w:bidi="ar"/>
              </w:rPr>
              <w:t>0.029</w:t>
            </w:r>
          </w:p>
        </w:tc>
        <w:tc>
          <w:tcPr>
            <w:tcW w:w="1125" w:type="dxa"/>
            <w:tcBorders>
              <w:top w:val="single" w:color="000000" w:sz="4" w:space="0"/>
              <w:left w:val="single" w:color="auto" w:sz="4" w:space="0"/>
              <w:bottom w:val="single" w:color="000000" w:sz="4" w:space="0"/>
              <w:right w:val="single" w:color="auto" w:sz="4" w:space="0"/>
            </w:tcBorders>
            <w:vAlign w:val="center"/>
          </w:tcPr>
          <w:p>
            <w:pPr>
              <w:widowControl/>
              <w:jc w:val="right"/>
              <w:textAlignment w:val="center"/>
              <w:rPr>
                <w:rFonts w:ascii="宋体" w:hAnsi="宋体" w:eastAsia="宋体" w:cs="宋体"/>
                <w:kern w:val="0"/>
                <w:sz w:val="20"/>
                <w:szCs w:val="20"/>
                <w:highlight w:val="none"/>
                <w:lang w:bidi="ar"/>
              </w:rPr>
            </w:pPr>
            <w:r>
              <w:rPr>
                <w:rFonts w:hint="eastAsia" w:ascii="宋体" w:hAnsi="宋体" w:eastAsia="宋体" w:cs="宋体"/>
                <w:kern w:val="0"/>
                <w:sz w:val="22"/>
                <w:szCs w:val="22"/>
                <w:highlight w:val="none"/>
                <w:lang w:bidi="ar"/>
              </w:rPr>
              <w:t>90.741</w:t>
            </w:r>
          </w:p>
        </w:tc>
        <w:tc>
          <w:tcPr>
            <w:tcW w:w="1185" w:type="dxa"/>
            <w:tcBorders>
              <w:top w:val="single" w:color="000000"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 w:val="20"/>
                <w:szCs w:val="20"/>
                <w:highlight w:val="none"/>
                <w:lang w:bidi="ar"/>
              </w:rPr>
              <w:t>0.029</w:t>
            </w:r>
          </w:p>
        </w:tc>
        <w:tc>
          <w:tcPr>
            <w:tcW w:w="1170" w:type="dxa"/>
            <w:tcBorders>
              <w:top w:val="single" w:color="000000" w:sz="4" w:space="0"/>
              <w:left w:val="single" w:color="auto" w:sz="4" w:space="0"/>
              <w:bottom w:val="single" w:color="000000" w:sz="4" w:space="0"/>
              <w:right w:val="single" w:color="000000" w:sz="4" w:space="0"/>
            </w:tcBorders>
            <w:vAlign w:val="center"/>
          </w:tcPr>
          <w:p>
            <w:pPr>
              <w:widowControl/>
              <w:jc w:val="right"/>
              <w:textAlignment w:val="center"/>
              <w:rPr>
                <w:rFonts w:ascii="宋体" w:hAnsi="宋体" w:eastAsia="宋体" w:cs="宋体"/>
                <w:szCs w:val="21"/>
                <w:highlight w:val="none"/>
              </w:rPr>
            </w:pPr>
            <w:r>
              <w:rPr>
                <w:rFonts w:hint="eastAsia" w:ascii="宋体" w:hAnsi="宋体" w:eastAsia="宋体" w:cs="宋体"/>
                <w:kern w:val="0"/>
                <w:sz w:val="22"/>
                <w:szCs w:val="22"/>
                <w:highlight w:val="none"/>
                <w:lang w:bidi="ar"/>
              </w:rPr>
              <w:t>90.741</w:t>
            </w:r>
          </w:p>
        </w:tc>
      </w:tr>
      <w:tr>
        <w:tblPrEx>
          <w:tblCellMar>
            <w:top w:w="0" w:type="dxa"/>
            <w:left w:w="108" w:type="dxa"/>
            <w:bottom w:w="0" w:type="dxa"/>
            <w:right w:w="108" w:type="dxa"/>
          </w:tblCellMar>
        </w:tblPrEx>
        <w:trPr>
          <w:trHeight w:val="567" w:hRule="exact"/>
        </w:trPr>
        <w:tc>
          <w:tcPr>
            <w:tcW w:w="599" w:type="dxa"/>
            <w:vMerge w:val="continue"/>
            <w:tcBorders>
              <w:left w:val="single" w:color="auto" w:sz="4" w:space="0"/>
              <w:bottom w:val="single" w:color="auto" w:sz="4" w:space="0"/>
              <w:right w:val="single" w:color="auto" w:sz="4" w:space="0"/>
            </w:tcBorders>
            <w:noWrap/>
            <w:vAlign w:val="center"/>
          </w:tcPr>
          <w:p>
            <w:pPr>
              <w:spacing w:line="360" w:lineRule="auto"/>
              <w:rPr>
                <w:rFonts w:ascii="宋体" w:hAnsi="宋体" w:eastAsia="宋体" w:cs="宋体"/>
                <w:szCs w:val="21"/>
                <w:highlight w:val="none"/>
              </w:rPr>
            </w:pPr>
          </w:p>
        </w:tc>
        <w:tc>
          <w:tcPr>
            <w:tcW w:w="710" w:type="dxa"/>
            <w:tcBorders>
              <w:top w:val="single" w:color="000000" w:sz="4" w:space="0"/>
              <w:left w:val="single" w:color="auto"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2</w:t>
            </w:r>
          </w:p>
        </w:tc>
        <w:tc>
          <w:tcPr>
            <w:tcW w:w="154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水域救援头灯</w:t>
            </w:r>
          </w:p>
        </w:tc>
        <w:tc>
          <w:tcPr>
            <w:tcW w:w="85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个</w:t>
            </w:r>
          </w:p>
        </w:tc>
        <w:tc>
          <w:tcPr>
            <w:tcW w:w="870" w:type="dxa"/>
            <w:tcBorders>
              <w:top w:val="single" w:color="000000" w:sz="4" w:space="0"/>
              <w:left w:val="single" w:color="000000" w:sz="4" w:space="0"/>
              <w:bottom w:val="single" w:color="000000" w:sz="4" w:space="0"/>
              <w:right w:val="single" w:color="auto" w:sz="4" w:space="0"/>
            </w:tcBorders>
            <w:noWrap/>
            <w:vAlign w:val="center"/>
          </w:tcPr>
          <w:p>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3860</w:t>
            </w:r>
          </w:p>
        </w:tc>
        <w:tc>
          <w:tcPr>
            <w:tcW w:w="780" w:type="dxa"/>
            <w:tcBorders>
              <w:top w:val="single" w:color="000000" w:sz="4" w:space="0"/>
              <w:left w:val="single" w:color="auto" w:sz="4" w:space="0"/>
              <w:bottom w:val="single" w:color="000000" w:sz="4" w:space="0"/>
              <w:right w:val="single" w:color="000000" w:sz="4" w:space="0"/>
            </w:tcBorders>
            <w:vAlign w:val="center"/>
          </w:tcPr>
          <w:p>
            <w:pPr>
              <w:spacing w:line="360" w:lineRule="auto"/>
              <w:ind w:left="40" w:leftChars="19" w:firstLine="210" w:firstLineChars="100"/>
              <w:rPr>
                <w:rFonts w:ascii="宋体" w:hAnsi="宋体" w:eastAsia="宋体" w:cs="宋体"/>
                <w:szCs w:val="21"/>
                <w:highlight w:val="none"/>
              </w:rPr>
            </w:pPr>
            <w:r>
              <w:rPr>
                <w:rFonts w:hint="eastAsia" w:ascii="宋体" w:hAnsi="宋体" w:eastAsia="宋体" w:cs="宋体"/>
                <w:szCs w:val="21"/>
                <w:highlight w:val="none"/>
              </w:rPr>
              <w:t>是</w:t>
            </w:r>
          </w:p>
        </w:tc>
        <w:tc>
          <w:tcPr>
            <w:tcW w:w="1215" w:type="dxa"/>
            <w:tcBorders>
              <w:top w:val="single" w:color="000000" w:sz="4" w:space="0"/>
              <w:left w:val="single" w:color="000000" w:sz="4" w:space="0"/>
              <w:bottom w:val="single" w:color="000000" w:sz="4" w:space="0"/>
              <w:right w:val="single" w:color="auto" w:sz="4" w:space="0"/>
            </w:tcBorders>
            <w:noWrap/>
            <w:vAlign w:val="center"/>
          </w:tcPr>
          <w:p>
            <w:pPr>
              <w:widowControl/>
              <w:jc w:val="center"/>
              <w:textAlignment w:val="center"/>
              <w:rPr>
                <w:rFonts w:ascii="宋体" w:hAnsi="宋体" w:eastAsia="宋体" w:cs="宋体"/>
                <w:sz w:val="20"/>
                <w:szCs w:val="20"/>
                <w:highlight w:val="none"/>
              </w:rPr>
            </w:pPr>
            <w:r>
              <w:rPr>
                <w:rFonts w:hint="eastAsia" w:ascii="宋体" w:hAnsi="宋体" w:eastAsia="宋体" w:cs="宋体"/>
                <w:kern w:val="0"/>
                <w:sz w:val="20"/>
                <w:szCs w:val="20"/>
                <w:highlight w:val="none"/>
                <w:lang w:bidi="ar"/>
              </w:rPr>
              <w:t>0.055</w:t>
            </w:r>
          </w:p>
        </w:tc>
        <w:tc>
          <w:tcPr>
            <w:tcW w:w="1125" w:type="dxa"/>
            <w:tcBorders>
              <w:top w:val="single" w:color="000000" w:sz="4" w:space="0"/>
              <w:left w:val="single" w:color="auto" w:sz="4" w:space="0"/>
              <w:bottom w:val="single" w:color="000000" w:sz="4" w:space="0"/>
              <w:right w:val="single" w:color="auto" w:sz="4" w:space="0"/>
            </w:tcBorders>
            <w:vAlign w:val="center"/>
          </w:tcPr>
          <w:p>
            <w:pPr>
              <w:widowControl/>
              <w:jc w:val="right"/>
              <w:textAlignment w:val="center"/>
              <w:rPr>
                <w:rFonts w:ascii="宋体" w:hAnsi="宋体" w:eastAsia="宋体" w:cs="宋体"/>
                <w:kern w:val="0"/>
                <w:sz w:val="20"/>
                <w:szCs w:val="20"/>
                <w:highlight w:val="none"/>
                <w:lang w:bidi="ar"/>
              </w:rPr>
            </w:pPr>
            <w:r>
              <w:rPr>
                <w:rFonts w:hint="eastAsia" w:ascii="宋体" w:hAnsi="宋体" w:eastAsia="宋体" w:cs="宋体"/>
                <w:kern w:val="0"/>
                <w:sz w:val="22"/>
                <w:szCs w:val="22"/>
                <w:highlight w:val="none"/>
                <w:lang w:bidi="ar"/>
              </w:rPr>
              <w:t>212.3</w:t>
            </w:r>
          </w:p>
        </w:tc>
        <w:tc>
          <w:tcPr>
            <w:tcW w:w="1185" w:type="dxa"/>
            <w:tcBorders>
              <w:top w:val="single" w:color="000000" w:sz="4" w:space="0"/>
              <w:left w:val="single" w:color="auto" w:sz="4" w:space="0"/>
              <w:bottom w:val="single" w:color="000000" w:sz="4" w:space="0"/>
              <w:right w:val="single" w:color="auto" w:sz="4" w:space="0"/>
            </w:tcBorders>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 w:val="20"/>
                <w:szCs w:val="20"/>
                <w:highlight w:val="none"/>
                <w:lang w:bidi="ar"/>
              </w:rPr>
              <w:t>0.055</w:t>
            </w:r>
          </w:p>
        </w:tc>
        <w:tc>
          <w:tcPr>
            <w:tcW w:w="1170" w:type="dxa"/>
            <w:tcBorders>
              <w:top w:val="single" w:color="000000" w:sz="4" w:space="0"/>
              <w:left w:val="single" w:color="auto" w:sz="4" w:space="0"/>
              <w:bottom w:val="single" w:color="000000" w:sz="4" w:space="0"/>
              <w:right w:val="single" w:color="000000" w:sz="4" w:space="0"/>
            </w:tcBorders>
            <w:vAlign w:val="center"/>
          </w:tcPr>
          <w:p>
            <w:pPr>
              <w:widowControl/>
              <w:jc w:val="right"/>
              <w:textAlignment w:val="center"/>
              <w:rPr>
                <w:rFonts w:ascii="宋体" w:hAnsi="宋体" w:eastAsia="宋体" w:cs="宋体"/>
                <w:szCs w:val="21"/>
                <w:highlight w:val="none"/>
              </w:rPr>
            </w:pPr>
            <w:r>
              <w:rPr>
                <w:rFonts w:hint="eastAsia" w:ascii="宋体" w:hAnsi="宋体" w:eastAsia="宋体" w:cs="宋体"/>
                <w:kern w:val="0"/>
                <w:sz w:val="22"/>
                <w:szCs w:val="22"/>
                <w:highlight w:val="none"/>
                <w:lang w:bidi="ar"/>
              </w:rPr>
              <w:t>212.3</w:t>
            </w:r>
          </w:p>
        </w:tc>
      </w:tr>
    </w:tbl>
    <w:p>
      <w:pPr>
        <w:spacing w:line="360" w:lineRule="auto"/>
        <w:rPr>
          <w:rFonts w:ascii="宋体" w:hAnsi="宋体" w:eastAsia="宋体" w:cs="宋体"/>
          <w:b/>
          <w:bCs/>
          <w:szCs w:val="21"/>
          <w:highlight w:val="none"/>
        </w:rPr>
      </w:pPr>
      <w:r>
        <w:rPr>
          <w:rFonts w:hint="eastAsia" w:ascii="宋体" w:hAnsi="宋体" w:eastAsia="宋体" w:cs="宋体"/>
          <w:b/>
          <w:bCs/>
          <w:szCs w:val="21"/>
          <w:highlight w:val="none"/>
        </w:rPr>
        <w:t>注：1、具体技术参数及要求，详见招标文件第五章“项目需求及技术要求”，投标人需对采购清单中所有内容整体投标，不得缺项漏项。</w:t>
      </w:r>
    </w:p>
    <w:p>
      <w:pPr>
        <w:widowControl/>
        <w:spacing w:line="360" w:lineRule="auto"/>
        <w:ind w:firstLine="420"/>
        <w:jc w:val="left"/>
        <w:rPr>
          <w:highlight w:val="none"/>
        </w:rPr>
      </w:pPr>
      <w:r>
        <w:rPr>
          <w:highlight w:val="none"/>
        </w:rPr>
        <w:t>2、</w:t>
      </w:r>
      <w:r>
        <w:rPr>
          <w:rFonts w:hint="eastAsia" w:ascii="宋体" w:hAnsi="宋体" w:eastAsia="宋体" w:cs="宋体"/>
          <w:b/>
          <w:bCs/>
          <w:szCs w:val="21"/>
          <w:highlight w:val="none"/>
        </w:rPr>
        <w:t>两个标包投标人可兼投兼中。</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交货期：签订合同之日起90日历天内交货。</w:t>
      </w:r>
    </w:p>
    <w:p>
      <w:pPr>
        <w:wordWrap w:val="0"/>
        <w:spacing w:line="440" w:lineRule="exact"/>
        <w:ind w:firstLine="420" w:firstLineChars="200"/>
        <w:rPr>
          <w:rFonts w:ascii="宋体" w:hAnsi="宋体" w:cs="宋体"/>
          <w:szCs w:val="21"/>
          <w:highlight w:val="none"/>
        </w:rPr>
      </w:pPr>
      <w:r>
        <w:rPr>
          <w:rFonts w:cs="宋体" w:asciiTheme="minorEastAsia" w:hAnsiTheme="minorEastAsia"/>
          <w:kern w:val="0"/>
          <w:highlight w:val="none"/>
        </w:rPr>
        <w:t>交货地点：</w:t>
      </w:r>
      <w:bookmarkStart w:id="20" w:name="_Hlk168439638"/>
      <w:r>
        <w:rPr>
          <w:rFonts w:hint="eastAsia" w:ascii="宋体" w:hAnsi="宋体" w:cs="宋体"/>
          <w:szCs w:val="21"/>
          <w:highlight w:val="none"/>
        </w:rPr>
        <w:t>云南省森林消防总队指定地点（昆明、保山、丽江、普洱、大理、迪庆、版纳、安宁、南宁、贵阳）</w:t>
      </w:r>
      <w:bookmarkEnd w:id="20"/>
      <w:r>
        <w:rPr>
          <w:rFonts w:hint="eastAsia" w:ascii="宋体" w:hAnsi="宋体" w:cs="宋体"/>
          <w:szCs w:val="21"/>
          <w:highlight w:val="none"/>
        </w:rPr>
        <w:t>。</w:t>
      </w:r>
    </w:p>
    <w:p>
      <w:pPr>
        <w:pStyle w:val="8"/>
        <w:rPr>
          <w:rFonts w:cs="宋体" w:asciiTheme="minorEastAsia" w:hAnsiTheme="minorEastAsia" w:eastAsiaTheme="minorEastAsia"/>
          <w:sz w:val="21"/>
          <w:szCs w:val="24"/>
          <w:highlight w:val="none"/>
        </w:rPr>
      </w:pPr>
      <w:r>
        <w:rPr>
          <w:rFonts w:hint="eastAsia" w:cs="宋体" w:asciiTheme="minorEastAsia" w:hAnsiTheme="minorEastAsia"/>
          <w:highlight w:val="none"/>
        </w:rPr>
        <w:t xml:space="preserve">     </w:t>
      </w:r>
      <w:r>
        <w:rPr>
          <w:rFonts w:hint="eastAsia" w:cs="宋体" w:asciiTheme="minorEastAsia" w:hAnsiTheme="minorEastAsia" w:eastAsiaTheme="minorEastAsia"/>
          <w:sz w:val="21"/>
          <w:szCs w:val="24"/>
          <w:highlight w:val="none"/>
        </w:rPr>
        <w:t>质保期：根据“第五章 项目需求及技术要求”中不同装备质保要求确定。质保期从货物验收合格之日起开始计算。在此期间如发现货物有质量问题，中标单位应在24小时内无条件免费更换货物。</w:t>
      </w:r>
    </w:p>
    <w:p>
      <w:pPr>
        <w:widowControl/>
        <w:spacing w:before="120" w:line="360" w:lineRule="auto"/>
        <w:ind w:firstLine="241" w:firstLineChars="100"/>
        <w:jc w:val="left"/>
        <w:outlineLvl w:val="1"/>
        <w:rPr>
          <w:rFonts w:cs="宋体" w:asciiTheme="minorEastAsia" w:hAnsiTheme="minorEastAsia"/>
          <w:b/>
          <w:kern w:val="0"/>
          <w:sz w:val="24"/>
          <w:highlight w:val="none"/>
        </w:rPr>
      </w:pPr>
      <w:bookmarkStart w:id="21" w:name="_Toc35393791"/>
      <w:bookmarkEnd w:id="21"/>
      <w:bookmarkStart w:id="22" w:name="_Toc35393622"/>
      <w:bookmarkEnd w:id="22"/>
      <w:bookmarkStart w:id="23" w:name="_Toc44610637"/>
      <w:bookmarkEnd w:id="23"/>
      <w:bookmarkStart w:id="24" w:name="_Toc28359080"/>
      <w:bookmarkEnd w:id="24"/>
      <w:bookmarkStart w:id="25" w:name="_Toc25634"/>
      <w:bookmarkStart w:id="26" w:name="_Toc168573748"/>
      <w:bookmarkStart w:id="27" w:name="_Toc11357"/>
      <w:bookmarkStart w:id="28" w:name="_Toc32528"/>
      <w:bookmarkStart w:id="29" w:name="_Toc31720"/>
      <w:bookmarkStart w:id="30" w:name="_Toc13137"/>
      <w:r>
        <w:rPr>
          <w:rFonts w:hint="eastAsia" w:cs="宋体" w:asciiTheme="minorEastAsia" w:hAnsiTheme="minorEastAsia"/>
          <w:b/>
          <w:kern w:val="0"/>
          <w:sz w:val="24"/>
          <w:highlight w:val="none"/>
        </w:rPr>
        <w:t>二、投标人的资格要求：</w:t>
      </w:r>
      <w:bookmarkEnd w:id="25"/>
      <w:bookmarkEnd w:id="26"/>
      <w:bookmarkEnd w:id="27"/>
      <w:bookmarkEnd w:id="28"/>
      <w:bookmarkEnd w:id="29"/>
      <w:bookmarkEnd w:id="30"/>
    </w:p>
    <w:p>
      <w:pPr>
        <w:widowControl/>
        <w:spacing w:line="360" w:lineRule="auto"/>
        <w:ind w:firstLine="420"/>
        <w:jc w:val="left"/>
        <w:rPr>
          <w:rFonts w:cs="宋体" w:asciiTheme="minorEastAsia" w:hAnsiTheme="minorEastAsia"/>
          <w:b/>
          <w:bCs/>
          <w:kern w:val="0"/>
          <w:highlight w:val="none"/>
        </w:rPr>
      </w:pPr>
      <w:r>
        <w:rPr>
          <w:rFonts w:hint="eastAsia" w:cs="宋体" w:asciiTheme="minorEastAsia" w:hAnsiTheme="minorEastAsia"/>
          <w:b/>
          <w:bCs/>
          <w:kern w:val="0"/>
          <w:highlight w:val="none"/>
        </w:rPr>
        <w:t>1.满足《中华人民共和国政府采购法》第二十二条规定：</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（1）投标人须具有独立承担民事责任的能力，在中华人民共和国境内登记或注册；提供营业执照或事业单位法人证书或其他类似的法定凭证。</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2）投标人须具有良好的商业信誉和健全的财务会计制度，提供2020年度至2022年度中任意一年度经第三方审计的财务报告及报表（包括资产负债表、现金流量表、利润表），若为新成立不足一年的企业可提供情况说明；</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（3）投标人须具有履行合同所必需的设备和专业技术能力，提供相关书面声明；</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4）投标人须具有依法缴纳税收和社会保障资金的良好记录，提供缴费所属时期在2023年01月至本项目投标文件提交截止时间前任意连续3个月的税收缴纳凭证和社保资金缴纳凭证(注：依法免税或不需要缴纳社会保障资金的供应商，须提供相应文件证明其依法免税或不需要缴纳社会保障资金。新成立企业提供情况说明)；</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5）参加政府采购活动前三年内，在经营活动中没有重大违法记录（重大违法记录是指投标人因违法经营受到刑事处罚或者责令停产停业、吊销许可证或者执照、较大数额罚款等行政处罚），提供“参加本项目政府采购活动前三年内在经营活动中没有重大违法记录的书面声明”（成立未满三年的投标人提供成立以来在经营活动中没有重大违法记录的书面声明）；</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6）法律、行政法规规定的其他条件：投标人不得为“信用中国”网站（www.creditchina.gov.cn）中列入失信被执行人、重大税收违法案件当事人和政府采购严重违法失信名单的投标人；投标人不得为中国政府采购网（www.ccgp.gov.cn）政府采购严重违法失信行为记录名单中被财政部门禁止参加政府采购活动的供应商并且处罚期限未满的投标人（提供相关书面声明）。</w:t>
      </w:r>
    </w:p>
    <w:p>
      <w:pPr>
        <w:widowControl/>
        <w:spacing w:line="360" w:lineRule="auto"/>
        <w:ind w:firstLine="420"/>
        <w:jc w:val="left"/>
        <w:rPr>
          <w:rFonts w:ascii="宋体" w:hAnsi="宋体" w:eastAsia="宋体" w:cs="Times New Roman"/>
          <w:b/>
          <w:bCs/>
          <w:highlight w:val="none"/>
        </w:rPr>
      </w:pPr>
      <w:r>
        <w:rPr>
          <w:rFonts w:ascii="宋体" w:hAnsi="宋体" w:eastAsia="宋体" w:cs="Times New Roman"/>
          <w:b/>
          <w:bCs/>
          <w:highlight w:val="none"/>
        </w:rPr>
        <w:t>2.</w:t>
      </w:r>
      <w:r>
        <w:rPr>
          <w:rFonts w:hint="eastAsia" w:ascii="宋体" w:hAnsi="宋体" w:eastAsia="宋体" w:cs="Times New Roman"/>
          <w:b/>
          <w:bCs/>
          <w:highlight w:val="none"/>
        </w:rPr>
        <w:t>落实政府采购政策需满足的资格要求：</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本项目非专门面向中小企业采购的项目。</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采购标的对应的中小企业划分标准所属行业：工业行业。</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（1）扶持中小企业政策：评审时对符合采购文件要求的小型和微型企业产品（服务）享受10%的价格折扣。监狱企业和残疾人福利性单位视同小型、微型企业。</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（2）供应商的投标货物应当符合国家有关部门规定的相应技术、节能、安全和环保标准；如国家有关部门对供应商的投标货物有强制性规定或要求的，则供应商的投标货物必须符合相应规定或要求。</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投标人所投产品如被列入财政部与国家主管部门颁发的节能产品目录或环境标志产品目录或无线局域网产品目录，应提供相关证明，在评标时予以优先采购。</w:t>
      </w:r>
    </w:p>
    <w:p>
      <w:pPr>
        <w:spacing w:line="360" w:lineRule="auto"/>
        <w:ind w:firstLine="422" w:firstLineChars="200"/>
        <w:rPr>
          <w:rFonts w:ascii="宋体" w:hAnsi="宋体" w:eastAsia="宋体" w:cs="Times New Roman"/>
          <w:b/>
          <w:bCs/>
          <w:highlight w:val="none"/>
        </w:rPr>
      </w:pPr>
      <w:r>
        <w:rPr>
          <w:rFonts w:ascii="宋体" w:hAnsi="宋体" w:eastAsia="宋体" w:cs="Times New Roman"/>
          <w:b/>
          <w:bCs/>
          <w:highlight w:val="none"/>
        </w:rPr>
        <w:t>3.</w:t>
      </w:r>
      <w:r>
        <w:rPr>
          <w:rFonts w:hint="eastAsia" w:ascii="宋体" w:hAnsi="宋体" w:eastAsia="宋体" w:cs="Times New Roman"/>
          <w:b/>
          <w:bCs/>
          <w:highlight w:val="none"/>
        </w:rPr>
        <w:t>本项目的特定资格要求：</w:t>
      </w:r>
    </w:p>
    <w:p>
      <w:pPr>
        <w:spacing w:line="360" w:lineRule="auto"/>
        <w:ind w:firstLine="420" w:firstLineChars="200"/>
        <w:rPr>
          <w:rFonts w:ascii="宋体" w:hAnsi="宋体" w:eastAsia="宋体" w:cs="Times New Roman"/>
          <w:highlight w:val="none"/>
        </w:rPr>
      </w:pPr>
      <w:r>
        <w:rPr>
          <w:rFonts w:hint="eastAsia" w:ascii="宋体" w:hAnsi="宋体" w:eastAsia="宋体" w:cs="Times New Roman"/>
          <w:highlight w:val="none"/>
          <w:lang w:val="zh-CN"/>
        </w:rPr>
        <w:t>（</w:t>
      </w:r>
      <w:r>
        <w:rPr>
          <w:rFonts w:hint="eastAsia" w:ascii="宋体" w:hAnsi="宋体" w:eastAsia="宋体" w:cs="Times New Roman"/>
          <w:highlight w:val="none"/>
        </w:rPr>
        <w:t>1</w:t>
      </w:r>
      <w:r>
        <w:rPr>
          <w:rFonts w:hint="eastAsia" w:ascii="宋体" w:hAnsi="宋体" w:eastAsia="宋体" w:cs="Times New Roman"/>
          <w:highlight w:val="none"/>
          <w:lang w:val="zh-CN"/>
        </w:rPr>
        <w:t>）</w:t>
      </w:r>
      <w:r>
        <w:rPr>
          <w:rFonts w:hint="eastAsia" w:ascii="宋体" w:hAnsi="宋体" w:eastAsia="宋体" w:cs="Times New Roman"/>
          <w:highlight w:val="none"/>
        </w:rPr>
        <w:t>本项目不接受进口产品（进口产品是指通过中国海关报关，验放进入中国境内，且产自关境外的产品）；</w:t>
      </w:r>
    </w:p>
    <w:p>
      <w:pPr>
        <w:spacing w:line="360" w:lineRule="auto"/>
        <w:ind w:firstLine="420" w:firstLineChars="200"/>
        <w:rPr>
          <w:rFonts w:ascii="宋体" w:hAnsi="宋体" w:eastAsia="宋体" w:cs="Times New Roman"/>
          <w:highlight w:val="none"/>
        </w:rPr>
      </w:pPr>
      <w:r>
        <w:rPr>
          <w:rFonts w:hint="eastAsia" w:ascii="宋体" w:hAnsi="宋体" w:eastAsia="宋体" w:cs="Times New Roman"/>
          <w:highlight w:val="none"/>
        </w:rPr>
        <w:t>（2）与采购人存在利害关系可能影响招标公正性的法人、其他组织或者个人，不得参加投标；单位负责人为同一人或者存在控股、管理关系（如法定代表人为同一人的两个及以上法人，母公司、全资子公司及其控股公司）的不同单位，不得参加同一标包投标或者未划分标包的同一招标项目投标。</w:t>
      </w:r>
    </w:p>
    <w:p>
      <w:pPr>
        <w:spacing w:line="360" w:lineRule="auto"/>
        <w:ind w:firstLine="420" w:firstLineChars="200"/>
        <w:rPr>
          <w:rFonts w:ascii="宋体" w:hAnsi="宋体" w:eastAsia="宋体" w:cs="Times New Roman"/>
          <w:highlight w:val="none"/>
        </w:rPr>
      </w:pPr>
      <w:r>
        <w:rPr>
          <w:rFonts w:hint="eastAsia" w:ascii="宋体" w:hAnsi="宋体" w:eastAsia="宋体" w:cs="Times New Roman"/>
          <w:bCs/>
          <w:highlight w:val="none"/>
        </w:rPr>
        <w:t>（3）</w:t>
      </w:r>
      <w:r>
        <w:rPr>
          <w:rFonts w:hint="eastAsia" w:ascii="宋体" w:hAnsi="宋体" w:eastAsia="宋体" w:cs="Times New Roman"/>
          <w:highlight w:val="none"/>
        </w:rPr>
        <w:t>本次招标</w:t>
      </w:r>
      <w:r>
        <w:rPr>
          <w:rFonts w:hint="eastAsia" w:ascii="宋体" w:hAnsi="宋体" w:eastAsia="宋体" w:cs="Times New Roman"/>
          <w:b/>
          <w:bCs/>
          <w:highlight w:val="none"/>
        </w:rPr>
        <w:t>不</w:t>
      </w:r>
      <w:r>
        <w:rPr>
          <w:rFonts w:hint="eastAsia" w:ascii="宋体" w:hAnsi="宋体" w:eastAsia="宋体" w:cs="Times New Roman"/>
          <w:b/>
          <w:highlight w:val="none"/>
        </w:rPr>
        <w:t>接受</w:t>
      </w:r>
      <w:r>
        <w:rPr>
          <w:rFonts w:hint="eastAsia" w:ascii="宋体" w:hAnsi="宋体" w:eastAsia="宋体" w:cs="Times New Roman"/>
          <w:highlight w:val="none"/>
        </w:rPr>
        <w:t>联合体投标。</w:t>
      </w:r>
    </w:p>
    <w:p>
      <w:pPr>
        <w:widowControl/>
        <w:spacing w:before="120" w:line="360" w:lineRule="auto"/>
        <w:jc w:val="left"/>
        <w:outlineLvl w:val="1"/>
        <w:rPr>
          <w:rFonts w:cs="宋体" w:asciiTheme="minorEastAsia" w:hAnsiTheme="minorEastAsia"/>
          <w:b/>
          <w:kern w:val="0"/>
          <w:sz w:val="24"/>
          <w:highlight w:val="none"/>
        </w:rPr>
      </w:pPr>
      <w:bookmarkStart w:id="31" w:name="_Toc2423"/>
      <w:bookmarkStart w:id="32" w:name="_Toc44610638"/>
      <w:bookmarkStart w:id="33" w:name="_Toc10032"/>
      <w:bookmarkStart w:id="34" w:name="_Toc11800"/>
      <w:bookmarkStart w:id="35" w:name="_Toc16189"/>
      <w:bookmarkStart w:id="36" w:name="_Toc18792"/>
      <w:r>
        <w:rPr>
          <w:rFonts w:cs="宋体" w:asciiTheme="minorEastAsia" w:hAnsiTheme="minorEastAsia"/>
          <w:b/>
          <w:kern w:val="0"/>
          <w:sz w:val="24"/>
          <w:highlight w:val="none"/>
        </w:rPr>
        <w:fldChar w:fldCharType="begin"/>
      </w:r>
      <w:r>
        <w:rPr>
          <w:rFonts w:cs="宋体" w:asciiTheme="minorEastAsia" w:hAnsiTheme="minorEastAsia"/>
          <w:b/>
          <w:kern w:val="0"/>
          <w:sz w:val="24"/>
          <w:highlight w:val="none"/>
        </w:rPr>
        <w:instrText xml:space="preserve"> HYPERLINK "http://"</w:instrText>
      </w:r>
      <w:r>
        <w:rPr>
          <w:rFonts w:cs="宋体" w:asciiTheme="minorEastAsia" w:hAnsiTheme="minorEastAsia"/>
          <w:b/>
          <w:kern w:val="0"/>
          <w:sz w:val="24"/>
          <w:highlight w:val="none"/>
        </w:rPr>
        <w:fldChar w:fldCharType="separate"/>
      </w:r>
      <w:bookmarkStart w:id="37" w:name="_Toc168573749"/>
      <w:r>
        <w:rPr>
          <w:rFonts w:hint="eastAsia" w:cs="宋体" w:asciiTheme="minorEastAsia" w:hAnsiTheme="minorEastAsia"/>
          <w:b/>
          <w:kern w:val="0"/>
          <w:sz w:val="24"/>
          <w:highlight w:val="none"/>
        </w:rPr>
        <w:t>三、获取招标文件</w:t>
      </w:r>
      <w:bookmarkEnd w:id="37"/>
      <w:r>
        <w:rPr>
          <w:rFonts w:cs="宋体" w:asciiTheme="minorEastAsia" w:hAnsiTheme="minorEastAsia"/>
          <w:b/>
          <w:kern w:val="0"/>
          <w:sz w:val="24"/>
          <w:highlight w:val="none"/>
        </w:rPr>
        <w:fldChar w:fldCharType="end"/>
      </w:r>
      <w:bookmarkEnd w:id="31"/>
      <w:bookmarkEnd w:id="32"/>
      <w:bookmarkEnd w:id="33"/>
      <w:bookmarkEnd w:id="34"/>
      <w:bookmarkEnd w:id="35"/>
      <w:bookmarkEnd w:id="36"/>
    </w:p>
    <w:p>
      <w:pPr>
        <w:spacing w:line="360" w:lineRule="auto"/>
        <w:ind w:firstLine="420" w:firstLineChars="200"/>
        <w:rPr>
          <w:rFonts w:cs="宋体" w:asciiTheme="minorEastAsia" w:hAnsiTheme="minorEastAsia"/>
          <w:kern w:val="0"/>
          <w:szCs w:val="21"/>
          <w:highlight w:val="none"/>
        </w:rPr>
      </w:pPr>
      <w:bookmarkStart w:id="38" w:name="_Toc35393793"/>
      <w:bookmarkEnd w:id="38"/>
      <w:bookmarkStart w:id="39" w:name="_Toc28359082"/>
      <w:bookmarkEnd w:id="39"/>
      <w:bookmarkStart w:id="40" w:name="_Toc44610639"/>
      <w:bookmarkEnd w:id="40"/>
      <w:bookmarkStart w:id="41" w:name="_Toc35393624"/>
      <w:bookmarkEnd w:id="41"/>
      <w:bookmarkStart w:id="42" w:name="_Toc28359005"/>
      <w:r>
        <w:rPr>
          <w:rFonts w:hint="eastAsia" w:cs="宋体" w:asciiTheme="minorEastAsia" w:hAnsiTheme="minorEastAsia"/>
          <w:kern w:val="0"/>
          <w:szCs w:val="21"/>
          <w:highlight w:val="none"/>
        </w:rPr>
        <w:t>时  间：</w:t>
      </w:r>
      <w:r>
        <w:rPr>
          <w:rFonts w:cs="宋体" w:asciiTheme="minorEastAsia" w:hAnsiTheme="minorEastAsia"/>
          <w:b/>
          <w:bCs/>
          <w:kern w:val="0"/>
          <w:szCs w:val="21"/>
          <w:highlight w:val="none"/>
        </w:rPr>
        <w:t>202</w:t>
      </w:r>
      <w:r>
        <w:rPr>
          <w:rFonts w:hint="eastAsia" w:cs="宋体" w:asciiTheme="minorEastAsia" w:hAnsiTheme="minorEastAsia"/>
          <w:b/>
          <w:bCs/>
          <w:kern w:val="0"/>
          <w:szCs w:val="21"/>
          <w:highlight w:val="none"/>
        </w:rPr>
        <w:t>4年</w:t>
      </w:r>
      <w:r>
        <w:rPr>
          <w:rFonts w:hint="eastAsia" w:cs="宋体" w:asciiTheme="minorEastAsia" w:hAnsiTheme="minorEastAsia"/>
          <w:b/>
          <w:bCs/>
          <w:kern w:val="0"/>
          <w:szCs w:val="21"/>
          <w:highlight w:val="none"/>
          <w:lang w:val="en-US" w:eastAsia="zh-CN"/>
        </w:rPr>
        <w:t>06</w:t>
      </w:r>
      <w:r>
        <w:rPr>
          <w:rFonts w:hint="eastAsia" w:cs="宋体" w:asciiTheme="minorEastAsia" w:hAnsiTheme="minorEastAsia"/>
          <w:b/>
          <w:bCs/>
          <w:kern w:val="0"/>
          <w:szCs w:val="21"/>
          <w:highlight w:val="none"/>
        </w:rPr>
        <w:t>月</w:t>
      </w:r>
      <w:r>
        <w:rPr>
          <w:rFonts w:hint="eastAsia" w:cs="宋体" w:asciiTheme="minorEastAsia" w:hAnsiTheme="minorEastAsia"/>
          <w:b/>
          <w:bCs/>
          <w:kern w:val="0"/>
          <w:szCs w:val="21"/>
          <w:highlight w:val="none"/>
          <w:lang w:val="en-US" w:eastAsia="zh-CN"/>
        </w:rPr>
        <w:t>07</w:t>
      </w:r>
      <w:r>
        <w:rPr>
          <w:rFonts w:hint="eastAsia" w:cs="宋体" w:asciiTheme="minorEastAsia" w:hAnsiTheme="minorEastAsia"/>
          <w:b/>
          <w:bCs/>
          <w:kern w:val="0"/>
          <w:szCs w:val="21"/>
          <w:highlight w:val="none"/>
        </w:rPr>
        <w:t>日</w:t>
      </w:r>
      <w:r>
        <w:rPr>
          <w:rFonts w:hint="eastAsia" w:cs="宋体" w:asciiTheme="minorEastAsia" w:hAnsiTheme="minorEastAsia"/>
          <w:b/>
          <w:bCs/>
          <w:kern w:val="0"/>
          <w:szCs w:val="21"/>
          <w:highlight w:val="none"/>
          <w:lang w:val="en-US" w:eastAsia="zh-CN"/>
        </w:rPr>
        <w:t>09</w:t>
      </w:r>
      <w:r>
        <w:rPr>
          <w:rFonts w:hint="eastAsia" w:cs="宋体" w:asciiTheme="minorEastAsia" w:hAnsiTheme="minorEastAsia"/>
          <w:b/>
          <w:bCs/>
          <w:kern w:val="0"/>
          <w:szCs w:val="21"/>
          <w:highlight w:val="none"/>
        </w:rPr>
        <w:t>:00分至</w:t>
      </w:r>
      <w:r>
        <w:rPr>
          <w:rFonts w:cs="宋体" w:asciiTheme="minorEastAsia" w:hAnsiTheme="minorEastAsia"/>
          <w:b/>
          <w:bCs/>
          <w:kern w:val="0"/>
          <w:szCs w:val="21"/>
          <w:highlight w:val="none"/>
        </w:rPr>
        <w:t>202</w:t>
      </w:r>
      <w:r>
        <w:rPr>
          <w:rFonts w:hint="eastAsia" w:cs="宋体" w:asciiTheme="minorEastAsia" w:hAnsiTheme="minorEastAsia"/>
          <w:b/>
          <w:bCs/>
          <w:kern w:val="0"/>
          <w:szCs w:val="21"/>
          <w:highlight w:val="none"/>
        </w:rPr>
        <w:t>4年</w:t>
      </w:r>
      <w:r>
        <w:rPr>
          <w:rFonts w:hint="eastAsia" w:cs="宋体" w:asciiTheme="minorEastAsia" w:hAnsiTheme="minorEastAsia"/>
          <w:b/>
          <w:bCs/>
          <w:kern w:val="0"/>
          <w:szCs w:val="21"/>
          <w:highlight w:val="none"/>
          <w:lang w:val="en-US" w:eastAsia="zh-CN"/>
        </w:rPr>
        <w:t>06</w:t>
      </w:r>
      <w:r>
        <w:rPr>
          <w:rFonts w:hint="eastAsia" w:cs="宋体" w:asciiTheme="minorEastAsia" w:hAnsiTheme="minorEastAsia"/>
          <w:b/>
          <w:bCs/>
          <w:kern w:val="0"/>
          <w:szCs w:val="21"/>
          <w:highlight w:val="none"/>
        </w:rPr>
        <w:t>月</w:t>
      </w:r>
      <w:r>
        <w:rPr>
          <w:rFonts w:hint="eastAsia" w:cs="宋体" w:asciiTheme="minorEastAsia" w:hAnsiTheme="minorEastAsia"/>
          <w:b/>
          <w:bCs/>
          <w:kern w:val="0"/>
          <w:szCs w:val="21"/>
          <w:highlight w:val="none"/>
          <w:lang w:val="en-US" w:eastAsia="zh-CN"/>
        </w:rPr>
        <w:t>14</w:t>
      </w:r>
      <w:r>
        <w:rPr>
          <w:rFonts w:hint="eastAsia" w:cs="宋体" w:asciiTheme="minorEastAsia" w:hAnsiTheme="minorEastAsia"/>
          <w:b/>
          <w:bCs/>
          <w:kern w:val="0"/>
          <w:szCs w:val="21"/>
          <w:highlight w:val="none"/>
        </w:rPr>
        <w:t xml:space="preserve"> 日</w:t>
      </w:r>
      <w:r>
        <w:rPr>
          <w:rFonts w:hint="eastAsia" w:cs="宋体" w:asciiTheme="minorEastAsia" w:hAnsiTheme="minorEastAsia"/>
          <w:b/>
          <w:bCs/>
          <w:kern w:val="0"/>
          <w:szCs w:val="21"/>
          <w:highlight w:val="none"/>
          <w:lang w:val="en-US" w:eastAsia="zh-CN"/>
        </w:rPr>
        <w:t>17：30</w:t>
      </w:r>
      <w:r>
        <w:rPr>
          <w:rFonts w:hint="eastAsia" w:cs="宋体" w:asciiTheme="minorEastAsia" w:hAnsiTheme="minorEastAsia"/>
          <w:b/>
          <w:bCs/>
          <w:kern w:val="0"/>
          <w:szCs w:val="21"/>
          <w:highlight w:val="none"/>
        </w:rPr>
        <w:t>分（北京时间，法定节假日除外）</w:t>
      </w:r>
      <w:r>
        <w:rPr>
          <w:rFonts w:hint="eastAsia" w:cs="宋体" w:asciiTheme="minorEastAsia" w:hAnsiTheme="minorEastAsia"/>
          <w:kern w:val="0"/>
          <w:szCs w:val="21"/>
          <w:highlight w:val="none"/>
        </w:rPr>
        <w:t>；</w:t>
      </w:r>
    </w:p>
    <w:p>
      <w:pPr>
        <w:spacing w:line="360" w:lineRule="auto"/>
        <w:ind w:firstLine="420" w:firstLineChars="200"/>
        <w:rPr>
          <w:rFonts w:cs="宋体" w:asciiTheme="minorEastAsia" w:hAnsiTheme="minorEastAsia"/>
          <w:kern w:val="0"/>
          <w:szCs w:val="21"/>
          <w:highlight w:val="none"/>
        </w:rPr>
      </w:pPr>
      <w:r>
        <w:rPr>
          <w:rFonts w:hint="eastAsia" w:cs="宋体" w:asciiTheme="minorEastAsia" w:hAnsiTheme="minorEastAsia"/>
          <w:kern w:val="0"/>
          <w:szCs w:val="21"/>
          <w:highlight w:val="none"/>
        </w:rPr>
        <w:t xml:space="preserve">地 </w:t>
      </w:r>
      <w:r>
        <w:rPr>
          <w:rFonts w:cs="宋体" w:asciiTheme="minorEastAsia" w:hAnsiTheme="minorEastAsia"/>
          <w:kern w:val="0"/>
          <w:szCs w:val="21"/>
          <w:highlight w:val="none"/>
        </w:rPr>
        <w:t xml:space="preserve"> </w:t>
      </w:r>
      <w:r>
        <w:rPr>
          <w:rFonts w:hint="eastAsia" w:cs="宋体" w:asciiTheme="minorEastAsia" w:hAnsiTheme="minorEastAsia"/>
          <w:kern w:val="0"/>
          <w:szCs w:val="21"/>
          <w:highlight w:val="none"/>
        </w:rPr>
        <w:t>点：（</w:t>
      </w:r>
      <w:r>
        <w:rPr>
          <w:rFonts w:cs="宋体" w:asciiTheme="minorEastAsia" w:hAnsiTheme="minorEastAsia"/>
          <w:kern w:val="0"/>
          <w:szCs w:val="21"/>
          <w:highlight w:val="none"/>
        </w:rPr>
        <w:t>网站）</w:t>
      </w:r>
      <w:r>
        <w:rPr>
          <w:rFonts w:hint="eastAsia" w:cs="宋体" w:asciiTheme="minorEastAsia" w:hAnsiTheme="minorEastAsia"/>
          <w:kern w:val="0"/>
          <w:szCs w:val="21"/>
          <w:highlight w:val="none"/>
        </w:rPr>
        <w:t>云南省公共资源交易信息网（网址：</w:t>
      </w:r>
      <w:r>
        <w:rPr>
          <w:szCs w:val="21"/>
          <w:highlight w:val="none"/>
        </w:rPr>
        <w:t>https://ggzy.yn.gov.cn/ynggfwpt-home-web/#/homePage</w:t>
      </w:r>
      <w:r>
        <w:rPr>
          <w:rFonts w:hint="eastAsia" w:cs="宋体" w:asciiTheme="minorEastAsia" w:hAnsiTheme="minorEastAsia"/>
          <w:kern w:val="0"/>
          <w:szCs w:val="21"/>
          <w:highlight w:val="none"/>
        </w:rPr>
        <w:t>）</w:t>
      </w:r>
    </w:p>
    <w:p>
      <w:pPr>
        <w:spacing w:line="360" w:lineRule="auto"/>
        <w:ind w:firstLine="420" w:firstLineChars="200"/>
        <w:rPr>
          <w:rFonts w:cs="宋体" w:asciiTheme="minorEastAsia" w:hAnsiTheme="minorEastAsia"/>
          <w:kern w:val="0"/>
          <w:szCs w:val="21"/>
          <w:highlight w:val="none"/>
        </w:rPr>
      </w:pPr>
      <w:r>
        <w:rPr>
          <w:rFonts w:hint="eastAsia" w:cs="宋体" w:asciiTheme="minorEastAsia" w:hAnsiTheme="minorEastAsia"/>
          <w:kern w:val="0"/>
          <w:szCs w:val="21"/>
          <w:highlight w:val="none"/>
        </w:rPr>
        <w:t>方  式：进入云南省公共资源交易信息网（网址：</w:t>
      </w:r>
      <w:r>
        <w:rPr>
          <w:szCs w:val="21"/>
          <w:highlight w:val="none"/>
        </w:rPr>
        <w:t>https://ggzy.yn.gov.cn/ynggfwpt-home-web/#/homePage</w:t>
      </w:r>
      <w:r>
        <w:rPr>
          <w:rFonts w:hint="eastAsia" w:cs="宋体" w:asciiTheme="minorEastAsia" w:hAnsiTheme="minorEastAsia"/>
          <w:kern w:val="0"/>
          <w:szCs w:val="21"/>
          <w:highlight w:val="none"/>
        </w:rPr>
        <w:t>），凭企业数字证书（CA）在网上获取采购文件及其它采购资料（电子招标文件，格式为*.ZCZBJ），数字证书（CA）详见其办理流程</w:t>
      </w:r>
    </w:p>
    <w:p>
      <w:pPr>
        <w:spacing w:line="360" w:lineRule="auto"/>
        <w:ind w:firstLine="420" w:firstLineChars="200"/>
        <w:rPr>
          <w:rFonts w:cs="宋体" w:asciiTheme="minorEastAsia" w:hAnsiTheme="minorEastAsia"/>
          <w:kern w:val="0"/>
          <w:szCs w:val="21"/>
          <w:highlight w:val="none"/>
        </w:rPr>
      </w:pPr>
      <w:r>
        <w:rPr>
          <w:rFonts w:hint="eastAsia" w:cs="宋体" w:asciiTheme="minorEastAsia" w:hAnsiTheme="minorEastAsia"/>
          <w:kern w:val="0"/>
          <w:szCs w:val="21"/>
          <w:highlight w:val="none"/>
        </w:rPr>
        <w:t>售  价：0元/份</w:t>
      </w:r>
    </w:p>
    <w:bookmarkEnd w:id="42"/>
    <w:p>
      <w:pPr>
        <w:widowControl/>
        <w:spacing w:before="120" w:line="360" w:lineRule="auto"/>
        <w:jc w:val="left"/>
        <w:outlineLvl w:val="1"/>
        <w:rPr>
          <w:rFonts w:cs="宋体" w:asciiTheme="minorEastAsia" w:hAnsiTheme="minorEastAsia"/>
          <w:b/>
          <w:kern w:val="0"/>
          <w:sz w:val="24"/>
          <w:highlight w:val="none"/>
        </w:rPr>
      </w:pPr>
      <w:bookmarkStart w:id="43" w:name="_Toc26926"/>
      <w:bookmarkStart w:id="44" w:name="_Toc18721"/>
      <w:bookmarkStart w:id="45" w:name="_Toc5682"/>
      <w:bookmarkStart w:id="46" w:name="_Toc32741"/>
      <w:bookmarkStart w:id="47" w:name="_Toc168573750"/>
      <w:bookmarkStart w:id="48" w:name="_Toc16844"/>
      <w:r>
        <w:rPr>
          <w:rFonts w:hint="eastAsia" w:cs="宋体" w:asciiTheme="minorEastAsia" w:hAnsiTheme="minorEastAsia"/>
          <w:b/>
          <w:kern w:val="0"/>
          <w:sz w:val="24"/>
          <w:highlight w:val="none"/>
        </w:rPr>
        <w:t>四、截止时间、开标时间和地点</w:t>
      </w:r>
      <w:bookmarkEnd w:id="43"/>
      <w:bookmarkEnd w:id="44"/>
      <w:bookmarkEnd w:id="45"/>
      <w:bookmarkEnd w:id="46"/>
      <w:bookmarkEnd w:id="47"/>
      <w:bookmarkEnd w:id="48"/>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提交投标文件截止时间、开标时间：</w:t>
      </w:r>
      <w:r>
        <w:rPr>
          <w:rFonts w:hint="eastAsia" w:cs="宋体" w:asciiTheme="minorEastAsia" w:hAnsiTheme="minorEastAsia"/>
          <w:b/>
          <w:bCs/>
          <w:kern w:val="0"/>
          <w:highlight w:val="none"/>
        </w:rPr>
        <w:t>2024年</w:t>
      </w:r>
      <w:r>
        <w:rPr>
          <w:rFonts w:hint="eastAsia" w:cs="宋体" w:asciiTheme="minorEastAsia" w:hAnsiTheme="minorEastAsia"/>
          <w:b/>
          <w:bCs/>
          <w:kern w:val="0"/>
          <w:highlight w:val="none"/>
          <w:lang w:val="en-US" w:eastAsia="zh-CN"/>
        </w:rPr>
        <w:t>07</w:t>
      </w:r>
      <w:r>
        <w:rPr>
          <w:rFonts w:hint="eastAsia" w:cs="宋体" w:asciiTheme="minorEastAsia" w:hAnsiTheme="minorEastAsia"/>
          <w:b/>
          <w:bCs/>
          <w:kern w:val="0"/>
          <w:highlight w:val="none"/>
        </w:rPr>
        <w:t>月</w:t>
      </w:r>
      <w:r>
        <w:rPr>
          <w:rFonts w:hint="eastAsia" w:cs="宋体" w:asciiTheme="minorEastAsia" w:hAnsiTheme="minorEastAsia"/>
          <w:b/>
          <w:bCs/>
          <w:kern w:val="0"/>
          <w:highlight w:val="none"/>
          <w:lang w:val="en-US" w:eastAsia="zh-CN"/>
        </w:rPr>
        <w:t>01</w:t>
      </w:r>
      <w:r>
        <w:rPr>
          <w:rFonts w:hint="eastAsia" w:cs="宋体" w:asciiTheme="minorEastAsia" w:hAnsiTheme="minorEastAsia"/>
          <w:b/>
          <w:bCs/>
          <w:kern w:val="0"/>
          <w:highlight w:val="none"/>
        </w:rPr>
        <w:t>日</w:t>
      </w:r>
      <w:r>
        <w:rPr>
          <w:rFonts w:hint="eastAsia" w:cs="宋体" w:asciiTheme="minorEastAsia" w:hAnsiTheme="minorEastAsia"/>
          <w:b/>
          <w:bCs/>
          <w:kern w:val="0"/>
          <w:highlight w:val="none"/>
          <w:lang w:val="en-US" w:eastAsia="zh-CN"/>
        </w:rPr>
        <w:t>09</w:t>
      </w:r>
      <w:r>
        <w:rPr>
          <w:rFonts w:hint="eastAsia" w:cs="宋体" w:asciiTheme="minorEastAsia" w:hAnsiTheme="minorEastAsia"/>
          <w:b/>
          <w:bCs/>
          <w:kern w:val="0"/>
          <w:highlight w:val="none"/>
        </w:rPr>
        <w:t xml:space="preserve"> 时</w:t>
      </w:r>
      <w:r>
        <w:rPr>
          <w:rFonts w:hint="eastAsia" w:cs="宋体" w:asciiTheme="minorEastAsia" w:hAnsiTheme="minorEastAsia"/>
          <w:b/>
          <w:bCs/>
          <w:kern w:val="0"/>
          <w:highlight w:val="none"/>
          <w:lang w:val="en-US" w:eastAsia="zh-CN"/>
        </w:rPr>
        <w:t>00</w:t>
      </w:r>
      <w:r>
        <w:rPr>
          <w:rFonts w:hint="eastAsia" w:cs="宋体" w:asciiTheme="minorEastAsia" w:hAnsiTheme="minorEastAsia"/>
          <w:b/>
          <w:bCs/>
          <w:kern w:val="0"/>
          <w:highlight w:val="none"/>
        </w:rPr>
        <w:t>分（北京时间）</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地  点：云南省昆明市科高路799交易大厦开标厅(云南省公共资源交易中心二楼)</w:t>
      </w:r>
    </w:p>
    <w:p>
      <w:pPr>
        <w:widowControl/>
        <w:spacing w:before="120" w:line="360" w:lineRule="auto"/>
        <w:jc w:val="left"/>
        <w:outlineLvl w:val="1"/>
        <w:rPr>
          <w:rFonts w:cs="宋体" w:asciiTheme="minorEastAsia" w:hAnsiTheme="minorEastAsia"/>
          <w:b/>
          <w:kern w:val="0"/>
          <w:sz w:val="24"/>
          <w:highlight w:val="none"/>
        </w:rPr>
      </w:pPr>
      <w:bookmarkStart w:id="49" w:name="_Toc35393794"/>
      <w:bookmarkEnd w:id="49"/>
      <w:bookmarkStart w:id="50" w:name="_Toc44610640"/>
      <w:bookmarkEnd w:id="50"/>
      <w:bookmarkStart w:id="51" w:name="_Toc28359084"/>
      <w:bookmarkEnd w:id="51"/>
      <w:bookmarkStart w:id="52" w:name="_Toc28359007"/>
      <w:bookmarkEnd w:id="52"/>
      <w:bookmarkStart w:id="53" w:name="_Toc22537"/>
      <w:bookmarkStart w:id="54" w:name="_Toc2892"/>
      <w:bookmarkStart w:id="55" w:name="_Toc5172"/>
      <w:bookmarkStart w:id="56" w:name="_Toc35393625"/>
      <w:bookmarkStart w:id="57" w:name="_Toc30397"/>
      <w:bookmarkStart w:id="58" w:name="_Toc11925"/>
      <w:r>
        <w:rPr>
          <w:rFonts w:cs="宋体" w:asciiTheme="minorEastAsia" w:hAnsiTheme="minorEastAsia"/>
          <w:b/>
          <w:kern w:val="0"/>
          <w:sz w:val="24"/>
          <w:highlight w:val="none"/>
        </w:rPr>
        <w:fldChar w:fldCharType="begin"/>
      </w:r>
      <w:r>
        <w:rPr>
          <w:rFonts w:cs="宋体" w:asciiTheme="minorEastAsia" w:hAnsiTheme="minorEastAsia"/>
          <w:b/>
          <w:kern w:val="0"/>
          <w:sz w:val="24"/>
          <w:highlight w:val="none"/>
        </w:rPr>
        <w:instrText xml:space="preserve"> HYPERLINK "http://"</w:instrText>
      </w:r>
      <w:r>
        <w:rPr>
          <w:rFonts w:cs="宋体" w:asciiTheme="minorEastAsia" w:hAnsiTheme="minorEastAsia"/>
          <w:b/>
          <w:kern w:val="0"/>
          <w:sz w:val="24"/>
          <w:highlight w:val="none"/>
        </w:rPr>
        <w:fldChar w:fldCharType="separate"/>
      </w:r>
      <w:bookmarkStart w:id="59" w:name="_Toc168573751"/>
      <w:r>
        <w:rPr>
          <w:rFonts w:hint="eastAsia" w:cs="宋体" w:asciiTheme="minorEastAsia" w:hAnsiTheme="minorEastAsia"/>
          <w:b/>
          <w:kern w:val="0"/>
          <w:sz w:val="24"/>
          <w:highlight w:val="none"/>
        </w:rPr>
        <w:t>五、公告期限</w:t>
      </w:r>
      <w:bookmarkEnd w:id="59"/>
      <w:r>
        <w:rPr>
          <w:rFonts w:cs="宋体" w:asciiTheme="minorEastAsia" w:hAnsiTheme="minorEastAsia"/>
          <w:b/>
          <w:kern w:val="0"/>
          <w:sz w:val="24"/>
          <w:highlight w:val="none"/>
        </w:rPr>
        <w:fldChar w:fldCharType="end"/>
      </w:r>
      <w:bookmarkEnd w:id="53"/>
      <w:bookmarkEnd w:id="54"/>
      <w:bookmarkEnd w:id="55"/>
      <w:bookmarkEnd w:id="56"/>
      <w:bookmarkEnd w:id="57"/>
      <w:bookmarkEnd w:id="58"/>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自本公告发布之日起5个工作日。</w:t>
      </w:r>
    </w:p>
    <w:p>
      <w:pPr>
        <w:widowControl/>
        <w:spacing w:before="120" w:line="360" w:lineRule="auto"/>
        <w:jc w:val="left"/>
        <w:outlineLvl w:val="1"/>
        <w:rPr>
          <w:highlight w:val="none"/>
        </w:rPr>
      </w:pPr>
      <w:bookmarkStart w:id="60" w:name="_Toc35393795"/>
      <w:bookmarkEnd w:id="60"/>
      <w:bookmarkStart w:id="61" w:name="_Toc44610641"/>
      <w:bookmarkEnd w:id="61"/>
      <w:bookmarkStart w:id="62" w:name="_Toc13920"/>
      <w:bookmarkStart w:id="63" w:name="_Toc35393626"/>
      <w:bookmarkStart w:id="64" w:name="_Toc15527"/>
      <w:bookmarkStart w:id="65" w:name="_Toc4422"/>
      <w:bookmarkStart w:id="66" w:name="_Toc10245"/>
      <w:bookmarkStart w:id="67" w:name="_Toc5259"/>
      <w:r>
        <w:rPr>
          <w:rFonts w:cs="宋体" w:asciiTheme="minorEastAsia" w:hAnsiTheme="minorEastAsia"/>
          <w:b/>
          <w:kern w:val="0"/>
          <w:sz w:val="24"/>
          <w:highlight w:val="none"/>
        </w:rPr>
        <w:fldChar w:fldCharType="begin"/>
      </w:r>
      <w:r>
        <w:rPr>
          <w:rFonts w:cs="宋体" w:asciiTheme="minorEastAsia" w:hAnsiTheme="minorEastAsia"/>
          <w:b/>
          <w:kern w:val="0"/>
          <w:sz w:val="24"/>
          <w:highlight w:val="none"/>
        </w:rPr>
        <w:instrText xml:space="preserve"> HYPERLINK "http://"</w:instrText>
      </w:r>
      <w:r>
        <w:rPr>
          <w:rFonts w:cs="宋体" w:asciiTheme="minorEastAsia" w:hAnsiTheme="minorEastAsia"/>
          <w:b/>
          <w:kern w:val="0"/>
          <w:sz w:val="24"/>
          <w:highlight w:val="none"/>
        </w:rPr>
        <w:fldChar w:fldCharType="separate"/>
      </w:r>
      <w:bookmarkStart w:id="68" w:name="_Toc168573752"/>
      <w:r>
        <w:rPr>
          <w:rFonts w:hint="eastAsia" w:cs="宋体" w:asciiTheme="minorEastAsia" w:hAnsiTheme="minorEastAsia"/>
          <w:b/>
          <w:kern w:val="0"/>
          <w:sz w:val="24"/>
          <w:highlight w:val="none"/>
        </w:rPr>
        <w:t>六、其他补充事宜</w:t>
      </w:r>
      <w:bookmarkEnd w:id="68"/>
      <w:r>
        <w:rPr>
          <w:rFonts w:cs="宋体" w:asciiTheme="minorEastAsia" w:hAnsiTheme="minorEastAsia"/>
          <w:b/>
          <w:kern w:val="0"/>
          <w:sz w:val="24"/>
          <w:highlight w:val="none"/>
        </w:rPr>
        <w:fldChar w:fldCharType="end"/>
      </w:r>
      <w:bookmarkEnd w:id="62"/>
      <w:bookmarkEnd w:id="63"/>
      <w:bookmarkEnd w:id="64"/>
      <w:bookmarkEnd w:id="65"/>
      <w:bookmarkEnd w:id="66"/>
      <w:bookmarkEnd w:id="67"/>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开标方式：智能开标</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是否需要缴纳投标保证金：是</w:t>
      </w:r>
    </w:p>
    <w:p>
      <w:pPr>
        <w:widowControl/>
        <w:spacing w:line="360" w:lineRule="auto"/>
        <w:ind w:firstLine="420"/>
        <w:jc w:val="left"/>
        <w:rPr>
          <w:rFonts w:cs="宋体" w:asciiTheme="minorEastAsia" w:hAnsiTheme="minorEastAsia"/>
          <w:kern w:val="0"/>
          <w:highlight w:val="none"/>
        </w:rPr>
      </w:pPr>
      <w:r>
        <w:rPr>
          <w:rFonts w:hint="eastAsia" w:cs="宋体" w:asciiTheme="minorEastAsia" w:hAnsiTheme="minorEastAsia"/>
          <w:kern w:val="0"/>
          <w:highlight w:val="none"/>
        </w:rPr>
        <w:t>其他：</w:t>
      </w:r>
    </w:p>
    <w:p>
      <w:pPr>
        <w:spacing w:line="360" w:lineRule="auto"/>
        <w:ind w:firstLine="422" w:firstLineChars="200"/>
        <w:rPr>
          <w:rFonts w:ascii="宋体" w:hAnsi="宋体" w:eastAsia="宋体" w:cs="宋体"/>
          <w:b/>
          <w:bCs/>
          <w:kern w:val="0"/>
          <w:highlight w:val="none"/>
        </w:rPr>
      </w:pPr>
      <w:r>
        <w:rPr>
          <w:rFonts w:hint="eastAsia" w:cs="宋体" w:asciiTheme="minorEastAsia" w:hAnsiTheme="minorEastAsia"/>
          <w:b/>
          <w:bCs/>
          <w:kern w:val="0"/>
          <w:highlight w:val="none"/>
        </w:rPr>
        <w:t>1、</w:t>
      </w:r>
      <w:r>
        <w:rPr>
          <w:rFonts w:hint="eastAsia" w:ascii="宋体" w:hAnsi="宋体" w:eastAsia="宋体" w:cs="宋体"/>
          <w:b/>
          <w:bCs/>
          <w:kern w:val="0"/>
          <w:highlight w:val="none"/>
        </w:rPr>
        <w:t>本项目采用网上智能开标：</w:t>
      </w:r>
      <w:r>
        <w:rPr>
          <w:rFonts w:hint="eastAsia" w:ascii="宋体" w:hAnsi="宋体" w:eastAsia="宋体" w:cs="宋体"/>
          <w:bCs/>
          <w:kern w:val="0"/>
          <w:highlight w:val="none"/>
        </w:rPr>
        <w:t>投标人须在投标截止时间前进入到“网上开标室”，根据网上远程解密、开标的要求，须在规定时间完成在线解密、开标一览表确认等相关操作。若投标人未在规定时间完成以上相关操作，则视为撤销其投标文件，不再进入评标阶段。开标过程中如有问题可发起在线异议，由招标代理机构进行回复。为保证顺利开标，请各投标人提前熟悉《网上智能开标远程解密操作指南》（指南详见云南省公共资源交易服务平台）。</w:t>
      </w:r>
      <w:r>
        <w:rPr>
          <w:rFonts w:hint="eastAsia" w:ascii="宋体" w:hAnsi="宋体" w:eastAsia="宋体" w:cs="宋体"/>
          <w:b/>
          <w:bCs/>
          <w:kern w:val="0"/>
          <w:highlight w:val="none"/>
        </w:rPr>
        <w:t>注：本项目采用网上智能开标，投标人应按照招标文件要求在网上进行解密。</w:t>
      </w:r>
    </w:p>
    <w:p>
      <w:pPr>
        <w:spacing w:line="360" w:lineRule="auto"/>
        <w:ind w:firstLine="422" w:firstLineChars="200"/>
        <w:rPr>
          <w:rFonts w:ascii="宋体" w:hAnsi="宋体" w:eastAsia="宋体" w:cs="宋体"/>
          <w:bCs/>
          <w:kern w:val="0"/>
          <w:highlight w:val="none"/>
        </w:rPr>
      </w:pPr>
      <w:r>
        <w:rPr>
          <w:rFonts w:hint="eastAsia" w:ascii="宋体" w:hAnsi="宋体" w:eastAsia="宋体" w:cs="宋体"/>
          <w:b/>
          <w:bCs/>
          <w:kern w:val="0"/>
          <w:highlight w:val="none"/>
        </w:rPr>
        <w:t>2、公告发布的媒介：</w:t>
      </w:r>
      <w:r>
        <w:rPr>
          <w:rFonts w:hint="eastAsia" w:ascii="宋体" w:hAnsi="宋体" w:eastAsia="宋体" w:cs="宋体"/>
          <w:bCs/>
          <w:kern w:val="0"/>
          <w:highlight w:val="none"/>
        </w:rPr>
        <w:t>本次招标公告在</w:t>
      </w:r>
      <w:r>
        <w:rPr>
          <w:rFonts w:hint="eastAsia" w:ascii="宋体" w:hAnsi="宋体" w:eastAsia="宋体" w:cs="宋体"/>
          <w:b/>
          <w:kern w:val="0"/>
          <w:highlight w:val="none"/>
        </w:rPr>
        <w:t>《中国政府采购网》、《云南省公共资源交易信息网》</w:t>
      </w:r>
      <w:r>
        <w:rPr>
          <w:rFonts w:hint="eastAsia" w:ascii="宋体" w:hAnsi="宋体" w:eastAsia="宋体" w:cs="宋体"/>
          <w:bCs/>
          <w:kern w:val="0"/>
          <w:highlight w:val="none"/>
        </w:rPr>
        <w:t>上发布。</w:t>
      </w:r>
    </w:p>
    <w:p>
      <w:pPr>
        <w:widowControl/>
        <w:spacing w:before="120" w:line="360" w:lineRule="auto"/>
        <w:jc w:val="left"/>
        <w:outlineLvl w:val="1"/>
        <w:rPr>
          <w:rFonts w:cs="宋体" w:asciiTheme="minorEastAsia" w:hAnsiTheme="minorEastAsia"/>
          <w:b/>
          <w:kern w:val="0"/>
          <w:sz w:val="24"/>
          <w:highlight w:val="none"/>
        </w:rPr>
      </w:pPr>
      <w:bookmarkStart w:id="69" w:name="_Toc19352"/>
      <w:bookmarkStart w:id="70" w:name="_Toc44610642"/>
      <w:bookmarkStart w:id="71" w:name="_Toc24373"/>
      <w:bookmarkStart w:id="72" w:name="_Toc1215"/>
      <w:bookmarkStart w:id="73" w:name="_Toc22174"/>
      <w:bookmarkStart w:id="74" w:name="_Toc4909"/>
      <w:r>
        <w:rPr>
          <w:rFonts w:cs="宋体" w:asciiTheme="minorEastAsia" w:hAnsiTheme="minorEastAsia"/>
          <w:b/>
          <w:kern w:val="0"/>
          <w:sz w:val="24"/>
          <w:highlight w:val="none"/>
        </w:rPr>
        <w:fldChar w:fldCharType="begin"/>
      </w:r>
      <w:r>
        <w:rPr>
          <w:rFonts w:cs="宋体" w:asciiTheme="minorEastAsia" w:hAnsiTheme="minorEastAsia"/>
          <w:b/>
          <w:kern w:val="0"/>
          <w:sz w:val="24"/>
          <w:highlight w:val="none"/>
        </w:rPr>
        <w:instrText xml:space="preserve"> HYPERLINK "http://"</w:instrText>
      </w:r>
      <w:r>
        <w:rPr>
          <w:rFonts w:cs="宋体" w:asciiTheme="minorEastAsia" w:hAnsiTheme="minorEastAsia"/>
          <w:b/>
          <w:kern w:val="0"/>
          <w:sz w:val="24"/>
          <w:highlight w:val="none"/>
        </w:rPr>
        <w:fldChar w:fldCharType="separate"/>
      </w:r>
      <w:bookmarkStart w:id="75" w:name="_Toc168573753"/>
      <w:r>
        <w:rPr>
          <w:rFonts w:hint="eastAsia" w:cs="宋体" w:asciiTheme="minorEastAsia" w:hAnsiTheme="minorEastAsia"/>
          <w:b/>
          <w:kern w:val="0"/>
          <w:sz w:val="24"/>
          <w:highlight w:val="none"/>
        </w:rPr>
        <w:t>七、对本次招标提出询问，请按以下方式联系</w:t>
      </w:r>
      <w:bookmarkEnd w:id="75"/>
      <w:r>
        <w:rPr>
          <w:rFonts w:cs="宋体" w:asciiTheme="minorEastAsia" w:hAnsiTheme="minorEastAsia"/>
          <w:b/>
          <w:kern w:val="0"/>
          <w:sz w:val="24"/>
          <w:highlight w:val="none"/>
        </w:rPr>
        <w:fldChar w:fldCharType="end"/>
      </w:r>
      <w:bookmarkEnd w:id="69"/>
      <w:bookmarkEnd w:id="70"/>
      <w:bookmarkEnd w:id="71"/>
      <w:bookmarkEnd w:id="72"/>
      <w:bookmarkEnd w:id="73"/>
      <w:bookmarkEnd w:id="74"/>
    </w:p>
    <w:p>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1．采购人信息</w:t>
      </w:r>
    </w:p>
    <w:p>
      <w:pPr>
        <w:spacing w:line="360" w:lineRule="auto"/>
        <w:ind w:left="424" w:leftChars="202" w:firstLine="1"/>
        <w:jc w:val="left"/>
        <w:rPr>
          <w:rFonts w:ascii="宋体" w:hAnsi="宋体" w:cs="宋体"/>
          <w:b/>
          <w:bCs/>
          <w:szCs w:val="21"/>
          <w:highlight w:val="none"/>
        </w:rPr>
      </w:pPr>
      <w:r>
        <w:rPr>
          <w:rFonts w:hint="eastAsia" w:ascii="宋体" w:hAnsi="宋体" w:cs="宋体"/>
          <w:b/>
          <w:bCs/>
          <w:szCs w:val="21"/>
          <w:highlight w:val="none"/>
        </w:rPr>
        <w:t>名 称：云南省森林消防总队</w:t>
      </w:r>
    </w:p>
    <w:p>
      <w:pPr>
        <w:spacing w:line="360" w:lineRule="auto"/>
        <w:ind w:left="424" w:leftChars="202" w:firstLine="1"/>
        <w:jc w:val="left"/>
        <w:rPr>
          <w:rFonts w:ascii="宋体" w:hAnsi="宋体" w:cs="宋体"/>
          <w:szCs w:val="21"/>
          <w:highlight w:val="none"/>
        </w:rPr>
      </w:pPr>
      <w:bookmarkStart w:id="76" w:name="_Toc28359009"/>
      <w:bookmarkStart w:id="77" w:name="_Toc28359086"/>
      <w:r>
        <w:rPr>
          <w:rFonts w:hint="eastAsia" w:ascii="宋体" w:hAnsi="宋体" w:cs="宋体"/>
          <w:szCs w:val="21"/>
          <w:highlight w:val="none"/>
        </w:rPr>
        <w:t>地址：</w:t>
      </w:r>
      <w:r>
        <w:rPr>
          <w:highlight w:val="none"/>
        </w:rPr>
        <w:fldChar w:fldCharType="begin"/>
      </w:r>
      <w:r>
        <w:rPr>
          <w:highlight w:val="none"/>
        </w:rPr>
        <w:instrText xml:space="preserve"> HYPERLINK "https://api.map.baidu.com/marker?output=html&amp;location=24.845411,102.86738&amp;title=%E4%BA%91%E5%8D%97%E4%BA%A4%E9%80%9A%E8%81%8C%E4%B8%9A%E6%8A%80%E6%9C%AF%E5%AD%A6%E9%99%A2&amp;content=%E4%BA%91%E5%8D%97%E7%9C%81%E6%98%86%E6%98%8E%E5%B8%82%E5%91%88%E8%B4%A1%E5%A4%A7%E5%AD%A6%E5%9F%8E%E4%B8%87%E9%9D%92%E8%B7%AF2056%E5%8F%B7%20&amp;src=vmpMiddle" \t "https://www.baidu.com/_blank" </w:instrText>
      </w:r>
      <w:r>
        <w:rPr>
          <w:highlight w:val="none"/>
        </w:rPr>
        <w:fldChar w:fldCharType="separate"/>
      </w:r>
      <w:r>
        <w:rPr>
          <w:rFonts w:hint="eastAsia" w:ascii="宋体" w:hAnsi="宋体" w:cs="宋体"/>
          <w:szCs w:val="21"/>
          <w:highlight w:val="none"/>
        </w:rPr>
        <w:t>昆明市五华区龙泉路476号</w:t>
      </w:r>
      <w:r>
        <w:rPr>
          <w:rFonts w:hint="eastAsia" w:ascii="宋体" w:hAnsi="宋体" w:cs="宋体"/>
          <w:szCs w:val="21"/>
          <w:highlight w:val="none"/>
        </w:rPr>
        <w:fldChar w:fldCharType="end"/>
      </w:r>
    </w:p>
    <w:p>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 xml:space="preserve">联系方式：甘助理 0871-68366999 </w:t>
      </w:r>
    </w:p>
    <w:p>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2．采购代理机构信息</w:t>
      </w:r>
      <w:bookmarkEnd w:id="76"/>
      <w:bookmarkEnd w:id="77"/>
    </w:p>
    <w:p>
      <w:pPr>
        <w:widowControl/>
        <w:spacing w:line="360" w:lineRule="auto"/>
        <w:ind w:left="424" w:leftChars="202"/>
        <w:jc w:val="left"/>
        <w:rPr>
          <w:rFonts w:ascii="宋体" w:hAnsi="宋体" w:cs="宋体"/>
          <w:b/>
          <w:bCs/>
          <w:szCs w:val="21"/>
          <w:highlight w:val="none"/>
        </w:rPr>
      </w:pPr>
      <w:r>
        <w:rPr>
          <w:rFonts w:hint="eastAsia" w:ascii="宋体" w:hAnsi="宋体" w:cs="宋体"/>
          <w:b/>
          <w:bCs/>
          <w:szCs w:val="21"/>
          <w:highlight w:val="none"/>
        </w:rPr>
        <w:t>名 称：云南赛林工程管理咨询有限公司</w:t>
      </w:r>
    </w:p>
    <w:p>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地址：云南民族村昆明故城9幢二楼</w:t>
      </w:r>
    </w:p>
    <w:p>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联系方式：</w:t>
      </w:r>
      <w:bookmarkStart w:id="78" w:name="_Toc28359010"/>
      <w:bookmarkStart w:id="79" w:name="_Toc28359087"/>
      <w:r>
        <w:rPr>
          <w:rFonts w:hint="eastAsia" w:ascii="宋体" w:hAnsi="宋体" w:cs="宋体"/>
          <w:szCs w:val="21"/>
          <w:highlight w:val="none"/>
        </w:rPr>
        <w:t>冯工、魏工</w:t>
      </w:r>
    </w:p>
    <w:p>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3．项目联系方式</w:t>
      </w:r>
      <w:bookmarkEnd w:id="78"/>
      <w:bookmarkEnd w:id="79"/>
    </w:p>
    <w:p>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项目联系人：冯工、魏工</w:t>
      </w:r>
    </w:p>
    <w:p>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电　话：0871-63181513  13708425741</w:t>
      </w:r>
    </w:p>
    <w:p>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4.监督部门联系方式</w:t>
      </w:r>
    </w:p>
    <w:p>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监督部门：云南省森林消防总队纪检督察处</w:t>
      </w:r>
    </w:p>
    <w:p>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联系人：欧阳俊宇</w:t>
      </w:r>
    </w:p>
    <w:p>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电  话：0871- 68366999转2032</w:t>
      </w:r>
    </w:p>
    <w:p>
      <w:pPr>
        <w:spacing w:line="360" w:lineRule="auto"/>
        <w:ind w:left="319" w:leftChars="95" w:hanging="120" w:hangingChars="50"/>
        <w:jc w:val="left"/>
        <w:rPr>
          <w:rFonts w:ascii="宋体" w:hAnsi="宋体"/>
          <w:bCs/>
          <w:sz w:val="24"/>
          <w:highlight w:val="none"/>
        </w:rPr>
      </w:pPr>
    </w:p>
    <w:p>
      <w:pPr>
        <w:spacing w:line="360" w:lineRule="auto"/>
        <w:jc w:val="center"/>
        <w:rPr>
          <w:rFonts w:ascii="宋体" w:hAnsi="宋体"/>
          <w:bCs/>
          <w:sz w:val="24"/>
          <w:highlight w:val="none"/>
        </w:rPr>
      </w:pPr>
      <w:r>
        <w:rPr>
          <w:rFonts w:ascii="宋体" w:hAnsi="宋体"/>
          <w:bCs/>
          <w:sz w:val="24"/>
          <w:highlight w:val="none"/>
        </w:rPr>
        <w:br w:type="page"/>
      </w:r>
    </w:p>
    <w:p>
      <w:pPr>
        <w:spacing w:line="360" w:lineRule="auto"/>
        <w:rPr>
          <w:rFonts w:ascii="黑体" w:hAnsi="黑体" w:eastAsia="黑体" w:cs="Times New Roman"/>
          <w:sz w:val="32"/>
          <w:szCs w:val="21"/>
          <w:highlight w:val="none"/>
        </w:rPr>
      </w:pPr>
      <w:r>
        <w:rPr>
          <w:rFonts w:hint="eastAsia" w:ascii="黑体" w:hAnsi="黑体" w:eastAsia="黑体" w:cs="Times New Roman"/>
          <w:sz w:val="32"/>
          <w:szCs w:val="21"/>
          <w:highlight w:val="none"/>
        </w:rPr>
        <w:t>附件1电子文件注意事项</w:t>
      </w:r>
    </w:p>
    <w:p>
      <w:pPr>
        <w:spacing w:line="360" w:lineRule="auto"/>
        <w:jc w:val="center"/>
        <w:rPr>
          <w:rFonts w:ascii="黑体" w:hAnsi="黑体" w:eastAsia="黑体" w:cs="Times New Roman"/>
          <w:sz w:val="32"/>
          <w:szCs w:val="21"/>
          <w:highlight w:val="none"/>
        </w:rPr>
      </w:pPr>
      <w:r>
        <w:rPr>
          <w:rFonts w:hint="eastAsia" w:ascii="黑体" w:hAnsi="黑体" w:eastAsia="黑体" w:cs="Times New Roman"/>
          <w:sz w:val="32"/>
          <w:szCs w:val="21"/>
          <w:highlight w:val="none"/>
        </w:rPr>
        <w:t>云南省公共资源交易电子化采购文件</w:t>
      </w:r>
    </w:p>
    <w:p>
      <w:pPr>
        <w:spacing w:line="360" w:lineRule="auto"/>
        <w:jc w:val="center"/>
        <w:rPr>
          <w:rFonts w:ascii="宋体" w:hAnsi="宋体"/>
          <w:sz w:val="28"/>
          <w:szCs w:val="28"/>
          <w:highlight w:val="none"/>
        </w:rPr>
      </w:pPr>
      <w:r>
        <w:rPr>
          <w:rFonts w:hint="eastAsia" w:ascii="黑体" w:hAnsi="黑体" w:eastAsia="黑体" w:cs="Times New Roman"/>
          <w:sz w:val="32"/>
          <w:szCs w:val="21"/>
          <w:highlight w:val="none"/>
        </w:rPr>
        <w:t>应注明电子化交易的内容</w:t>
      </w:r>
      <w:bookmarkEnd w:id="7"/>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为规范云南省公共资源电子化交易，采购人、采购代理机构在编制电子化采购文件时明确电子化交易的内容，详细内容如下：</w:t>
      </w:r>
    </w:p>
    <w:p>
      <w:pPr>
        <w:widowControl/>
        <w:spacing w:line="360" w:lineRule="auto"/>
        <w:ind w:firstLine="426" w:firstLineChars="202"/>
        <w:jc w:val="left"/>
        <w:rPr>
          <w:rFonts w:ascii="宋体" w:hAnsi="宋体" w:eastAsia="宋体" w:cs="宋体"/>
          <w:b/>
          <w:bCs/>
          <w:kern w:val="0"/>
          <w:szCs w:val="21"/>
          <w:highlight w:val="none"/>
        </w:rPr>
      </w:pPr>
      <w:r>
        <w:rPr>
          <w:rFonts w:hint="eastAsia" w:ascii="宋体" w:hAnsi="宋体" w:eastAsia="宋体" w:cs="宋体"/>
          <w:b/>
          <w:bCs/>
          <w:kern w:val="0"/>
          <w:szCs w:val="21"/>
          <w:highlight w:val="none"/>
        </w:rPr>
        <w:t>1、电子采购文件获取</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凡有意参加投标者，请于文件获取截止时间前（北京时间，下同），凭企业数字证书（CA）登录云南省公共资源交易信息网（网址：https://ggzy.yn.gov.cn/ynggfwpt-home-web/#/homePage），在网上获取采购文件及其它采购资料（电子采购文件格式为*.ZCZBJ），数字证书（CA）详见其办理流程。</w:t>
      </w:r>
    </w:p>
    <w:p>
      <w:pPr>
        <w:widowControl/>
        <w:spacing w:line="360" w:lineRule="auto"/>
        <w:ind w:firstLine="426" w:firstLineChars="202"/>
        <w:jc w:val="left"/>
        <w:rPr>
          <w:rFonts w:ascii="宋体" w:hAnsi="宋体" w:eastAsia="宋体" w:cs="宋体"/>
          <w:b/>
          <w:bCs/>
          <w:kern w:val="0"/>
          <w:szCs w:val="21"/>
          <w:highlight w:val="none"/>
        </w:rPr>
      </w:pPr>
      <w:r>
        <w:rPr>
          <w:rFonts w:hint="eastAsia" w:ascii="宋体" w:hAnsi="宋体" w:eastAsia="宋体" w:cs="宋体"/>
          <w:b/>
          <w:bCs/>
          <w:kern w:val="0"/>
          <w:szCs w:val="21"/>
          <w:highlight w:val="none"/>
        </w:rPr>
        <w:t>2、电子采购文件澄清与答疑</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所有获取了采购文件的潜在供应商，可凭企业数字证书（CA）登录云南省公共资源交易信息网（网址：https://ggzy.yn.gov.cn/ynggfwpt-home-web/#/homePage），在规定的时间前通过在线方式匿名进行询问、质疑。</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供应商应仔细阅读和检查采购文件的全部内容。如发现缺页或附件不全，应在规定的时间前向采购人提出询问，以便采购人补齐。如有疑问，应在规定的时间前以在线不署名提交质疑，要求采购人对采购文件予以澄清。</w:t>
      </w:r>
    </w:p>
    <w:p>
      <w:pPr>
        <w:widowControl/>
        <w:spacing w:line="360" w:lineRule="auto"/>
        <w:ind w:firstLine="426" w:firstLineChars="202"/>
        <w:jc w:val="left"/>
        <w:rPr>
          <w:rFonts w:ascii="宋体" w:hAnsi="宋体" w:eastAsia="宋体" w:cs="宋体"/>
          <w:b/>
          <w:bCs/>
          <w:kern w:val="0"/>
          <w:szCs w:val="21"/>
          <w:highlight w:val="none"/>
        </w:rPr>
      </w:pPr>
      <w:r>
        <w:rPr>
          <w:rFonts w:hint="eastAsia" w:ascii="宋体" w:hAnsi="宋体" w:eastAsia="宋体" w:cs="宋体"/>
          <w:b/>
          <w:bCs/>
          <w:kern w:val="0"/>
          <w:szCs w:val="21"/>
          <w:highlight w:val="none"/>
        </w:rPr>
        <w:t>3、电子采购文件的修改</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（1）采购人对采购文件中的涉及评标办法、评审项目等重要评审内容做出变更，将同时发布补遗文件进行说明，以保证各供应商都能重新下载并用于编制电子投标文件。</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（2）供应商应在投标截止时间前及时登录云南省公共资源交易信息网（网址：https://ggzy.yn.gov.cn/ynggfwpt-home-web/#/homePage）中查看有关该工程采购文件的答疑、补遗内容。否则，后果自负。</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（3）采购文件澄清、采购文件修改文件内容均以网上电子文件为准，当采购文件、采购文件澄清、采购文件修改文件内容后前相互矛盾时，以最新发布的采购文件为准。</w:t>
      </w:r>
    </w:p>
    <w:p>
      <w:pPr>
        <w:widowControl/>
        <w:spacing w:line="360" w:lineRule="auto"/>
        <w:ind w:firstLine="426" w:firstLineChars="202"/>
        <w:jc w:val="left"/>
        <w:rPr>
          <w:rFonts w:ascii="宋体" w:hAnsi="宋体" w:eastAsia="宋体" w:cs="宋体"/>
          <w:b/>
          <w:bCs/>
          <w:kern w:val="0"/>
          <w:szCs w:val="21"/>
          <w:highlight w:val="none"/>
        </w:rPr>
      </w:pPr>
      <w:r>
        <w:rPr>
          <w:rFonts w:hint="eastAsia" w:ascii="宋体" w:hAnsi="宋体" w:eastAsia="宋体" w:cs="宋体"/>
          <w:b/>
          <w:bCs/>
          <w:kern w:val="0"/>
          <w:szCs w:val="21"/>
          <w:highlight w:val="none"/>
        </w:rPr>
        <w:t>4、电子投标文件的组成及要求</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（1）投标文件全部采用电子文档，格式为*.ZCTBJ，使用云南省政府采购投标文件编制系统完成编制，并完成电子签名及加密。</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（2）在编制标投标文件时，图片建议使用JPG格式，并且每张图片的分辩率应小于100dpi，每份投标文件须小于100M。</w:t>
      </w:r>
    </w:p>
    <w:p>
      <w:pPr>
        <w:widowControl/>
        <w:spacing w:line="360" w:lineRule="auto"/>
        <w:ind w:firstLine="426" w:firstLineChars="202"/>
        <w:jc w:val="left"/>
        <w:rPr>
          <w:rFonts w:ascii="宋体" w:hAnsi="宋体" w:eastAsia="宋体" w:cs="宋体"/>
          <w:b/>
          <w:bCs/>
          <w:kern w:val="0"/>
          <w:szCs w:val="21"/>
          <w:highlight w:val="none"/>
        </w:rPr>
      </w:pPr>
      <w:r>
        <w:rPr>
          <w:rFonts w:hint="eastAsia" w:ascii="宋体" w:hAnsi="宋体" w:eastAsia="宋体" w:cs="宋体"/>
          <w:b/>
          <w:bCs/>
          <w:kern w:val="0"/>
          <w:szCs w:val="21"/>
          <w:highlight w:val="none"/>
        </w:rPr>
        <w:t>5、电子投标文件的递交</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投标文件递交截止时间前，供应商应根据采购文件要求，须登录云南省公共资源交易信息网（网址：https://ggzy.yn.gov.cn/ynggfwpt-home-web/#/homePage），在投标截止时间前完成所有电子投标文件的递交，且完成电子签名确认，并打印“上传投标文件回执”，以确保文件上传成功。投标文件在截止时间前未完成电子签名确认的，视为无效投标，不能进入开标阶段。</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同时，供应商应自行下载已上传成功的投标文件，并进行查看、解密和核验投标文件，以确保上传投标文件的正确性。</w:t>
      </w:r>
    </w:p>
    <w:p>
      <w:pPr>
        <w:widowControl/>
        <w:spacing w:line="360" w:lineRule="auto"/>
        <w:ind w:firstLine="426" w:firstLineChars="202"/>
        <w:jc w:val="left"/>
        <w:rPr>
          <w:rFonts w:ascii="宋体" w:hAnsi="宋体" w:eastAsia="宋体" w:cs="宋体"/>
          <w:b/>
          <w:bCs/>
          <w:kern w:val="0"/>
          <w:szCs w:val="21"/>
          <w:highlight w:val="none"/>
        </w:rPr>
      </w:pPr>
      <w:r>
        <w:rPr>
          <w:rFonts w:hint="eastAsia" w:ascii="宋体" w:hAnsi="宋体" w:eastAsia="宋体" w:cs="宋体"/>
          <w:b/>
          <w:bCs/>
          <w:kern w:val="0"/>
          <w:szCs w:val="21"/>
          <w:highlight w:val="none"/>
        </w:rPr>
        <w:t>6、电子投标文件的撤回、修改和重新递交</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（1）在投标截止时间前，供应商可以撤回在网上已递交的投标文件，修改后重新递交，无须书面形式通知采购人。</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（2）修改的投标文件应按照本说明第4点、第5点的要求进行重新编制、加密和递交。</w:t>
      </w:r>
    </w:p>
    <w:p>
      <w:pPr>
        <w:widowControl/>
        <w:spacing w:line="360" w:lineRule="auto"/>
        <w:ind w:firstLine="426" w:firstLineChars="202"/>
        <w:jc w:val="left"/>
        <w:rPr>
          <w:rFonts w:ascii="宋体" w:hAnsi="宋体" w:eastAsia="宋体" w:cs="宋体"/>
          <w:b/>
          <w:bCs/>
          <w:kern w:val="0"/>
          <w:szCs w:val="21"/>
          <w:highlight w:val="none"/>
        </w:rPr>
      </w:pPr>
      <w:r>
        <w:rPr>
          <w:rFonts w:hint="eastAsia" w:ascii="宋体" w:hAnsi="宋体" w:eastAsia="宋体" w:cs="宋体"/>
          <w:b/>
          <w:bCs/>
          <w:kern w:val="0"/>
          <w:szCs w:val="21"/>
          <w:highlight w:val="none"/>
        </w:rPr>
        <w:t>7、电子开标及投标文件解密（本项目采用网上智能开标及远程解密，投标人无须到开标现场）</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方式一：网上智能开标及远程解密</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1）供应商登录云南省公共资源交易中心网站（网址：https://www.ynggzy.com），按照《网上智能开标远程解密操作指南（投标人）》完成远程解密、查看开标一览表等相关操作。本项目解密时间为1小时，若供应商未在规定时间完成所有投标文件解密，则视为无效投标，不再进入评标阶段。</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（2）因开标系统、开标现场网络、设备及其他特殊原因，导致不能正常解密投标文件的，经核实和上报相关部门同意后，可再次下达网上解密指令来延长解密时间。</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（3）开标过程中如有问题，可以在线提出异议，由代理机构给予回复。在规定的异议询问时间内未提出异议的，则视为对开标结果无异议。</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方式二：现场开标现场解密。</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（1）供应商应在投标截止时间前持加密投标文件的CA数字证书到云南省公共资源交易中心（昆明市高新区科发路269号交易大厦）开标现场进行现场解密。招标文件其他要求不变。</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（2）电子文件开标顺序：按照交易平台自动提取所有供应商的顺序在开标室进行开标。</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（3）采购人宣布开启电子投标文件后，供应商按照电子文件的开标顺序上前，使用投标文件加密证书对投标文件进行解密。</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（4）若供应商提交的投标文件不符合采购文件要求，或因供应商原因造成投标文件开标时无法完成读取、导入或解密的，该投标文件则视为无效投标，将被撤回，不再进入评标阶段。</w:t>
      </w:r>
    </w:p>
    <w:p>
      <w:pPr>
        <w:widowControl/>
        <w:spacing w:line="360" w:lineRule="auto"/>
        <w:ind w:firstLine="426" w:firstLineChars="202"/>
        <w:jc w:val="left"/>
        <w:rPr>
          <w:rFonts w:ascii="宋体" w:hAnsi="宋体" w:eastAsia="宋体" w:cs="宋体"/>
          <w:b/>
          <w:bCs/>
          <w:kern w:val="0"/>
          <w:szCs w:val="21"/>
          <w:highlight w:val="none"/>
        </w:rPr>
      </w:pPr>
      <w:r>
        <w:rPr>
          <w:rFonts w:hint="eastAsia" w:ascii="宋体" w:hAnsi="宋体" w:eastAsia="宋体" w:cs="宋体"/>
          <w:b/>
          <w:bCs/>
          <w:kern w:val="0"/>
          <w:szCs w:val="21"/>
          <w:highlight w:val="none"/>
        </w:rPr>
        <w:t>8、技术支持</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交易平台技术支持</w:t>
      </w:r>
    </w:p>
    <w:p>
      <w:pPr>
        <w:widowControl/>
        <w:spacing w:line="360" w:lineRule="auto"/>
        <w:ind w:firstLine="424" w:firstLineChars="202"/>
        <w:jc w:val="left"/>
        <w:rPr>
          <w:rFonts w:ascii="宋体" w:hAnsi="宋体" w:eastAsia="宋体" w:cs="宋体"/>
          <w:kern w:val="0"/>
          <w:szCs w:val="21"/>
          <w:highlight w:val="none"/>
        </w:rPr>
      </w:pPr>
      <w:r>
        <w:rPr>
          <w:rFonts w:hint="eastAsia" w:ascii="宋体" w:hAnsi="宋体" w:eastAsia="宋体" w:cs="宋体"/>
          <w:kern w:val="0"/>
          <w:szCs w:val="21"/>
          <w:highlight w:val="none"/>
        </w:rPr>
        <w:t>服务电话：010-86483801</w:t>
      </w: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pStyle w:val="7"/>
        <w:rPr>
          <w:rFonts w:ascii="宋体" w:hAnsi="宋体" w:eastAsia="宋体" w:cs="宋体"/>
          <w:kern w:val="0"/>
          <w:szCs w:val="21"/>
          <w:highlight w:val="none"/>
        </w:rPr>
      </w:pPr>
    </w:p>
    <w:p>
      <w:pPr>
        <w:spacing w:line="360" w:lineRule="auto"/>
        <w:rPr>
          <w:rFonts w:ascii="黑体" w:hAnsi="黑体" w:eastAsia="黑体" w:cs="Times New Roman"/>
          <w:sz w:val="32"/>
          <w:szCs w:val="21"/>
          <w:highlight w:val="none"/>
        </w:rPr>
      </w:pPr>
      <w:r>
        <w:rPr>
          <w:rFonts w:hint="eastAsia" w:ascii="黑体" w:hAnsi="黑体" w:eastAsia="黑体" w:cs="Times New Roman"/>
          <w:sz w:val="32"/>
          <w:szCs w:val="21"/>
          <w:highlight w:val="none"/>
        </w:rPr>
        <w:t xml:space="preserve">附件2： </w:t>
      </w:r>
    </w:p>
    <w:p>
      <w:pPr>
        <w:spacing w:line="360" w:lineRule="auto"/>
        <w:jc w:val="center"/>
        <w:rPr>
          <w:rFonts w:ascii="黑体" w:hAnsi="黑体" w:eastAsia="黑体" w:cs="Times New Roman"/>
          <w:sz w:val="32"/>
          <w:szCs w:val="21"/>
          <w:highlight w:val="none"/>
        </w:rPr>
      </w:pPr>
      <w:r>
        <w:rPr>
          <w:rFonts w:hint="eastAsia" w:ascii="黑体" w:hAnsi="黑体" w:eastAsia="黑体" w:cs="Times New Roman"/>
          <w:sz w:val="32"/>
          <w:szCs w:val="21"/>
          <w:highlight w:val="none"/>
        </w:rPr>
        <w:t>网上智能开标相关事项</w:t>
      </w:r>
    </w:p>
    <w:p>
      <w:pPr>
        <w:snapToGrid w:val="0"/>
        <w:spacing w:line="360" w:lineRule="auto"/>
        <w:ind w:firstLine="424" w:firstLineChars="202"/>
        <w:rPr>
          <w:rFonts w:ascii="宋体" w:hAnsi="宋体" w:eastAsia="宋体" w:cs="宋体"/>
          <w:b/>
          <w:bCs/>
          <w:szCs w:val="21"/>
          <w:highlight w:val="none"/>
        </w:rPr>
      </w:pPr>
      <w:r>
        <w:rPr>
          <w:rFonts w:hint="eastAsia" w:ascii="宋体" w:hAnsi="宋体" w:eastAsia="宋体" w:cs="宋体"/>
          <w:szCs w:val="21"/>
          <w:highlight w:val="none"/>
        </w:rPr>
        <w:t>一、根据《云南省公共资源交易中心关于推行网上智能开标的通知》的相关要求，</w:t>
      </w:r>
      <w:r>
        <w:rPr>
          <w:rFonts w:hint="eastAsia" w:ascii="宋体" w:hAnsi="宋体" w:eastAsia="宋体" w:cs="宋体"/>
          <w:b/>
          <w:bCs/>
          <w:szCs w:val="21"/>
          <w:highlight w:val="none"/>
        </w:rPr>
        <w:t>投标人通过网上智能开标远程解密方式参加开标：</w:t>
      </w:r>
    </w:p>
    <w:p>
      <w:pPr>
        <w:snapToGrid w:val="0"/>
        <w:spacing w:line="360" w:lineRule="auto"/>
        <w:ind w:firstLine="424" w:firstLineChars="202"/>
        <w:rPr>
          <w:rFonts w:ascii="宋体" w:hAnsi="宋体" w:eastAsia="宋体" w:cs="宋体"/>
          <w:szCs w:val="21"/>
          <w:highlight w:val="none"/>
        </w:rPr>
      </w:pPr>
      <w:r>
        <w:rPr>
          <w:rFonts w:hint="eastAsia" w:ascii="宋体" w:hAnsi="宋体" w:eastAsia="宋体" w:cs="宋体"/>
          <w:szCs w:val="21"/>
          <w:highlight w:val="none"/>
        </w:rPr>
        <w:t>投标人登录云南省公共资源交易平台，按照《网上智能开标远程解密操作指南（投标人）》完成远程解密、查看开标一览表等相关操作。本项目解密时间为30分钟，若投标人未在规定时间完成以上解密，则视为撤销其投标文件，不再进入评标阶段。</w:t>
      </w:r>
    </w:p>
    <w:p>
      <w:pPr>
        <w:snapToGrid w:val="0"/>
        <w:spacing w:line="360" w:lineRule="auto"/>
        <w:ind w:firstLine="424" w:firstLineChars="202"/>
        <w:rPr>
          <w:rFonts w:ascii="宋体" w:hAnsi="宋体" w:eastAsia="宋体" w:cs="宋体"/>
          <w:szCs w:val="21"/>
          <w:highlight w:val="none"/>
        </w:rPr>
      </w:pPr>
      <w:r>
        <w:rPr>
          <w:rFonts w:hint="eastAsia" w:ascii="宋体" w:hAnsi="宋体" w:eastAsia="宋体" w:cs="宋体"/>
          <w:szCs w:val="21"/>
          <w:highlight w:val="none"/>
        </w:rPr>
        <w:t>因开标系统、开标现场网络、设备及其他特殊原因，导致不能正常解密投标文件的，经核实和上报相关部门同意后，可再次下达网上解密指令来延长解密时间。</w:t>
      </w:r>
    </w:p>
    <w:p>
      <w:pPr>
        <w:snapToGrid w:val="0"/>
        <w:spacing w:line="360" w:lineRule="auto"/>
        <w:ind w:firstLine="424" w:firstLineChars="202"/>
        <w:rPr>
          <w:rFonts w:ascii="宋体" w:hAnsi="宋体" w:eastAsia="宋体" w:cs="宋体"/>
          <w:szCs w:val="21"/>
          <w:highlight w:val="none"/>
        </w:rPr>
      </w:pPr>
      <w:r>
        <w:rPr>
          <w:rFonts w:hint="eastAsia" w:ascii="宋体" w:hAnsi="宋体" w:eastAsia="宋体" w:cs="宋体"/>
          <w:szCs w:val="21"/>
          <w:highlight w:val="none"/>
        </w:rPr>
        <w:t>开标过程中如有问题，可以在线提出异议，由代理机构给予对应的回复。在规定的统一提出异议时间内不提出异议的，则视为对开标结果无异议。</w:t>
      </w:r>
    </w:p>
    <w:p>
      <w:pPr>
        <w:snapToGrid w:val="0"/>
        <w:spacing w:line="360" w:lineRule="auto"/>
        <w:ind w:firstLine="424" w:firstLineChars="202"/>
        <w:rPr>
          <w:rFonts w:ascii="宋体" w:hAnsi="宋体" w:eastAsia="宋体" w:cs="宋体"/>
          <w:szCs w:val="21"/>
          <w:highlight w:val="none"/>
        </w:rPr>
      </w:pPr>
      <w:r>
        <w:rPr>
          <w:rFonts w:hint="eastAsia" w:ascii="宋体" w:hAnsi="宋体" w:eastAsia="宋体" w:cs="宋体"/>
          <w:szCs w:val="21"/>
          <w:highlight w:val="none"/>
        </w:rPr>
        <w:t>二、到规定解密截止时间后已解密的投标人不足三家的，按规定重新招标。</w:t>
      </w:r>
    </w:p>
    <w:p>
      <w:pPr>
        <w:snapToGrid w:val="0"/>
        <w:spacing w:line="360" w:lineRule="auto"/>
        <w:ind w:firstLine="424" w:firstLineChars="202"/>
        <w:rPr>
          <w:rFonts w:ascii="宋体" w:hAnsi="宋体" w:eastAsia="宋体" w:cs="宋体"/>
          <w:szCs w:val="21"/>
          <w:highlight w:val="none"/>
        </w:rPr>
      </w:pPr>
      <w:r>
        <w:rPr>
          <w:rFonts w:hint="eastAsia" w:ascii="宋体" w:hAnsi="宋体" w:eastAsia="宋体" w:cs="宋体"/>
          <w:szCs w:val="21"/>
          <w:highlight w:val="none"/>
        </w:rPr>
        <w:t>三、招标文件内容、公告与本条规定有冲突的地方以本条规定为准。</w:t>
      </w:r>
    </w:p>
    <w:p>
      <w:pPr>
        <w:snapToGrid w:val="0"/>
        <w:spacing w:line="360" w:lineRule="auto"/>
        <w:ind w:firstLine="424" w:firstLineChars="202"/>
        <w:rPr>
          <w:rFonts w:ascii="宋体" w:hAnsi="宋体" w:eastAsia="宋体" w:cs="宋体"/>
          <w:szCs w:val="21"/>
          <w:highlight w:val="none"/>
        </w:rPr>
      </w:pPr>
      <w:r>
        <w:rPr>
          <w:rFonts w:hint="eastAsia" w:ascii="宋体" w:hAnsi="宋体" w:eastAsia="宋体" w:cs="宋体"/>
          <w:szCs w:val="21"/>
          <w:highlight w:val="none"/>
        </w:rPr>
        <w:t>技术操作咨询：北京筑龙信息技术有限责任公司</w:t>
      </w:r>
    </w:p>
    <w:p>
      <w:pPr>
        <w:pStyle w:val="7"/>
        <w:spacing w:line="360" w:lineRule="auto"/>
        <w:rPr>
          <w:rFonts w:ascii="宋体" w:hAnsi="宋体" w:eastAsia="宋体" w:cs="宋体"/>
          <w:szCs w:val="21"/>
          <w:highlight w:val="none"/>
        </w:rPr>
      </w:pPr>
      <w:r>
        <w:rPr>
          <w:rFonts w:hint="eastAsia" w:ascii="宋体" w:hAnsi="宋体" w:eastAsia="宋体" w:cs="宋体"/>
          <w:szCs w:val="21"/>
          <w:highlight w:val="none"/>
        </w:rPr>
        <w:t>服务热线：010-86483801，QQ：4009618998。</w:t>
      </w:r>
    </w:p>
    <w:p>
      <w:pPr>
        <w:pStyle w:val="7"/>
        <w:rPr>
          <w:rFonts w:ascii="宋体" w:hAnsi="宋体" w:eastAsia="宋体" w:cs="宋体"/>
          <w:szCs w:val="21"/>
          <w:highlight w:val="none"/>
        </w:rPr>
      </w:pPr>
    </w:p>
    <w:p>
      <w:pPr>
        <w:spacing w:line="360" w:lineRule="auto"/>
        <w:rPr>
          <w:rFonts w:ascii="宋体" w:hAnsi="宋体" w:eastAsia="宋体" w:cs="宋体"/>
          <w:szCs w:val="21"/>
          <w:highlight w:val="none"/>
        </w:rPr>
      </w:pPr>
    </w:p>
    <w:p>
      <w:pPr>
        <w:spacing w:line="360" w:lineRule="auto"/>
        <w:rPr>
          <w:rFonts w:ascii="宋体" w:hAnsi="宋体"/>
          <w:bCs/>
          <w:sz w:val="24"/>
          <w:highlight w:val="none"/>
        </w:rPr>
      </w:pPr>
    </w:p>
    <w:p>
      <w:pPr>
        <w:widowControl/>
        <w:spacing w:line="360" w:lineRule="auto"/>
        <w:jc w:val="left"/>
        <w:rPr>
          <w:rFonts w:ascii="宋体" w:hAnsi="宋体"/>
          <w:bCs/>
          <w:sz w:val="24"/>
          <w:highlight w:val="none"/>
        </w:rPr>
      </w:pPr>
    </w:p>
    <w:p>
      <w:pPr>
        <w:widowControl/>
        <w:spacing w:line="360" w:lineRule="auto"/>
        <w:jc w:val="left"/>
        <w:rPr>
          <w:rFonts w:ascii="宋体" w:hAnsi="宋体"/>
          <w:bCs/>
          <w:kern w:val="44"/>
          <w:sz w:val="36"/>
          <w:szCs w:val="20"/>
          <w:highlight w:val="none"/>
        </w:rPr>
      </w:pPr>
      <w:r>
        <w:rPr>
          <w:rFonts w:ascii="宋体" w:hAnsi="宋体"/>
          <w:bCs/>
          <w:kern w:val="44"/>
          <w:sz w:val="36"/>
          <w:szCs w:val="20"/>
          <w:highlight w:val="none"/>
        </w:rPr>
        <w:br w:type="page"/>
      </w:r>
    </w:p>
    <w:p>
      <w:pPr>
        <w:pStyle w:val="24"/>
        <w:spacing w:line="360" w:lineRule="auto"/>
        <w:rPr>
          <w:rFonts w:ascii="宋体" w:hAnsi="宋体"/>
          <w:bCs w:val="0"/>
          <w:kern w:val="44"/>
          <w:sz w:val="36"/>
          <w:szCs w:val="20"/>
          <w:highlight w:val="none"/>
        </w:rPr>
      </w:pPr>
      <w:bookmarkStart w:id="80" w:name="_Toc24633"/>
      <w:bookmarkStart w:id="81" w:name="_Toc168573754"/>
      <w:bookmarkStart w:id="82" w:name="_Toc30430"/>
      <w:bookmarkStart w:id="83" w:name="_Toc28981"/>
      <w:bookmarkStart w:id="84" w:name="_Toc2920"/>
      <w:bookmarkStart w:id="85" w:name="_Toc9579"/>
      <w:r>
        <w:rPr>
          <w:rFonts w:hint="eastAsia" w:ascii="宋体" w:hAnsi="宋体"/>
          <w:bCs w:val="0"/>
          <w:kern w:val="44"/>
          <w:sz w:val="36"/>
          <w:szCs w:val="20"/>
          <w:highlight w:val="none"/>
        </w:rPr>
        <w:t>第二章 投标人须知</w:t>
      </w:r>
      <w:bookmarkEnd w:id="80"/>
      <w:bookmarkEnd w:id="81"/>
      <w:bookmarkEnd w:id="82"/>
      <w:bookmarkEnd w:id="83"/>
      <w:bookmarkEnd w:id="84"/>
      <w:bookmarkEnd w:id="85"/>
    </w:p>
    <w:p>
      <w:pPr>
        <w:pStyle w:val="3"/>
        <w:numPr>
          <w:ilvl w:val="0"/>
          <w:numId w:val="0"/>
        </w:numPr>
        <w:spacing w:before="0"/>
        <w:ind w:left="425"/>
        <w:jc w:val="center"/>
        <w:rPr>
          <w:rFonts w:ascii="宋体" w:hAnsi="宋体" w:eastAsia="宋体"/>
          <w:bCs/>
          <w:sz w:val="32"/>
          <w:szCs w:val="32"/>
          <w:highlight w:val="none"/>
        </w:rPr>
      </w:pPr>
      <w:bookmarkStart w:id="86" w:name="_Toc20544"/>
      <w:bookmarkStart w:id="87" w:name="_Toc168573755"/>
      <w:bookmarkStart w:id="88" w:name="_Toc14564"/>
      <w:bookmarkStart w:id="89" w:name="_Toc12745"/>
      <w:bookmarkStart w:id="90" w:name="_Toc23024"/>
      <w:bookmarkStart w:id="91" w:name="_Toc9526"/>
      <w:r>
        <w:rPr>
          <w:rFonts w:hint="eastAsia" w:ascii="宋体" w:hAnsi="宋体" w:eastAsia="宋体"/>
          <w:bCs/>
          <w:sz w:val="32"/>
          <w:szCs w:val="32"/>
          <w:highlight w:val="none"/>
        </w:rPr>
        <w:t>投标人须知前附表</w:t>
      </w:r>
      <w:bookmarkEnd w:id="86"/>
      <w:bookmarkEnd w:id="87"/>
      <w:bookmarkEnd w:id="88"/>
      <w:bookmarkEnd w:id="89"/>
      <w:bookmarkEnd w:id="90"/>
      <w:bookmarkEnd w:id="91"/>
    </w:p>
    <w:tbl>
      <w:tblPr>
        <w:tblStyle w:val="28"/>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2432"/>
        <w:gridCol w:w="5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480" w:type="dxa"/>
            <w:vAlign w:val="center"/>
          </w:tcPr>
          <w:p>
            <w:pPr>
              <w:pStyle w:val="14"/>
              <w:spacing w:line="360" w:lineRule="auto"/>
              <w:jc w:val="center"/>
              <w:rPr>
                <w:rFonts w:hAnsi="宋体"/>
                <w:b/>
                <w:szCs w:val="21"/>
                <w:highlight w:val="none"/>
              </w:rPr>
            </w:pPr>
            <w:r>
              <w:rPr>
                <w:rFonts w:hint="eastAsia" w:hAnsi="宋体"/>
                <w:b/>
                <w:szCs w:val="21"/>
                <w:highlight w:val="none"/>
              </w:rPr>
              <w:t>条款号</w:t>
            </w:r>
          </w:p>
        </w:tc>
        <w:tc>
          <w:tcPr>
            <w:tcW w:w="2432" w:type="dxa"/>
            <w:vAlign w:val="center"/>
          </w:tcPr>
          <w:p>
            <w:pPr>
              <w:pStyle w:val="14"/>
              <w:spacing w:line="360" w:lineRule="auto"/>
              <w:jc w:val="center"/>
              <w:rPr>
                <w:rFonts w:hAnsi="宋体"/>
                <w:b/>
                <w:szCs w:val="21"/>
                <w:highlight w:val="none"/>
              </w:rPr>
            </w:pPr>
            <w:r>
              <w:rPr>
                <w:rFonts w:hint="eastAsia" w:hAnsi="宋体"/>
                <w:b/>
                <w:szCs w:val="21"/>
                <w:highlight w:val="none"/>
              </w:rPr>
              <w:t>条 款 名 称</w:t>
            </w:r>
          </w:p>
        </w:tc>
        <w:tc>
          <w:tcPr>
            <w:tcW w:w="5908" w:type="dxa"/>
            <w:vAlign w:val="center"/>
          </w:tcPr>
          <w:p>
            <w:pPr>
              <w:pStyle w:val="14"/>
              <w:spacing w:line="360" w:lineRule="auto"/>
              <w:jc w:val="center"/>
              <w:rPr>
                <w:rFonts w:hAnsi="宋体"/>
                <w:b/>
                <w:szCs w:val="21"/>
                <w:highlight w:val="none"/>
              </w:rPr>
            </w:pPr>
            <w:r>
              <w:rPr>
                <w:rFonts w:hint="eastAsia" w:hAnsi="宋体"/>
                <w:b/>
                <w:szCs w:val="21"/>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480" w:type="dxa"/>
            <w:vMerge w:val="restart"/>
            <w:vAlign w:val="center"/>
          </w:tcPr>
          <w:p>
            <w:pPr>
              <w:pStyle w:val="14"/>
              <w:spacing w:line="360" w:lineRule="auto"/>
              <w:jc w:val="center"/>
              <w:rPr>
                <w:rFonts w:hAnsi="宋体"/>
                <w:szCs w:val="21"/>
                <w:highlight w:val="none"/>
              </w:rPr>
            </w:pPr>
            <w:r>
              <w:rPr>
                <w:rFonts w:hint="eastAsia" w:hAnsi="宋体"/>
                <w:szCs w:val="21"/>
                <w:highlight w:val="none"/>
              </w:rPr>
              <w:t>1</w:t>
            </w:r>
          </w:p>
        </w:tc>
        <w:tc>
          <w:tcPr>
            <w:tcW w:w="2432" w:type="dxa"/>
            <w:vAlign w:val="center"/>
          </w:tcPr>
          <w:p>
            <w:pPr>
              <w:pStyle w:val="14"/>
              <w:spacing w:line="360" w:lineRule="auto"/>
              <w:rPr>
                <w:rFonts w:hAnsi="宋体"/>
                <w:szCs w:val="21"/>
                <w:highlight w:val="none"/>
                <w:u w:val="single"/>
              </w:rPr>
            </w:pPr>
            <w:r>
              <w:rPr>
                <w:rFonts w:hint="eastAsia" w:hAnsi="宋体"/>
                <w:bCs/>
                <w:szCs w:val="21"/>
                <w:highlight w:val="none"/>
              </w:rPr>
              <w:t>采购人</w:t>
            </w:r>
          </w:p>
        </w:tc>
        <w:tc>
          <w:tcPr>
            <w:tcW w:w="5908" w:type="dxa"/>
            <w:vAlign w:val="center"/>
          </w:tcPr>
          <w:p>
            <w:pPr>
              <w:pStyle w:val="14"/>
              <w:spacing w:line="360" w:lineRule="auto"/>
              <w:rPr>
                <w:rFonts w:hAnsi="宋体"/>
                <w:szCs w:val="21"/>
                <w:highlight w:val="none"/>
              </w:rPr>
            </w:pPr>
            <w:r>
              <w:rPr>
                <w:rFonts w:hint="eastAsia" w:hAnsi="宋体"/>
                <w:szCs w:val="21"/>
                <w:highlight w:val="none"/>
              </w:rPr>
              <w:t>采 购 人：云南省森林消防总队</w:t>
            </w:r>
          </w:p>
          <w:p>
            <w:pPr>
              <w:pStyle w:val="14"/>
              <w:spacing w:line="360" w:lineRule="auto"/>
              <w:rPr>
                <w:rFonts w:hAnsi="宋体"/>
                <w:szCs w:val="21"/>
                <w:highlight w:val="none"/>
              </w:rPr>
            </w:pPr>
            <w:r>
              <w:rPr>
                <w:rFonts w:hint="eastAsia" w:hAnsi="宋体"/>
                <w:szCs w:val="21"/>
                <w:highlight w:val="none"/>
              </w:rPr>
              <w:t>地    址：昆明市五华区龙泉路476号</w:t>
            </w:r>
          </w:p>
          <w:p>
            <w:pPr>
              <w:pStyle w:val="14"/>
              <w:spacing w:line="360" w:lineRule="auto"/>
              <w:rPr>
                <w:rFonts w:hAnsi="宋体"/>
                <w:szCs w:val="21"/>
                <w:highlight w:val="none"/>
              </w:rPr>
            </w:pPr>
            <w:r>
              <w:rPr>
                <w:rFonts w:hint="eastAsia" w:hAnsi="宋体"/>
                <w:szCs w:val="21"/>
                <w:highlight w:val="none"/>
              </w:rPr>
              <w:t xml:space="preserve">联系人：甘助理 </w:t>
            </w:r>
          </w:p>
          <w:p>
            <w:pPr>
              <w:pStyle w:val="14"/>
              <w:spacing w:line="360" w:lineRule="auto"/>
              <w:rPr>
                <w:rFonts w:hAnsi="宋体"/>
                <w:szCs w:val="21"/>
                <w:highlight w:val="none"/>
                <w:u w:val="single"/>
              </w:rPr>
            </w:pPr>
            <w:r>
              <w:rPr>
                <w:rFonts w:hint="eastAsia" w:hAnsi="宋体"/>
                <w:szCs w:val="21"/>
                <w:highlight w:val="none"/>
              </w:rPr>
              <w:t>电  话：0871-68366999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480" w:type="dxa"/>
            <w:vMerge w:val="continue"/>
            <w:vAlign w:val="center"/>
          </w:tcPr>
          <w:p>
            <w:pPr>
              <w:spacing w:line="360" w:lineRule="auto"/>
              <w:rPr>
                <w:rFonts w:ascii="宋体" w:hAnsi="宋体"/>
                <w:szCs w:val="21"/>
                <w:highlight w:val="none"/>
              </w:rPr>
            </w:pPr>
          </w:p>
        </w:tc>
        <w:tc>
          <w:tcPr>
            <w:tcW w:w="2432" w:type="dxa"/>
            <w:vAlign w:val="center"/>
          </w:tcPr>
          <w:p>
            <w:pPr>
              <w:pStyle w:val="14"/>
              <w:spacing w:line="360" w:lineRule="auto"/>
              <w:rPr>
                <w:rFonts w:hAnsi="宋体"/>
                <w:bCs/>
                <w:szCs w:val="21"/>
                <w:highlight w:val="none"/>
              </w:rPr>
            </w:pPr>
            <w:r>
              <w:rPr>
                <w:rFonts w:hint="eastAsia" w:hAnsi="宋体"/>
                <w:bCs/>
                <w:szCs w:val="21"/>
                <w:highlight w:val="none"/>
              </w:rPr>
              <w:t>采购代理机构</w:t>
            </w:r>
          </w:p>
        </w:tc>
        <w:tc>
          <w:tcPr>
            <w:tcW w:w="5908" w:type="dxa"/>
            <w:vAlign w:val="center"/>
          </w:tcPr>
          <w:p>
            <w:pPr>
              <w:pStyle w:val="14"/>
              <w:spacing w:line="360" w:lineRule="auto"/>
              <w:rPr>
                <w:rFonts w:hAnsi="宋体"/>
                <w:szCs w:val="21"/>
                <w:highlight w:val="none"/>
              </w:rPr>
            </w:pPr>
            <w:r>
              <w:rPr>
                <w:rFonts w:hint="eastAsia" w:hAnsi="宋体"/>
                <w:szCs w:val="21"/>
                <w:highlight w:val="none"/>
              </w:rPr>
              <w:t>采购代理机构：云南赛林工程管理咨询有限公司</w:t>
            </w:r>
          </w:p>
          <w:p>
            <w:pPr>
              <w:pStyle w:val="14"/>
              <w:spacing w:line="360" w:lineRule="auto"/>
              <w:rPr>
                <w:rFonts w:hAnsi="宋体"/>
                <w:szCs w:val="21"/>
                <w:highlight w:val="none"/>
              </w:rPr>
            </w:pPr>
            <w:r>
              <w:rPr>
                <w:rFonts w:hint="eastAsia" w:hAnsi="宋体"/>
                <w:szCs w:val="21"/>
                <w:highlight w:val="none"/>
              </w:rPr>
              <w:t>地  址：云南民族村昆明故城9幢二楼</w:t>
            </w:r>
          </w:p>
          <w:p>
            <w:pPr>
              <w:pStyle w:val="14"/>
              <w:spacing w:line="360" w:lineRule="auto"/>
              <w:rPr>
                <w:rFonts w:hAnsi="宋体"/>
                <w:szCs w:val="21"/>
                <w:highlight w:val="none"/>
              </w:rPr>
            </w:pPr>
            <w:r>
              <w:rPr>
                <w:rFonts w:hint="eastAsia" w:hAnsi="宋体"/>
                <w:szCs w:val="21"/>
                <w:highlight w:val="none"/>
              </w:rPr>
              <w:t>联系人：冯工、魏工</w:t>
            </w:r>
          </w:p>
          <w:p>
            <w:pPr>
              <w:pStyle w:val="14"/>
              <w:spacing w:line="360" w:lineRule="auto"/>
              <w:rPr>
                <w:rFonts w:hAnsi="宋体"/>
                <w:szCs w:val="21"/>
                <w:highlight w:val="none"/>
              </w:rPr>
            </w:pPr>
            <w:r>
              <w:rPr>
                <w:rFonts w:hint="eastAsia" w:hAnsi="宋体"/>
                <w:szCs w:val="21"/>
                <w:highlight w:val="none"/>
              </w:rPr>
              <w:t>联系电话：</w:t>
            </w:r>
            <w:r>
              <w:rPr>
                <w:rFonts w:hint="eastAsia" w:hAnsi="宋体" w:cs="宋体"/>
                <w:szCs w:val="21"/>
                <w:highlight w:val="none"/>
              </w:rPr>
              <w:t>0871-63181513  13708425741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480" w:type="dxa"/>
            <w:vMerge w:val="continue"/>
            <w:vAlign w:val="center"/>
          </w:tcPr>
          <w:p>
            <w:pPr>
              <w:spacing w:line="360" w:lineRule="auto"/>
              <w:rPr>
                <w:rFonts w:ascii="宋体" w:hAnsi="宋体"/>
                <w:szCs w:val="21"/>
                <w:highlight w:val="none"/>
              </w:rPr>
            </w:pPr>
          </w:p>
        </w:tc>
        <w:tc>
          <w:tcPr>
            <w:tcW w:w="2432" w:type="dxa"/>
            <w:vAlign w:val="center"/>
          </w:tcPr>
          <w:p>
            <w:pPr>
              <w:pStyle w:val="14"/>
              <w:spacing w:line="360" w:lineRule="auto"/>
              <w:rPr>
                <w:rFonts w:hAnsi="宋体"/>
                <w:szCs w:val="21"/>
                <w:highlight w:val="none"/>
              </w:rPr>
            </w:pPr>
            <w:r>
              <w:rPr>
                <w:rFonts w:hint="eastAsia" w:hAnsi="宋体"/>
                <w:szCs w:val="21"/>
                <w:highlight w:val="none"/>
              </w:rPr>
              <w:t>项目名称及招标编号</w:t>
            </w:r>
          </w:p>
        </w:tc>
        <w:tc>
          <w:tcPr>
            <w:tcW w:w="5908" w:type="dxa"/>
            <w:vAlign w:val="center"/>
          </w:tcPr>
          <w:p>
            <w:pPr>
              <w:pStyle w:val="14"/>
              <w:spacing w:line="360" w:lineRule="auto"/>
              <w:rPr>
                <w:rFonts w:hAnsi="宋体"/>
                <w:szCs w:val="21"/>
                <w:highlight w:val="none"/>
              </w:rPr>
            </w:pPr>
            <w:r>
              <w:rPr>
                <w:rFonts w:hint="eastAsia" w:hAnsi="宋体"/>
                <w:szCs w:val="21"/>
                <w:highlight w:val="none"/>
              </w:rPr>
              <w:t>项目名称：云南省森林消防总队个人防护装备（头盔、灯类）购置项目</w:t>
            </w:r>
          </w:p>
          <w:p>
            <w:pPr>
              <w:pStyle w:val="14"/>
              <w:spacing w:line="360" w:lineRule="auto"/>
              <w:rPr>
                <w:rFonts w:hAnsi="宋体"/>
                <w:szCs w:val="21"/>
                <w:highlight w:val="none"/>
              </w:rPr>
            </w:pPr>
            <w:r>
              <w:rPr>
                <w:rFonts w:hint="eastAsia" w:hAnsi="宋体"/>
                <w:szCs w:val="21"/>
                <w:highlight w:val="none"/>
              </w:rPr>
              <w:t>项目编号：云赛招字2024-115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480" w:type="dxa"/>
            <w:vAlign w:val="center"/>
          </w:tcPr>
          <w:p>
            <w:pPr>
              <w:spacing w:line="360" w:lineRule="auto"/>
              <w:jc w:val="center"/>
              <w:rPr>
                <w:rFonts w:ascii="宋体" w:hAnsi="宋体"/>
                <w:szCs w:val="21"/>
                <w:highlight w:val="none"/>
              </w:rPr>
            </w:pPr>
            <w:r>
              <w:rPr>
                <w:rFonts w:hint="eastAsia" w:ascii="宋体" w:hAnsi="宋体"/>
                <w:szCs w:val="21"/>
                <w:highlight w:val="none"/>
              </w:rPr>
              <w:t>2</w:t>
            </w:r>
          </w:p>
        </w:tc>
        <w:tc>
          <w:tcPr>
            <w:tcW w:w="2432" w:type="dxa"/>
            <w:vAlign w:val="center"/>
          </w:tcPr>
          <w:p>
            <w:pPr>
              <w:pStyle w:val="14"/>
              <w:spacing w:line="360" w:lineRule="auto"/>
              <w:rPr>
                <w:rFonts w:hAnsi="宋体"/>
                <w:szCs w:val="21"/>
                <w:highlight w:val="none"/>
              </w:rPr>
            </w:pPr>
            <w:r>
              <w:rPr>
                <w:rFonts w:hint="eastAsia" w:hAnsi="宋体"/>
                <w:szCs w:val="21"/>
                <w:highlight w:val="none"/>
              </w:rPr>
              <w:t>资金来源</w:t>
            </w:r>
          </w:p>
        </w:tc>
        <w:tc>
          <w:tcPr>
            <w:tcW w:w="5908" w:type="dxa"/>
            <w:vAlign w:val="center"/>
          </w:tcPr>
          <w:p>
            <w:pPr>
              <w:pStyle w:val="14"/>
              <w:spacing w:line="360" w:lineRule="auto"/>
              <w:rPr>
                <w:rFonts w:hAnsi="宋体"/>
                <w:szCs w:val="21"/>
                <w:highlight w:val="none"/>
              </w:rPr>
            </w:pPr>
            <w:r>
              <w:rPr>
                <w:rFonts w:hint="eastAsia" w:hAnsi="宋体"/>
                <w:szCs w:val="21"/>
                <w:highlight w:val="none"/>
              </w:rPr>
              <w:t>政府投资。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3.1</w:t>
            </w:r>
          </w:p>
        </w:tc>
        <w:tc>
          <w:tcPr>
            <w:tcW w:w="2432" w:type="dxa"/>
            <w:vAlign w:val="center"/>
          </w:tcPr>
          <w:p>
            <w:pPr>
              <w:pStyle w:val="14"/>
              <w:spacing w:line="360" w:lineRule="auto"/>
              <w:rPr>
                <w:rFonts w:hAnsi="宋体"/>
                <w:szCs w:val="21"/>
                <w:highlight w:val="none"/>
              </w:rPr>
            </w:pPr>
            <w:r>
              <w:rPr>
                <w:rFonts w:hint="eastAsia" w:hAnsi="宋体"/>
                <w:szCs w:val="21"/>
                <w:highlight w:val="none"/>
              </w:rPr>
              <w:t>招标范围</w:t>
            </w:r>
          </w:p>
        </w:tc>
        <w:tc>
          <w:tcPr>
            <w:tcW w:w="5908" w:type="dxa"/>
            <w:vAlign w:val="center"/>
          </w:tcPr>
          <w:p>
            <w:pPr>
              <w:pStyle w:val="14"/>
              <w:spacing w:line="360" w:lineRule="auto"/>
              <w:jc w:val="left"/>
              <w:rPr>
                <w:rFonts w:hAnsi="宋体"/>
                <w:szCs w:val="21"/>
                <w:highlight w:val="none"/>
              </w:rPr>
            </w:pPr>
            <w:r>
              <w:rPr>
                <w:rFonts w:hint="eastAsia" w:hAnsi="宋体"/>
                <w:szCs w:val="21"/>
                <w:highlight w:val="none"/>
              </w:rPr>
              <w:t>详见招标公告及招标文件第五章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3.2</w:t>
            </w:r>
          </w:p>
        </w:tc>
        <w:tc>
          <w:tcPr>
            <w:tcW w:w="2432" w:type="dxa"/>
            <w:vAlign w:val="center"/>
          </w:tcPr>
          <w:p>
            <w:pPr>
              <w:pStyle w:val="14"/>
              <w:spacing w:line="360" w:lineRule="auto"/>
              <w:rPr>
                <w:rFonts w:hAnsi="宋体"/>
                <w:szCs w:val="21"/>
                <w:highlight w:val="none"/>
              </w:rPr>
            </w:pPr>
            <w:r>
              <w:rPr>
                <w:rFonts w:hint="eastAsia" w:hAnsi="宋体"/>
                <w:szCs w:val="21"/>
                <w:highlight w:val="none"/>
              </w:rPr>
              <w:t>验收标准</w:t>
            </w:r>
          </w:p>
        </w:tc>
        <w:tc>
          <w:tcPr>
            <w:tcW w:w="5908" w:type="dxa"/>
            <w:vAlign w:val="center"/>
          </w:tcPr>
          <w:p>
            <w:pPr>
              <w:pStyle w:val="14"/>
              <w:spacing w:line="360" w:lineRule="auto"/>
              <w:jc w:val="left"/>
              <w:rPr>
                <w:rFonts w:hAnsi="宋体"/>
                <w:szCs w:val="21"/>
                <w:highlight w:val="none"/>
              </w:rPr>
            </w:pPr>
            <w:r>
              <w:rPr>
                <w:rFonts w:hint="eastAsia" w:hAnsi="宋体"/>
                <w:szCs w:val="21"/>
                <w:highlight w:val="none"/>
              </w:rPr>
              <w:t>符合现行国家相关规定及行业标准、要求，符合国家相关行业质量验收标准。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3.3</w:t>
            </w:r>
          </w:p>
        </w:tc>
        <w:tc>
          <w:tcPr>
            <w:tcW w:w="2432" w:type="dxa"/>
            <w:vAlign w:val="center"/>
          </w:tcPr>
          <w:p>
            <w:pPr>
              <w:pStyle w:val="14"/>
              <w:spacing w:line="360" w:lineRule="auto"/>
              <w:rPr>
                <w:rFonts w:hAnsi="宋体"/>
                <w:szCs w:val="21"/>
                <w:highlight w:val="none"/>
              </w:rPr>
            </w:pPr>
            <w:r>
              <w:rPr>
                <w:rFonts w:hint="eastAsia" w:hAnsi="宋体"/>
                <w:szCs w:val="21"/>
                <w:highlight w:val="none"/>
              </w:rPr>
              <w:t>交货期</w:t>
            </w:r>
          </w:p>
        </w:tc>
        <w:tc>
          <w:tcPr>
            <w:tcW w:w="5908" w:type="dxa"/>
            <w:vAlign w:val="center"/>
          </w:tcPr>
          <w:p>
            <w:pPr>
              <w:pStyle w:val="14"/>
              <w:spacing w:line="360" w:lineRule="auto"/>
              <w:rPr>
                <w:rFonts w:hAnsi="宋体"/>
                <w:szCs w:val="21"/>
                <w:highlight w:val="none"/>
              </w:rPr>
            </w:pPr>
            <w:r>
              <w:rPr>
                <w:rFonts w:hint="eastAsia" w:hAnsi="宋体"/>
                <w:szCs w:val="21"/>
                <w:highlight w:val="none"/>
              </w:rPr>
              <w:t>交货期：</w:t>
            </w:r>
            <w:r>
              <w:rPr>
                <w:rFonts w:hint="eastAsia" w:cs="宋体" w:asciiTheme="minorEastAsia" w:hAnsiTheme="minorEastAsia"/>
                <w:kern w:val="0"/>
                <w:highlight w:val="none"/>
              </w:rPr>
              <w:t>签订合同之日起90日历天内交货。</w:t>
            </w:r>
          </w:p>
          <w:p>
            <w:pPr>
              <w:pStyle w:val="14"/>
              <w:spacing w:line="360" w:lineRule="auto"/>
              <w:rPr>
                <w:rFonts w:hAnsi="宋体"/>
                <w:szCs w:val="21"/>
                <w:highlight w:val="none"/>
              </w:rPr>
            </w:pPr>
            <w:r>
              <w:rPr>
                <w:rFonts w:hint="eastAsia" w:hAnsi="宋体"/>
                <w:szCs w:val="21"/>
                <w:highlight w:val="none"/>
              </w:rPr>
              <w:t>交货地点：云南省森林消防总队指定地点（昆明、保山、丽江、普洱、大理、迪庆、版纳、安宁、南宁、贵阳）。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4.1</w:t>
            </w:r>
          </w:p>
        </w:tc>
        <w:tc>
          <w:tcPr>
            <w:tcW w:w="2432" w:type="dxa"/>
            <w:vAlign w:val="center"/>
          </w:tcPr>
          <w:p>
            <w:pPr>
              <w:pStyle w:val="14"/>
              <w:spacing w:line="360" w:lineRule="auto"/>
              <w:rPr>
                <w:rFonts w:hAnsi="宋体"/>
                <w:szCs w:val="21"/>
                <w:highlight w:val="none"/>
              </w:rPr>
            </w:pPr>
            <w:r>
              <w:rPr>
                <w:rFonts w:hint="eastAsia" w:hAnsi="宋体"/>
                <w:szCs w:val="21"/>
                <w:highlight w:val="none"/>
              </w:rPr>
              <w:t>投标人的资格要求</w:t>
            </w:r>
          </w:p>
        </w:tc>
        <w:tc>
          <w:tcPr>
            <w:tcW w:w="5908" w:type="dxa"/>
          </w:tcPr>
          <w:p>
            <w:pPr>
              <w:pStyle w:val="14"/>
              <w:spacing w:line="360" w:lineRule="auto"/>
              <w:rPr>
                <w:rFonts w:hAnsi="宋体"/>
                <w:b/>
                <w:szCs w:val="21"/>
                <w:highlight w:val="none"/>
              </w:rPr>
            </w:pPr>
            <w:r>
              <w:rPr>
                <w:rFonts w:hint="eastAsia" w:hAnsi="宋体"/>
                <w:highlight w:val="none"/>
              </w:rPr>
              <w:t>同招标公告“投标人的资格要求”。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9.1</w:t>
            </w:r>
          </w:p>
        </w:tc>
        <w:tc>
          <w:tcPr>
            <w:tcW w:w="2432" w:type="dxa"/>
            <w:vAlign w:val="center"/>
          </w:tcPr>
          <w:p>
            <w:pPr>
              <w:autoSpaceDE w:val="0"/>
              <w:autoSpaceDN w:val="0"/>
              <w:snapToGrid w:val="0"/>
              <w:spacing w:line="360" w:lineRule="auto"/>
              <w:textAlignment w:val="bottom"/>
              <w:rPr>
                <w:rFonts w:ascii="宋体" w:hAnsi="宋体"/>
                <w:szCs w:val="21"/>
                <w:highlight w:val="none"/>
              </w:rPr>
            </w:pPr>
            <w:r>
              <w:rPr>
                <w:rFonts w:hint="eastAsia" w:ascii="宋体" w:hAnsi="宋体"/>
                <w:szCs w:val="21"/>
                <w:highlight w:val="none"/>
              </w:rPr>
              <w:t>招标文件澄清截止时间</w:t>
            </w:r>
          </w:p>
        </w:tc>
        <w:tc>
          <w:tcPr>
            <w:tcW w:w="5908" w:type="dxa"/>
            <w:vAlign w:val="center"/>
          </w:tcPr>
          <w:p>
            <w:pPr>
              <w:pStyle w:val="14"/>
              <w:spacing w:line="360" w:lineRule="auto"/>
              <w:jc w:val="left"/>
              <w:rPr>
                <w:rFonts w:hAnsi="宋体"/>
                <w:bCs/>
                <w:szCs w:val="21"/>
                <w:highlight w:val="none"/>
              </w:rPr>
            </w:pPr>
            <w:r>
              <w:rPr>
                <w:rFonts w:hint="eastAsia" w:hAnsi="宋体"/>
                <w:szCs w:val="21"/>
                <w:highlight w:val="none"/>
              </w:rPr>
              <w:t>提交投标文件截止时间十五日前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Merge w:val="restart"/>
            <w:vAlign w:val="center"/>
          </w:tcPr>
          <w:p>
            <w:pPr>
              <w:pStyle w:val="14"/>
              <w:spacing w:line="360" w:lineRule="auto"/>
              <w:jc w:val="center"/>
              <w:rPr>
                <w:rFonts w:hAnsi="宋体"/>
                <w:szCs w:val="21"/>
                <w:highlight w:val="none"/>
              </w:rPr>
            </w:pPr>
            <w:r>
              <w:rPr>
                <w:rFonts w:hint="eastAsia" w:hAnsi="宋体"/>
                <w:szCs w:val="21"/>
                <w:highlight w:val="none"/>
              </w:rPr>
              <w:t>15.1</w:t>
            </w:r>
          </w:p>
        </w:tc>
        <w:tc>
          <w:tcPr>
            <w:tcW w:w="2432" w:type="dxa"/>
            <w:vAlign w:val="center"/>
          </w:tcPr>
          <w:p>
            <w:pPr>
              <w:pStyle w:val="14"/>
              <w:spacing w:line="360" w:lineRule="auto"/>
              <w:rPr>
                <w:rFonts w:hAnsi="宋体"/>
                <w:szCs w:val="21"/>
                <w:highlight w:val="none"/>
              </w:rPr>
            </w:pPr>
            <w:r>
              <w:rPr>
                <w:rFonts w:hint="eastAsia" w:hAnsi="宋体"/>
                <w:szCs w:val="21"/>
                <w:highlight w:val="none"/>
              </w:rPr>
              <w:t>本项目预算金额</w:t>
            </w:r>
          </w:p>
        </w:tc>
        <w:tc>
          <w:tcPr>
            <w:tcW w:w="5908" w:type="dxa"/>
            <w:vAlign w:val="center"/>
          </w:tcPr>
          <w:p>
            <w:pPr>
              <w:autoSpaceDE w:val="0"/>
              <w:autoSpaceDN w:val="0"/>
              <w:snapToGrid w:val="0"/>
              <w:spacing w:line="360" w:lineRule="auto"/>
              <w:textAlignment w:val="bottom"/>
              <w:rPr>
                <w:rFonts w:ascii="宋体" w:hAnsi="宋体"/>
                <w:bCs/>
                <w:szCs w:val="21"/>
                <w:highlight w:val="none"/>
              </w:rPr>
            </w:pPr>
            <w:r>
              <w:rPr>
                <w:rFonts w:hint="eastAsia" w:ascii="宋体" w:hAnsi="宋体"/>
                <w:bCs/>
                <w:szCs w:val="21"/>
                <w:highlight w:val="none"/>
              </w:rPr>
              <w:t>预算金额1548.61万元。其中1标包：1245.57万元；2标包303.04万元。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Merge w:val="continue"/>
            <w:vAlign w:val="center"/>
          </w:tcPr>
          <w:p>
            <w:pPr>
              <w:pStyle w:val="14"/>
              <w:spacing w:line="360" w:lineRule="auto"/>
              <w:jc w:val="center"/>
              <w:rPr>
                <w:rFonts w:hAnsi="宋体"/>
                <w:szCs w:val="21"/>
                <w:highlight w:val="none"/>
              </w:rPr>
            </w:pPr>
          </w:p>
        </w:tc>
        <w:tc>
          <w:tcPr>
            <w:tcW w:w="2432" w:type="dxa"/>
            <w:vAlign w:val="center"/>
          </w:tcPr>
          <w:p>
            <w:pPr>
              <w:pStyle w:val="14"/>
              <w:spacing w:line="360" w:lineRule="auto"/>
              <w:rPr>
                <w:rFonts w:hAnsi="宋体"/>
                <w:szCs w:val="21"/>
                <w:highlight w:val="none"/>
              </w:rPr>
            </w:pPr>
            <w:r>
              <w:rPr>
                <w:rFonts w:hint="eastAsia" w:hAnsi="宋体"/>
                <w:szCs w:val="21"/>
                <w:highlight w:val="none"/>
              </w:rPr>
              <w:t>本项目最高限价</w:t>
            </w:r>
          </w:p>
        </w:tc>
        <w:tc>
          <w:tcPr>
            <w:tcW w:w="5908" w:type="dxa"/>
            <w:vAlign w:val="center"/>
          </w:tcPr>
          <w:p>
            <w:pPr>
              <w:autoSpaceDE w:val="0"/>
              <w:autoSpaceDN w:val="0"/>
              <w:snapToGrid w:val="0"/>
              <w:spacing w:line="360" w:lineRule="auto"/>
              <w:textAlignment w:val="bottom"/>
              <w:rPr>
                <w:rFonts w:ascii="宋体" w:hAnsi="宋体"/>
                <w:bCs/>
                <w:szCs w:val="21"/>
                <w:highlight w:val="none"/>
              </w:rPr>
            </w:pPr>
            <w:r>
              <w:rPr>
                <w:rFonts w:hint="eastAsia" w:cs="宋体" w:asciiTheme="minorEastAsia" w:hAnsiTheme="minorEastAsia"/>
                <w:kern w:val="0"/>
                <w:highlight w:val="none"/>
              </w:rPr>
              <w:t>最高限价：1320.3551万元。其中1标包：1017.3141万元；2标包303.041万元。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17.1</w:t>
            </w:r>
          </w:p>
        </w:tc>
        <w:tc>
          <w:tcPr>
            <w:tcW w:w="2432" w:type="dxa"/>
            <w:vAlign w:val="center"/>
          </w:tcPr>
          <w:p>
            <w:pPr>
              <w:pStyle w:val="14"/>
              <w:spacing w:line="360" w:lineRule="auto"/>
              <w:rPr>
                <w:rFonts w:hAnsi="宋体"/>
                <w:szCs w:val="21"/>
                <w:highlight w:val="none"/>
              </w:rPr>
            </w:pPr>
            <w:r>
              <w:rPr>
                <w:rFonts w:hint="eastAsia" w:hAnsi="宋体"/>
                <w:szCs w:val="21"/>
                <w:highlight w:val="none"/>
              </w:rPr>
              <w:t>投标文件有效期</w:t>
            </w:r>
          </w:p>
        </w:tc>
        <w:tc>
          <w:tcPr>
            <w:tcW w:w="5908" w:type="dxa"/>
            <w:vAlign w:val="center"/>
          </w:tcPr>
          <w:p>
            <w:pPr>
              <w:pStyle w:val="14"/>
              <w:spacing w:line="360" w:lineRule="auto"/>
              <w:rPr>
                <w:rFonts w:hAnsi="宋体"/>
                <w:szCs w:val="21"/>
                <w:highlight w:val="none"/>
              </w:rPr>
            </w:pPr>
            <w:r>
              <w:rPr>
                <w:rFonts w:hint="eastAsia" w:hAnsi="宋体"/>
                <w:szCs w:val="21"/>
                <w:highlight w:val="none"/>
              </w:rPr>
              <w:t>从提交投标文件截止之日起</w:t>
            </w:r>
            <w:r>
              <w:rPr>
                <w:rFonts w:hint="eastAsia" w:hAnsi="宋体"/>
                <w:szCs w:val="21"/>
                <w:highlight w:val="none"/>
                <w:u w:val="single"/>
              </w:rPr>
              <w:t>90</w:t>
            </w:r>
            <w:r>
              <w:rPr>
                <w:rFonts w:hint="eastAsia" w:hAnsi="宋体"/>
                <w:szCs w:val="21"/>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18.1</w:t>
            </w:r>
          </w:p>
        </w:tc>
        <w:tc>
          <w:tcPr>
            <w:tcW w:w="2432" w:type="dxa"/>
            <w:vAlign w:val="center"/>
          </w:tcPr>
          <w:p>
            <w:pPr>
              <w:pStyle w:val="14"/>
              <w:spacing w:line="360" w:lineRule="auto"/>
              <w:rPr>
                <w:rFonts w:hAnsi="宋体"/>
                <w:szCs w:val="21"/>
                <w:highlight w:val="none"/>
              </w:rPr>
            </w:pPr>
            <w:r>
              <w:rPr>
                <w:rFonts w:hint="eastAsia" w:hAnsi="宋体"/>
                <w:szCs w:val="21"/>
                <w:highlight w:val="none"/>
              </w:rPr>
              <w:t>分包</w:t>
            </w:r>
          </w:p>
        </w:tc>
        <w:tc>
          <w:tcPr>
            <w:tcW w:w="5908" w:type="dxa"/>
            <w:vAlign w:val="center"/>
          </w:tcPr>
          <w:p>
            <w:pPr>
              <w:pStyle w:val="14"/>
              <w:spacing w:line="360" w:lineRule="auto"/>
              <w:rPr>
                <w:rFonts w:hAnsi="宋体"/>
                <w:szCs w:val="21"/>
                <w:highlight w:val="none"/>
              </w:rPr>
            </w:pPr>
            <w:r>
              <w:rPr>
                <w:rFonts w:hint="eastAsia" w:hAnsi="宋体"/>
                <w:highlight w:val="none"/>
              </w:rPr>
              <w:t>本项目不允许分包。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480" w:type="dxa"/>
            <w:vAlign w:val="center"/>
          </w:tcPr>
          <w:p>
            <w:pPr>
              <w:pStyle w:val="14"/>
              <w:spacing w:line="360" w:lineRule="auto"/>
              <w:jc w:val="center"/>
              <w:rPr>
                <w:rFonts w:hAnsi="宋体"/>
                <w:szCs w:val="21"/>
                <w:highlight w:val="none"/>
              </w:rPr>
            </w:pPr>
            <w:r>
              <w:rPr>
                <w:rFonts w:hAnsi="宋体"/>
                <w:szCs w:val="21"/>
                <w:highlight w:val="none"/>
              </w:rPr>
              <w:t>21.1</w:t>
            </w:r>
          </w:p>
        </w:tc>
        <w:tc>
          <w:tcPr>
            <w:tcW w:w="2432" w:type="dxa"/>
            <w:vAlign w:val="center"/>
          </w:tcPr>
          <w:p>
            <w:pPr>
              <w:pStyle w:val="14"/>
              <w:spacing w:line="360" w:lineRule="auto"/>
              <w:rPr>
                <w:rFonts w:hAnsi="宋体"/>
                <w:szCs w:val="21"/>
                <w:highlight w:val="none"/>
              </w:rPr>
            </w:pPr>
            <w:r>
              <w:rPr>
                <w:rFonts w:hint="eastAsia" w:hAnsi="宋体"/>
                <w:szCs w:val="21"/>
                <w:highlight w:val="none"/>
              </w:rPr>
              <w:t>投标保证金</w:t>
            </w:r>
          </w:p>
        </w:tc>
        <w:tc>
          <w:tcPr>
            <w:tcW w:w="5908" w:type="dxa"/>
            <w:vAlign w:val="center"/>
          </w:tcPr>
          <w:p>
            <w:pPr>
              <w:wordWrap w:val="0"/>
              <w:spacing w:line="440" w:lineRule="exact"/>
              <w:ind w:firstLine="0" w:firstLineChars="0"/>
              <w:rPr>
                <w:rFonts w:hint="eastAsia" w:ascii="宋体" w:cs="宋体"/>
                <w:kern w:val="2"/>
                <w:sz w:val="24"/>
                <w:szCs w:val="24"/>
              </w:rPr>
            </w:pPr>
            <w:r>
              <w:rPr>
                <w:rFonts w:hint="eastAsia" w:ascii="宋体" w:cs="宋体"/>
                <w:b/>
                <w:bCs/>
                <w:kern w:val="2"/>
                <w:sz w:val="24"/>
                <w:szCs w:val="24"/>
              </w:rPr>
              <w:t>本项目投标保证金提交形式包括：</w:t>
            </w:r>
            <w:r>
              <w:rPr>
                <w:rFonts w:hint="eastAsia" w:ascii="宋体" w:cs="宋体"/>
                <w:kern w:val="2"/>
                <w:sz w:val="24"/>
                <w:szCs w:val="24"/>
              </w:rPr>
              <w:t>支票、汇票、本票、银行转帐或者金融机构、担保机构出具的保函等非现金形式交纳。</w:t>
            </w:r>
          </w:p>
          <w:p>
            <w:pPr>
              <w:wordWrap w:val="0"/>
              <w:spacing w:line="440" w:lineRule="exact"/>
              <w:rPr>
                <w:rFonts w:hint="eastAsia" w:ascii="宋体" w:cs="宋体"/>
                <w:kern w:val="2"/>
                <w:sz w:val="24"/>
                <w:szCs w:val="24"/>
              </w:rPr>
            </w:pPr>
            <w:r>
              <w:rPr>
                <w:rFonts w:hint="eastAsia" w:ascii="宋体" w:cs="宋体"/>
                <w:kern w:val="2"/>
                <w:sz w:val="24"/>
                <w:szCs w:val="24"/>
              </w:rPr>
              <w:t>投标保证金应以供应商自身名义提交，不得以分支机构等其他名义提交（按照规定，供应商可以为自然人的项目除外）。</w:t>
            </w:r>
          </w:p>
          <w:p>
            <w:pPr>
              <w:wordWrap w:val="0"/>
              <w:spacing w:line="440" w:lineRule="exact"/>
              <w:ind w:firstLine="0" w:firstLineChars="0"/>
              <w:rPr>
                <w:rFonts w:hint="eastAsia" w:ascii="宋体" w:cs="宋体"/>
                <w:b/>
                <w:bCs/>
                <w:kern w:val="2"/>
                <w:sz w:val="24"/>
                <w:szCs w:val="24"/>
              </w:rPr>
            </w:pPr>
            <w:r>
              <w:rPr>
                <w:rFonts w:hint="eastAsia" w:ascii="宋体" w:cs="宋体"/>
                <w:b/>
                <w:bCs/>
                <w:kern w:val="2"/>
                <w:sz w:val="24"/>
                <w:szCs w:val="24"/>
              </w:rPr>
              <w:t>一、供应商通过银行转账、网银、电汇形式提交投标保证金的，请按以下要求提交：</w:t>
            </w:r>
          </w:p>
          <w:p>
            <w:pPr>
              <w:wordWrap w:val="0"/>
              <w:spacing w:line="440" w:lineRule="exact"/>
              <w:rPr>
                <w:rFonts w:hint="eastAsia" w:ascii="宋体" w:cs="宋体" w:eastAsiaTheme="minorEastAsia"/>
                <w:kern w:val="2"/>
                <w:sz w:val="24"/>
                <w:szCs w:val="24"/>
                <w:lang w:eastAsia="zh-CN"/>
              </w:rPr>
            </w:pPr>
            <w:r>
              <w:rPr>
                <w:rFonts w:hint="eastAsia" w:ascii="宋体" w:cs="宋体"/>
                <w:kern w:val="2"/>
                <w:sz w:val="24"/>
                <w:szCs w:val="24"/>
              </w:rPr>
              <w:t>转入专用账户名称：云南省公共资源交易中心</w:t>
            </w:r>
          </w:p>
          <w:p>
            <w:pPr>
              <w:wordWrap w:val="0"/>
              <w:spacing w:line="440" w:lineRule="exact"/>
              <w:rPr>
                <w:rFonts w:hint="eastAsia" w:ascii="宋体" w:cs="宋体" w:eastAsiaTheme="minorEastAsia"/>
                <w:kern w:val="2"/>
                <w:sz w:val="24"/>
                <w:szCs w:val="24"/>
                <w:lang w:eastAsia="zh-CN"/>
              </w:rPr>
            </w:pPr>
            <w:r>
              <w:rPr>
                <w:rFonts w:hint="eastAsia" w:ascii="宋体" w:cs="宋体"/>
                <w:kern w:val="2"/>
                <w:sz w:val="24"/>
                <w:szCs w:val="24"/>
              </w:rPr>
              <w:t>开户行：</w:t>
            </w:r>
            <w:r>
              <w:rPr>
                <w:rFonts w:hint="eastAsia" w:ascii="宋体" w:cs="宋体"/>
                <w:kern w:val="2"/>
                <w:sz w:val="24"/>
                <w:szCs w:val="24"/>
                <w:lang w:val="en-US" w:eastAsia="zh-CN"/>
              </w:rPr>
              <w:t xml:space="preserve"> </w:t>
            </w:r>
            <w:r>
              <w:rPr>
                <w:rFonts w:hint="eastAsia" w:ascii="宋体" w:cs="宋体"/>
                <w:kern w:val="2"/>
                <w:sz w:val="24"/>
                <w:szCs w:val="24"/>
              </w:rPr>
              <w:t>建设银行昆明北京路支行</w:t>
            </w:r>
            <w:r>
              <w:rPr>
                <w:rFonts w:hint="eastAsia" w:ascii="宋体" w:cs="宋体"/>
                <w:kern w:val="2"/>
                <w:sz w:val="24"/>
                <w:szCs w:val="24"/>
                <w:lang w:val="en-US" w:eastAsia="zh-CN"/>
              </w:rPr>
              <w:t xml:space="preserve"> </w:t>
            </w:r>
            <w:r>
              <w:rPr>
                <w:rFonts w:hint="eastAsia" w:ascii="宋体" w:cs="宋体"/>
                <w:kern w:val="2"/>
                <w:sz w:val="24"/>
                <w:szCs w:val="24"/>
              </w:rPr>
              <w:t xml:space="preserve"> </w:t>
            </w:r>
          </w:p>
          <w:p>
            <w:pPr>
              <w:wordWrap w:val="0"/>
              <w:spacing w:line="440" w:lineRule="exact"/>
              <w:rPr>
                <w:rFonts w:hint="eastAsia" w:ascii="宋体" w:cs="宋体" w:eastAsiaTheme="minorEastAsia"/>
                <w:kern w:val="2"/>
                <w:sz w:val="24"/>
                <w:szCs w:val="24"/>
                <w:lang w:eastAsia="zh-CN"/>
              </w:rPr>
            </w:pPr>
            <w:r>
              <w:rPr>
                <w:rFonts w:hint="eastAsia" w:ascii="宋体" w:cs="宋体"/>
                <w:kern w:val="2"/>
                <w:sz w:val="24"/>
                <w:szCs w:val="24"/>
              </w:rPr>
              <w:t>保证金提交账号及金额：</w:t>
            </w:r>
          </w:p>
          <w:p>
            <w:pPr>
              <w:wordWrap w:val="0"/>
              <w:spacing w:line="440" w:lineRule="exact"/>
              <w:rPr>
                <w:rFonts w:hint="eastAsia" w:ascii="宋体" w:cs="宋体" w:eastAsiaTheme="minorEastAsia"/>
                <w:kern w:val="2"/>
                <w:sz w:val="24"/>
                <w:szCs w:val="24"/>
                <w:lang w:eastAsia="zh-CN"/>
              </w:rPr>
            </w:pPr>
            <w:r>
              <w:rPr>
                <w:rFonts w:hint="eastAsia" w:ascii="宋体" w:cs="宋体"/>
                <w:kern w:val="2"/>
                <w:sz w:val="24"/>
                <w:szCs w:val="24"/>
              </w:rPr>
              <w:t>名称：</w:t>
            </w:r>
            <w:r>
              <w:rPr>
                <w:rFonts w:hint="eastAsia" w:cs="宋体" w:asciiTheme="minorEastAsia" w:hAnsiTheme="minorEastAsia"/>
                <w:kern w:val="0"/>
                <w:sz w:val="24"/>
                <w:szCs w:val="24"/>
              </w:rPr>
              <w:t>云南省森林消防总队个人防护装备（头盔、灯类）购置项目</w:t>
            </w:r>
            <w:r>
              <w:rPr>
                <w:rFonts w:hint="eastAsia" w:cs="宋体" w:asciiTheme="minorEastAsia" w:hAnsiTheme="minorEastAsia"/>
                <w:kern w:val="0"/>
                <w:sz w:val="24"/>
                <w:szCs w:val="24"/>
                <w:lang w:eastAsia="zh-CN"/>
              </w:rPr>
              <w:t>；</w:t>
            </w:r>
          </w:p>
          <w:p>
            <w:pPr>
              <w:wordWrap w:val="0"/>
              <w:spacing w:line="440" w:lineRule="exact"/>
              <w:rPr>
                <w:rFonts w:hint="eastAsia" w:ascii="宋体" w:cs="宋体" w:eastAsiaTheme="minorEastAsia"/>
                <w:kern w:val="2"/>
                <w:sz w:val="24"/>
                <w:szCs w:val="24"/>
                <w:lang w:eastAsia="zh-CN"/>
              </w:rPr>
            </w:pPr>
            <w:r>
              <w:rPr>
                <w:rFonts w:hint="eastAsia" w:ascii="宋体" w:cs="宋体"/>
                <w:kern w:val="2"/>
                <w:sz w:val="24"/>
                <w:szCs w:val="24"/>
              </w:rPr>
              <w:t>账号：</w:t>
            </w:r>
            <w:r>
              <w:rPr>
                <w:rFonts w:hint="eastAsia" w:ascii="宋体" w:cs="宋体"/>
                <w:kern w:val="2"/>
                <w:sz w:val="24"/>
                <w:szCs w:val="24"/>
                <w:lang w:val="en-US" w:eastAsia="zh-CN"/>
              </w:rPr>
              <w:t xml:space="preserve"> </w:t>
            </w:r>
            <w:r>
              <w:rPr>
                <w:rFonts w:hint="eastAsia" w:ascii="宋体" w:cs="宋体"/>
                <w:kern w:val="2"/>
                <w:sz w:val="24"/>
                <w:szCs w:val="24"/>
              </w:rPr>
              <w:t>53050197503600000071-34</w:t>
            </w:r>
            <w:r>
              <w:rPr>
                <w:rFonts w:hint="eastAsia" w:ascii="宋体" w:cs="宋体"/>
                <w:kern w:val="2"/>
                <w:sz w:val="24"/>
                <w:szCs w:val="24"/>
                <w:lang w:val="en-US" w:eastAsia="zh-CN"/>
              </w:rPr>
              <w:t>48</w:t>
            </w:r>
            <w:r>
              <w:rPr>
                <w:rFonts w:hint="eastAsia" w:ascii="宋体" w:cs="宋体"/>
                <w:kern w:val="2"/>
                <w:sz w:val="24"/>
                <w:szCs w:val="24"/>
                <w:lang w:eastAsia="zh-CN"/>
              </w:rPr>
              <w:t>；</w:t>
            </w:r>
          </w:p>
          <w:p>
            <w:pPr>
              <w:wordWrap w:val="0"/>
              <w:spacing w:line="440" w:lineRule="exact"/>
              <w:rPr>
                <w:rFonts w:hint="eastAsia" w:ascii="宋体" w:cs="宋体" w:eastAsiaTheme="minorEastAsia"/>
                <w:kern w:val="2"/>
                <w:sz w:val="24"/>
                <w:szCs w:val="24"/>
                <w:lang w:eastAsia="zh-CN"/>
              </w:rPr>
            </w:pPr>
            <w:r>
              <w:rPr>
                <w:rFonts w:hint="eastAsia" w:ascii="宋体" w:cs="宋体"/>
                <w:kern w:val="2"/>
                <w:sz w:val="24"/>
                <w:szCs w:val="24"/>
                <w:lang w:val="en-US" w:eastAsia="zh-CN"/>
              </w:rPr>
              <w:t>1标包投标保证金</w:t>
            </w:r>
            <w:r>
              <w:rPr>
                <w:rFonts w:hint="eastAsia" w:ascii="宋体" w:cs="宋体"/>
                <w:kern w:val="2"/>
                <w:sz w:val="24"/>
                <w:szCs w:val="24"/>
              </w:rPr>
              <w:t>金额：</w:t>
            </w:r>
            <w:r>
              <w:rPr>
                <w:rFonts w:hint="eastAsia" w:ascii="宋体" w:cs="宋体"/>
                <w:kern w:val="2"/>
                <w:sz w:val="24"/>
                <w:szCs w:val="24"/>
                <w:lang w:val="en-US" w:eastAsia="zh-CN"/>
              </w:rPr>
              <w:t>101700.00</w:t>
            </w:r>
            <w:r>
              <w:rPr>
                <w:rFonts w:hint="eastAsia" w:ascii="宋体" w:cs="宋体"/>
                <w:kern w:val="2"/>
                <w:sz w:val="24"/>
                <w:szCs w:val="24"/>
              </w:rPr>
              <w:t>元</w:t>
            </w:r>
            <w:r>
              <w:rPr>
                <w:rFonts w:hint="eastAsia" w:ascii="宋体" w:cs="宋体"/>
                <w:kern w:val="2"/>
                <w:sz w:val="24"/>
                <w:szCs w:val="24"/>
                <w:lang w:eastAsia="zh-CN"/>
              </w:rPr>
              <w:t>，</w:t>
            </w:r>
          </w:p>
          <w:p>
            <w:pPr>
              <w:wordWrap w:val="0"/>
              <w:spacing w:line="440" w:lineRule="exact"/>
              <w:rPr>
                <w:rFonts w:hint="eastAsia" w:ascii="宋体" w:cs="宋体"/>
                <w:kern w:val="2"/>
                <w:sz w:val="24"/>
                <w:szCs w:val="24"/>
                <w:lang w:eastAsia="zh-CN"/>
              </w:rPr>
            </w:pPr>
            <w:r>
              <w:rPr>
                <w:rFonts w:hint="eastAsia" w:ascii="宋体" w:cs="宋体"/>
                <w:kern w:val="2"/>
                <w:sz w:val="24"/>
                <w:szCs w:val="24"/>
                <w:lang w:val="en-US" w:eastAsia="zh-CN"/>
              </w:rPr>
              <w:t>2标包投标保证金</w:t>
            </w:r>
            <w:r>
              <w:rPr>
                <w:rFonts w:hint="eastAsia" w:ascii="宋体" w:cs="宋体"/>
                <w:kern w:val="2"/>
                <w:sz w:val="24"/>
                <w:szCs w:val="24"/>
              </w:rPr>
              <w:t>金额：</w:t>
            </w:r>
            <w:r>
              <w:rPr>
                <w:rFonts w:hint="eastAsia" w:ascii="宋体" w:cs="宋体"/>
                <w:kern w:val="2"/>
                <w:sz w:val="24"/>
                <w:szCs w:val="24"/>
                <w:lang w:val="en-US" w:eastAsia="zh-CN"/>
              </w:rPr>
              <w:t>无需缴纳</w:t>
            </w:r>
            <w:r>
              <w:rPr>
                <w:rFonts w:hint="eastAsia" w:ascii="宋体" w:cs="宋体"/>
                <w:kern w:val="2"/>
                <w:sz w:val="24"/>
                <w:szCs w:val="24"/>
                <w:lang w:eastAsia="zh-CN"/>
              </w:rPr>
              <w:t>；</w:t>
            </w:r>
          </w:p>
          <w:p>
            <w:pPr>
              <w:wordWrap w:val="0"/>
              <w:spacing w:line="440" w:lineRule="exact"/>
              <w:rPr>
                <w:rFonts w:hint="eastAsia" w:ascii="宋体" w:cs="宋体"/>
                <w:kern w:val="2"/>
                <w:sz w:val="24"/>
                <w:szCs w:val="24"/>
              </w:rPr>
            </w:pPr>
            <w:r>
              <w:rPr>
                <w:rFonts w:hint="eastAsia" w:ascii="宋体" w:cs="宋体"/>
                <w:kern w:val="2"/>
                <w:sz w:val="24"/>
                <w:szCs w:val="24"/>
              </w:rPr>
              <w:t>投标保证金的提交时间：保证金到账截止时间为投标截止时间，到账时间以实际到达专用账户时间为准，未按时到账的保证金视为未提交。</w:t>
            </w:r>
          </w:p>
          <w:p>
            <w:pPr>
              <w:wordWrap w:val="0"/>
              <w:spacing w:line="440" w:lineRule="exact"/>
              <w:rPr>
                <w:rFonts w:hint="eastAsia" w:ascii="宋体" w:cs="宋体"/>
                <w:kern w:val="2"/>
                <w:sz w:val="24"/>
                <w:szCs w:val="24"/>
              </w:rPr>
            </w:pPr>
            <w:r>
              <w:rPr>
                <w:rFonts w:hint="eastAsia" w:ascii="宋体" w:cs="宋体"/>
                <w:kern w:val="2"/>
                <w:sz w:val="24"/>
                <w:szCs w:val="24"/>
              </w:rPr>
              <w:t>保证金提交的程序：供应商投同一项目下两个及以上标段的，应按标段分别提交保证金。保证金到账后，供应商需进行绑定。</w:t>
            </w:r>
          </w:p>
          <w:p>
            <w:pPr>
              <w:wordWrap w:val="0"/>
              <w:spacing w:line="440" w:lineRule="exact"/>
              <w:rPr>
                <w:rFonts w:hint="eastAsia" w:ascii="宋体" w:cs="宋体" w:eastAsiaTheme="minorEastAsia"/>
                <w:kern w:val="2"/>
                <w:sz w:val="24"/>
                <w:szCs w:val="24"/>
                <w:lang w:eastAsia="zh-CN"/>
              </w:rPr>
            </w:pPr>
            <w:r>
              <w:rPr>
                <w:rFonts w:hint="eastAsia" w:ascii="宋体" w:cs="宋体"/>
                <w:kern w:val="2"/>
                <w:sz w:val="24"/>
                <w:szCs w:val="24"/>
              </w:rPr>
              <w:t>联系电话：建设银行：0871-65385643，技术咨询电话：010-86483801。</w:t>
            </w:r>
          </w:p>
          <w:p>
            <w:pPr>
              <w:wordWrap w:val="0"/>
              <w:spacing w:line="440" w:lineRule="exact"/>
              <w:rPr>
                <w:rFonts w:hint="eastAsia" w:ascii="宋体" w:cs="宋体" w:eastAsiaTheme="minorEastAsia"/>
                <w:kern w:val="2"/>
                <w:sz w:val="24"/>
                <w:szCs w:val="24"/>
                <w:lang w:eastAsia="zh-CN"/>
              </w:rPr>
            </w:pPr>
            <w:r>
              <w:rPr>
                <w:rFonts w:hint="eastAsia" w:ascii="宋体" w:cs="宋体"/>
                <w:kern w:val="2"/>
                <w:sz w:val="24"/>
                <w:szCs w:val="24"/>
              </w:rPr>
              <w:t xml:space="preserve"> 地点：昆明市高新区科发路269号交易大厦一楼服务大厅银行服务窗口；</w:t>
            </w:r>
          </w:p>
          <w:p>
            <w:pPr>
              <w:wordWrap w:val="0"/>
              <w:spacing w:line="440" w:lineRule="exact"/>
              <w:rPr>
                <w:rFonts w:hint="eastAsia" w:ascii="宋体" w:cs="宋体"/>
                <w:kern w:val="2"/>
                <w:sz w:val="24"/>
                <w:szCs w:val="24"/>
              </w:rPr>
            </w:pPr>
            <w:r>
              <w:rPr>
                <w:rFonts w:hint="eastAsia" w:ascii="宋体" w:cs="宋体"/>
                <w:kern w:val="2"/>
                <w:sz w:val="24"/>
                <w:szCs w:val="24"/>
              </w:rPr>
              <w:t>时间：法定工作日上午9：00-11：30、下午13：30-17：00；</w:t>
            </w:r>
          </w:p>
          <w:p>
            <w:pPr>
              <w:wordWrap w:val="0"/>
              <w:spacing w:line="440" w:lineRule="exact"/>
              <w:ind w:firstLine="0" w:firstLineChars="0"/>
              <w:rPr>
                <w:rFonts w:hint="eastAsia" w:ascii="宋体" w:cs="宋体"/>
                <w:b/>
                <w:bCs/>
                <w:kern w:val="2"/>
                <w:sz w:val="24"/>
                <w:szCs w:val="24"/>
              </w:rPr>
            </w:pPr>
            <w:r>
              <w:rPr>
                <w:rFonts w:hint="eastAsia" w:ascii="宋体" w:cs="宋体"/>
                <w:b/>
                <w:bCs/>
                <w:kern w:val="2"/>
                <w:sz w:val="24"/>
                <w:szCs w:val="24"/>
              </w:rPr>
              <w:t>二、</w:t>
            </w:r>
            <w:r>
              <w:rPr>
                <w:rFonts w:hint="eastAsia" w:ascii="宋体" w:cs="宋体"/>
                <w:b/>
                <w:bCs/>
                <w:kern w:val="2"/>
                <w:sz w:val="24"/>
                <w:szCs w:val="24"/>
                <w:lang w:eastAsia="zh-CN"/>
              </w:rPr>
              <w:t>投标人</w:t>
            </w:r>
            <w:r>
              <w:rPr>
                <w:rFonts w:hint="eastAsia" w:ascii="宋体" w:cs="宋体"/>
                <w:b/>
                <w:bCs/>
                <w:kern w:val="2"/>
                <w:sz w:val="24"/>
                <w:szCs w:val="24"/>
              </w:rPr>
              <w:t>以支票、汇票、本票或者金融机构、担保机构出具的保函保证金形式提交的，请提前联系委托的代理机构。</w:t>
            </w:r>
          </w:p>
          <w:p>
            <w:pPr>
              <w:keepNext w:val="0"/>
              <w:keepLines w:val="0"/>
              <w:pageBreakBefore w:val="0"/>
              <w:kinsoku/>
              <w:wordWrap w:val="0"/>
              <w:overflowPunct/>
              <w:topLinePunct w:val="0"/>
              <w:bidi w:val="0"/>
              <w:adjustRightInd/>
              <w:spacing w:line="440" w:lineRule="exact"/>
              <w:ind w:left="0"/>
              <w:rPr>
                <w:rFonts w:hint="eastAsia" w:ascii="宋体" w:hAnsi="宋体" w:cs="宋体"/>
                <w:sz w:val="24"/>
                <w:szCs w:val="24"/>
              </w:rPr>
            </w:pPr>
            <w:r>
              <w:rPr>
                <w:rFonts w:hint="eastAsia" w:ascii="宋体" w:hAnsi="宋体" w:cs="宋体"/>
                <w:sz w:val="24"/>
                <w:szCs w:val="24"/>
              </w:rPr>
              <w:t>投标保证金的提交时间：保证金提交截止时间为投标截止时间，未按时提交的保证金视为未提交。</w:t>
            </w:r>
          </w:p>
          <w:p>
            <w:pPr>
              <w:keepNext w:val="0"/>
              <w:keepLines w:val="0"/>
              <w:pageBreakBefore w:val="0"/>
              <w:kinsoku/>
              <w:wordWrap w:val="0"/>
              <w:overflowPunct/>
              <w:topLinePunct w:val="0"/>
              <w:bidi w:val="0"/>
              <w:adjustRightInd/>
              <w:spacing w:line="440" w:lineRule="exact"/>
              <w:ind w:left="0"/>
              <w:rPr>
                <w:rFonts w:hint="eastAsia" w:ascii="宋体" w:hAnsi="宋体" w:cs="宋体"/>
                <w:sz w:val="24"/>
                <w:szCs w:val="24"/>
              </w:rPr>
            </w:pPr>
            <w:r>
              <w:rPr>
                <w:rFonts w:hint="eastAsia" w:ascii="宋体" w:hAnsi="宋体" w:cs="宋体"/>
                <w:sz w:val="24"/>
                <w:szCs w:val="24"/>
              </w:rPr>
              <w:t>保证金提交的程序：投标人投同一项目下两个及以上标段的，应按标段分别提交保证金。</w:t>
            </w:r>
          </w:p>
          <w:p>
            <w:pPr>
              <w:keepNext w:val="0"/>
              <w:keepLines w:val="0"/>
              <w:pageBreakBefore w:val="0"/>
              <w:kinsoku/>
              <w:wordWrap w:val="0"/>
              <w:overflowPunct/>
              <w:topLinePunct w:val="0"/>
              <w:bidi w:val="0"/>
              <w:adjustRightInd/>
              <w:spacing w:line="440" w:lineRule="exact"/>
              <w:ind w:left="0"/>
              <w:rPr>
                <w:rFonts w:hint="eastAsia" w:ascii="宋体" w:hAnsi="宋体" w:cs="宋体" w:eastAsiaTheme="minorEastAsia"/>
                <w:sz w:val="24"/>
                <w:szCs w:val="24"/>
                <w:lang w:eastAsia="zh-CN"/>
              </w:rPr>
            </w:pPr>
            <w:r>
              <w:rPr>
                <w:rFonts w:hint="eastAsia" w:ascii="宋体" w:hAnsi="宋体" w:cs="宋体"/>
                <w:sz w:val="24"/>
                <w:szCs w:val="24"/>
              </w:rPr>
              <w:t>联系人：</w:t>
            </w:r>
            <w:r>
              <w:rPr>
                <w:rFonts w:hint="eastAsia" w:ascii="宋体" w:hAnsi="宋体" w:cs="宋体"/>
                <w:sz w:val="24"/>
                <w:szCs w:val="24"/>
                <w:lang w:val="en-US" w:eastAsia="zh-CN"/>
              </w:rPr>
              <w:t>冯工、魏工</w:t>
            </w:r>
          </w:p>
          <w:p>
            <w:pPr>
              <w:keepNext w:val="0"/>
              <w:keepLines w:val="0"/>
              <w:pageBreakBefore w:val="0"/>
              <w:kinsoku/>
              <w:wordWrap w:val="0"/>
              <w:overflowPunct/>
              <w:topLinePunct w:val="0"/>
              <w:bidi w:val="0"/>
              <w:adjustRightInd/>
              <w:spacing w:line="440" w:lineRule="exact"/>
              <w:ind w:left="0"/>
              <w:rPr>
                <w:rFonts w:hint="eastAsia" w:ascii="宋体" w:hAnsi="宋体" w:cs="宋体"/>
                <w:kern w:val="0"/>
                <w:sz w:val="24"/>
                <w:szCs w:val="24"/>
                <w:lang w:val="en-US" w:eastAsia="zh-CN"/>
              </w:rPr>
            </w:pPr>
            <w:r>
              <w:rPr>
                <w:rFonts w:hint="eastAsia" w:ascii="宋体" w:hAnsi="宋体" w:cs="宋体"/>
                <w:sz w:val="24"/>
                <w:szCs w:val="24"/>
              </w:rPr>
              <w:t>联系电话：</w:t>
            </w:r>
            <w:r>
              <w:rPr>
                <w:rFonts w:hint="eastAsia" w:ascii="宋体" w:hAnsi="宋体" w:cs="宋体"/>
                <w:kern w:val="0"/>
                <w:sz w:val="24"/>
                <w:szCs w:val="24"/>
                <w:lang w:eastAsia="zh-CN"/>
              </w:rPr>
              <w:t>0871-</w:t>
            </w:r>
            <w:r>
              <w:rPr>
                <w:rFonts w:hint="eastAsia" w:ascii="宋体" w:hAnsi="宋体" w:cs="宋体"/>
                <w:kern w:val="0"/>
                <w:sz w:val="24"/>
                <w:szCs w:val="24"/>
                <w:lang w:val="en-US" w:eastAsia="zh-CN"/>
              </w:rPr>
              <w:t>63181513</w:t>
            </w:r>
            <w:r>
              <w:rPr>
                <w:rFonts w:hint="eastAsia" w:ascii="宋体" w:hAnsi="宋体" w:cs="宋体"/>
                <w:kern w:val="0"/>
                <w:sz w:val="24"/>
                <w:szCs w:val="24"/>
                <w:lang w:eastAsia="zh-CN"/>
              </w:rPr>
              <w:t>、</w:t>
            </w:r>
            <w:r>
              <w:rPr>
                <w:rFonts w:hint="eastAsia" w:ascii="宋体" w:hAnsi="宋体" w:cs="宋体"/>
                <w:kern w:val="0"/>
                <w:sz w:val="24"/>
                <w:szCs w:val="24"/>
                <w:lang w:val="en-US" w:eastAsia="zh-CN"/>
              </w:rPr>
              <w:t>13708425741</w:t>
            </w:r>
          </w:p>
          <w:p>
            <w:pPr>
              <w:keepNext w:val="0"/>
              <w:keepLines w:val="0"/>
              <w:pageBreakBefore w:val="0"/>
              <w:kinsoku/>
              <w:wordWrap w:val="0"/>
              <w:overflowPunct/>
              <w:topLinePunct w:val="0"/>
              <w:bidi w:val="0"/>
              <w:adjustRightInd/>
              <w:spacing w:line="440" w:lineRule="exact"/>
              <w:ind w:left="0"/>
              <w:rPr>
                <w:rFonts w:hint="eastAsia" w:ascii="宋体" w:hAnsi="宋体" w:cs="宋体"/>
                <w:sz w:val="24"/>
                <w:szCs w:val="24"/>
              </w:rPr>
            </w:pPr>
            <w:r>
              <w:rPr>
                <w:rFonts w:hint="eastAsia" w:ascii="宋体" w:hAnsi="宋体" w:cs="宋体"/>
                <w:sz w:val="24"/>
                <w:szCs w:val="24"/>
              </w:rPr>
              <w:t>联系地点：云南民族村昆明故城9幢二楼</w:t>
            </w:r>
          </w:p>
          <w:p>
            <w:pPr>
              <w:widowControl/>
              <w:wordWrap w:val="0"/>
              <w:spacing w:line="440" w:lineRule="exact"/>
              <w:jc w:val="left"/>
              <w:textAlignment w:val="auto"/>
              <w:rPr>
                <w:rFonts w:hint="eastAsia" w:ascii="宋体" w:hAnsi="宋体" w:cs="宋体"/>
                <w:sz w:val="24"/>
                <w:szCs w:val="24"/>
                <w:lang w:eastAsia="zh-CN"/>
              </w:rPr>
            </w:pPr>
            <w:r>
              <w:rPr>
                <w:rFonts w:hint="eastAsia" w:ascii="宋体" w:hAnsi="宋体" w:cs="宋体"/>
                <w:sz w:val="24"/>
                <w:szCs w:val="24"/>
              </w:rPr>
              <w:t>联系时间：法定工作日上午9：00-12：00、下午13：30-17：30</w:t>
            </w:r>
            <w:r>
              <w:rPr>
                <w:rFonts w:hint="eastAsia" w:ascii="宋体" w:hAnsi="宋体" w:cs="宋体"/>
                <w:sz w:val="24"/>
                <w:szCs w:val="24"/>
                <w:lang w:eastAsia="zh-CN"/>
              </w:rPr>
              <w:t>。</w:t>
            </w:r>
          </w:p>
          <w:p>
            <w:pPr>
              <w:widowControl/>
              <w:wordWrap w:val="0"/>
              <w:spacing w:line="440" w:lineRule="exact"/>
              <w:jc w:val="left"/>
              <w:textAlignment w:val="auto"/>
              <w:rPr>
                <w:rFonts w:hint="eastAsia" w:ascii="宋体" w:hAnsi="宋体" w:cs="宋体"/>
                <w:sz w:val="24"/>
                <w:szCs w:val="24"/>
                <w:lang w:eastAsia="zh-CN"/>
              </w:rPr>
            </w:pPr>
            <w:r>
              <w:rPr>
                <w:rFonts w:hint="eastAsia" w:ascii="宋体" w:hAnsi="宋体" w:cs="宋体"/>
                <w:sz w:val="24"/>
                <w:szCs w:val="24"/>
                <w:lang w:val="en-US" w:eastAsia="zh-CN"/>
              </w:rPr>
              <w:t xml:space="preserve"> </w:t>
            </w:r>
            <w:r>
              <w:rPr>
                <w:rFonts w:hint="eastAsia" w:ascii="宋体" w:cs="宋体"/>
                <w:b/>
                <w:bCs/>
                <w:kern w:val="2"/>
                <w:sz w:val="24"/>
                <w:szCs w:val="24"/>
                <w:lang w:eastAsia="zh-CN"/>
              </w:rPr>
              <w:t>三、</w:t>
            </w:r>
            <w:r>
              <w:rPr>
                <w:rFonts w:hint="eastAsia" w:ascii="宋体" w:cs="宋体"/>
                <w:b/>
                <w:bCs/>
                <w:kern w:val="2"/>
                <w:sz w:val="24"/>
                <w:szCs w:val="24"/>
              </w:rPr>
              <w:t>开标时，采购人或委托的代理机构在现场按照标段公开保证金提交的情况</w:t>
            </w:r>
            <w:r>
              <w:rPr>
                <w:rFonts w:hint="eastAsia" w:ascii="宋体" w:cs="宋体"/>
                <w:b/>
                <w:bCs/>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21.2</w:t>
            </w:r>
          </w:p>
        </w:tc>
        <w:tc>
          <w:tcPr>
            <w:tcW w:w="2432" w:type="dxa"/>
            <w:vAlign w:val="center"/>
          </w:tcPr>
          <w:p>
            <w:pPr>
              <w:pStyle w:val="14"/>
              <w:spacing w:line="360" w:lineRule="auto"/>
              <w:rPr>
                <w:rFonts w:hAnsi="宋体"/>
                <w:szCs w:val="21"/>
                <w:highlight w:val="none"/>
              </w:rPr>
            </w:pPr>
            <w:r>
              <w:rPr>
                <w:rFonts w:hint="eastAsia" w:hAnsi="宋体"/>
                <w:szCs w:val="21"/>
                <w:highlight w:val="none"/>
              </w:rPr>
              <w:t>投标保证金的退还</w:t>
            </w:r>
          </w:p>
        </w:tc>
        <w:tc>
          <w:tcPr>
            <w:tcW w:w="5908" w:type="dxa"/>
            <w:vAlign w:val="center"/>
          </w:tcPr>
          <w:p>
            <w:pPr>
              <w:snapToGrid w:val="0"/>
              <w:spacing w:line="360" w:lineRule="auto"/>
              <w:rPr>
                <w:rFonts w:ascii="宋体" w:hAnsi="宋体" w:cs="宋体"/>
                <w:snapToGrid w:val="0"/>
                <w:kern w:val="0"/>
                <w:highlight w:val="none"/>
              </w:rPr>
            </w:pPr>
            <w:r>
              <w:rPr>
                <w:rFonts w:hint="eastAsia" w:ascii="宋体" w:hAnsi="宋体" w:cs="宋体"/>
                <w:snapToGrid w:val="0"/>
                <w:kern w:val="0"/>
                <w:highlight w:val="none"/>
              </w:rPr>
              <w:t>退还方式：投标保证金退还到投标人的基本账户。</w:t>
            </w:r>
          </w:p>
          <w:p>
            <w:pPr>
              <w:snapToGrid w:val="0"/>
              <w:spacing w:line="360" w:lineRule="auto"/>
              <w:rPr>
                <w:rFonts w:ascii="宋体" w:hAnsi="宋体" w:cs="宋体"/>
                <w:snapToGrid w:val="0"/>
                <w:kern w:val="0"/>
                <w:highlight w:val="none"/>
              </w:rPr>
            </w:pPr>
            <w:r>
              <w:rPr>
                <w:rFonts w:hint="eastAsia" w:ascii="宋体" w:hAnsi="宋体" w:cs="宋体"/>
                <w:snapToGrid w:val="0"/>
                <w:kern w:val="0"/>
                <w:highlight w:val="none"/>
              </w:rPr>
              <w:t>退还时间：自中标通知书发出之日起5个工作日内退还未中标人的投标保证金，自采购合同签订之日起5个工作日内退还中标人的投标保证金。</w:t>
            </w:r>
          </w:p>
          <w:p>
            <w:pPr>
              <w:widowControl/>
              <w:spacing w:line="360" w:lineRule="auto"/>
              <w:jc w:val="left"/>
              <w:textAlignment w:val="baseline"/>
              <w:rPr>
                <w:rFonts w:ascii="宋体" w:hAnsi="宋体" w:eastAsia="宋体" w:cs="宋体"/>
                <w:szCs w:val="21"/>
                <w:highlight w:val="none"/>
              </w:rPr>
            </w:pPr>
            <w:r>
              <w:rPr>
                <w:rFonts w:hint="eastAsia" w:ascii="宋体" w:hAnsi="宋体" w:eastAsia="宋体" w:cs="宋体"/>
                <w:szCs w:val="21"/>
                <w:highlight w:val="none"/>
              </w:rPr>
              <w:t>注：投标人在投标截止时间前撤回已提交的投标文件的，采购代理机构将自收到投标人撤回通知之日起5个工作日内，向交易中心申请退还已收取的投标保证金，但因投标人自身原因导致无法及时退还的除外。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2</w:t>
            </w:r>
            <w:r>
              <w:rPr>
                <w:rFonts w:hAnsi="宋体"/>
                <w:szCs w:val="21"/>
                <w:highlight w:val="none"/>
              </w:rPr>
              <w:t>3</w:t>
            </w:r>
            <w:r>
              <w:rPr>
                <w:rFonts w:hint="eastAsia" w:hAnsi="宋体"/>
                <w:szCs w:val="21"/>
                <w:highlight w:val="none"/>
              </w:rPr>
              <w:t>.1</w:t>
            </w:r>
          </w:p>
        </w:tc>
        <w:tc>
          <w:tcPr>
            <w:tcW w:w="2432" w:type="dxa"/>
            <w:vAlign w:val="center"/>
          </w:tcPr>
          <w:p>
            <w:pPr>
              <w:pStyle w:val="14"/>
              <w:spacing w:line="360" w:lineRule="auto"/>
              <w:rPr>
                <w:rFonts w:hAnsi="宋体"/>
                <w:szCs w:val="21"/>
                <w:highlight w:val="none"/>
              </w:rPr>
            </w:pPr>
            <w:r>
              <w:rPr>
                <w:rFonts w:hint="eastAsia" w:hAnsi="宋体"/>
                <w:szCs w:val="21"/>
                <w:highlight w:val="none"/>
              </w:rPr>
              <w:t>提交投标文件截止时间</w:t>
            </w:r>
          </w:p>
        </w:tc>
        <w:tc>
          <w:tcPr>
            <w:tcW w:w="5908" w:type="dxa"/>
            <w:vAlign w:val="center"/>
          </w:tcPr>
          <w:p>
            <w:pPr>
              <w:pStyle w:val="14"/>
              <w:spacing w:line="360" w:lineRule="auto"/>
              <w:rPr>
                <w:rFonts w:hAnsi="宋体"/>
                <w:szCs w:val="21"/>
                <w:highlight w:val="none"/>
              </w:rPr>
            </w:pPr>
            <w:r>
              <w:rPr>
                <w:rFonts w:hint="eastAsia" w:hAnsi="宋体"/>
                <w:szCs w:val="21"/>
                <w:highlight w:val="none"/>
              </w:rPr>
              <w:t>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2</w:t>
            </w:r>
            <w:r>
              <w:rPr>
                <w:rFonts w:hAnsi="宋体"/>
                <w:szCs w:val="21"/>
                <w:highlight w:val="none"/>
              </w:rPr>
              <w:t>3</w:t>
            </w:r>
            <w:r>
              <w:rPr>
                <w:rFonts w:hint="eastAsia" w:hAnsi="宋体"/>
                <w:szCs w:val="21"/>
                <w:highlight w:val="none"/>
              </w:rPr>
              <w:t>.2</w:t>
            </w:r>
          </w:p>
        </w:tc>
        <w:tc>
          <w:tcPr>
            <w:tcW w:w="2432" w:type="dxa"/>
            <w:vAlign w:val="center"/>
          </w:tcPr>
          <w:p>
            <w:pPr>
              <w:pStyle w:val="14"/>
              <w:spacing w:line="360" w:lineRule="auto"/>
              <w:rPr>
                <w:rFonts w:hAnsi="宋体"/>
                <w:szCs w:val="21"/>
                <w:highlight w:val="none"/>
              </w:rPr>
            </w:pPr>
            <w:r>
              <w:rPr>
                <w:rFonts w:hint="eastAsia" w:hAnsi="宋体"/>
                <w:szCs w:val="21"/>
                <w:highlight w:val="none"/>
              </w:rPr>
              <w:t>提交投标文件的地点</w:t>
            </w:r>
          </w:p>
        </w:tc>
        <w:tc>
          <w:tcPr>
            <w:tcW w:w="5908" w:type="dxa"/>
            <w:vAlign w:val="center"/>
          </w:tcPr>
          <w:p>
            <w:pPr>
              <w:pStyle w:val="14"/>
              <w:spacing w:line="360" w:lineRule="auto"/>
              <w:rPr>
                <w:rFonts w:hAnsi="宋体"/>
                <w:szCs w:val="21"/>
                <w:highlight w:val="none"/>
                <w:u w:val="single"/>
              </w:rPr>
            </w:pPr>
            <w:r>
              <w:rPr>
                <w:rFonts w:hint="eastAsia" w:hAnsi="宋体" w:eastAsia="宋体" w:cs="宋体"/>
                <w:szCs w:val="21"/>
                <w:highlight w:val="none"/>
              </w:rPr>
              <w:t>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2</w:t>
            </w:r>
            <w:r>
              <w:rPr>
                <w:rFonts w:hAnsi="宋体"/>
                <w:szCs w:val="21"/>
                <w:highlight w:val="none"/>
              </w:rPr>
              <w:t>3</w:t>
            </w:r>
            <w:r>
              <w:rPr>
                <w:rFonts w:hint="eastAsia" w:hAnsi="宋体"/>
                <w:szCs w:val="21"/>
                <w:highlight w:val="none"/>
              </w:rPr>
              <w:t>.3</w:t>
            </w:r>
          </w:p>
        </w:tc>
        <w:tc>
          <w:tcPr>
            <w:tcW w:w="2432" w:type="dxa"/>
            <w:vAlign w:val="center"/>
          </w:tcPr>
          <w:p>
            <w:pPr>
              <w:pStyle w:val="14"/>
              <w:spacing w:line="360" w:lineRule="auto"/>
              <w:rPr>
                <w:rFonts w:hAnsi="宋体"/>
                <w:szCs w:val="21"/>
                <w:highlight w:val="none"/>
              </w:rPr>
            </w:pPr>
            <w:r>
              <w:rPr>
                <w:rFonts w:hint="eastAsia" w:hAnsi="宋体"/>
                <w:szCs w:val="21"/>
                <w:highlight w:val="none"/>
              </w:rPr>
              <w:t>投标文件的退还</w:t>
            </w:r>
          </w:p>
        </w:tc>
        <w:tc>
          <w:tcPr>
            <w:tcW w:w="5908" w:type="dxa"/>
            <w:vAlign w:val="center"/>
          </w:tcPr>
          <w:p>
            <w:pPr>
              <w:pStyle w:val="14"/>
              <w:spacing w:line="360" w:lineRule="auto"/>
              <w:rPr>
                <w:rFonts w:hAnsi="宋体"/>
                <w:szCs w:val="21"/>
                <w:highlight w:val="none"/>
              </w:rPr>
            </w:pPr>
            <w:r>
              <w:rPr>
                <w:rFonts w:hint="eastAsia" w:hAnsi="宋体"/>
                <w:szCs w:val="21"/>
                <w:highlight w:val="none"/>
              </w:rPr>
              <w:t>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2</w:t>
            </w:r>
            <w:r>
              <w:rPr>
                <w:rFonts w:hAnsi="宋体"/>
                <w:szCs w:val="21"/>
                <w:highlight w:val="none"/>
              </w:rPr>
              <w:t>4</w:t>
            </w:r>
            <w:r>
              <w:rPr>
                <w:rFonts w:hint="eastAsia" w:hAnsi="宋体"/>
                <w:szCs w:val="21"/>
                <w:highlight w:val="none"/>
              </w:rPr>
              <w:t>.1</w:t>
            </w:r>
          </w:p>
        </w:tc>
        <w:tc>
          <w:tcPr>
            <w:tcW w:w="2432" w:type="dxa"/>
            <w:vAlign w:val="center"/>
          </w:tcPr>
          <w:p>
            <w:pPr>
              <w:pStyle w:val="14"/>
              <w:spacing w:line="360" w:lineRule="auto"/>
              <w:rPr>
                <w:rFonts w:hAnsi="宋体"/>
                <w:szCs w:val="21"/>
                <w:highlight w:val="none"/>
              </w:rPr>
            </w:pPr>
            <w:r>
              <w:rPr>
                <w:rFonts w:hint="eastAsia" w:hAnsi="宋体"/>
                <w:szCs w:val="21"/>
                <w:highlight w:val="none"/>
              </w:rPr>
              <w:t>开标时间和地点</w:t>
            </w:r>
          </w:p>
        </w:tc>
        <w:tc>
          <w:tcPr>
            <w:tcW w:w="5908" w:type="dxa"/>
            <w:vAlign w:val="center"/>
          </w:tcPr>
          <w:p>
            <w:pPr>
              <w:pStyle w:val="14"/>
              <w:spacing w:line="360" w:lineRule="auto"/>
              <w:rPr>
                <w:rFonts w:hAnsi="宋体"/>
                <w:szCs w:val="21"/>
                <w:highlight w:val="none"/>
              </w:rPr>
            </w:pPr>
            <w:r>
              <w:rPr>
                <w:rFonts w:hint="eastAsia" w:hAnsi="宋体"/>
                <w:szCs w:val="21"/>
                <w:highlight w:val="none"/>
              </w:rPr>
              <w:t>同提交投标文件截止时间和地点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26.3</w:t>
            </w:r>
          </w:p>
        </w:tc>
        <w:tc>
          <w:tcPr>
            <w:tcW w:w="2432" w:type="dxa"/>
            <w:vAlign w:val="center"/>
          </w:tcPr>
          <w:p>
            <w:pPr>
              <w:pStyle w:val="14"/>
              <w:spacing w:line="360" w:lineRule="auto"/>
              <w:rPr>
                <w:rFonts w:hAnsi="宋体"/>
                <w:szCs w:val="21"/>
                <w:highlight w:val="none"/>
              </w:rPr>
            </w:pPr>
            <w:r>
              <w:rPr>
                <w:rFonts w:hint="eastAsia" w:hAnsi="宋体"/>
                <w:szCs w:val="21"/>
                <w:highlight w:val="none"/>
              </w:rPr>
              <w:t>评标方法</w:t>
            </w:r>
          </w:p>
        </w:tc>
        <w:tc>
          <w:tcPr>
            <w:tcW w:w="5908" w:type="dxa"/>
            <w:vAlign w:val="center"/>
          </w:tcPr>
          <w:p>
            <w:pPr>
              <w:spacing w:line="360" w:lineRule="auto"/>
              <w:rPr>
                <w:rFonts w:ascii="宋体" w:hAnsi="宋体"/>
                <w:szCs w:val="21"/>
                <w:highlight w:val="none"/>
              </w:rPr>
            </w:pPr>
            <w:r>
              <w:rPr>
                <w:rFonts w:hint="eastAsia" w:ascii="宋体" w:hAnsi="宋体"/>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1480" w:type="dxa"/>
            <w:vAlign w:val="center"/>
          </w:tcPr>
          <w:p>
            <w:pPr>
              <w:pStyle w:val="14"/>
              <w:spacing w:line="360" w:lineRule="auto"/>
              <w:jc w:val="center"/>
              <w:rPr>
                <w:rFonts w:hAnsi="宋体"/>
                <w:szCs w:val="21"/>
                <w:highlight w:val="none"/>
              </w:rPr>
            </w:pPr>
            <w:r>
              <w:rPr>
                <w:rFonts w:hAnsi="宋体"/>
                <w:szCs w:val="21"/>
                <w:highlight w:val="none"/>
              </w:rPr>
              <w:t>3</w:t>
            </w:r>
            <w:r>
              <w:rPr>
                <w:rFonts w:hint="eastAsia" w:hAnsi="宋体"/>
                <w:szCs w:val="21"/>
                <w:highlight w:val="none"/>
              </w:rPr>
              <w:t>1.1</w:t>
            </w:r>
          </w:p>
        </w:tc>
        <w:tc>
          <w:tcPr>
            <w:tcW w:w="2432" w:type="dxa"/>
            <w:vAlign w:val="center"/>
          </w:tcPr>
          <w:p>
            <w:pPr>
              <w:pStyle w:val="14"/>
              <w:spacing w:line="360" w:lineRule="auto"/>
              <w:rPr>
                <w:rFonts w:hAnsi="宋体"/>
                <w:szCs w:val="21"/>
                <w:highlight w:val="none"/>
              </w:rPr>
            </w:pPr>
            <w:r>
              <w:rPr>
                <w:rFonts w:hint="eastAsia" w:hAnsi="宋体"/>
                <w:szCs w:val="21"/>
                <w:highlight w:val="none"/>
              </w:rPr>
              <w:t>履约保证金</w:t>
            </w:r>
          </w:p>
        </w:tc>
        <w:tc>
          <w:tcPr>
            <w:tcW w:w="5908" w:type="dxa"/>
            <w:vAlign w:val="center"/>
          </w:tcPr>
          <w:p>
            <w:pPr>
              <w:pStyle w:val="14"/>
              <w:spacing w:line="360" w:lineRule="auto"/>
              <w:rPr>
                <w:rFonts w:hAnsi="宋体"/>
                <w:szCs w:val="21"/>
                <w:highlight w:val="none"/>
              </w:rPr>
            </w:pPr>
            <w:r>
              <w:rPr>
                <w:rFonts w:hint="eastAsia" w:hAnsi="宋体"/>
                <w:szCs w:val="21"/>
                <w:highlight w:val="none"/>
              </w:rPr>
              <w:t xml:space="preserve"> </w:t>
            </w:r>
            <w:r>
              <w:rPr>
                <w:rFonts w:hint="eastAsia" w:hAnsi="宋体" w:cs="宋体"/>
                <w:szCs w:val="21"/>
                <w:highlight w:val="none"/>
              </w:rPr>
              <w:t>履约保证金金额为合同金额的3%，形式为支票、汇票、本票或保险公司和银行出具的保函等非现金形式提交。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34.1</w:t>
            </w:r>
          </w:p>
        </w:tc>
        <w:tc>
          <w:tcPr>
            <w:tcW w:w="2432" w:type="dxa"/>
            <w:vAlign w:val="center"/>
          </w:tcPr>
          <w:p>
            <w:pPr>
              <w:pStyle w:val="14"/>
              <w:spacing w:line="360" w:lineRule="auto"/>
              <w:rPr>
                <w:rFonts w:hAnsi="宋体"/>
                <w:szCs w:val="21"/>
                <w:highlight w:val="none"/>
              </w:rPr>
            </w:pPr>
            <w:r>
              <w:rPr>
                <w:rFonts w:hint="eastAsia" w:hAnsi="宋体"/>
                <w:szCs w:val="21"/>
                <w:highlight w:val="none"/>
              </w:rPr>
              <w:t>备选方案</w:t>
            </w:r>
          </w:p>
        </w:tc>
        <w:tc>
          <w:tcPr>
            <w:tcW w:w="5908" w:type="dxa"/>
            <w:vAlign w:val="center"/>
          </w:tcPr>
          <w:p>
            <w:pPr>
              <w:pStyle w:val="14"/>
              <w:spacing w:line="360" w:lineRule="auto"/>
              <w:rPr>
                <w:rFonts w:hAnsi="宋体"/>
                <w:szCs w:val="21"/>
                <w:highlight w:val="none"/>
              </w:rPr>
            </w:pPr>
            <w:r>
              <w:rPr>
                <w:rFonts w:hint="eastAsia" w:hAnsi="宋体"/>
                <w:szCs w:val="21"/>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34.2</w:t>
            </w:r>
          </w:p>
        </w:tc>
        <w:tc>
          <w:tcPr>
            <w:tcW w:w="2432" w:type="dxa"/>
            <w:vAlign w:val="center"/>
          </w:tcPr>
          <w:p>
            <w:pPr>
              <w:pStyle w:val="14"/>
              <w:spacing w:line="360" w:lineRule="auto"/>
              <w:rPr>
                <w:rFonts w:hAnsi="宋体"/>
                <w:szCs w:val="21"/>
                <w:highlight w:val="none"/>
              </w:rPr>
            </w:pPr>
            <w:r>
              <w:rPr>
                <w:rFonts w:hint="eastAsia" w:hAnsi="宋体" w:cs="宋体"/>
                <w:kern w:val="0"/>
                <w:szCs w:val="21"/>
                <w:highlight w:val="none"/>
              </w:rPr>
              <w:t>踏勘现场</w:t>
            </w:r>
          </w:p>
        </w:tc>
        <w:tc>
          <w:tcPr>
            <w:tcW w:w="5908" w:type="dxa"/>
            <w:vAlign w:val="center"/>
          </w:tcPr>
          <w:p>
            <w:pPr>
              <w:spacing w:line="280" w:lineRule="exact"/>
              <w:rPr>
                <w:rFonts w:ascii="宋体" w:hAnsi="宋体" w:cs="宋体"/>
                <w:kern w:val="0"/>
                <w:szCs w:val="21"/>
                <w:highlight w:val="none"/>
              </w:rPr>
            </w:pPr>
            <w:r>
              <w:rPr>
                <w:rFonts w:hint="eastAsia" w:ascii="宋体" w:hAnsi="宋体" w:cs="宋体"/>
                <w:kern w:val="0"/>
                <w:szCs w:val="21"/>
                <w:highlight w:val="none"/>
              </w:rPr>
              <w:t>☑不组织</w:t>
            </w:r>
          </w:p>
          <w:p>
            <w:pPr>
              <w:pStyle w:val="14"/>
              <w:spacing w:line="360" w:lineRule="auto"/>
              <w:rPr>
                <w:rFonts w:hAnsi="宋体"/>
                <w:szCs w:val="21"/>
                <w:highlight w:val="none"/>
              </w:rPr>
            </w:pPr>
            <w:r>
              <w:rPr>
                <w:rFonts w:hint="eastAsia" w:hAnsi="宋体" w:cs="宋体"/>
                <w:kern w:val="0"/>
                <w:szCs w:val="21"/>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34.3</w:t>
            </w:r>
          </w:p>
        </w:tc>
        <w:tc>
          <w:tcPr>
            <w:tcW w:w="8340" w:type="dxa"/>
            <w:gridSpan w:val="2"/>
            <w:vAlign w:val="center"/>
          </w:tcPr>
          <w:p>
            <w:pPr>
              <w:pStyle w:val="14"/>
              <w:spacing w:line="360" w:lineRule="auto"/>
              <w:jc w:val="left"/>
              <w:rPr>
                <w:rFonts w:hAnsi="宋体"/>
                <w:szCs w:val="21"/>
                <w:highlight w:val="none"/>
              </w:rPr>
            </w:pPr>
            <w:r>
              <w:rPr>
                <w:rFonts w:hint="eastAsia" w:hAnsi="宋体"/>
                <w:szCs w:val="21"/>
                <w:highlight w:val="none"/>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pPr>
              <w:pStyle w:val="14"/>
              <w:spacing w:line="360" w:lineRule="auto"/>
              <w:rPr>
                <w:rFonts w:hAnsi="宋体"/>
                <w:szCs w:val="21"/>
                <w:highlight w:val="none"/>
              </w:rPr>
            </w:pPr>
            <w:r>
              <w:rPr>
                <w:rFonts w:hint="eastAsia" w:hAnsi="宋体"/>
                <w:szCs w:val="21"/>
                <w:highlight w:val="none"/>
              </w:rPr>
              <w:t xml:space="preserve">   （1）</w:t>
            </w:r>
          </w:p>
        </w:tc>
        <w:tc>
          <w:tcPr>
            <w:tcW w:w="8340" w:type="dxa"/>
            <w:gridSpan w:val="2"/>
            <w:vAlign w:val="center"/>
          </w:tcPr>
          <w:p>
            <w:pPr>
              <w:spacing w:line="360" w:lineRule="auto"/>
              <w:rPr>
                <w:rFonts w:ascii="宋体" w:hAnsi="宋体"/>
                <w:highlight w:val="none"/>
              </w:rPr>
            </w:pPr>
            <w:r>
              <w:rPr>
                <w:rFonts w:hint="eastAsia" w:ascii="宋体" w:hAnsi="宋体"/>
                <w:b/>
                <w:highlight w:val="none"/>
              </w:rPr>
              <w:t>采购代理服务费</w:t>
            </w:r>
            <w:r>
              <w:rPr>
                <w:rFonts w:hint="eastAsia" w:ascii="宋体" w:hAnsi="宋体"/>
                <w:highlight w:val="none"/>
              </w:rPr>
              <w:t>：</w:t>
            </w:r>
          </w:p>
          <w:p>
            <w:pPr>
              <w:pStyle w:val="8"/>
              <w:ind w:firstLine="420" w:firstLineChars="200"/>
              <w:rPr>
                <w:highlight w:val="none"/>
              </w:rPr>
            </w:pPr>
            <w:r>
              <w:rPr>
                <w:rFonts w:hint="eastAsia" w:ascii="宋体" w:hAnsi="宋体"/>
                <w:sz w:val="21"/>
                <w:szCs w:val="21"/>
                <w:highlight w:val="none"/>
              </w:rPr>
              <w:t>本项目采购代理服务费以中标金额作为收费的计算基数，按照计价格（2002）1980号文件标准、国家发展改革委员会发改办价格[2015]299号文的规定下浮20%收取，代理服务费由中标单位向采购代理机构支付。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（2）</w:t>
            </w:r>
          </w:p>
        </w:tc>
        <w:tc>
          <w:tcPr>
            <w:tcW w:w="8340" w:type="dxa"/>
            <w:gridSpan w:val="2"/>
            <w:vAlign w:val="center"/>
          </w:tcPr>
          <w:p>
            <w:pPr>
              <w:pStyle w:val="8"/>
              <w:rPr>
                <w:rFonts w:ascii="宋体" w:hAnsi="宋体"/>
                <w:sz w:val="21"/>
                <w:szCs w:val="21"/>
                <w:highlight w:val="none"/>
              </w:rPr>
            </w:pPr>
            <w:r>
              <w:rPr>
                <w:rFonts w:hint="eastAsia" w:ascii="宋体" w:hAnsi="宋体"/>
                <w:b/>
                <w:bCs/>
                <w:sz w:val="21"/>
                <w:szCs w:val="21"/>
                <w:highlight w:val="none"/>
              </w:rPr>
              <w:t>本项目是否设置核心产品：是</w:t>
            </w:r>
          </w:p>
          <w:p>
            <w:pPr>
              <w:pStyle w:val="8"/>
              <w:rPr>
                <w:rFonts w:ascii="宋体" w:hAnsi="宋体"/>
                <w:sz w:val="21"/>
                <w:szCs w:val="21"/>
                <w:highlight w:val="none"/>
              </w:rPr>
            </w:pPr>
            <w:r>
              <w:rPr>
                <w:rFonts w:hint="eastAsia" w:ascii="宋体" w:hAnsi="宋体"/>
                <w:sz w:val="21"/>
                <w:szCs w:val="21"/>
                <w:highlight w:val="none"/>
              </w:rPr>
              <w:t>核心产品为：1标包：森林灭火防护头盔；2标包水域救援头灯。</w:t>
            </w:r>
          </w:p>
          <w:p>
            <w:pPr>
              <w:pStyle w:val="8"/>
              <w:ind w:firstLine="420" w:firstLineChars="200"/>
              <w:rPr>
                <w:rFonts w:ascii="宋体" w:hAnsi="宋体"/>
                <w:sz w:val="21"/>
                <w:szCs w:val="21"/>
                <w:highlight w:val="none"/>
              </w:rPr>
            </w:pPr>
            <w:r>
              <w:rPr>
                <w:rFonts w:hint="eastAsia" w:ascii="宋体" w:hAnsi="宋体"/>
                <w:sz w:val="21"/>
                <w:szCs w:val="21"/>
                <w:highlight w:val="none"/>
              </w:rPr>
              <w:t>提供相同品牌产品且通过资格审查、符合性审查的不同投标人参加同一合同项下投标的，按一家投标人计算，评审后得分最高的同品牌投标人获得中标人推荐资格；评审得分相同的，由评标委员会按照授权齐全、资格合格且报价最低或最有利于采购人利益的方式确定一个投标人获得中标人推荐资格。</w:t>
            </w:r>
          </w:p>
          <w:p>
            <w:pPr>
              <w:pStyle w:val="8"/>
              <w:ind w:firstLine="420" w:firstLineChars="200"/>
              <w:rPr>
                <w:rFonts w:ascii="宋体" w:hAnsi="宋体"/>
                <w:sz w:val="21"/>
                <w:szCs w:val="21"/>
                <w:highlight w:val="none"/>
              </w:rPr>
            </w:pPr>
            <w:r>
              <w:rPr>
                <w:rFonts w:hint="eastAsia" w:ascii="宋体" w:hAnsi="宋体"/>
                <w:sz w:val="21"/>
                <w:szCs w:val="21"/>
                <w:highlight w:val="none"/>
              </w:rPr>
              <w:t>非单一产品采购项目，采购人根据采购项目技术构成、产品价格比重等确定核心产品，投标人提供的核心产品品牌相同的，按前款规定处理。</w:t>
            </w:r>
          </w:p>
          <w:p>
            <w:pPr>
              <w:pStyle w:val="8"/>
              <w:ind w:firstLine="420" w:firstLineChars="200"/>
              <w:rPr>
                <w:rFonts w:ascii="宋体" w:hAnsi="宋体"/>
                <w:sz w:val="21"/>
                <w:szCs w:val="21"/>
                <w:highlight w:val="none"/>
              </w:rPr>
            </w:pPr>
            <w:r>
              <w:rPr>
                <w:rFonts w:hint="eastAsia" w:ascii="宋体" w:hAnsi="宋体"/>
                <w:sz w:val="21"/>
                <w:szCs w:val="21"/>
                <w:highlight w:val="none"/>
              </w:rPr>
              <w:t>投标文件满足招标文件全部实质性要求，且按照评审因素的量化指标评审得分最高的投标人将会被推荐为排名第一的中标候选人。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pPr>
              <w:pStyle w:val="14"/>
              <w:spacing w:line="360" w:lineRule="auto"/>
              <w:jc w:val="center"/>
              <w:rPr>
                <w:rFonts w:hAnsi="宋体"/>
                <w:szCs w:val="21"/>
                <w:highlight w:val="none"/>
              </w:rPr>
            </w:pPr>
            <w:r>
              <w:rPr>
                <w:rFonts w:hint="eastAsia" w:hAnsi="宋体"/>
                <w:szCs w:val="21"/>
                <w:highlight w:val="none"/>
              </w:rPr>
              <w:t>（3）</w:t>
            </w:r>
          </w:p>
        </w:tc>
        <w:tc>
          <w:tcPr>
            <w:tcW w:w="8340" w:type="dxa"/>
            <w:gridSpan w:val="2"/>
            <w:vAlign w:val="center"/>
          </w:tcPr>
          <w:p>
            <w:pPr>
              <w:pStyle w:val="8"/>
              <w:rPr>
                <w:rFonts w:ascii="宋体" w:hAnsi="宋体"/>
                <w:b/>
                <w:bCs/>
                <w:sz w:val="21"/>
                <w:szCs w:val="21"/>
                <w:highlight w:val="none"/>
              </w:rPr>
            </w:pPr>
            <w:r>
              <w:rPr>
                <w:rFonts w:hint="eastAsia" w:ascii="宋体" w:hAnsi="宋体"/>
                <w:b/>
                <w:bCs/>
                <w:sz w:val="21"/>
                <w:szCs w:val="21"/>
                <w:highlight w:val="none"/>
              </w:rPr>
              <w:t>评审样品提交与退还：</w:t>
            </w:r>
          </w:p>
          <w:p>
            <w:pPr>
              <w:pStyle w:val="8"/>
              <w:rPr>
                <w:rFonts w:ascii="宋体" w:hAnsi="宋体"/>
                <w:b/>
                <w:bCs/>
                <w:sz w:val="21"/>
                <w:szCs w:val="21"/>
                <w:highlight w:val="none"/>
              </w:rPr>
            </w:pPr>
            <w:r>
              <w:rPr>
                <w:rFonts w:hint="eastAsia" w:ascii="宋体" w:hAnsi="宋体"/>
                <w:b/>
                <w:bCs/>
                <w:sz w:val="21"/>
                <w:szCs w:val="21"/>
                <w:highlight w:val="none"/>
              </w:rPr>
              <w:t>1标包：</w:t>
            </w:r>
          </w:p>
          <w:tbl>
            <w:tblPr>
              <w:tblStyle w:val="29"/>
              <w:tblW w:w="6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2503"/>
              <w:gridCol w:w="1625"/>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pPr>
                    <w:pStyle w:val="8"/>
                    <w:jc w:val="center"/>
                    <w:rPr>
                      <w:rFonts w:ascii="宋体" w:hAnsi="宋体"/>
                      <w:b/>
                      <w:bCs/>
                      <w:sz w:val="21"/>
                      <w:szCs w:val="21"/>
                      <w:highlight w:val="none"/>
                    </w:rPr>
                  </w:pPr>
                  <w:r>
                    <w:rPr>
                      <w:rFonts w:hint="eastAsia" w:ascii="宋体" w:hAnsi="宋体"/>
                      <w:b/>
                      <w:bCs/>
                      <w:sz w:val="21"/>
                      <w:szCs w:val="21"/>
                      <w:highlight w:val="none"/>
                    </w:rPr>
                    <w:t>序号</w:t>
                  </w:r>
                </w:p>
              </w:tc>
              <w:tc>
                <w:tcPr>
                  <w:tcW w:w="2503" w:type="dxa"/>
                  <w:vAlign w:val="center"/>
                </w:tcPr>
                <w:p>
                  <w:pPr>
                    <w:pStyle w:val="14"/>
                    <w:spacing w:line="360" w:lineRule="auto"/>
                    <w:jc w:val="center"/>
                    <w:rPr>
                      <w:rFonts w:hAnsi="宋体"/>
                      <w:b/>
                      <w:bCs/>
                      <w:szCs w:val="21"/>
                      <w:highlight w:val="none"/>
                    </w:rPr>
                  </w:pPr>
                  <w:r>
                    <w:rPr>
                      <w:rFonts w:hint="eastAsia" w:hAnsi="宋体" w:eastAsia="宋体" w:cs="宋体"/>
                      <w:b/>
                      <w:bCs/>
                      <w:highlight w:val="none"/>
                    </w:rPr>
                    <w:t>样品品目</w:t>
                  </w:r>
                </w:p>
              </w:tc>
              <w:tc>
                <w:tcPr>
                  <w:tcW w:w="1625" w:type="dxa"/>
                  <w:vAlign w:val="center"/>
                </w:tcPr>
                <w:p>
                  <w:pPr>
                    <w:pStyle w:val="14"/>
                    <w:spacing w:line="360" w:lineRule="auto"/>
                    <w:jc w:val="center"/>
                    <w:rPr>
                      <w:rFonts w:hAnsi="宋体" w:eastAsia="宋体"/>
                      <w:b/>
                      <w:bCs/>
                      <w:szCs w:val="21"/>
                      <w:highlight w:val="none"/>
                    </w:rPr>
                  </w:pPr>
                  <w:r>
                    <w:rPr>
                      <w:rFonts w:hint="eastAsia" w:hAnsi="宋体" w:eastAsia="宋体" w:cs="宋体"/>
                      <w:b/>
                      <w:bCs/>
                      <w:highlight w:val="none"/>
                    </w:rPr>
                    <w:t>数量（件）</w:t>
                  </w:r>
                </w:p>
              </w:tc>
              <w:tc>
                <w:tcPr>
                  <w:tcW w:w="1625" w:type="dxa"/>
                  <w:vAlign w:val="center"/>
                </w:tcPr>
                <w:p>
                  <w:pPr>
                    <w:pStyle w:val="14"/>
                    <w:spacing w:line="360" w:lineRule="auto"/>
                    <w:jc w:val="center"/>
                    <w:rPr>
                      <w:rFonts w:hAnsi="宋体"/>
                      <w:b/>
                      <w:bCs/>
                      <w:szCs w:val="21"/>
                      <w:highlight w:val="none"/>
                    </w:rPr>
                  </w:pPr>
                  <w:r>
                    <w:rPr>
                      <w:rFonts w:hint="eastAsia" w:hAnsi="宋体" w:eastAsia="宋体" w:cs="宋体"/>
                      <w:b/>
                      <w:bCs/>
                      <w:highlight w:val="none"/>
                    </w:rPr>
                    <w:t>号型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pPr>
                    <w:pStyle w:val="8"/>
                    <w:jc w:val="center"/>
                    <w:rPr>
                      <w:rFonts w:ascii="宋体" w:hAnsi="宋体"/>
                      <w:sz w:val="21"/>
                      <w:szCs w:val="21"/>
                      <w:highlight w:val="none"/>
                    </w:rPr>
                  </w:pPr>
                  <w:r>
                    <w:rPr>
                      <w:rFonts w:hint="eastAsia" w:ascii="宋体" w:hAnsi="宋体"/>
                      <w:sz w:val="21"/>
                      <w:szCs w:val="21"/>
                      <w:highlight w:val="none"/>
                    </w:rPr>
                    <w:t>1</w:t>
                  </w:r>
                </w:p>
              </w:tc>
              <w:tc>
                <w:tcPr>
                  <w:tcW w:w="2503" w:type="dxa"/>
                  <w:vAlign w:val="center"/>
                </w:tcPr>
                <w:p>
                  <w:pPr>
                    <w:spacing w:line="360" w:lineRule="auto"/>
                    <w:jc w:val="center"/>
                    <w:rPr>
                      <w:rFonts w:ascii="宋体" w:hAnsi="宋体"/>
                      <w:szCs w:val="21"/>
                      <w:highlight w:val="none"/>
                    </w:rPr>
                  </w:pPr>
                  <w:r>
                    <w:rPr>
                      <w:rFonts w:hint="eastAsia" w:ascii="宋体" w:hAnsi="宋体" w:eastAsia="宋体" w:cs="宋体"/>
                      <w:sz w:val="24"/>
                      <w:highlight w:val="none"/>
                    </w:rPr>
                    <w:t>森林灭火防护头盔</w:t>
                  </w:r>
                </w:p>
              </w:tc>
              <w:tc>
                <w:tcPr>
                  <w:tcW w:w="1625" w:type="dxa"/>
                  <w:vAlign w:val="center"/>
                </w:tcPr>
                <w:p>
                  <w:pPr>
                    <w:pStyle w:val="8"/>
                    <w:jc w:val="center"/>
                    <w:rPr>
                      <w:rFonts w:ascii="宋体" w:hAnsi="宋体"/>
                      <w:sz w:val="21"/>
                      <w:szCs w:val="21"/>
                      <w:highlight w:val="none"/>
                    </w:rPr>
                  </w:pPr>
                  <w:r>
                    <w:rPr>
                      <w:rFonts w:hint="eastAsia" w:ascii="宋体" w:hAnsi="宋体"/>
                      <w:sz w:val="21"/>
                      <w:szCs w:val="21"/>
                      <w:highlight w:val="none"/>
                    </w:rPr>
                    <w:t>1</w:t>
                  </w:r>
                </w:p>
              </w:tc>
              <w:tc>
                <w:tcPr>
                  <w:tcW w:w="1625" w:type="dxa"/>
                  <w:vAlign w:val="center"/>
                </w:tcPr>
                <w:p>
                  <w:pPr>
                    <w:pStyle w:val="8"/>
                    <w:jc w:val="center"/>
                    <w:rPr>
                      <w:rFonts w:ascii="宋体" w:hAnsi="宋体"/>
                      <w:sz w:val="21"/>
                      <w:szCs w:val="21"/>
                      <w:highlight w:val="none"/>
                    </w:rPr>
                  </w:pPr>
                  <w:r>
                    <w:rPr>
                      <w:rFonts w:hint="eastAsia" w:ascii="宋体" w:hAnsi="宋体"/>
                      <w:sz w:val="21"/>
                      <w:szCs w:val="21"/>
                      <w:highlight w:val="none"/>
                    </w:rPr>
                    <w:t>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pPr>
                    <w:pStyle w:val="8"/>
                    <w:jc w:val="center"/>
                    <w:rPr>
                      <w:rFonts w:ascii="宋体" w:hAnsi="宋体"/>
                      <w:sz w:val="21"/>
                      <w:szCs w:val="21"/>
                      <w:highlight w:val="none"/>
                    </w:rPr>
                  </w:pPr>
                  <w:r>
                    <w:rPr>
                      <w:rFonts w:hint="eastAsia" w:ascii="宋体" w:hAnsi="宋体"/>
                      <w:sz w:val="21"/>
                      <w:szCs w:val="21"/>
                      <w:highlight w:val="none"/>
                    </w:rPr>
                    <w:t>2</w:t>
                  </w:r>
                </w:p>
              </w:tc>
              <w:tc>
                <w:tcPr>
                  <w:tcW w:w="2503" w:type="dxa"/>
                  <w:vAlign w:val="center"/>
                </w:tcPr>
                <w:p>
                  <w:pPr>
                    <w:spacing w:line="360" w:lineRule="auto"/>
                    <w:jc w:val="center"/>
                    <w:rPr>
                      <w:rFonts w:ascii="宋体" w:hAnsi="宋体"/>
                      <w:szCs w:val="21"/>
                      <w:highlight w:val="none"/>
                    </w:rPr>
                  </w:pPr>
                  <w:r>
                    <w:rPr>
                      <w:rFonts w:hint="eastAsia" w:ascii="宋体" w:hAnsi="宋体" w:eastAsia="宋体" w:cs="宋体"/>
                      <w:sz w:val="24"/>
                      <w:highlight w:val="none"/>
                    </w:rPr>
                    <w:t>抢险救援头盔</w:t>
                  </w:r>
                </w:p>
              </w:tc>
              <w:tc>
                <w:tcPr>
                  <w:tcW w:w="1625" w:type="dxa"/>
                  <w:vAlign w:val="center"/>
                </w:tcPr>
                <w:p>
                  <w:pPr>
                    <w:pStyle w:val="8"/>
                    <w:jc w:val="center"/>
                    <w:rPr>
                      <w:rFonts w:ascii="宋体" w:hAnsi="宋体"/>
                      <w:sz w:val="21"/>
                      <w:szCs w:val="21"/>
                      <w:highlight w:val="none"/>
                    </w:rPr>
                  </w:pPr>
                  <w:r>
                    <w:rPr>
                      <w:rFonts w:hint="eastAsia" w:ascii="宋体" w:hAnsi="宋体"/>
                      <w:sz w:val="21"/>
                      <w:szCs w:val="21"/>
                      <w:highlight w:val="none"/>
                    </w:rPr>
                    <w:t>1</w:t>
                  </w:r>
                </w:p>
              </w:tc>
              <w:tc>
                <w:tcPr>
                  <w:tcW w:w="1625" w:type="dxa"/>
                  <w:vAlign w:val="center"/>
                </w:tcPr>
                <w:p>
                  <w:pPr>
                    <w:pStyle w:val="8"/>
                    <w:jc w:val="center"/>
                    <w:rPr>
                      <w:rFonts w:ascii="宋体" w:hAnsi="宋体"/>
                      <w:sz w:val="21"/>
                      <w:szCs w:val="21"/>
                      <w:highlight w:val="none"/>
                    </w:rPr>
                  </w:pPr>
                  <w:r>
                    <w:rPr>
                      <w:rFonts w:hint="eastAsia" w:ascii="宋体" w:hAnsi="宋体"/>
                      <w:sz w:val="21"/>
                      <w:szCs w:val="21"/>
                      <w:highlight w:val="none"/>
                    </w:rPr>
                    <w:t>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pPr>
                    <w:pStyle w:val="8"/>
                    <w:jc w:val="center"/>
                    <w:rPr>
                      <w:rFonts w:ascii="宋体" w:hAnsi="宋体"/>
                      <w:sz w:val="21"/>
                      <w:szCs w:val="21"/>
                      <w:highlight w:val="none"/>
                    </w:rPr>
                  </w:pPr>
                  <w:r>
                    <w:rPr>
                      <w:rFonts w:hint="eastAsia" w:ascii="宋体" w:hAnsi="宋体"/>
                      <w:sz w:val="21"/>
                      <w:szCs w:val="21"/>
                      <w:highlight w:val="none"/>
                    </w:rPr>
                    <w:t>3</w:t>
                  </w:r>
                </w:p>
              </w:tc>
              <w:tc>
                <w:tcPr>
                  <w:tcW w:w="2503" w:type="dxa"/>
                  <w:vAlign w:val="center"/>
                </w:tcPr>
                <w:p>
                  <w:pPr>
                    <w:spacing w:line="360" w:lineRule="auto"/>
                    <w:jc w:val="center"/>
                    <w:rPr>
                      <w:rFonts w:ascii="宋体" w:hAnsi="宋体"/>
                      <w:szCs w:val="21"/>
                      <w:highlight w:val="none"/>
                    </w:rPr>
                  </w:pPr>
                  <w:r>
                    <w:rPr>
                      <w:rFonts w:hint="eastAsia" w:ascii="宋体" w:hAnsi="宋体" w:eastAsia="宋体" w:cs="宋体"/>
                      <w:sz w:val="24"/>
                      <w:highlight w:val="none"/>
                    </w:rPr>
                    <w:t>水域救援头盔</w:t>
                  </w:r>
                </w:p>
              </w:tc>
              <w:tc>
                <w:tcPr>
                  <w:tcW w:w="1625" w:type="dxa"/>
                  <w:vAlign w:val="center"/>
                </w:tcPr>
                <w:p>
                  <w:pPr>
                    <w:pStyle w:val="8"/>
                    <w:jc w:val="center"/>
                    <w:rPr>
                      <w:rFonts w:ascii="宋体" w:hAnsi="宋体"/>
                      <w:sz w:val="21"/>
                      <w:szCs w:val="21"/>
                      <w:highlight w:val="none"/>
                    </w:rPr>
                  </w:pPr>
                  <w:r>
                    <w:rPr>
                      <w:rFonts w:hint="eastAsia" w:ascii="宋体" w:hAnsi="宋体"/>
                      <w:sz w:val="21"/>
                      <w:szCs w:val="21"/>
                      <w:highlight w:val="none"/>
                    </w:rPr>
                    <w:t>1</w:t>
                  </w:r>
                </w:p>
              </w:tc>
              <w:tc>
                <w:tcPr>
                  <w:tcW w:w="1625" w:type="dxa"/>
                  <w:vAlign w:val="center"/>
                </w:tcPr>
                <w:p>
                  <w:pPr>
                    <w:pStyle w:val="8"/>
                    <w:jc w:val="center"/>
                    <w:rPr>
                      <w:rFonts w:ascii="宋体" w:hAnsi="宋体"/>
                      <w:sz w:val="21"/>
                      <w:szCs w:val="21"/>
                      <w:highlight w:val="none"/>
                    </w:rPr>
                  </w:pPr>
                  <w:r>
                    <w:rPr>
                      <w:rFonts w:hint="eastAsia" w:ascii="宋体" w:hAnsi="宋体"/>
                      <w:sz w:val="21"/>
                      <w:szCs w:val="21"/>
                      <w:highlight w:val="none"/>
                    </w:rPr>
                    <w:t>L</w:t>
                  </w:r>
                </w:p>
              </w:tc>
            </w:tr>
          </w:tbl>
          <w:p>
            <w:pPr>
              <w:pStyle w:val="8"/>
              <w:rPr>
                <w:rFonts w:ascii="宋体" w:hAnsi="宋体"/>
                <w:b/>
                <w:bCs/>
                <w:sz w:val="21"/>
                <w:szCs w:val="21"/>
                <w:highlight w:val="none"/>
              </w:rPr>
            </w:pPr>
          </w:p>
          <w:p>
            <w:pPr>
              <w:pStyle w:val="8"/>
              <w:rPr>
                <w:rFonts w:ascii="宋体" w:hAnsi="宋体"/>
                <w:b/>
                <w:bCs/>
                <w:sz w:val="21"/>
                <w:szCs w:val="21"/>
                <w:highlight w:val="none"/>
              </w:rPr>
            </w:pPr>
            <w:r>
              <w:rPr>
                <w:rFonts w:hint="eastAsia" w:ascii="宋体" w:hAnsi="宋体"/>
                <w:b/>
                <w:bCs/>
                <w:sz w:val="21"/>
                <w:szCs w:val="21"/>
                <w:highlight w:val="none"/>
              </w:rPr>
              <w:t>2标包：</w:t>
            </w:r>
          </w:p>
          <w:tbl>
            <w:tblPr>
              <w:tblStyle w:val="29"/>
              <w:tblW w:w="6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2503"/>
              <w:gridCol w:w="1625"/>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pPr>
                    <w:pStyle w:val="8"/>
                    <w:jc w:val="center"/>
                    <w:rPr>
                      <w:rFonts w:ascii="宋体" w:hAnsi="宋体"/>
                      <w:b/>
                      <w:bCs/>
                      <w:sz w:val="21"/>
                      <w:szCs w:val="21"/>
                      <w:highlight w:val="none"/>
                    </w:rPr>
                  </w:pPr>
                  <w:r>
                    <w:rPr>
                      <w:rFonts w:hint="eastAsia" w:ascii="宋体" w:hAnsi="宋体"/>
                      <w:b/>
                      <w:bCs/>
                      <w:sz w:val="21"/>
                      <w:szCs w:val="21"/>
                      <w:highlight w:val="none"/>
                    </w:rPr>
                    <w:t>序号</w:t>
                  </w:r>
                </w:p>
              </w:tc>
              <w:tc>
                <w:tcPr>
                  <w:tcW w:w="2503" w:type="dxa"/>
                  <w:vAlign w:val="center"/>
                </w:tcPr>
                <w:p>
                  <w:pPr>
                    <w:pStyle w:val="14"/>
                    <w:spacing w:line="360" w:lineRule="auto"/>
                    <w:jc w:val="center"/>
                    <w:rPr>
                      <w:rFonts w:hAnsi="宋体"/>
                      <w:b/>
                      <w:bCs/>
                      <w:szCs w:val="21"/>
                      <w:highlight w:val="none"/>
                    </w:rPr>
                  </w:pPr>
                  <w:r>
                    <w:rPr>
                      <w:rFonts w:hint="eastAsia" w:hAnsi="宋体" w:eastAsia="宋体" w:cs="宋体"/>
                      <w:b/>
                      <w:bCs/>
                      <w:highlight w:val="none"/>
                    </w:rPr>
                    <w:t>样品品目</w:t>
                  </w:r>
                </w:p>
              </w:tc>
              <w:tc>
                <w:tcPr>
                  <w:tcW w:w="1625" w:type="dxa"/>
                  <w:vAlign w:val="center"/>
                </w:tcPr>
                <w:p>
                  <w:pPr>
                    <w:pStyle w:val="14"/>
                    <w:spacing w:line="360" w:lineRule="auto"/>
                    <w:jc w:val="center"/>
                    <w:rPr>
                      <w:rFonts w:hAnsi="宋体" w:eastAsia="宋体"/>
                      <w:b/>
                      <w:bCs/>
                      <w:szCs w:val="21"/>
                      <w:highlight w:val="none"/>
                    </w:rPr>
                  </w:pPr>
                  <w:r>
                    <w:rPr>
                      <w:rFonts w:hint="eastAsia" w:hAnsi="宋体" w:eastAsia="宋体" w:cs="宋体"/>
                      <w:b/>
                      <w:bCs/>
                      <w:highlight w:val="none"/>
                    </w:rPr>
                    <w:t>数量（件）</w:t>
                  </w:r>
                </w:p>
              </w:tc>
              <w:tc>
                <w:tcPr>
                  <w:tcW w:w="1625" w:type="dxa"/>
                  <w:vAlign w:val="center"/>
                </w:tcPr>
                <w:p>
                  <w:pPr>
                    <w:pStyle w:val="14"/>
                    <w:spacing w:line="360" w:lineRule="auto"/>
                    <w:jc w:val="center"/>
                    <w:rPr>
                      <w:rFonts w:hAnsi="宋体"/>
                      <w:b/>
                      <w:bCs/>
                      <w:szCs w:val="21"/>
                      <w:highlight w:val="none"/>
                    </w:rPr>
                  </w:pPr>
                  <w:r>
                    <w:rPr>
                      <w:rFonts w:hint="eastAsia" w:hAnsi="宋体" w:eastAsia="宋体" w:cs="宋体"/>
                      <w:b/>
                      <w:bCs/>
                      <w:highlight w:val="none"/>
                    </w:rPr>
                    <w:t>号型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pPr>
                    <w:pStyle w:val="8"/>
                    <w:jc w:val="center"/>
                    <w:rPr>
                      <w:rFonts w:ascii="宋体" w:hAnsi="宋体"/>
                      <w:sz w:val="21"/>
                      <w:szCs w:val="21"/>
                      <w:highlight w:val="none"/>
                    </w:rPr>
                  </w:pPr>
                  <w:r>
                    <w:rPr>
                      <w:rFonts w:hint="eastAsia" w:ascii="宋体" w:hAnsi="宋体"/>
                      <w:sz w:val="21"/>
                      <w:szCs w:val="21"/>
                      <w:highlight w:val="none"/>
                    </w:rPr>
                    <w:t>1</w:t>
                  </w:r>
                </w:p>
              </w:tc>
              <w:tc>
                <w:tcPr>
                  <w:tcW w:w="2503" w:type="dxa"/>
                  <w:vAlign w:val="center"/>
                </w:tcPr>
                <w:p>
                  <w:pPr>
                    <w:spacing w:line="360" w:lineRule="auto"/>
                    <w:jc w:val="center"/>
                    <w:rPr>
                      <w:rFonts w:ascii="宋体" w:hAnsi="宋体"/>
                      <w:szCs w:val="21"/>
                      <w:highlight w:val="none"/>
                    </w:rPr>
                  </w:pPr>
                  <w:r>
                    <w:rPr>
                      <w:rFonts w:hint="eastAsia" w:ascii="宋体" w:hAnsi="宋体" w:eastAsia="宋体" w:cs="宋体"/>
                      <w:sz w:val="24"/>
                      <w:highlight w:val="none"/>
                    </w:rPr>
                    <w:t>佩戴式头灯</w:t>
                  </w:r>
                </w:p>
              </w:tc>
              <w:tc>
                <w:tcPr>
                  <w:tcW w:w="1625" w:type="dxa"/>
                  <w:vAlign w:val="center"/>
                </w:tcPr>
                <w:p>
                  <w:pPr>
                    <w:pStyle w:val="8"/>
                    <w:jc w:val="center"/>
                    <w:rPr>
                      <w:rFonts w:ascii="宋体" w:hAnsi="宋体"/>
                      <w:sz w:val="21"/>
                      <w:szCs w:val="21"/>
                      <w:highlight w:val="none"/>
                    </w:rPr>
                  </w:pPr>
                  <w:r>
                    <w:rPr>
                      <w:rFonts w:hint="eastAsia" w:ascii="宋体" w:hAnsi="宋体"/>
                      <w:sz w:val="21"/>
                      <w:szCs w:val="21"/>
                      <w:highlight w:val="none"/>
                    </w:rPr>
                    <w:t>1</w:t>
                  </w:r>
                </w:p>
              </w:tc>
              <w:tc>
                <w:tcPr>
                  <w:tcW w:w="1625" w:type="dxa"/>
                  <w:vAlign w:val="center"/>
                </w:tcPr>
                <w:p>
                  <w:pPr>
                    <w:pStyle w:val="8"/>
                    <w:jc w:val="center"/>
                    <w:rPr>
                      <w:rFonts w:ascii="宋体" w:hAnsi="宋体"/>
                      <w:sz w:val="21"/>
                      <w:szCs w:val="21"/>
                      <w:highlight w:val="none"/>
                    </w:rPr>
                  </w:pPr>
                  <w:r>
                    <w:rPr>
                      <w:rFonts w:ascii="宋体" w:hAnsi="宋体"/>
                      <w:sz w:val="21"/>
                      <w:szCs w:val="21"/>
                      <w:highlight w:val="none"/>
                    </w:rPr>
                    <w:t>不分号型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pPr>
                    <w:pStyle w:val="8"/>
                    <w:jc w:val="center"/>
                    <w:rPr>
                      <w:rFonts w:ascii="宋体" w:hAnsi="宋体"/>
                      <w:sz w:val="21"/>
                      <w:szCs w:val="21"/>
                      <w:highlight w:val="none"/>
                    </w:rPr>
                  </w:pPr>
                  <w:r>
                    <w:rPr>
                      <w:rFonts w:hint="eastAsia" w:ascii="宋体" w:hAnsi="宋体"/>
                      <w:sz w:val="21"/>
                      <w:szCs w:val="21"/>
                      <w:highlight w:val="none"/>
                    </w:rPr>
                    <w:t>2</w:t>
                  </w:r>
                </w:p>
              </w:tc>
              <w:tc>
                <w:tcPr>
                  <w:tcW w:w="2503" w:type="dxa"/>
                  <w:vAlign w:val="center"/>
                </w:tcPr>
                <w:p>
                  <w:pPr>
                    <w:spacing w:line="360" w:lineRule="auto"/>
                    <w:jc w:val="center"/>
                    <w:rPr>
                      <w:rFonts w:ascii="宋体" w:hAnsi="宋体"/>
                      <w:szCs w:val="21"/>
                      <w:highlight w:val="none"/>
                    </w:rPr>
                  </w:pPr>
                  <w:r>
                    <w:rPr>
                      <w:rFonts w:hint="eastAsia" w:ascii="宋体" w:hAnsi="宋体" w:eastAsia="宋体" w:cs="宋体"/>
                      <w:sz w:val="24"/>
                      <w:highlight w:val="none"/>
                    </w:rPr>
                    <w:t>水域救援头灯</w:t>
                  </w:r>
                </w:p>
              </w:tc>
              <w:tc>
                <w:tcPr>
                  <w:tcW w:w="1625" w:type="dxa"/>
                  <w:vAlign w:val="center"/>
                </w:tcPr>
                <w:p>
                  <w:pPr>
                    <w:pStyle w:val="8"/>
                    <w:jc w:val="center"/>
                    <w:rPr>
                      <w:rFonts w:ascii="宋体" w:hAnsi="宋体"/>
                      <w:sz w:val="21"/>
                      <w:szCs w:val="21"/>
                      <w:highlight w:val="none"/>
                    </w:rPr>
                  </w:pPr>
                  <w:r>
                    <w:rPr>
                      <w:rFonts w:hint="eastAsia" w:ascii="宋体" w:hAnsi="宋体"/>
                      <w:sz w:val="21"/>
                      <w:szCs w:val="21"/>
                      <w:highlight w:val="none"/>
                    </w:rPr>
                    <w:t>1</w:t>
                  </w:r>
                </w:p>
              </w:tc>
              <w:tc>
                <w:tcPr>
                  <w:tcW w:w="1625" w:type="dxa"/>
                  <w:vAlign w:val="center"/>
                </w:tcPr>
                <w:p>
                  <w:pPr>
                    <w:pStyle w:val="8"/>
                    <w:jc w:val="center"/>
                    <w:rPr>
                      <w:rFonts w:ascii="宋体" w:hAnsi="宋体"/>
                      <w:sz w:val="21"/>
                      <w:szCs w:val="21"/>
                      <w:highlight w:val="none"/>
                    </w:rPr>
                  </w:pPr>
                  <w:r>
                    <w:rPr>
                      <w:rFonts w:ascii="宋体" w:hAnsi="宋体"/>
                      <w:sz w:val="21"/>
                      <w:szCs w:val="21"/>
                      <w:highlight w:val="none"/>
                    </w:rPr>
                    <w:t>不分号型</w:t>
                  </w:r>
                </w:p>
              </w:tc>
            </w:tr>
          </w:tbl>
          <w:p>
            <w:pPr>
              <w:pStyle w:val="8"/>
              <w:rPr>
                <w:rFonts w:ascii="宋体" w:hAnsi="宋体"/>
                <w:b/>
                <w:bCs/>
                <w:sz w:val="21"/>
                <w:szCs w:val="21"/>
                <w:highlight w:val="none"/>
              </w:rPr>
            </w:pPr>
          </w:p>
          <w:p>
            <w:pPr>
              <w:pStyle w:val="8"/>
              <w:rPr>
                <w:rFonts w:ascii="宋体" w:hAnsi="宋体"/>
                <w:sz w:val="21"/>
                <w:szCs w:val="21"/>
                <w:highlight w:val="none"/>
              </w:rPr>
            </w:pPr>
            <w:r>
              <w:rPr>
                <w:rFonts w:hint="eastAsia" w:ascii="宋体" w:hAnsi="宋体"/>
                <w:sz w:val="21"/>
                <w:szCs w:val="21"/>
                <w:highlight w:val="none"/>
              </w:rPr>
              <w:t>1.样品的提交截止时间及地点：</w:t>
            </w:r>
          </w:p>
          <w:p>
            <w:pPr>
              <w:pStyle w:val="8"/>
              <w:spacing w:line="360" w:lineRule="auto"/>
              <w:rPr>
                <w:rFonts w:hint="eastAsia" w:ascii="宋体" w:hAnsi="宋体"/>
                <w:sz w:val="21"/>
                <w:szCs w:val="21"/>
                <w:highlight w:val="none"/>
              </w:rPr>
            </w:pPr>
            <w:r>
              <w:rPr>
                <w:rFonts w:hint="eastAsia" w:ascii="宋体" w:hAnsi="宋体"/>
                <w:sz w:val="21"/>
                <w:szCs w:val="21"/>
                <w:highlight w:val="none"/>
              </w:rPr>
              <w:t>（1）投标样品提交时间：2024年0</w:t>
            </w:r>
            <w:r>
              <w:rPr>
                <w:rFonts w:hint="eastAsia" w:ascii="宋体" w:hAnsi="宋体"/>
                <w:sz w:val="21"/>
                <w:szCs w:val="21"/>
                <w:highlight w:val="none"/>
                <w:lang w:val="en-US" w:eastAsia="zh-CN"/>
              </w:rPr>
              <w:t>7</w:t>
            </w:r>
            <w:r>
              <w:rPr>
                <w:rFonts w:hint="eastAsia" w:ascii="宋体" w:hAnsi="宋体"/>
                <w:sz w:val="21"/>
                <w:szCs w:val="21"/>
                <w:highlight w:val="none"/>
              </w:rPr>
              <w:t>月</w:t>
            </w:r>
            <w:r>
              <w:rPr>
                <w:rFonts w:hint="eastAsia" w:ascii="宋体" w:hAnsi="宋体"/>
                <w:sz w:val="21"/>
                <w:szCs w:val="21"/>
                <w:highlight w:val="none"/>
                <w:lang w:val="en-US" w:eastAsia="zh-CN"/>
              </w:rPr>
              <w:t>01</w:t>
            </w:r>
            <w:r>
              <w:rPr>
                <w:rFonts w:hint="eastAsia" w:ascii="宋体" w:hAnsi="宋体"/>
                <w:sz w:val="21"/>
                <w:szCs w:val="21"/>
                <w:highlight w:val="none"/>
              </w:rPr>
              <w:t>日08 时00分至09时00分（北京时间）。</w:t>
            </w:r>
          </w:p>
          <w:p>
            <w:pPr>
              <w:pStyle w:val="8"/>
              <w:spacing w:line="360" w:lineRule="auto"/>
              <w:rPr>
                <w:rFonts w:hint="eastAsia" w:ascii="宋体" w:hAnsi="宋体"/>
                <w:sz w:val="21"/>
                <w:szCs w:val="21"/>
                <w:highlight w:val="none"/>
              </w:rPr>
            </w:pPr>
            <w:r>
              <w:rPr>
                <w:rFonts w:hint="eastAsia" w:ascii="宋体" w:hAnsi="宋体"/>
                <w:sz w:val="21"/>
                <w:szCs w:val="21"/>
                <w:highlight w:val="none"/>
              </w:rPr>
              <w:t>（2）投标样品提交截止时间：2024年0</w:t>
            </w:r>
            <w:r>
              <w:rPr>
                <w:rFonts w:hint="eastAsia" w:ascii="宋体" w:hAnsi="宋体"/>
                <w:sz w:val="21"/>
                <w:szCs w:val="21"/>
                <w:highlight w:val="none"/>
                <w:lang w:val="en-US" w:eastAsia="zh-CN"/>
              </w:rPr>
              <w:t>7</w:t>
            </w:r>
            <w:r>
              <w:rPr>
                <w:rFonts w:hint="eastAsia" w:ascii="宋体" w:hAnsi="宋体"/>
                <w:sz w:val="21"/>
                <w:szCs w:val="21"/>
                <w:highlight w:val="none"/>
              </w:rPr>
              <w:t>月</w:t>
            </w:r>
            <w:r>
              <w:rPr>
                <w:rFonts w:hint="eastAsia" w:ascii="宋体" w:hAnsi="宋体"/>
                <w:sz w:val="21"/>
                <w:szCs w:val="21"/>
                <w:highlight w:val="none"/>
                <w:lang w:val="en-US" w:eastAsia="zh-CN"/>
              </w:rPr>
              <w:t>01</w:t>
            </w:r>
            <w:r>
              <w:rPr>
                <w:rFonts w:hint="eastAsia" w:ascii="宋体" w:hAnsi="宋体"/>
                <w:sz w:val="21"/>
                <w:szCs w:val="21"/>
                <w:highlight w:val="none"/>
              </w:rPr>
              <w:t>日09时00分（北京时间）。</w:t>
            </w:r>
          </w:p>
          <w:p>
            <w:pPr>
              <w:pStyle w:val="8"/>
              <w:spacing w:line="360" w:lineRule="auto"/>
              <w:rPr>
                <w:rFonts w:ascii="宋体" w:hAnsi="宋体"/>
                <w:sz w:val="21"/>
                <w:szCs w:val="21"/>
                <w:highlight w:val="none"/>
              </w:rPr>
            </w:pPr>
            <w:r>
              <w:rPr>
                <w:rFonts w:hint="eastAsia" w:ascii="宋体" w:hAnsi="宋体"/>
                <w:sz w:val="21"/>
                <w:szCs w:val="21"/>
                <w:highlight w:val="none"/>
              </w:rPr>
              <w:t>（3）投标样品提交地点：云南省昆明市高新区科发路269号（科发路与科高路交叉口）公共资源交易中心门右侧A区。</w:t>
            </w:r>
          </w:p>
          <w:p>
            <w:pPr>
              <w:pStyle w:val="8"/>
              <w:spacing w:line="360" w:lineRule="auto"/>
              <w:rPr>
                <w:rFonts w:ascii="宋体" w:hAnsi="宋体"/>
                <w:sz w:val="21"/>
                <w:szCs w:val="21"/>
                <w:highlight w:val="none"/>
              </w:rPr>
            </w:pPr>
            <w:r>
              <w:rPr>
                <w:rFonts w:hint="eastAsia" w:ascii="宋体" w:hAnsi="宋体"/>
                <w:sz w:val="21"/>
                <w:szCs w:val="21"/>
                <w:highlight w:val="none"/>
              </w:rPr>
              <w:t>2.投标人需按所报标包提供上表要求的样品各1份，样品应按标包密封(样品包装的形式不作要求)，并在样品包装上标明标包、样品名称、样品数量，提交样品时须同时提供样品清单。</w:t>
            </w:r>
          </w:p>
          <w:p>
            <w:pPr>
              <w:pStyle w:val="8"/>
              <w:spacing w:line="360" w:lineRule="auto"/>
              <w:rPr>
                <w:rFonts w:ascii="宋体" w:hAnsi="宋体"/>
                <w:sz w:val="21"/>
                <w:szCs w:val="21"/>
                <w:highlight w:val="none"/>
              </w:rPr>
            </w:pPr>
            <w:r>
              <w:rPr>
                <w:rFonts w:hint="eastAsia" w:ascii="宋体" w:hAnsi="宋体"/>
                <w:sz w:val="21"/>
                <w:szCs w:val="21"/>
                <w:highlight w:val="none"/>
              </w:rPr>
              <w:t>3.样品或外包装上不得带有任何表明投标人身份的图案、文字及相关标记，由采购代理机构或公证机构接收后，用数字标记。</w:t>
            </w:r>
          </w:p>
          <w:p>
            <w:pPr>
              <w:pStyle w:val="8"/>
              <w:spacing w:line="360" w:lineRule="auto"/>
              <w:rPr>
                <w:rFonts w:ascii="宋体" w:hAnsi="宋体"/>
                <w:sz w:val="21"/>
                <w:szCs w:val="21"/>
                <w:highlight w:val="none"/>
              </w:rPr>
            </w:pPr>
            <w:r>
              <w:rPr>
                <w:rFonts w:hint="eastAsia" w:ascii="宋体" w:hAnsi="宋体"/>
                <w:sz w:val="21"/>
                <w:szCs w:val="21"/>
                <w:highlight w:val="none"/>
              </w:rPr>
              <w:t xml:space="preserve">4.投标人提交样品时，须派专人(此人需提供法定代表人出具的授权书)在规定时间内送至规定地点，未按招标文件要求送达指定地点或未按招标文件要求密封或逾期送达的样品，采购人、采购代理机构将不予接收。 </w:t>
            </w:r>
          </w:p>
          <w:p>
            <w:pPr>
              <w:pStyle w:val="8"/>
              <w:spacing w:line="360" w:lineRule="auto"/>
              <w:rPr>
                <w:rFonts w:ascii="宋体" w:hAnsi="宋体"/>
                <w:sz w:val="21"/>
                <w:szCs w:val="21"/>
                <w:highlight w:val="none"/>
              </w:rPr>
            </w:pPr>
            <w:r>
              <w:rPr>
                <w:rFonts w:hint="eastAsia" w:ascii="宋体" w:hAnsi="宋体"/>
                <w:sz w:val="21"/>
                <w:szCs w:val="21"/>
                <w:highlight w:val="none"/>
              </w:rPr>
              <w:t>5.不论投标结果如何，投标人均应自行承担所有与准备和参加投标活动有关的全部费用及在评审过程中对实物样品可能造成破坏的所有损失费用，采购人、采购代理机构不予赔偿。</w:t>
            </w:r>
          </w:p>
          <w:p>
            <w:pPr>
              <w:pStyle w:val="8"/>
              <w:spacing w:line="360" w:lineRule="auto"/>
              <w:rPr>
                <w:rFonts w:ascii="宋体" w:hAnsi="宋体"/>
                <w:sz w:val="21"/>
                <w:szCs w:val="21"/>
                <w:highlight w:val="none"/>
              </w:rPr>
            </w:pPr>
            <w:r>
              <w:rPr>
                <w:rFonts w:hint="eastAsia" w:ascii="宋体" w:hAnsi="宋体"/>
                <w:sz w:val="21"/>
                <w:szCs w:val="21"/>
                <w:highlight w:val="none"/>
              </w:rPr>
              <w:t>6.中标人的样品将在评标结束后进行封存，在项目验收时备查。</w:t>
            </w:r>
          </w:p>
          <w:p>
            <w:pPr>
              <w:pStyle w:val="8"/>
              <w:spacing w:line="360" w:lineRule="auto"/>
              <w:rPr>
                <w:rFonts w:ascii="宋体" w:hAnsi="宋体"/>
                <w:b/>
                <w:bCs/>
                <w:sz w:val="21"/>
                <w:szCs w:val="21"/>
                <w:highlight w:val="none"/>
              </w:rPr>
            </w:pPr>
            <w:r>
              <w:rPr>
                <w:rFonts w:hint="eastAsia" w:ascii="宋体" w:hAnsi="宋体"/>
                <w:sz w:val="21"/>
                <w:szCs w:val="21"/>
                <w:highlight w:val="none"/>
              </w:rPr>
              <w:t>7.其余投标人的样品将在中标公示期及质疑期结束后退还，如投标人未在规定时间内办理退还的，采购人或采购代理机构将自行处理，不负责保管。</w:t>
            </w:r>
          </w:p>
        </w:tc>
      </w:tr>
    </w:tbl>
    <w:p>
      <w:pPr>
        <w:pStyle w:val="3"/>
        <w:numPr>
          <w:ilvl w:val="0"/>
          <w:numId w:val="0"/>
        </w:numPr>
        <w:ind w:left="425"/>
        <w:jc w:val="center"/>
        <w:rPr>
          <w:rFonts w:ascii="宋体" w:hAnsi="宋体" w:eastAsia="宋体"/>
          <w:kern w:val="44"/>
          <w:sz w:val="36"/>
          <w:highlight w:val="none"/>
        </w:rPr>
      </w:pPr>
      <w:r>
        <w:rPr>
          <w:rFonts w:ascii="宋体" w:hAnsi="宋体" w:eastAsia="宋体"/>
          <w:highlight w:val="none"/>
        </w:rPr>
        <w:br w:type="page"/>
      </w:r>
      <w:bookmarkStart w:id="92" w:name="_Toc31360"/>
      <w:bookmarkStart w:id="93" w:name="_Toc168573756"/>
      <w:bookmarkStart w:id="94" w:name="_Toc219"/>
      <w:bookmarkStart w:id="95" w:name="_Toc73019957"/>
      <w:bookmarkStart w:id="96" w:name="_Toc16398"/>
      <w:bookmarkStart w:id="97" w:name="_Toc8050"/>
      <w:bookmarkStart w:id="98" w:name="_Toc26531"/>
      <w:r>
        <w:rPr>
          <w:rFonts w:hint="eastAsia" w:ascii="宋体" w:hAnsi="宋体" w:eastAsia="宋体"/>
          <w:szCs w:val="28"/>
          <w:highlight w:val="none"/>
        </w:rPr>
        <w:t>一</w:t>
      </w:r>
      <w:r>
        <w:rPr>
          <w:rFonts w:hint="eastAsia" w:ascii="宋体" w:hAnsi="宋体" w:eastAsia="宋体"/>
          <w:kern w:val="44"/>
          <w:szCs w:val="28"/>
          <w:highlight w:val="none"/>
        </w:rPr>
        <w:t>、总  则</w:t>
      </w:r>
      <w:bookmarkEnd w:id="92"/>
      <w:bookmarkEnd w:id="93"/>
      <w:bookmarkEnd w:id="94"/>
      <w:bookmarkEnd w:id="95"/>
      <w:bookmarkEnd w:id="96"/>
      <w:bookmarkEnd w:id="97"/>
      <w:bookmarkEnd w:id="98"/>
    </w:p>
    <w:p>
      <w:pPr>
        <w:pStyle w:val="14"/>
        <w:spacing w:line="360" w:lineRule="auto"/>
        <w:ind w:left="212" w:hanging="212" w:hangingChars="101"/>
        <w:jc w:val="left"/>
        <w:rPr>
          <w:rFonts w:hAnsi="宋体" w:eastAsia="宋体" w:cs="宋体"/>
          <w:szCs w:val="21"/>
          <w:highlight w:val="none"/>
        </w:rPr>
      </w:pPr>
      <w:r>
        <w:rPr>
          <w:rFonts w:hint="eastAsia" w:hAnsi="宋体" w:eastAsia="宋体" w:cs="宋体"/>
          <w:bCs/>
          <w:szCs w:val="21"/>
          <w:highlight w:val="none"/>
        </w:rPr>
        <w:t>1. 采购人、采购代理机构、</w:t>
      </w:r>
      <w:r>
        <w:rPr>
          <w:rFonts w:hint="eastAsia" w:hAnsi="宋体" w:eastAsia="宋体" w:cs="宋体"/>
          <w:szCs w:val="21"/>
          <w:highlight w:val="none"/>
        </w:rPr>
        <w:t>项目名称及招标编号，详见招标文件“</w:t>
      </w:r>
      <w:r>
        <w:rPr>
          <w:rFonts w:hint="eastAsia" w:hAnsi="宋体" w:eastAsia="宋体" w:cs="宋体"/>
          <w:b/>
          <w:szCs w:val="21"/>
          <w:highlight w:val="none"/>
        </w:rPr>
        <w:t>投标人须知前附表</w:t>
      </w:r>
      <w:r>
        <w:rPr>
          <w:rFonts w:hint="eastAsia" w:hAnsi="宋体" w:eastAsia="宋体" w:cs="宋体"/>
          <w:szCs w:val="21"/>
          <w:highlight w:val="none"/>
        </w:rPr>
        <w:t>”。</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2. 资金来源</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2.1财政资金，已落实。</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3. 招标范围</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3.1 本项目招标范围：见“</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3.2 本项目验收标准：见“</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3.3 本项目交货期、交货地点：见“</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4. 投标人的资格要求</w:t>
      </w:r>
    </w:p>
    <w:p>
      <w:pPr>
        <w:spacing w:line="360" w:lineRule="auto"/>
        <w:jc w:val="left"/>
        <w:rPr>
          <w:rFonts w:ascii="宋体" w:hAnsi="宋体" w:eastAsia="宋体" w:cs="宋体"/>
          <w:b/>
          <w:szCs w:val="21"/>
          <w:highlight w:val="none"/>
        </w:rPr>
      </w:pPr>
      <w:r>
        <w:rPr>
          <w:rFonts w:hint="eastAsia" w:ascii="宋体" w:hAnsi="宋体" w:eastAsia="宋体" w:cs="宋体"/>
          <w:szCs w:val="21"/>
          <w:highlight w:val="none"/>
        </w:rPr>
        <w:t>4.1详见第一章招标公告第二条。</w:t>
      </w:r>
      <w:r>
        <w:rPr>
          <w:rFonts w:hint="eastAsia" w:ascii="宋体" w:hAnsi="宋体" w:eastAsia="宋体" w:cs="宋体"/>
          <w:szCs w:val="21"/>
          <w:highlight w:val="none"/>
        </w:rPr>
        <w:cr/>
      </w:r>
      <w:r>
        <w:rPr>
          <w:rFonts w:hint="eastAsia" w:ascii="宋体" w:hAnsi="宋体" w:eastAsia="宋体" w:cs="宋体"/>
          <w:b/>
          <w:szCs w:val="21"/>
          <w:highlight w:val="none"/>
        </w:rPr>
        <w:t>5. 投标费用</w:t>
      </w:r>
    </w:p>
    <w:p>
      <w:pPr>
        <w:pStyle w:val="14"/>
        <w:spacing w:line="360" w:lineRule="auto"/>
        <w:rPr>
          <w:rFonts w:hAnsi="宋体" w:eastAsia="宋体" w:cs="宋体"/>
          <w:szCs w:val="21"/>
          <w:highlight w:val="none"/>
        </w:rPr>
      </w:pPr>
      <w:r>
        <w:rPr>
          <w:rFonts w:hint="eastAsia" w:hAnsi="宋体" w:eastAsia="宋体" w:cs="宋体"/>
          <w:szCs w:val="21"/>
          <w:highlight w:val="none"/>
        </w:rPr>
        <w:t>5.1不论投标结果如何，投标人均应自行承担所有与准备和参加投标活动有关的全部费用。</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6.质疑</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6.1投标人认为招标文件、招标过程和中标结果使自己的权益受到损害的，应当在应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且证据合法、真实、有效。采购人或采购代理机构应当在7个工作日内对供应商依法提出的质疑作出书面答复，但答复的内容不得涉及商业秘密。</w:t>
      </w:r>
    </w:p>
    <w:p>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供应商应知其权益受到损害之日，是指：</w:t>
      </w:r>
    </w:p>
    <w:p>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（一）对可以质疑的采购文件提出质疑的，为收到采购文件之日或者采购文件公告期限届满之日；</w:t>
      </w:r>
    </w:p>
    <w:p>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（二）对采购过程提出质疑的，为各采购程序环节结束之日；</w:t>
      </w:r>
    </w:p>
    <w:p>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（三）对中标结果提出质疑的，为中标结果公告期限届满之日。</w:t>
      </w:r>
    </w:p>
    <w:p>
      <w:pPr>
        <w:spacing w:line="360" w:lineRule="auto"/>
        <w:jc w:val="left"/>
        <w:rPr>
          <w:rFonts w:ascii="宋体" w:hAnsi="宋体" w:eastAsia="宋体" w:cs="宋体"/>
          <w:szCs w:val="21"/>
          <w:highlight w:val="none"/>
        </w:rPr>
      </w:pPr>
      <w:r>
        <w:rPr>
          <w:rFonts w:hint="eastAsia" w:ascii="宋体" w:hAnsi="宋体" w:eastAsia="宋体" w:cs="宋体"/>
          <w:bCs/>
          <w:szCs w:val="21"/>
          <w:highlight w:val="none"/>
        </w:rPr>
        <w:t>6.2投标人提供的质疑书应符合中华人民共和国财政部第94号令《政府采购质疑和投诉办法》的规定。</w:t>
      </w:r>
      <w:r>
        <w:rPr>
          <w:rFonts w:hint="eastAsia" w:ascii="宋体" w:hAnsi="宋体" w:eastAsia="宋体" w:cs="宋体"/>
          <w:szCs w:val="21"/>
          <w:highlight w:val="none"/>
        </w:rPr>
        <w:t>投标人提供的质疑书（如材料中有外文资料应同时附上中文译本）应当包括以下主要内容：</w:t>
      </w:r>
    </w:p>
    <w:p>
      <w:pPr>
        <w:spacing w:line="360" w:lineRule="auto"/>
        <w:ind w:firstLine="359" w:firstLineChars="171"/>
        <w:jc w:val="left"/>
        <w:rPr>
          <w:rFonts w:ascii="宋体" w:hAnsi="宋体" w:eastAsia="宋体" w:cs="宋体"/>
          <w:szCs w:val="21"/>
          <w:highlight w:val="none"/>
        </w:rPr>
      </w:pPr>
      <w:r>
        <w:rPr>
          <w:rFonts w:hint="eastAsia" w:ascii="宋体" w:hAnsi="宋体" w:eastAsia="宋体" w:cs="宋体"/>
          <w:szCs w:val="21"/>
          <w:highlight w:val="none"/>
        </w:rPr>
        <w:t>（1）质疑项目名称；</w:t>
      </w:r>
    </w:p>
    <w:p>
      <w:pPr>
        <w:spacing w:line="360" w:lineRule="auto"/>
        <w:ind w:firstLine="359" w:firstLineChars="171"/>
        <w:jc w:val="left"/>
        <w:rPr>
          <w:rFonts w:ascii="宋体" w:hAnsi="宋体" w:eastAsia="宋体" w:cs="宋体"/>
          <w:szCs w:val="21"/>
          <w:highlight w:val="none"/>
        </w:rPr>
      </w:pPr>
      <w:r>
        <w:rPr>
          <w:rFonts w:hint="eastAsia" w:ascii="宋体" w:hAnsi="宋体" w:eastAsia="宋体" w:cs="宋体"/>
          <w:szCs w:val="21"/>
          <w:highlight w:val="none"/>
        </w:rPr>
        <w:t>（2）质疑理由及事实依据；</w:t>
      </w:r>
    </w:p>
    <w:p>
      <w:pPr>
        <w:spacing w:line="360" w:lineRule="auto"/>
        <w:ind w:firstLine="359" w:firstLineChars="171"/>
        <w:jc w:val="left"/>
        <w:rPr>
          <w:rFonts w:ascii="宋体" w:hAnsi="宋体" w:eastAsia="宋体" w:cs="宋体"/>
          <w:szCs w:val="21"/>
          <w:highlight w:val="none"/>
        </w:rPr>
      </w:pPr>
      <w:r>
        <w:rPr>
          <w:rFonts w:hint="eastAsia" w:ascii="宋体" w:hAnsi="宋体" w:eastAsia="宋体" w:cs="宋体"/>
          <w:szCs w:val="21"/>
          <w:highlight w:val="none"/>
        </w:rPr>
        <w:t>（3）质疑对象；</w:t>
      </w:r>
    </w:p>
    <w:p>
      <w:pPr>
        <w:spacing w:line="360" w:lineRule="auto"/>
        <w:ind w:firstLine="359" w:firstLineChars="171"/>
        <w:jc w:val="left"/>
        <w:rPr>
          <w:rFonts w:ascii="宋体" w:hAnsi="宋体" w:eastAsia="宋体" w:cs="宋体"/>
          <w:szCs w:val="21"/>
          <w:highlight w:val="none"/>
        </w:rPr>
      </w:pPr>
      <w:r>
        <w:rPr>
          <w:rFonts w:hint="eastAsia" w:ascii="宋体" w:hAnsi="宋体" w:eastAsia="宋体" w:cs="宋体"/>
          <w:szCs w:val="21"/>
          <w:highlight w:val="none"/>
        </w:rPr>
        <w:t>（4）联系电话和地址；</w:t>
      </w:r>
    </w:p>
    <w:p>
      <w:pPr>
        <w:spacing w:line="360" w:lineRule="auto"/>
        <w:ind w:firstLine="359" w:firstLineChars="171"/>
        <w:jc w:val="left"/>
        <w:rPr>
          <w:rFonts w:ascii="宋体" w:hAnsi="宋体" w:eastAsia="宋体" w:cs="宋体"/>
          <w:szCs w:val="21"/>
          <w:highlight w:val="none"/>
        </w:rPr>
      </w:pPr>
      <w:r>
        <w:rPr>
          <w:rFonts w:hint="eastAsia" w:ascii="宋体" w:hAnsi="宋体" w:eastAsia="宋体" w:cs="宋体"/>
          <w:szCs w:val="21"/>
          <w:highlight w:val="none"/>
        </w:rPr>
        <w:t>（5）质疑的日期；</w:t>
      </w:r>
    </w:p>
    <w:p>
      <w:pPr>
        <w:spacing w:line="360" w:lineRule="auto"/>
        <w:ind w:firstLine="359" w:firstLineChars="171"/>
        <w:jc w:val="left"/>
        <w:rPr>
          <w:rFonts w:ascii="宋体" w:hAnsi="宋体" w:eastAsia="宋体" w:cs="宋体"/>
          <w:szCs w:val="21"/>
          <w:highlight w:val="none"/>
        </w:rPr>
      </w:pPr>
      <w:r>
        <w:rPr>
          <w:rFonts w:hint="eastAsia" w:ascii="宋体" w:hAnsi="宋体" w:eastAsia="宋体" w:cs="宋体"/>
          <w:szCs w:val="21"/>
          <w:highlight w:val="none"/>
        </w:rPr>
        <w:t>（6）质疑人署名。</w:t>
      </w:r>
    </w:p>
    <w:p>
      <w:pPr>
        <w:spacing w:line="360" w:lineRule="auto"/>
        <w:ind w:firstLine="472" w:firstLineChars="225"/>
        <w:jc w:val="left"/>
        <w:rPr>
          <w:rFonts w:ascii="宋体" w:hAnsi="宋体" w:eastAsia="宋体" w:cs="宋体"/>
          <w:b/>
          <w:bCs/>
          <w:szCs w:val="21"/>
          <w:highlight w:val="none"/>
          <w:u w:val="single"/>
        </w:rPr>
      </w:pPr>
      <w:r>
        <w:rPr>
          <w:rFonts w:hint="eastAsia" w:ascii="宋体" w:hAnsi="宋体" w:eastAsia="宋体" w:cs="宋体"/>
          <w:szCs w:val="21"/>
          <w:highlight w:val="none"/>
        </w:rPr>
        <w:t>投标人需在法定质疑期内一次性提出针对同一采购程序环节的质疑。质疑书实行实名制，并提交由法定代表人或其委托代理人签字且盖单位章的原件至采购人或采购代理机构。</w:t>
      </w:r>
    </w:p>
    <w:p>
      <w:pPr>
        <w:spacing w:line="360" w:lineRule="auto"/>
        <w:jc w:val="left"/>
        <w:rPr>
          <w:rFonts w:ascii="宋体" w:hAnsi="宋体" w:eastAsia="宋体" w:cs="宋体"/>
          <w:b/>
          <w:szCs w:val="21"/>
          <w:highlight w:val="none"/>
        </w:rPr>
      </w:pPr>
      <w:bookmarkStart w:id="99" w:name="_Toc321836357"/>
      <w:r>
        <w:rPr>
          <w:rFonts w:hint="eastAsia" w:ascii="宋体" w:hAnsi="宋体" w:eastAsia="宋体" w:cs="宋体"/>
          <w:b/>
          <w:szCs w:val="21"/>
          <w:highlight w:val="none"/>
        </w:rPr>
        <w:t>7.投诉</w:t>
      </w:r>
      <w:bookmarkEnd w:id="99"/>
    </w:p>
    <w:p>
      <w:pPr>
        <w:pStyle w:val="14"/>
        <w:spacing w:line="360" w:lineRule="auto"/>
        <w:rPr>
          <w:rFonts w:hAnsi="宋体" w:eastAsia="宋体" w:cs="宋体"/>
          <w:szCs w:val="21"/>
          <w:highlight w:val="none"/>
        </w:rPr>
      </w:pPr>
      <w:r>
        <w:rPr>
          <w:rFonts w:hint="eastAsia" w:hAnsi="宋体" w:eastAsia="宋体" w:cs="宋体"/>
          <w:szCs w:val="21"/>
          <w:highlight w:val="none"/>
        </w:rPr>
        <w:t>7.1投诉必须首先经过质疑程序。质疑人对采购人、采购代理机构的答复不满意，或者采购人、采购代理机构未在规定的时间内做出答复的，可以在答复期满后15个工作日内书面向同级财政部门提出投诉。</w:t>
      </w:r>
    </w:p>
    <w:p>
      <w:pPr>
        <w:pStyle w:val="3"/>
        <w:numPr>
          <w:ilvl w:val="0"/>
          <w:numId w:val="0"/>
        </w:numPr>
        <w:ind w:left="425"/>
        <w:jc w:val="center"/>
        <w:rPr>
          <w:rFonts w:ascii="宋体" w:hAnsi="宋体" w:eastAsia="宋体"/>
          <w:szCs w:val="28"/>
          <w:highlight w:val="none"/>
        </w:rPr>
      </w:pPr>
      <w:bookmarkStart w:id="100" w:name="_Toc168573757"/>
      <w:bookmarkStart w:id="101" w:name="_Toc14147"/>
      <w:bookmarkStart w:id="102" w:name="_Toc4654"/>
      <w:bookmarkStart w:id="103" w:name="_Toc16276"/>
      <w:bookmarkStart w:id="104" w:name="_Toc11344"/>
      <w:bookmarkStart w:id="105" w:name="_Toc73019958"/>
      <w:bookmarkStart w:id="106" w:name="_Toc3457"/>
      <w:r>
        <w:rPr>
          <w:rFonts w:hint="eastAsia" w:ascii="宋体" w:hAnsi="宋体" w:eastAsia="宋体"/>
          <w:szCs w:val="28"/>
          <w:highlight w:val="none"/>
        </w:rPr>
        <w:t>二、招标文件</w:t>
      </w:r>
      <w:bookmarkEnd w:id="100"/>
      <w:bookmarkEnd w:id="101"/>
      <w:bookmarkEnd w:id="102"/>
      <w:bookmarkEnd w:id="103"/>
      <w:bookmarkEnd w:id="104"/>
      <w:bookmarkEnd w:id="105"/>
      <w:bookmarkEnd w:id="106"/>
    </w:p>
    <w:p>
      <w:pPr>
        <w:pStyle w:val="14"/>
        <w:spacing w:line="360" w:lineRule="auto"/>
        <w:rPr>
          <w:rFonts w:hAnsi="宋体" w:eastAsia="宋体" w:cs="宋体"/>
          <w:b/>
          <w:bCs/>
          <w:szCs w:val="21"/>
          <w:highlight w:val="none"/>
        </w:rPr>
      </w:pPr>
      <w:r>
        <w:rPr>
          <w:rFonts w:hint="eastAsia" w:hAnsi="宋体" w:eastAsia="宋体" w:cs="宋体"/>
          <w:b/>
          <w:bCs/>
          <w:szCs w:val="21"/>
          <w:highlight w:val="none"/>
        </w:rPr>
        <w:t>8. 招标文件构成</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8.1要求提供的货物、采购过程及合同条款在招标文件中均有说明，招标文件共七章，各章的内容如下：</w:t>
      </w:r>
    </w:p>
    <w:p>
      <w:pPr>
        <w:spacing w:line="360" w:lineRule="auto"/>
        <w:ind w:firstLine="630" w:firstLineChars="300"/>
        <w:jc w:val="left"/>
        <w:rPr>
          <w:rFonts w:ascii="宋体" w:hAnsi="宋体" w:eastAsia="宋体" w:cs="宋体"/>
          <w:szCs w:val="21"/>
          <w:highlight w:val="none"/>
        </w:rPr>
      </w:pPr>
      <w:r>
        <w:rPr>
          <w:rFonts w:hint="eastAsia" w:ascii="宋体" w:hAnsi="宋体" w:eastAsia="宋体" w:cs="宋体"/>
          <w:szCs w:val="21"/>
          <w:highlight w:val="none"/>
        </w:rPr>
        <w:t>第一章  招标公告</w:t>
      </w:r>
    </w:p>
    <w:p>
      <w:pPr>
        <w:pStyle w:val="14"/>
        <w:spacing w:line="360" w:lineRule="auto"/>
        <w:rPr>
          <w:rFonts w:hAnsi="宋体" w:eastAsia="宋体" w:cs="宋体"/>
          <w:szCs w:val="21"/>
          <w:highlight w:val="none"/>
        </w:rPr>
      </w:pPr>
      <w:r>
        <w:rPr>
          <w:rFonts w:hint="eastAsia" w:hAnsi="宋体" w:eastAsia="宋体" w:cs="宋体"/>
          <w:szCs w:val="21"/>
          <w:highlight w:val="none"/>
        </w:rPr>
        <w:t xml:space="preserve">      第二章  投标人须知</w:t>
      </w:r>
    </w:p>
    <w:p>
      <w:pPr>
        <w:pStyle w:val="14"/>
        <w:spacing w:line="360" w:lineRule="auto"/>
        <w:rPr>
          <w:rFonts w:hAnsi="宋体" w:eastAsia="宋体" w:cs="宋体"/>
          <w:szCs w:val="21"/>
          <w:highlight w:val="none"/>
        </w:rPr>
      </w:pPr>
      <w:r>
        <w:rPr>
          <w:rFonts w:hint="eastAsia" w:hAnsi="宋体" w:eastAsia="宋体" w:cs="宋体"/>
          <w:szCs w:val="21"/>
          <w:highlight w:val="none"/>
        </w:rPr>
        <w:t xml:space="preserve">      第三章  合同基本格式及主要条款</w:t>
      </w:r>
    </w:p>
    <w:p>
      <w:pPr>
        <w:pStyle w:val="14"/>
        <w:spacing w:line="360" w:lineRule="auto"/>
        <w:ind w:firstLine="630" w:firstLineChars="300"/>
        <w:rPr>
          <w:rFonts w:hAnsi="宋体" w:eastAsia="宋体" w:cs="宋体"/>
          <w:szCs w:val="21"/>
          <w:highlight w:val="none"/>
        </w:rPr>
      </w:pPr>
      <w:r>
        <w:rPr>
          <w:rFonts w:hint="eastAsia" w:hAnsi="宋体" w:eastAsia="宋体" w:cs="宋体"/>
          <w:szCs w:val="21"/>
          <w:highlight w:val="none"/>
        </w:rPr>
        <w:t>第四章  投标文件格式</w:t>
      </w:r>
    </w:p>
    <w:p>
      <w:pPr>
        <w:pStyle w:val="14"/>
        <w:spacing w:line="360" w:lineRule="auto"/>
        <w:rPr>
          <w:rFonts w:hAnsi="宋体" w:eastAsia="宋体" w:cs="宋体"/>
          <w:szCs w:val="21"/>
          <w:highlight w:val="none"/>
        </w:rPr>
      </w:pPr>
      <w:r>
        <w:rPr>
          <w:rFonts w:hint="eastAsia" w:hAnsi="宋体" w:eastAsia="宋体" w:cs="宋体"/>
          <w:szCs w:val="21"/>
          <w:highlight w:val="none"/>
        </w:rPr>
        <w:t xml:space="preserve">      第五章  项目需求及技术要求</w:t>
      </w:r>
    </w:p>
    <w:p>
      <w:pPr>
        <w:pStyle w:val="14"/>
        <w:spacing w:line="360" w:lineRule="auto"/>
        <w:ind w:firstLine="630" w:firstLineChars="300"/>
        <w:rPr>
          <w:rFonts w:hAnsi="宋体" w:eastAsia="宋体" w:cs="宋体"/>
          <w:szCs w:val="21"/>
          <w:highlight w:val="none"/>
        </w:rPr>
      </w:pPr>
      <w:r>
        <w:rPr>
          <w:rFonts w:hint="eastAsia" w:hAnsi="宋体" w:eastAsia="宋体" w:cs="宋体"/>
          <w:szCs w:val="21"/>
          <w:highlight w:val="none"/>
        </w:rPr>
        <w:t>第六章  资格评审标准</w:t>
      </w:r>
    </w:p>
    <w:p>
      <w:pPr>
        <w:pStyle w:val="14"/>
        <w:spacing w:line="360" w:lineRule="auto"/>
        <w:ind w:firstLine="630" w:firstLineChars="300"/>
        <w:rPr>
          <w:rFonts w:hAnsi="宋体" w:eastAsia="宋体" w:cs="宋体"/>
          <w:szCs w:val="21"/>
          <w:highlight w:val="none"/>
        </w:rPr>
      </w:pPr>
      <w:r>
        <w:rPr>
          <w:rFonts w:hint="eastAsia" w:hAnsi="宋体" w:eastAsia="宋体" w:cs="宋体"/>
          <w:szCs w:val="21"/>
          <w:highlight w:val="none"/>
        </w:rPr>
        <w:t>第七章  评标方法</w:t>
      </w:r>
    </w:p>
    <w:p>
      <w:pPr>
        <w:pStyle w:val="14"/>
        <w:spacing w:line="360" w:lineRule="auto"/>
        <w:rPr>
          <w:rFonts w:hAnsi="宋体" w:eastAsia="宋体" w:cs="宋体"/>
          <w:b/>
          <w:bCs/>
          <w:szCs w:val="21"/>
          <w:highlight w:val="none"/>
        </w:rPr>
      </w:pPr>
      <w:r>
        <w:rPr>
          <w:rFonts w:hint="eastAsia" w:hAnsi="宋体" w:eastAsia="宋体" w:cs="宋体"/>
          <w:b/>
          <w:bCs/>
          <w:szCs w:val="21"/>
          <w:highlight w:val="none"/>
        </w:rPr>
        <w:t>9. 招标文件的澄清</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9.1投标人应认真核查招标文件，如有疑问的，投标人可以在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云南省公共资源交易信息网（网址：https://ggzy.yn.gov.cn/ynggfwpt-home-web/#/homePage），通过在线方式进行不署名提问。</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9.2采购代理机构将以书面形式答复所有购买招标文件的投标人（答复中不包含问题的来源）要求澄清的问题，其他澄清方式为无效。</w:t>
      </w:r>
    </w:p>
    <w:p>
      <w:pPr>
        <w:pStyle w:val="14"/>
        <w:spacing w:line="360" w:lineRule="auto"/>
        <w:rPr>
          <w:rFonts w:hAnsi="宋体" w:eastAsia="宋体" w:cs="宋体"/>
          <w:b/>
          <w:bCs/>
          <w:szCs w:val="21"/>
          <w:highlight w:val="none"/>
        </w:rPr>
      </w:pPr>
      <w:r>
        <w:rPr>
          <w:rFonts w:hint="eastAsia" w:hAnsi="宋体" w:eastAsia="宋体" w:cs="宋体"/>
          <w:b/>
          <w:bCs/>
          <w:szCs w:val="21"/>
          <w:highlight w:val="none"/>
        </w:rPr>
        <w:t>10. 招标文件的澄清或者修改</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10.1采购代理机构对已发出的招标文件进行必要澄清或者修改的，于招标文件要求提交投标文件截止时间15日前，在财政部门指定的政府采购信息发布媒体上发布澄清公告。该澄清或者修改的内容为招标文件的组成部分。</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10.2采购代理机构和采购单位可以视采购具体情况，延长投标截止时间和开标时间，但至少在招标文件要求提交投标文件的截止时间3日前，将变更时间书面通知所有购买招标文件的投标人，并在财政部门指定的政府采购信息发布媒体上发布澄清公告。</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10.3招标人对采购文件中的涉及评标办法、评审项目等重要评审内容做出变更，将同时发布补遗文件进行说明以保证各投标人都能重新下载并用于编制电子投标文件。</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10.4投标人应在投标截止时间前及时登录云南省公共资源交易信息网（网址：https://ggzy.yn.gov.cn/ynggfwpt-home-web/#/homePage）中查看有关该项目招标文件的答疑、补遗内容。否则，后果自负。</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10.5招标文件澄清、招标文件修改文件内容均以网上电子文件为准，当招标文件、招标文件澄清、招标文件修改文件内容后前相互矛盾时，以最后发出的为准。</w:t>
      </w:r>
    </w:p>
    <w:p>
      <w:pPr>
        <w:pStyle w:val="3"/>
        <w:numPr>
          <w:ilvl w:val="0"/>
          <w:numId w:val="0"/>
        </w:numPr>
        <w:ind w:left="425"/>
        <w:jc w:val="center"/>
        <w:rPr>
          <w:rFonts w:ascii="宋体" w:hAnsi="宋体" w:eastAsia="宋体"/>
          <w:szCs w:val="28"/>
          <w:highlight w:val="none"/>
        </w:rPr>
      </w:pPr>
      <w:bookmarkStart w:id="107" w:name="_Toc168573758"/>
      <w:bookmarkStart w:id="108" w:name="_Toc26733"/>
      <w:bookmarkStart w:id="109" w:name="_Toc6904"/>
      <w:bookmarkStart w:id="110" w:name="_Toc73019959"/>
      <w:bookmarkStart w:id="111" w:name="_Toc26389"/>
      <w:bookmarkStart w:id="112" w:name="_Toc6577"/>
      <w:bookmarkStart w:id="113" w:name="_Toc16009"/>
      <w:r>
        <w:rPr>
          <w:rFonts w:hint="eastAsia" w:ascii="宋体" w:hAnsi="宋体" w:eastAsia="宋体"/>
          <w:szCs w:val="28"/>
          <w:highlight w:val="none"/>
        </w:rPr>
        <w:t>三、投标文件</w:t>
      </w:r>
      <w:bookmarkEnd w:id="107"/>
      <w:bookmarkEnd w:id="108"/>
      <w:bookmarkEnd w:id="109"/>
      <w:bookmarkEnd w:id="110"/>
      <w:bookmarkEnd w:id="111"/>
      <w:bookmarkEnd w:id="112"/>
      <w:bookmarkEnd w:id="113"/>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11. 投标文件编写注意事项</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11.1投标人应仔细阅读招标文件，在完全了解采购的内容、技术性能要求(详见“</w:t>
      </w:r>
      <w:r>
        <w:rPr>
          <w:rFonts w:hint="eastAsia" w:ascii="宋体" w:hAnsi="宋体" w:eastAsia="宋体" w:cs="宋体"/>
          <w:b/>
          <w:szCs w:val="21"/>
          <w:highlight w:val="none"/>
        </w:rPr>
        <w:t>项目需求”</w:t>
      </w:r>
      <w:r>
        <w:rPr>
          <w:rFonts w:hint="eastAsia" w:ascii="宋体" w:hAnsi="宋体" w:eastAsia="宋体" w:cs="宋体"/>
          <w:szCs w:val="21"/>
          <w:highlight w:val="none"/>
        </w:rPr>
        <w:t>)和商务条件后，编写投标文件。</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11.2 对招标文件提出的实质性要求和条件作出响应是指：投标人必须对招标文件中的实质性要求和条件的内容作出满足或者优于原要求和条件的承诺，并提供相应的证明材料。</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12. 投标的语言及计量单位</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12.1投标人的投标文件以及投标人与采购代理机构就有关投标的所有来往函电统一使用中文（特别规定除外）。</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12.2投标文件中使用的计量单位除招标文件中有特殊规定外，一律使用中国法定计量单位。</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13. 投标文件构成</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13.1投标人编写的投标文件应按第四章“投标文件格式”要求填写，构成。有关文件的提交如未特别注明需提供原件的，可提供扫描件。</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13.2投标人同时投多个包（</w:t>
      </w:r>
      <w:r>
        <w:rPr>
          <w:rFonts w:hint="eastAsia" w:ascii="宋体" w:hAnsi="宋体" w:eastAsia="宋体" w:cs="宋体"/>
          <w:b/>
          <w:szCs w:val="21"/>
          <w:highlight w:val="none"/>
        </w:rPr>
        <w:t>若分包时</w:t>
      </w:r>
      <w:r>
        <w:rPr>
          <w:rFonts w:hint="eastAsia" w:ascii="宋体" w:hAnsi="宋体" w:eastAsia="宋体" w:cs="宋体"/>
          <w:szCs w:val="21"/>
          <w:highlight w:val="none"/>
        </w:rPr>
        <w:t>）的，投标文件应按包分别编制，单独成册。</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14. 投标文件的格式要求</w:t>
      </w:r>
    </w:p>
    <w:p>
      <w:pPr>
        <w:pStyle w:val="14"/>
        <w:tabs>
          <w:tab w:val="left" w:pos="3030"/>
        </w:tabs>
        <w:spacing w:line="360" w:lineRule="auto"/>
        <w:rPr>
          <w:rFonts w:hAnsi="宋体" w:eastAsia="宋体" w:cs="宋体"/>
          <w:bCs/>
          <w:szCs w:val="21"/>
          <w:highlight w:val="none"/>
        </w:rPr>
      </w:pPr>
      <w:r>
        <w:rPr>
          <w:rFonts w:hint="eastAsia" w:hAnsi="宋体" w:eastAsia="宋体" w:cs="宋体"/>
          <w:szCs w:val="21"/>
          <w:highlight w:val="none"/>
        </w:rPr>
        <w:t>14.1投标人应按第四章“</w:t>
      </w:r>
      <w:r>
        <w:rPr>
          <w:rFonts w:hint="eastAsia" w:hAnsi="宋体" w:eastAsia="宋体" w:cs="宋体"/>
          <w:b/>
          <w:szCs w:val="21"/>
          <w:highlight w:val="none"/>
        </w:rPr>
        <w:t>投标文件格式</w:t>
      </w:r>
      <w:r>
        <w:rPr>
          <w:rFonts w:hint="eastAsia" w:hAnsi="宋体" w:eastAsia="宋体" w:cs="宋体"/>
          <w:szCs w:val="21"/>
          <w:highlight w:val="none"/>
        </w:rPr>
        <w:t>”提供的格式完整地填写。</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15. 投标报价</w:t>
      </w:r>
    </w:p>
    <w:p>
      <w:pPr>
        <w:pStyle w:val="14"/>
        <w:spacing w:line="360" w:lineRule="auto"/>
        <w:rPr>
          <w:rFonts w:hAnsi="宋体" w:eastAsia="宋体" w:cs="宋体"/>
          <w:szCs w:val="21"/>
          <w:highlight w:val="none"/>
        </w:rPr>
      </w:pPr>
      <w:r>
        <w:rPr>
          <w:rFonts w:hint="eastAsia" w:hAnsi="宋体" w:eastAsia="宋体" w:cs="宋体"/>
          <w:szCs w:val="21"/>
          <w:highlight w:val="none"/>
        </w:rPr>
        <w:t>15.1本项目预算金额见“</w:t>
      </w:r>
      <w:r>
        <w:rPr>
          <w:rFonts w:hint="eastAsia" w:hAnsi="宋体" w:eastAsia="宋体" w:cs="宋体"/>
          <w:b/>
          <w:bCs/>
          <w:szCs w:val="21"/>
          <w:highlight w:val="none"/>
        </w:rPr>
        <w:t>投标人须知前附表</w:t>
      </w:r>
      <w:r>
        <w:rPr>
          <w:rFonts w:hint="eastAsia" w:hAnsi="宋体" w:eastAsia="宋体" w:cs="宋体"/>
          <w:szCs w:val="21"/>
          <w:highlight w:val="none"/>
        </w:rPr>
        <w:t>”，若投标人的投标报价超过最高限价（单价或总价），</w:t>
      </w:r>
      <w:r>
        <w:rPr>
          <w:rFonts w:hint="eastAsia" w:hAnsi="宋体" w:eastAsia="宋体" w:cs="宋体"/>
          <w:bCs/>
          <w:szCs w:val="21"/>
          <w:highlight w:val="none"/>
        </w:rPr>
        <w:t>按不实质性响应招标文件要求处理</w:t>
      </w:r>
      <w:r>
        <w:rPr>
          <w:rFonts w:hint="eastAsia" w:hAnsi="宋体" w:eastAsia="宋体" w:cs="宋体"/>
          <w:szCs w:val="21"/>
          <w:highlight w:val="none"/>
        </w:rPr>
        <w:t>。</w:t>
      </w:r>
    </w:p>
    <w:p>
      <w:pPr>
        <w:pStyle w:val="14"/>
        <w:spacing w:line="360" w:lineRule="auto"/>
        <w:rPr>
          <w:rFonts w:hAnsi="宋体" w:eastAsia="宋体" w:cs="宋体"/>
          <w:szCs w:val="21"/>
          <w:highlight w:val="none"/>
        </w:rPr>
      </w:pPr>
      <w:r>
        <w:rPr>
          <w:rFonts w:hint="eastAsia" w:hAnsi="宋体" w:eastAsia="宋体" w:cs="宋体"/>
          <w:szCs w:val="21"/>
          <w:highlight w:val="none"/>
        </w:rPr>
        <w:t>15.2投标人须就“</w:t>
      </w:r>
      <w:r>
        <w:rPr>
          <w:rFonts w:hint="eastAsia" w:hAnsi="宋体" w:eastAsia="宋体" w:cs="宋体"/>
          <w:b/>
          <w:szCs w:val="21"/>
          <w:highlight w:val="none"/>
        </w:rPr>
        <w:t>项目需求</w:t>
      </w:r>
      <w:r>
        <w:rPr>
          <w:rFonts w:hint="eastAsia" w:hAnsi="宋体" w:eastAsia="宋体" w:cs="宋体"/>
          <w:szCs w:val="21"/>
          <w:highlight w:val="none"/>
        </w:rPr>
        <w:t>”中的</w:t>
      </w:r>
      <w:r>
        <w:rPr>
          <w:rFonts w:hint="eastAsia" w:hAnsi="宋体" w:eastAsia="宋体" w:cs="宋体"/>
          <w:b/>
          <w:bCs/>
          <w:szCs w:val="21"/>
          <w:highlight w:val="none"/>
        </w:rPr>
        <w:t>所投包货物内容作完整唯一报价</w:t>
      </w:r>
      <w:r>
        <w:rPr>
          <w:rFonts w:hint="eastAsia" w:hAnsi="宋体" w:eastAsia="宋体" w:cs="宋体"/>
          <w:szCs w:val="21"/>
          <w:highlight w:val="none"/>
        </w:rPr>
        <w:t>。</w:t>
      </w:r>
    </w:p>
    <w:p>
      <w:pPr>
        <w:pStyle w:val="14"/>
        <w:spacing w:line="360" w:lineRule="auto"/>
        <w:rPr>
          <w:rFonts w:hAnsi="宋体" w:eastAsia="宋体" w:cs="宋体"/>
          <w:szCs w:val="21"/>
          <w:highlight w:val="none"/>
        </w:rPr>
      </w:pPr>
      <w:r>
        <w:rPr>
          <w:rFonts w:hint="eastAsia" w:hAnsi="宋体" w:eastAsia="宋体" w:cs="宋体"/>
          <w:szCs w:val="21"/>
          <w:highlight w:val="none"/>
        </w:rPr>
        <w:t>15.3本项目投标报价采用总价包干的方式，以总价包干的方式完成本项目采购的全部相关工作内容，该总价不因任何变化而做出调整。投标人的投标报价包括但不限于：实施和完成合同项目所需的研发、改造、人工、材料、机械、措施、质检（自检）、安装调试费（含安装、调试所需材料）、包装、运输、保险、货物的到厂卸货、二次转运、管理、利润、规费、税金、维护、培训、售后、辅材、纽扣、臂章、随配附件、标识及服饰制作和印刷费用、保证期内缺陷的修复补救、合同明示或暗示的所有责任、义务和风险等按照技术标准和规范要求、工艺和方法完成本项目内容所需的费用以及考虑除不可抗力外的其他任何风险而增加的费用。</w:t>
      </w:r>
    </w:p>
    <w:p>
      <w:pPr>
        <w:pStyle w:val="14"/>
        <w:spacing w:line="360" w:lineRule="auto"/>
        <w:rPr>
          <w:rFonts w:hAnsi="宋体" w:eastAsia="宋体" w:cs="宋体"/>
          <w:szCs w:val="21"/>
          <w:highlight w:val="none"/>
        </w:rPr>
      </w:pPr>
      <w:r>
        <w:rPr>
          <w:rFonts w:hint="eastAsia" w:hAnsi="宋体" w:eastAsia="宋体" w:cs="宋体"/>
          <w:szCs w:val="21"/>
          <w:highlight w:val="none"/>
        </w:rPr>
        <w:t>15.4投标人根据自身的技术水平、企业实力以及市场价格，充分考虑可能存在的明示或暗示的风险，合理填报具有竞争力的投标报价。</w:t>
      </w:r>
    </w:p>
    <w:p>
      <w:pPr>
        <w:pStyle w:val="14"/>
        <w:spacing w:line="360" w:lineRule="auto"/>
        <w:rPr>
          <w:rFonts w:hAnsi="宋体" w:eastAsia="宋体" w:cs="宋体"/>
          <w:szCs w:val="21"/>
          <w:highlight w:val="none"/>
        </w:rPr>
      </w:pPr>
      <w:r>
        <w:rPr>
          <w:rFonts w:hint="eastAsia" w:hAnsi="宋体" w:eastAsia="宋体" w:cs="宋体"/>
          <w:szCs w:val="21"/>
          <w:highlight w:val="none"/>
        </w:rPr>
        <w:t>15.5本项目不组织集中踏勘，但供应商可自行对项目现场和周围环境进行踏勘，以获取编制投标文件和签署合同所需的资料。踏勘现场所发生的费用及其一切风险由供应商自行承担。因供应商自身原因未考虑到的价格风险，由供应商自行承担，合同结算时对该部分不做调整。</w:t>
      </w:r>
    </w:p>
    <w:p>
      <w:pPr>
        <w:pStyle w:val="14"/>
        <w:spacing w:line="360" w:lineRule="auto"/>
        <w:rPr>
          <w:rFonts w:hAnsi="宋体" w:eastAsia="宋体" w:cs="宋体"/>
          <w:szCs w:val="21"/>
          <w:highlight w:val="none"/>
        </w:rPr>
      </w:pPr>
      <w:r>
        <w:rPr>
          <w:rFonts w:hint="eastAsia" w:hAnsi="宋体" w:eastAsia="宋体" w:cs="宋体"/>
          <w:szCs w:val="21"/>
          <w:highlight w:val="none"/>
        </w:rPr>
        <w:t>15.6若在项目实施过程中因供应商的实施方案不完善、或未认真理解采购方提供的相关资料及采购方要求、不满足现行国家相关规范要求等而需增加的投资等均属供应商的责任，所产生费用全部由供应商承担，包干总价不予以任何增加调整。</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16. 投标货币</w:t>
      </w:r>
    </w:p>
    <w:p>
      <w:pPr>
        <w:pStyle w:val="14"/>
        <w:spacing w:line="360" w:lineRule="auto"/>
        <w:rPr>
          <w:rFonts w:hAnsi="宋体" w:eastAsia="宋体" w:cs="宋体"/>
          <w:bCs/>
          <w:szCs w:val="21"/>
          <w:highlight w:val="none"/>
        </w:rPr>
      </w:pPr>
      <w:r>
        <w:rPr>
          <w:rFonts w:hint="eastAsia" w:hAnsi="宋体" w:eastAsia="宋体" w:cs="宋体"/>
          <w:szCs w:val="21"/>
          <w:highlight w:val="none"/>
        </w:rPr>
        <w:t>16.1投标以人民币报价。</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17. 投标文件有效期</w:t>
      </w:r>
    </w:p>
    <w:p>
      <w:pPr>
        <w:pStyle w:val="14"/>
        <w:spacing w:line="360" w:lineRule="auto"/>
        <w:ind w:left="630" w:hanging="630" w:hangingChars="300"/>
        <w:rPr>
          <w:rFonts w:hAnsi="宋体" w:eastAsia="宋体" w:cs="宋体"/>
          <w:szCs w:val="21"/>
          <w:highlight w:val="none"/>
        </w:rPr>
      </w:pPr>
      <w:r>
        <w:rPr>
          <w:rFonts w:hint="eastAsia" w:hAnsi="宋体" w:eastAsia="宋体" w:cs="宋体"/>
          <w:szCs w:val="21"/>
          <w:highlight w:val="none"/>
        </w:rPr>
        <w:t>17.1在“</w:t>
      </w:r>
      <w:r>
        <w:rPr>
          <w:rFonts w:hint="eastAsia" w:hAnsi="宋体" w:eastAsia="宋体" w:cs="宋体"/>
          <w:b/>
          <w:bCs/>
          <w:szCs w:val="21"/>
          <w:highlight w:val="none"/>
        </w:rPr>
        <w:t>投标人须知前附表</w:t>
      </w:r>
      <w:r>
        <w:rPr>
          <w:rFonts w:hint="eastAsia" w:hAnsi="宋体" w:eastAsia="宋体" w:cs="宋体"/>
          <w:szCs w:val="21"/>
          <w:highlight w:val="none"/>
        </w:rPr>
        <w:t>”规定的投标有效期内，投标人不得要求撤销或修改其投标文件。</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17.2投标有效期从提交投标文件的截止之日起算。投标文件中承诺的投标有效期应当不少于招标文件中载明的投标有效期。投标有效期内投标人撤销投标文件的，采购代理机构可以不退还投标保证金。</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18.分包</w:t>
      </w:r>
    </w:p>
    <w:p>
      <w:pPr>
        <w:spacing w:line="360" w:lineRule="auto"/>
        <w:jc w:val="left"/>
        <w:rPr>
          <w:rFonts w:ascii="宋体" w:hAnsi="宋体" w:eastAsia="宋体" w:cs="宋体"/>
          <w:kern w:val="0"/>
          <w:szCs w:val="21"/>
          <w:highlight w:val="none"/>
        </w:rPr>
      </w:pPr>
      <w:r>
        <w:rPr>
          <w:rFonts w:hint="eastAsia" w:ascii="宋体" w:hAnsi="宋体" w:eastAsia="宋体" w:cs="宋体"/>
          <w:kern w:val="0"/>
          <w:szCs w:val="21"/>
          <w:highlight w:val="none"/>
        </w:rPr>
        <w:t>18.1 本项目不允许分包。</w:t>
      </w:r>
    </w:p>
    <w:p>
      <w:pPr>
        <w:spacing w:line="360" w:lineRule="auto"/>
        <w:jc w:val="left"/>
        <w:rPr>
          <w:rFonts w:ascii="宋体" w:hAnsi="宋体" w:eastAsia="宋体" w:cs="宋体"/>
          <w:bCs/>
          <w:szCs w:val="21"/>
          <w:highlight w:val="none"/>
        </w:rPr>
      </w:pPr>
      <w:r>
        <w:rPr>
          <w:rFonts w:hint="eastAsia" w:ascii="宋体" w:hAnsi="宋体" w:eastAsia="宋体" w:cs="宋体"/>
          <w:b/>
          <w:kern w:val="0"/>
          <w:szCs w:val="21"/>
          <w:highlight w:val="none"/>
        </w:rPr>
        <w:t xml:space="preserve">19. </w:t>
      </w:r>
      <w:r>
        <w:rPr>
          <w:rFonts w:hint="eastAsia" w:ascii="宋体" w:hAnsi="宋体" w:eastAsia="宋体" w:cs="宋体"/>
          <w:bCs/>
          <w:kern w:val="0"/>
          <w:szCs w:val="21"/>
          <w:highlight w:val="none"/>
        </w:rPr>
        <w:t>投标人应当遵循公平竞争的原则，不得恶意串通，不得妨碍其他投标人的竞争行为，不得损害采购人或者其他投标人的合法权益。</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20. 投标文件的编制</w:t>
      </w:r>
    </w:p>
    <w:p>
      <w:pPr>
        <w:pStyle w:val="14"/>
        <w:spacing w:line="360" w:lineRule="auto"/>
        <w:rPr>
          <w:rFonts w:hAnsi="宋体" w:eastAsia="宋体" w:cs="宋体"/>
          <w:szCs w:val="21"/>
          <w:highlight w:val="none"/>
        </w:rPr>
      </w:pPr>
      <w:r>
        <w:rPr>
          <w:rFonts w:hint="eastAsia" w:hAnsi="宋体" w:eastAsia="宋体" w:cs="宋体"/>
          <w:szCs w:val="21"/>
          <w:highlight w:val="none"/>
        </w:rPr>
        <w:t>20.1投标文件全部采用电子文档，格式为*.ZCTBJ，应使用《云南省政府采购投标文件编制系统》制作，编制要求见附件《电子投标文件编制及报送要求》，并进行电子签名及加密。</w:t>
      </w:r>
    </w:p>
    <w:p>
      <w:pPr>
        <w:pStyle w:val="14"/>
        <w:spacing w:line="360" w:lineRule="auto"/>
        <w:rPr>
          <w:rFonts w:hAnsi="宋体" w:eastAsia="宋体" w:cs="宋体"/>
          <w:szCs w:val="21"/>
          <w:highlight w:val="none"/>
        </w:rPr>
      </w:pPr>
      <w:r>
        <w:rPr>
          <w:rFonts w:hint="eastAsia" w:hAnsi="宋体" w:eastAsia="宋体" w:cs="宋体"/>
          <w:szCs w:val="21"/>
          <w:highlight w:val="none"/>
        </w:rPr>
        <w:t>20.2在编制标投标文件时，粘贴图片建议使用JPG格式的文件，并且每张图片的分辩率应小于100dpi，最终的每份标书文件所占用的磁盘空间必须小于100M。</w:t>
      </w:r>
    </w:p>
    <w:p>
      <w:pPr>
        <w:pStyle w:val="14"/>
        <w:spacing w:line="360" w:lineRule="auto"/>
        <w:rPr>
          <w:rFonts w:hAnsi="宋体" w:eastAsia="宋体" w:cs="宋体"/>
          <w:szCs w:val="21"/>
          <w:highlight w:val="none"/>
        </w:rPr>
      </w:pPr>
      <w:r>
        <w:rPr>
          <w:rFonts w:hint="eastAsia" w:hAnsi="宋体" w:eastAsia="宋体" w:cs="宋体"/>
          <w:szCs w:val="21"/>
          <w:highlight w:val="none"/>
        </w:rPr>
        <w:t>20.3如投标人提交的电子标书不符合20.1要求或开标时无法读取导入或解密，其投标文件将不予受理。</w:t>
      </w:r>
    </w:p>
    <w:p>
      <w:pPr>
        <w:pStyle w:val="14"/>
        <w:spacing w:line="360" w:lineRule="auto"/>
        <w:rPr>
          <w:rFonts w:hAnsi="宋体" w:eastAsia="宋体" w:cs="宋体"/>
          <w:szCs w:val="21"/>
          <w:highlight w:val="none"/>
        </w:rPr>
      </w:pPr>
      <w:r>
        <w:rPr>
          <w:rFonts w:hint="eastAsia" w:hAnsi="宋体" w:eastAsia="宋体" w:cs="宋体"/>
          <w:szCs w:val="21"/>
          <w:highlight w:val="none"/>
        </w:rPr>
        <w:t>20.4投标文件应尽量避免涂改、行间插字或删除。如果出现上述情况，改动之处应加盖单位章或由投标人的法定代表人或其委托代理人（签名或盖章）确认。</w:t>
      </w:r>
    </w:p>
    <w:p>
      <w:pPr>
        <w:pStyle w:val="14"/>
        <w:spacing w:line="360" w:lineRule="auto"/>
        <w:rPr>
          <w:rFonts w:hAnsi="宋体" w:eastAsia="宋体" w:cs="宋体"/>
          <w:szCs w:val="21"/>
          <w:highlight w:val="none"/>
        </w:rPr>
      </w:pPr>
      <w:r>
        <w:rPr>
          <w:rFonts w:hint="eastAsia" w:hAnsi="宋体" w:eastAsia="宋体" w:cs="宋体"/>
          <w:szCs w:val="21"/>
          <w:highlight w:val="none"/>
        </w:rPr>
        <w:t>20.5关键内容字迹潦草、表达不清、未按要求填写而导致非唯一理解，视为未实质性响应招标文件的投标文件。</w:t>
      </w:r>
    </w:p>
    <w:p>
      <w:pPr>
        <w:pStyle w:val="14"/>
        <w:spacing w:line="360" w:lineRule="auto"/>
        <w:rPr>
          <w:rFonts w:hAnsi="宋体" w:eastAsia="宋体" w:cs="宋体"/>
          <w:szCs w:val="21"/>
          <w:highlight w:val="none"/>
        </w:rPr>
      </w:pPr>
      <w:r>
        <w:rPr>
          <w:rFonts w:hint="eastAsia" w:hAnsi="宋体" w:eastAsia="宋体" w:cs="宋体"/>
          <w:szCs w:val="21"/>
          <w:highlight w:val="none"/>
        </w:rPr>
        <w:t>20.6投标文件中提供的资料（扫描件），内容必须清晰可辨，若内容模糊，无法辨识，均视为未提供。</w:t>
      </w:r>
    </w:p>
    <w:p>
      <w:pPr>
        <w:pStyle w:val="14"/>
        <w:spacing w:line="360" w:lineRule="auto"/>
        <w:rPr>
          <w:rFonts w:hAnsi="宋体" w:eastAsia="宋体" w:cs="宋体"/>
          <w:szCs w:val="21"/>
          <w:highlight w:val="none"/>
        </w:rPr>
      </w:pPr>
      <w:r>
        <w:rPr>
          <w:rFonts w:hint="eastAsia" w:hAnsi="宋体" w:eastAsia="宋体" w:cs="宋体"/>
          <w:szCs w:val="21"/>
          <w:highlight w:val="none"/>
        </w:rPr>
        <w:t>20.7投标文件中对招标文件商务条款及技术要求的应答出现完全或绝大部分复制招标文件要求的，视为未实质性响应招标文件的投标文件。</w:t>
      </w:r>
    </w:p>
    <w:p>
      <w:pPr>
        <w:pStyle w:val="14"/>
        <w:spacing w:line="360" w:lineRule="auto"/>
        <w:rPr>
          <w:rFonts w:hAnsi="宋体" w:eastAsia="宋体" w:cs="宋体"/>
          <w:szCs w:val="21"/>
          <w:highlight w:val="none"/>
        </w:rPr>
      </w:pPr>
      <w:r>
        <w:rPr>
          <w:rFonts w:hint="eastAsia" w:hAnsi="宋体" w:eastAsia="宋体" w:cs="宋体"/>
          <w:szCs w:val="21"/>
          <w:highlight w:val="none"/>
        </w:rPr>
        <w:t>20.8投标文件应由法定代表人或其委托代理人在凡规定（签字或签章）处逐一签字或签章，要求盖章处应盖单位章。</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21. 投标保证金</w:t>
      </w:r>
    </w:p>
    <w:p>
      <w:pPr>
        <w:pStyle w:val="14"/>
        <w:spacing w:line="360" w:lineRule="auto"/>
        <w:ind w:left="359" w:leftChars="171"/>
        <w:rPr>
          <w:rFonts w:hAnsi="宋体" w:eastAsia="宋体" w:cs="宋体"/>
          <w:szCs w:val="21"/>
          <w:highlight w:val="none"/>
        </w:rPr>
      </w:pPr>
      <w:r>
        <w:rPr>
          <w:rFonts w:hint="eastAsia" w:hAnsi="宋体" w:eastAsia="宋体" w:cs="宋体"/>
          <w:szCs w:val="21"/>
          <w:highlight w:val="none"/>
        </w:rPr>
        <w:t>21.1具体要求详见“</w:t>
      </w:r>
      <w:r>
        <w:rPr>
          <w:rFonts w:hint="eastAsia" w:hAnsi="宋体" w:eastAsia="宋体" w:cs="宋体"/>
          <w:b/>
          <w:szCs w:val="21"/>
          <w:highlight w:val="none"/>
        </w:rPr>
        <w:t>投标人须知前附表</w:t>
      </w:r>
      <w:r>
        <w:rPr>
          <w:rFonts w:hint="eastAsia" w:hAnsi="宋体" w:eastAsia="宋体" w:cs="宋体"/>
          <w:szCs w:val="21"/>
          <w:highlight w:val="none"/>
        </w:rPr>
        <w:t>”的规定。</w:t>
      </w:r>
    </w:p>
    <w:p>
      <w:pPr>
        <w:pStyle w:val="14"/>
        <w:spacing w:line="360" w:lineRule="auto"/>
        <w:ind w:left="359" w:leftChars="171"/>
        <w:rPr>
          <w:rFonts w:hAnsi="宋体" w:eastAsia="宋体" w:cs="宋体"/>
          <w:szCs w:val="21"/>
          <w:highlight w:val="none"/>
        </w:rPr>
      </w:pPr>
      <w:r>
        <w:rPr>
          <w:rFonts w:hint="eastAsia" w:hAnsi="宋体" w:eastAsia="宋体" w:cs="宋体"/>
          <w:szCs w:val="21"/>
          <w:highlight w:val="none"/>
        </w:rPr>
        <w:t>21.2投标保证金退还：具体要求详见“</w:t>
      </w:r>
      <w:r>
        <w:rPr>
          <w:rFonts w:hint="eastAsia" w:hAnsi="宋体" w:eastAsia="宋体" w:cs="宋体"/>
          <w:b/>
          <w:szCs w:val="21"/>
          <w:highlight w:val="none"/>
        </w:rPr>
        <w:t>投标人须知前附表</w:t>
      </w:r>
      <w:r>
        <w:rPr>
          <w:rFonts w:hint="eastAsia" w:hAnsi="宋体" w:eastAsia="宋体" w:cs="宋体"/>
          <w:szCs w:val="21"/>
          <w:highlight w:val="none"/>
        </w:rPr>
        <w:t>”的规定。</w:t>
      </w:r>
    </w:p>
    <w:p>
      <w:pPr>
        <w:pStyle w:val="14"/>
        <w:spacing w:line="360" w:lineRule="auto"/>
        <w:ind w:left="359" w:leftChars="171"/>
        <w:rPr>
          <w:rFonts w:hAnsi="宋体" w:eastAsia="宋体" w:cs="宋体"/>
          <w:szCs w:val="21"/>
          <w:highlight w:val="none"/>
        </w:rPr>
      </w:pPr>
      <w:r>
        <w:rPr>
          <w:rFonts w:hint="eastAsia" w:hAnsi="宋体" w:eastAsia="宋体" w:cs="宋体"/>
          <w:szCs w:val="21"/>
          <w:highlight w:val="none"/>
        </w:rPr>
        <w:t>21.3下列情况发生时，投标保证金将不予退还</w:t>
      </w:r>
    </w:p>
    <w:p>
      <w:pPr>
        <w:pStyle w:val="14"/>
        <w:spacing w:line="360" w:lineRule="auto"/>
        <w:ind w:left="359" w:leftChars="171"/>
        <w:rPr>
          <w:rFonts w:hAnsi="宋体" w:eastAsia="宋体" w:cs="宋体"/>
          <w:szCs w:val="21"/>
          <w:highlight w:val="none"/>
        </w:rPr>
      </w:pPr>
      <w:r>
        <w:rPr>
          <w:rFonts w:hint="eastAsia" w:hAnsi="宋体" w:eastAsia="宋体" w:cs="宋体"/>
          <w:szCs w:val="21"/>
          <w:highlight w:val="none"/>
        </w:rPr>
        <w:t>（1）投标人在投标有效期内撤销投标的；</w:t>
      </w:r>
    </w:p>
    <w:p>
      <w:pPr>
        <w:pStyle w:val="14"/>
        <w:spacing w:line="360" w:lineRule="auto"/>
        <w:ind w:left="359" w:leftChars="171"/>
        <w:rPr>
          <w:rFonts w:hAnsi="宋体" w:eastAsia="宋体" w:cs="宋体"/>
          <w:szCs w:val="21"/>
          <w:highlight w:val="none"/>
        </w:rPr>
      </w:pPr>
      <w:r>
        <w:rPr>
          <w:rFonts w:hint="eastAsia" w:hAnsi="宋体" w:eastAsia="宋体" w:cs="宋体"/>
          <w:szCs w:val="21"/>
          <w:highlight w:val="none"/>
        </w:rPr>
        <w:t>（2）中标人中标后无正当理由不与采购人签订合同的；</w:t>
      </w:r>
      <w:r>
        <w:rPr>
          <w:rFonts w:hint="eastAsia" w:hAnsi="宋体" w:eastAsia="宋体" w:cs="宋体"/>
          <w:szCs w:val="21"/>
          <w:highlight w:val="none"/>
        </w:rPr>
        <w:tab/>
      </w:r>
    </w:p>
    <w:p>
      <w:pPr>
        <w:pStyle w:val="14"/>
        <w:spacing w:line="360" w:lineRule="auto"/>
        <w:ind w:left="359" w:leftChars="171"/>
        <w:rPr>
          <w:rFonts w:hAnsi="宋体" w:eastAsia="宋体" w:cs="宋体"/>
          <w:szCs w:val="21"/>
          <w:highlight w:val="none"/>
        </w:rPr>
      </w:pPr>
      <w:r>
        <w:rPr>
          <w:rFonts w:hint="eastAsia" w:hAnsi="宋体" w:eastAsia="宋体" w:cs="宋体"/>
          <w:szCs w:val="21"/>
          <w:highlight w:val="none"/>
        </w:rPr>
        <w:t>（3）中标人将中标项目转让给他人，或者在投标文件中未说明，且未经采购人同意，将中标项目分包给他人的；</w:t>
      </w:r>
    </w:p>
    <w:p>
      <w:pPr>
        <w:pStyle w:val="14"/>
        <w:spacing w:line="360" w:lineRule="auto"/>
        <w:ind w:left="359" w:leftChars="171"/>
        <w:rPr>
          <w:rFonts w:hAnsi="宋体"/>
          <w:sz w:val="24"/>
          <w:szCs w:val="24"/>
          <w:highlight w:val="none"/>
        </w:rPr>
      </w:pPr>
      <w:r>
        <w:rPr>
          <w:rFonts w:hint="eastAsia" w:hAnsi="宋体" w:eastAsia="宋体" w:cs="宋体"/>
          <w:szCs w:val="21"/>
          <w:highlight w:val="none"/>
        </w:rPr>
        <w:t>（4）中标人拒绝履行合同义务的。</w:t>
      </w:r>
    </w:p>
    <w:p>
      <w:pPr>
        <w:pStyle w:val="3"/>
        <w:numPr>
          <w:ilvl w:val="0"/>
          <w:numId w:val="0"/>
        </w:numPr>
        <w:ind w:left="425"/>
        <w:jc w:val="center"/>
        <w:rPr>
          <w:rFonts w:ascii="宋体" w:hAnsi="宋体" w:eastAsia="宋体"/>
          <w:szCs w:val="28"/>
          <w:highlight w:val="none"/>
        </w:rPr>
      </w:pPr>
      <w:bookmarkStart w:id="114" w:name="_Toc7498"/>
      <w:bookmarkStart w:id="115" w:name="_Toc168573759"/>
      <w:bookmarkStart w:id="116" w:name="_Toc73019960"/>
      <w:bookmarkStart w:id="117" w:name="_Toc7022"/>
      <w:bookmarkStart w:id="118" w:name="_Toc17488"/>
      <w:bookmarkStart w:id="119" w:name="_Toc16784"/>
      <w:bookmarkStart w:id="120" w:name="_Toc22709"/>
      <w:r>
        <w:rPr>
          <w:rFonts w:hint="eastAsia" w:ascii="宋体" w:hAnsi="宋体" w:eastAsia="宋体"/>
          <w:szCs w:val="28"/>
          <w:highlight w:val="none"/>
        </w:rPr>
        <w:t>四、投标文件的提交</w:t>
      </w:r>
      <w:bookmarkEnd w:id="114"/>
      <w:bookmarkEnd w:id="115"/>
      <w:bookmarkEnd w:id="116"/>
      <w:bookmarkEnd w:id="117"/>
      <w:bookmarkEnd w:id="118"/>
      <w:bookmarkEnd w:id="119"/>
      <w:bookmarkEnd w:id="120"/>
    </w:p>
    <w:p>
      <w:pPr>
        <w:spacing w:line="360" w:lineRule="auto"/>
        <w:rPr>
          <w:rFonts w:ascii="宋体" w:hAnsi="宋体"/>
          <w:b/>
          <w:bCs/>
          <w:szCs w:val="21"/>
          <w:highlight w:val="none"/>
        </w:rPr>
      </w:pPr>
      <w:bookmarkStart w:id="121" w:name="_Toc73019961"/>
      <w:r>
        <w:rPr>
          <w:rFonts w:hint="eastAsia" w:ascii="宋体" w:hAnsi="宋体"/>
          <w:b/>
          <w:bCs/>
          <w:szCs w:val="21"/>
          <w:highlight w:val="none"/>
        </w:rPr>
        <w:t>2</w:t>
      </w:r>
      <w:r>
        <w:rPr>
          <w:rFonts w:ascii="宋体" w:hAnsi="宋体"/>
          <w:b/>
          <w:bCs/>
          <w:szCs w:val="21"/>
          <w:highlight w:val="none"/>
        </w:rPr>
        <w:t>2</w:t>
      </w:r>
      <w:r>
        <w:rPr>
          <w:rFonts w:hint="eastAsia" w:ascii="宋体" w:hAnsi="宋体"/>
          <w:b/>
          <w:bCs/>
          <w:szCs w:val="21"/>
          <w:highlight w:val="none"/>
        </w:rPr>
        <w:t>. 投标文件的递交</w:t>
      </w:r>
    </w:p>
    <w:p>
      <w:pPr>
        <w:pStyle w:val="14"/>
        <w:spacing w:line="360" w:lineRule="auto"/>
        <w:ind w:left="359" w:leftChars="171"/>
        <w:rPr>
          <w:rFonts w:hAnsi="宋体" w:eastAsia="宋体" w:cs="宋体"/>
          <w:szCs w:val="21"/>
          <w:highlight w:val="none"/>
        </w:rPr>
      </w:pPr>
      <w:r>
        <w:rPr>
          <w:rFonts w:hint="eastAsia" w:hAnsi="宋体" w:eastAsia="宋体" w:cs="宋体"/>
          <w:szCs w:val="21"/>
          <w:highlight w:val="none"/>
        </w:rPr>
        <w:t>22.1投标人应根据招标文件要求，在“供应商须知前附表”规定的提交投标文件截止时间前，登录云南省公共资源交易信息网（网址：https://ggzy.yn.gov.cn/ynggfwpt-home-web/#/homePage），在投标截止时间前完成所有电子投标文件的递交，且完成电子签名确认，并打印“上传投标文件回执”，以确保文件上传成功。投标文件在截止时间前未完成电子签名确认的，视为无效投标，不能进入开标阶段。</w:t>
      </w:r>
    </w:p>
    <w:p>
      <w:pPr>
        <w:pStyle w:val="14"/>
        <w:spacing w:line="360" w:lineRule="auto"/>
        <w:ind w:left="359" w:leftChars="171"/>
        <w:rPr>
          <w:rFonts w:hAnsi="宋体" w:eastAsia="宋体" w:cs="宋体"/>
          <w:szCs w:val="21"/>
          <w:highlight w:val="none"/>
        </w:rPr>
      </w:pPr>
      <w:r>
        <w:rPr>
          <w:rFonts w:hint="eastAsia" w:hAnsi="宋体" w:eastAsia="宋体" w:cs="宋体"/>
          <w:szCs w:val="21"/>
          <w:highlight w:val="none"/>
        </w:rPr>
        <w:t>22.2同时，供应商应自行下载已上传成功的投标文件，并进行查看、解密和核验投标文件，以确保上传投标文件的正确性。</w:t>
      </w:r>
    </w:p>
    <w:p>
      <w:pPr>
        <w:spacing w:line="360" w:lineRule="auto"/>
        <w:rPr>
          <w:rFonts w:ascii="宋体" w:hAnsi="宋体"/>
          <w:szCs w:val="21"/>
          <w:highlight w:val="none"/>
        </w:rPr>
      </w:pPr>
      <w:r>
        <w:rPr>
          <w:rFonts w:hint="eastAsia" w:ascii="宋体" w:hAnsi="宋体"/>
          <w:b/>
          <w:bCs/>
          <w:szCs w:val="21"/>
          <w:highlight w:val="none"/>
        </w:rPr>
        <w:t>2</w:t>
      </w:r>
      <w:r>
        <w:rPr>
          <w:rFonts w:ascii="宋体" w:hAnsi="宋体"/>
          <w:b/>
          <w:bCs/>
          <w:szCs w:val="21"/>
          <w:highlight w:val="none"/>
        </w:rPr>
        <w:t>3</w:t>
      </w:r>
      <w:r>
        <w:rPr>
          <w:rFonts w:hint="eastAsia" w:ascii="宋体" w:hAnsi="宋体"/>
          <w:b/>
          <w:bCs/>
          <w:szCs w:val="21"/>
          <w:highlight w:val="none"/>
        </w:rPr>
        <w:t>、投标文件的撤回、修改和重新递交</w:t>
      </w:r>
    </w:p>
    <w:p>
      <w:pPr>
        <w:pStyle w:val="14"/>
        <w:spacing w:line="360" w:lineRule="auto"/>
        <w:ind w:left="359" w:leftChars="171"/>
        <w:rPr>
          <w:rFonts w:hAnsi="宋体" w:eastAsia="宋体" w:cs="宋体"/>
          <w:szCs w:val="21"/>
          <w:highlight w:val="none"/>
        </w:rPr>
      </w:pPr>
      <w:r>
        <w:rPr>
          <w:rFonts w:hint="eastAsia" w:hAnsi="宋体" w:eastAsia="宋体" w:cs="宋体"/>
          <w:szCs w:val="21"/>
          <w:highlight w:val="none"/>
        </w:rPr>
        <w:t>23.1在投标截止时间前，供应商可以撤回在网上已递交的投标文件，修改后重新递交，无须书面形式通知采购人。</w:t>
      </w:r>
    </w:p>
    <w:p>
      <w:pPr>
        <w:pStyle w:val="14"/>
        <w:spacing w:line="360" w:lineRule="auto"/>
        <w:ind w:left="359" w:leftChars="171"/>
        <w:rPr>
          <w:rFonts w:hAnsi="宋体" w:eastAsia="宋体" w:cs="宋体"/>
          <w:szCs w:val="21"/>
          <w:highlight w:val="none"/>
        </w:rPr>
      </w:pPr>
      <w:r>
        <w:rPr>
          <w:rFonts w:hint="eastAsia" w:hAnsi="宋体" w:eastAsia="宋体" w:cs="宋体"/>
          <w:szCs w:val="21"/>
          <w:highlight w:val="none"/>
        </w:rPr>
        <w:t>23.2修改的投标文件应按照本章第20款、第22款的要求进行重新编制、加密和递交。</w:t>
      </w:r>
    </w:p>
    <w:p>
      <w:pPr>
        <w:pStyle w:val="14"/>
        <w:spacing w:line="360" w:lineRule="auto"/>
        <w:ind w:left="359" w:leftChars="171"/>
        <w:rPr>
          <w:rFonts w:hAnsi="宋体" w:eastAsia="宋体" w:cs="宋体"/>
          <w:szCs w:val="21"/>
          <w:highlight w:val="none"/>
        </w:rPr>
      </w:pPr>
      <w:r>
        <w:rPr>
          <w:rFonts w:hint="eastAsia" w:hAnsi="宋体" w:eastAsia="宋体" w:cs="宋体"/>
          <w:szCs w:val="21"/>
          <w:highlight w:val="none"/>
        </w:rPr>
        <w:t>23.3在投标截止时间后递交的投标文件不予撤回。</w:t>
      </w:r>
    </w:p>
    <w:p>
      <w:pPr>
        <w:pStyle w:val="3"/>
        <w:numPr>
          <w:ilvl w:val="0"/>
          <w:numId w:val="0"/>
        </w:numPr>
        <w:ind w:left="425"/>
        <w:jc w:val="center"/>
        <w:rPr>
          <w:rFonts w:ascii="宋体" w:hAnsi="宋体" w:eastAsia="宋体"/>
          <w:szCs w:val="28"/>
          <w:highlight w:val="none"/>
        </w:rPr>
      </w:pPr>
      <w:bookmarkStart w:id="122" w:name="_Toc15395"/>
      <w:bookmarkStart w:id="123" w:name="_Toc23474"/>
      <w:bookmarkStart w:id="124" w:name="_Toc168573760"/>
      <w:bookmarkStart w:id="125" w:name="_Toc1870"/>
      <w:bookmarkStart w:id="126" w:name="_Toc13854"/>
      <w:bookmarkStart w:id="127" w:name="_Toc722"/>
      <w:r>
        <w:rPr>
          <w:rFonts w:hint="eastAsia" w:ascii="宋体" w:hAnsi="宋体" w:eastAsia="宋体"/>
          <w:szCs w:val="28"/>
          <w:highlight w:val="none"/>
        </w:rPr>
        <w:t>五、开标与评标</w:t>
      </w:r>
      <w:bookmarkEnd w:id="121"/>
      <w:bookmarkEnd w:id="122"/>
      <w:bookmarkEnd w:id="123"/>
      <w:bookmarkEnd w:id="124"/>
      <w:bookmarkEnd w:id="125"/>
      <w:bookmarkEnd w:id="126"/>
      <w:bookmarkEnd w:id="127"/>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24. 开标</w:t>
      </w:r>
    </w:p>
    <w:p>
      <w:pPr>
        <w:pStyle w:val="14"/>
        <w:spacing w:line="360" w:lineRule="auto"/>
        <w:rPr>
          <w:rFonts w:hAnsi="宋体" w:eastAsia="宋体" w:cs="宋体"/>
          <w:szCs w:val="21"/>
          <w:highlight w:val="none"/>
        </w:rPr>
      </w:pPr>
      <w:r>
        <w:rPr>
          <w:rFonts w:hint="eastAsia" w:hAnsi="宋体" w:eastAsia="宋体" w:cs="宋体"/>
          <w:szCs w:val="21"/>
          <w:highlight w:val="none"/>
        </w:rPr>
        <w:t>24.1采购代理机构将在“</w:t>
      </w:r>
      <w:r>
        <w:rPr>
          <w:rFonts w:hint="eastAsia" w:hAnsi="宋体" w:eastAsia="宋体" w:cs="宋体"/>
          <w:b/>
          <w:bCs/>
          <w:szCs w:val="21"/>
          <w:highlight w:val="none"/>
        </w:rPr>
        <w:t>投标人须知前附表</w:t>
      </w:r>
      <w:r>
        <w:rPr>
          <w:rFonts w:hint="eastAsia" w:hAnsi="宋体" w:eastAsia="宋体" w:cs="宋体"/>
          <w:szCs w:val="21"/>
          <w:highlight w:val="none"/>
        </w:rPr>
        <w:t>”规定的时间和地点进行开标，邀请各投标人的法定代表人或其委托代理人参加开标会（或通过智能开标的方式远程参加开标会），如投标人未参加开标的，视同认可开标结果。</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24.2投标截止后投标人不足3家的，不得开标。</w:t>
      </w:r>
    </w:p>
    <w:p>
      <w:pPr>
        <w:pStyle w:val="14"/>
        <w:spacing w:line="360" w:lineRule="auto"/>
        <w:rPr>
          <w:rFonts w:hAnsi="宋体" w:eastAsia="宋体" w:cs="宋体"/>
          <w:szCs w:val="21"/>
          <w:highlight w:val="none"/>
        </w:rPr>
      </w:pPr>
      <w:r>
        <w:rPr>
          <w:rFonts w:hint="eastAsia" w:hAnsi="宋体" w:eastAsia="宋体" w:cs="宋体"/>
          <w:szCs w:val="21"/>
          <w:highlight w:val="none"/>
        </w:rPr>
        <w:t>24.3开标程序：</w:t>
      </w:r>
    </w:p>
    <w:p>
      <w:pPr>
        <w:pStyle w:val="14"/>
        <w:spacing w:line="360" w:lineRule="auto"/>
        <w:ind w:firstLine="540"/>
        <w:rPr>
          <w:rFonts w:hAnsi="宋体" w:eastAsia="宋体" w:cs="宋体"/>
          <w:szCs w:val="21"/>
          <w:highlight w:val="none"/>
        </w:rPr>
      </w:pPr>
      <w:r>
        <w:rPr>
          <w:rFonts w:hint="eastAsia" w:hAnsi="宋体" w:eastAsia="宋体" w:cs="宋体"/>
          <w:szCs w:val="21"/>
          <w:highlight w:val="none"/>
        </w:rPr>
        <w:t>(1)开标会由采购代理机构主持；</w:t>
      </w:r>
    </w:p>
    <w:p>
      <w:pPr>
        <w:pStyle w:val="14"/>
        <w:spacing w:line="360" w:lineRule="auto"/>
        <w:ind w:firstLine="540"/>
        <w:rPr>
          <w:rFonts w:hAnsi="宋体" w:eastAsia="宋体" w:cs="宋体"/>
          <w:szCs w:val="21"/>
          <w:highlight w:val="none"/>
        </w:rPr>
      </w:pPr>
      <w:r>
        <w:rPr>
          <w:rFonts w:hint="eastAsia" w:hAnsi="宋体" w:eastAsia="宋体" w:cs="宋体"/>
          <w:szCs w:val="21"/>
          <w:highlight w:val="none"/>
        </w:rPr>
        <w:t>(2)开标：顺序按照电子公共资源交易平台自动提取所有供应商的顺序当众开标或远程智能开标。主持人宣布开启电子投标文件后，投标人按照上述开标顺序，使用投标人编制投标文件时的加密数字证书对投标文件进行解密；</w:t>
      </w:r>
    </w:p>
    <w:p>
      <w:pPr>
        <w:pStyle w:val="14"/>
        <w:spacing w:line="360" w:lineRule="auto"/>
        <w:ind w:firstLine="540"/>
        <w:rPr>
          <w:rFonts w:hAnsi="宋体" w:eastAsia="宋体" w:cs="宋体"/>
          <w:b/>
          <w:kern w:val="0"/>
          <w:szCs w:val="21"/>
          <w:highlight w:val="none"/>
        </w:rPr>
      </w:pPr>
      <w:r>
        <w:rPr>
          <w:rFonts w:hint="eastAsia" w:hAnsi="宋体" w:eastAsia="宋体" w:cs="宋体"/>
          <w:b/>
          <w:szCs w:val="21"/>
          <w:highlight w:val="none"/>
        </w:rPr>
        <w:t>注：请供应商务必携带编制投标文件时的加密数字证书到达开标现场或按远程智能开标要求提前准备好开标要素。</w:t>
      </w:r>
    </w:p>
    <w:p>
      <w:pPr>
        <w:spacing w:line="360" w:lineRule="auto"/>
        <w:ind w:firstLine="540"/>
        <w:rPr>
          <w:rFonts w:ascii="宋体" w:hAnsi="宋体" w:eastAsia="宋体" w:cs="宋体"/>
          <w:szCs w:val="21"/>
          <w:highlight w:val="none"/>
        </w:rPr>
      </w:pPr>
      <w:r>
        <w:rPr>
          <w:rFonts w:hint="eastAsia" w:ascii="宋体" w:hAnsi="宋体" w:eastAsia="宋体" w:cs="宋体"/>
          <w:szCs w:val="21"/>
          <w:highlight w:val="none"/>
        </w:rPr>
        <w:t>(3)唱标：由系统宣读投标人在其电子投标文件中</w:t>
      </w:r>
      <w:r>
        <w:rPr>
          <w:rFonts w:hint="eastAsia" w:ascii="宋体" w:hAnsi="宋体" w:eastAsia="宋体" w:cs="宋体"/>
          <w:kern w:val="0"/>
          <w:szCs w:val="21"/>
          <w:highlight w:val="none"/>
        </w:rPr>
        <w:t>、投标价格和招标文件规定的需要宣布的其他内容</w:t>
      </w:r>
      <w:r>
        <w:rPr>
          <w:rFonts w:hint="eastAsia" w:ascii="宋体" w:hAnsi="宋体" w:eastAsia="宋体" w:cs="宋体"/>
          <w:szCs w:val="21"/>
          <w:highlight w:val="none"/>
        </w:rPr>
        <w:t>。</w:t>
      </w:r>
    </w:p>
    <w:p>
      <w:pPr>
        <w:pStyle w:val="14"/>
        <w:spacing w:line="360" w:lineRule="auto"/>
        <w:rPr>
          <w:rFonts w:hAnsi="宋体" w:eastAsia="宋体" w:cs="宋体"/>
          <w:szCs w:val="21"/>
          <w:highlight w:val="none"/>
        </w:rPr>
      </w:pPr>
      <w:r>
        <w:rPr>
          <w:rFonts w:hint="eastAsia" w:hAnsi="宋体" w:eastAsia="宋体" w:cs="宋体"/>
          <w:szCs w:val="21"/>
          <w:highlight w:val="none"/>
        </w:rPr>
        <w:t>24.4开标工作人员将做开标记录，参加开标的各投标人代表须签字确认或网上确认，相关工作人员须签字确认。</w:t>
      </w:r>
    </w:p>
    <w:p>
      <w:pPr>
        <w:pStyle w:val="14"/>
        <w:spacing w:line="360" w:lineRule="auto"/>
        <w:ind w:left="2"/>
        <w:jc w:val="left"/>
        <w:rPr>
          <w:rFonts w:hAnsi="宋体" w:eastAsia="宋体" w:cs="宋体"/>
          <w:szCs w:val="21"/>
          <w:highlight w:val="none"/>
        </w:rPr>
      </w:pPr>
      <w:r>
        <w:rPr>
          <w:rFonts w:hint="eastAsia" w:hAnsi="宋体" w:eastAsia="宋体" w:cs="宋体"/>
          <w:szCs w:val="21"/>
          <w:highlight w:val="none"/>
        </w:rPr>
        <w:t>24.5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25.资格审查</w:t>
      </w:r>
    </w:p>
    <w:p>
      <w:pPr>
        <w:spacing w:line="360" w:lineRule="auto"/>
        <w:ind w:firstLine="315" w:firstLineChars="150"/>
        <w:jc w:val="left"/>
        <w:rPr>
          <w:rFonts w:ascii="宋体" w:hAnsi="宋体" w:eastAsia="宋体" w:cs="宋体"/>
          <w:szCs w:val="21"/>
          <w:highlight w:val="none"/>
        </w:rPr>
      </w:pPr>
      <w:r>
        <w:rPr>
          <w:rFonts w:hint="eastAsia" w:ascii="宋体" w:hAnsi="宋体" w:eastAsia="宋体" w:cs="宋体"/>
          <w:szCs w:val="21"/>
          <w:highlight w:val="none"/>
        </w:rPr>
        <w:t>开标结束后，采购代理机构应当依法对投标人的资格进行审查。合格投标人不足3家的，不得评标。</w:t>
      </w:r>
    </w:p>
    <w:p>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26.评标</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26.1评标由采购人依法组建的评标委员会负责。评标委员会由采购人代表和有关技术、经济等方面的专家组成，成员人数应当为7人及以上单数。其中，技术、经济等方面的专家不得少于成员总数的三分之二。评标委员会应当推选组长，但采购人代表不得担任组长。</w:t>
      </w:r>
    </w:p>
    <w:p>
      <w:pPr>
        <w:spacing w:line="360" w:lineRule="auto"/>
        <w:ind w:firstLine="422" w:firstLineChars="200"/>
        <w:jc w:val="left"/>
        <w:rPr>
          <w:rFonts w:ascii="宋体" w:hAnsi="宋体" w:eastAsia="宋体" w:cs="宋体"/>
          <w:b/>
          <w:szCs w:val="21"/>
          <w:highlight w:val="none"/>
        </w:rPr>
      </w:pPr>
      <w:r>
        <w:rPr>
          <w:rFonts w:hint="eastAsia" w:ascii="宋体" w:hAnsi="宋体" w:eastAsia="宋体" w:cs="宋体"/>
          <w:b/>
          <w:szCs w:val="21"/>
          <w:highlight w:val="none"/>
        </w:rPr>
        <w:t>采购人委派代表参加评标委员会的，要向采购代理机构出具授权函。</w:t>
      </w:r>
    </w:p>
    <w:p>
      <w:pPr>
        <w:pStyle w:val="14"/>
        <w:spacing w:line="360" w:lineRule="auto"/>
        <w:rPr>
          <w:rFonts w:hAnsi="宋体" w:eastAsia="宋体" w:cs="宋体"/>
          <w:bCs/>
          <w:szCs w:val="21"/>
          <w:highlight w:val="none"/>
        </w:rPr>
      </w:pPr>
      <w:bookmarkStart w:id="128" w:name="_Toc191374422"/>
      <w:r>
        <w:rPr>
          <w:rFonts w:hint="eastAsia" w:hAnsi="宋体" w:eastAsia="宋体" w:cs="宋体"/>
          <w:bCs/>
          <w:szCs w:val="21"/>
          <w:highlight w:val="none"/>
        </w:rPr>
        <w:t>26.2评标原则</w:t>
      </w:r>
      <w:bookmarkEnd w:id="128"/>
      <w:r>
        <w:rPr>
          <w:rFonts w:hint="eastAsia" w:hAnsi="宋体" w:eastAsia="宋体" w:cs="宋体"/>
          <w:bCs/>
          <w:szCs w:val="21"/>
          <w:highlight w:val="none"/>
        </w:rPr>
        <w:t>及方法</w:t>
      </w:r>
    </w:p>
    <w:p>
      <w:pPr>
        <w:spacing w:line="360" w:lineRule="auto"/>
        <w:jc w:val="left"/>
        <w:rPr>
          <w:rFonts w:ascii="宋体" w:hAnsi="宋体" w:eastAsia="宋体" w:cs="宋体"/>
          <w:szCs w:val="21"/>
          <w:highlight w:val="none"/>
        </w:rPr>
      </w:pPr>
      <w:r>
        <w:rPr>
          <w:rFonts w:hint="eastAsia" w:ascii="宋体" w:hAnsi="宋体" w:eastAsia="宋体" w:cs="宋体"/>
          <w:szCs w:val="21"/>
          <w:highlight w:val="none"/>
        </w:rPr>
        <w:t xml:space="preserve">    评标活动遵循公平、公正、科学和择优的原则。</w:t>
      </w:r>
    </w:p>
    <w:p>
      <w:pPr>
        <w:pStyle w:val="14"/>
        <w:spacing w:line="360" w:lineRule="auto"/>
        <w:ind w:left="630" w:hanging="630" w:hangingChars="300"/>
        <w:rPr>
          <w:rFonts w:hAnsi="宋体" w:eastAsia="宋体" w:cs="宋体"/>
          <w:bCs/>
          <w:szCs w:val="21"/>
          <w:highlight w:val="none"/>
        </w:rPr>
      </w:pPr>
      <w:r>
        <w:rPr>
          <w:rFonts w:hint="eastAsia" w:hAnsi="宋体" w:eastAsia="宋体" w:cs="宋体"/>
          <w:szCs w:val="21"/>
          <w:highlight w:val="none"/>
        </w:rPr>
        <w:t>26.3</w:t>
      </w:r>
      <w:r>
        <w:rPr>
          <w:rFonts w:hint="eastAsia" w:hAnsi="宋体" w:eastAsia="宋体" w:cs="宋体"/>
          <w:bCs/>
          <w:szCs w:val="21"/>
          <w:highlight w:val="none"/>
        </w:rPr>
        <w:t>评标方法</w:t>
      </w:r>
    </w:p>
    <w:p>
      <w:pPr>
        <w:spacing w:line="360" w:lineRule="auto"/>
        <w:ind w:firstLine="472" w:firstLineChars="225"/>
        <w:jc w:val="left"/>
        <w:rPr>
          <w:rFonts w:ascii="宋体" w:hAnsi="宋体" w:eastAsia="宋体" w:cs="宋体"/>
          <w:szCs w:val="21"/>
          <w:highlight w:val="none"/>
        </w:rPr>
      </w:pPr>
      <w:r>
        <w:rPr>
          <w:rFonts w:hint="eastAsia" w:ascii="宋体" w:hAnsi="宋体" w:eastAsia="宋体" w:cs="宋体"/>
          <w:szCs w:val="21"/>
          <w:highlight w:val="none"/>
        </w:rPr>
        <w:t>本项目按“</w:t>
      </w:r>
      <w:r>
        <w:rPr>
          <w:rFonts w:hint="eastAsia" w:ascii="宋体" w:hAnsi="宋体" w:eastAsia="宋体" w:cs="宋体"/>
          <w:b/>
          <w:bCs/>
          <w:szCs w:val="21"/>
          <w:highlight w:val="none"/>
        </w:rPr>
        <w:t>投标人须知前附表</w:t>
      </w:r>
      <w:r>
        <w:rPr>
          <w:rFonts w:hint="eastAsia" w:ascii="宋体" w:hAnsi="宋体" w:eastAsia="宋体" w:cs="宋体"/>
          <w:szCs w:val="21"/>
          <w:highlight w:val="none"/>
        </w:rPr>
        <w:t>”规定的评标方法评标。在评标中，不得改变招标文件中规定的评标标准、方法和中标条件。第七章“</w:t>
      </w:r>
      <w:r>
        <w:rPr>
          <w:rFonts w:hint="eastAsia" w:ascii="宋体" w:hAnsi="宋体" w:eastAsia="宋体" w:cs="宋体"/>
          <w:b/>
          <w:szCs w:val="21"/>
          <w:highlight w:val="none"/>
        </w:rPr>
        <w:t>评标方法</w:t>
      </w:r>
      <w:r>
        <w:rPr>
          <w:rFonts w:hint="eastAsia" w:ascii="宋体" w:hAnsi="宋体" w:eastAsia="宋体" w:cs="宋体"/>
          <w:szCs w:val="21"/>
          <w:highlight w:val="none"/>
        </w:rPr>
        <w:t>”没有规定的评审因素和标准，不作为评标依据。</w:t>
      </w:r>
    </w:p>
    <w:p>
      <w:pPr>
        <w:spacing w:line="360" w:lineRule="auto"/>
        <w:rPr>
          <w:rFonts w:ascii="宋体" w:hAnsi="宋体" w:eastAsia="宋体" w:cs="宋体"/>
          <w:szCs w:val="21"/>
          <w:highlight w:val="none"/>
        </w:rPr>
      </w:pPr>
      <w:r>
        <w:rPr>
          <w:rFonts w:hint="eastAsia" w:ascii="宋体" w:hAnsi="宋体" w:eastAsia="宋体" w:cs="宋体"/>
          <w:szCs w:val="21"/>
          <w:highlight w:val="none"/>
        </w:rP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pPr>
        <w:spacing w:line="360" w:lineRule="auto"/>
        <w:rPr>
          <w:rFonts w:ascii="宋体" w:hAnsi="宋体" w:eastAsia="宋体" w:cs="宋体"/>
          <w:kern w:val="0"/>
          <w:szCs w:val="21"/>
          <w:highlight w:val="none"/>
        </w:rPr>
      </w:pPr>
      <w:r>
        <w:rPr>
          <w:rFonts w:hint="eastAsia" w:ascii="宋体" w:hAnsi="宋体" w:eastAsia="宋体" w:cs="宋体"/>
          <w:szCs w:val="21"/>
          <w:highlight w:val="none"/>
        </w:rPr>
        <w:t>26.5</w:t>
      </w:r>
      <w:r>
        <w:rPr>
          <w:rFonts w:hint="eastAsia" w:ascii="宋体" w:hAnsi="宋体" w:eastAsia="宋体" w:cs="宋体"/>
          <w:kern w:val="0"/>
          <w:szCs w:val="21"/>
          <w:highlight w:val="none"/>
        </w:rPr>
        <w:t>在评标过程中，评标委员会发现投标人有本须知19条款规定的情形，应当认定其投标无效，并书面报告本级财政部门。</w:t>
      </w:r>
    </w:p>
    <w:p>
      <w:pPr>
        <w:spacing w:line="360" w:lineRule="auto"/>
        <w:rPr>
          <w:rFonts w:ascii="宋体" w:hAnsi="宋体" w:eastAsia="宋体" w:cs="宋体"/>
          <w:kern w:val="0"/>
          <w:szCs w:val="21"/>
          <w:highlight w:val="none"/>
        </w:rPr>
      </w:pPr>
      <w:r>
        <w:rPr>
          <w:rFonts w:hint="eastAsia" w:ascii="宋体" w:hAnsi="宋体" w:eastAsia="宋体" w:cs="宋体"/>
          <w:kern w:val="0"/>
          <w:szCs w:val="21"/>
          <w:highlight w:val="none"/>
        </w:rPr>
        <w:t>26.6有下列情形之一的，视为投标人串通投标，其投标无效：</w:t>
      </w:r>
    </w:p>
    <w:p>
      <w:pPr>
        <w:widowControl/>
        <w:spacing w:line="360" w:lineRule="auto"/>
        <w:jc w:val="left"/>
        <w:textAlignment w:val="baseline"/>
        <w:rPr>
          <w:rFonts w:ascii="宋体" w:hAnsi="宋体" w:eastAsia="宋体" w:cs="宋体"/>
          <w:kern w:val="0"/>
          <w:szCs w:val="21"/>
          <w:highlight w:val="none"/>
        </w:rPr>
      </w:pPr>
      <w:r>
        <w:rPr>
          <w:rFonts w:hint="eastAsia" w:ascii="宋体" w:hAnsi="宋体" w:eastAsia="宋体" w:cs="宋体"/>
          <w:kern w:val="0"/>
          <w:szCs w:val="21"/>
          <w:highlight w:val="none"/>
        </w:rPr>
        <w:t>（一）不同投标人的投标文件由同一单位或者个人编制；</w:t>
      </w:r>
    </w:p>
    <w:p>
      <w:pPr>
        <w:widowControl/>
        <w:spacing w:line="360" w:lineRule="auto"/>
        <w:jc w:val="left"/>
        <w:textAlignment w:val="baseline"/>
        <w:rPr>
          <w:rFonts w:ascii="宋体" w:hAnsi="宋体" w:eastAsia="宋体" w:cs="宋体"/>
          <w:kern w:val="0"/>
          <w:szCs w:val="21"/>
          <w:highlight w:val="none"/>
        </w:rPr>
      </w:pPr>
      <w:r>
        <w:rPr>
          <w:rFonts w:hint="eastAsia" w:ascii="宋体" w:hAnsi="宋体" w:eastAsia="宋体" w:cs="宋体"/>
          <w:kern w:val="0"/>
          <w:szCs w:val="21"/>
          <w:highlight w:val="none"/>
        </w:rPr>
        <w:t>（二）不同投标人委托同一单位或者个人办理投标事宜；</w:t>
      </w:r>
    </w:p>
    <w:p>
      <w:pPr>
        <w:widowControl/>
        <w:spacing w:line="360" w:lineRule="auto"/>
        <w:jc w:val="left"/>
        <w:textAlignment w:val="baseline"/>
        <w:rPr>
          <w:rFonts w:ascii="宋体" w:hAnsi="宋体" w:eastAsia="宋体" w:cs="宋体"/>
          <w:kern w:val="0"/>
          <w:szCs w:val="21"/>
          <w:highlight w:val="none"/>
        </w:rPr>
      </w:pPr>
      <w:r>
        <w:rPr>
          <w:rFonts w:hint="eastAsia" w:ascii="宋体" w:hAnsi="宋体" w:eastAsia="宋体" w:cs="宋体"/>
          <w:kern w:val="0"/>
          <w:szCs w:val="21"/>
          <w:highlight w:val="none"/>
        </w:rPr>
        <w:t>（三）不同投标人的投标文件载明的项目管理成员或者联系人员为同一人；</w:t>
      </w:r>
    </w:p>
    <w:p>
      <w:pPr>
        <w:widowControl/>
        <w:spacing w:line="360" w:lineRule="auto"/>
        <w:jc w:val="left"/>
        <w:textAlignment w:val="baseline"/>
        <w:rPr>
          <w:rFonts w:ascii="宋体" w:hAnsi="宋体" w:eastAsia="宋体" w:cs="宋体"/>
          <w:kern w:val="0"/>
          <w:szCs w:val="21"/>
          <w:highlight w:val="none"/>
        </w:rPr>
      </w:pPr>
      <w:r>
        <w:rPr>
          <w:rFonts w:hint="eastAsia" w:ascii="宋体" w:hAnsi="宋体" w:eastAsia="宋体" w:cs="宋体"/>
          <w:kern w:val="0"/>
          <w:szCs w:val="21"/>
          <w:highlight w:val="none"/>
        </w:rPr>
        <w:t>（四）不同投标人的投标文件异常一致或者投标报价呈规律性差异；</w:t>
      </w:r>
    </w:p>
    <w:p>
      <w:pPr>
        <w:widowControl/>
        <w:spacing w:line="360" w:lineRule="auto"/>
        <w:jc w:val="left"/>
        <w:textAlignment w:val="baseline"/>
        <w:rPr>
          <w:rFonts w:ascii="宋体" w:hAnsi="宋体" w:eastAsia="宋体" w:cs="宋体"/>
          <w:kern w:val="0"/>
          <w:szCs w:val="21"/>
          <w:highlight w:val="none"/>
        </w:rPr>
      </w:pPr>
      <w:r>
        <w:rPr>
          <w:rFonts w:hint="eastAsia" w:ascii="宋体" w:hAnsi="宋体" w:eastAsia="宋体" w:cs="宋体"/>
          <w:kern w:val="0"/>
          <w:szCs w:val="21"/>
          <w:highlight w:val="none"/>
        </w:rPr>
        <w:t>（五）不同投标人的投标文件相互混装；</w:t>
      </w:r>
    </w:p>
    <w:p>
      <w:pPr>
        <w:widowControl/>
        <w:spacing w:line="360" w:lineRule="auto"/>
        <w:jc w:val="left"/>
        <w:textAlignment w:val="baseline"/>
        <w:rPr>
          <w:rFonts w:ascii="宋体" w:hAnsi="宋体" w:eastAsia="宋体" w:cs="宋体"/>
          <w:kern w:val="0"/>
          <w:szCs w:val="21"/>
          <w:highlight w:val="none"/>
        </w:rPr>
      </w:pPr>
      <w:r>
        <w:rPr>
          <w:rFonts w:hint="eastAsia" w:ascii="宋体" w:hAnsi="宋体" w:eastAsia="宋体" w:cs="宋体"/>
          <w:kern w:val="0"/>
          <w:szCs w:val="21"/>
          <w:highlight w:val="none"/>
        </w:rPr>
        <w:t>（六）不同投标人的投标保证金从同一单位或者个人的账户转出。</w:t>
      </w:r>
    </w:p>
    <w:p>
      <w:pPr>
        <w:pStyle w:val="14"/>
        <w:spacing w:line="360" w:lineRule="auto"/>
        <w:rPr>
          <w:rFonts w:hAnsi="宋体" w:eastAsia="宋体" w:cs="宋体"/>
          <w:bCs/>
          <w:szCs w:val="21"/>
          <w:highlight w:val="none"/>
        </w:rPr>
      </w:pPr>
      <w:r>
        <w:rPr>
          <w:rFonts w:hint="eastAsia" w:hAnsi="宋体" w:eastAsia="宋体" w:cs="宋体"/>
          <w:bCs/>
          <w:szCs w:val="21"/>
          <w:highlight w:val="none"/>
        </w:rPr>
        <w:t xml:space="preserve">27. </w:t>
      </w:r>
      <w:r>
        <w:rPr>
          <w:rFonts w:hint="eastAsia" w:hAnsi="宋体" w:eastAsia="宋体" w:cs="宋体"/>
          <w:b/>
          <w:szCs w:val="21"/>
          <w:highlight w:val="none"/>
        </w:rPr>
        <w:t>在招标采购中，出现下列情形之一的，应予废标：</w:t>
      </w:r>
    </w:p>
    <w:p>
      <w:pPr>
        <w:pStyle w:val="14"/>
        <w:spacing w:line="360" w:lineRule="auto"/>
        <w:ind w:left="719" w:leftChars="342" w:hanging="1"/>
        <w:rPr>
          <w:rFonts w:hAnsi="宋体" w:eastAsia="宋体" w:cs="宋体"/>
          <w:b/>
          <w:szCs w:val="21"/>
          <w:highlight w:val="none"/>
        </w:rPr>
      </w:pPr>
      <w:r>
        <w:rPr>
          <w:rFonts w:hint="eastAsia" w:hAnsi="宋体" w:eastAsia="宋体" w:cs="宋体"/>
          <w:b/>
          <w:szCs w:val="21"/>
          <w:highlight w:val="none"/>
        </w:rPr>
        <w:t>(1)符合专业条件的投标人或者对招标文件作实质响应的投标人不足3家的；</w:t>
      </w:r>
    </w:p>
    <w:p>
      <w:pPr>
        <w:pStyle w:val="14"/>
        <w:spacing w:line="360" w:lineRule="auto"/>
        <w:ind w:left="719" w:leftChars="342" w:hanging="1"/>
        <w:rPr>
          <w:rFonts w:hAnsi="宋体" w:eastAsia="宋体" w:cs="宋体"/>
          <w:b/>
          <w:szCs w:val="21"/>
          <w:highlight w:val="none"/>
        </w:rPr>
      </w:pPr>
      <w:r>
        <w:rPr>
          <w:rFonts w:hint="eastAsia" w:hAnsi="宋体" w:eastAsia="宋体" w:cs="宋体"/>
          <w:b/>
          <w:szCs w:val="21"/>
          <w:highlight w:val="none"/>
        </w:rPr>
        <w:t>(2)出现影响采购公正的违法、违规行为的；</w:t>
      </w:r>
    </w:p>
    <w:p>
      <w:pPr>
        <w:pStyle w:val="14"/>
        <w:spacing w:line="360" w:lineRule="auto"/>
        <w:ind w:left="719" w:leftChars="342" w:hanging="1"/>
        <w:rPr>
          <w:rFonts w:hAnsi="宋体" w:eastAsia="宋体" w:cs="宋体"/>
          <w:b/>
          <w:szCs w:val="21"/>
          <w:highlight w:val="none"/>
        </w:rPr>
      </w:pPr>
      <w:r>
        <w:rPr>
          <w:rFonts w:hint="eastAsia" w:hAnsi="宋体" w:eastAsia="宋体" w:cs="宋体"/>
          <w:b/>
          <w:szCs w:val="21"/>
          <w:highlight w:val="none"/>
        </w:rPr>
        <w:t>(3)投标人的报价均超过了采购预算，采购人不能支付的；</w:t>
      </w:r>
    </w:p>
    <w:p>
      <w:pPr>
        <w:pStyle w:val="14"/>
        <w:spacing w:line="360" w:lineRule="auto"/>
        <w:ind w:left="719" w:leftChars="342" w:hanging="1"/>
        <w:rPr>
          <w:rFonts w:hAnsi="宋体" w:eastAsia="宋体" w:cs="宋体"/>
          <w:b/>
          <w:szCs w:val="21"/>
          <w:highlight w:val="none"/>
        </w:rPr>
      </w:pPr>
      <w:r>
        <w:rPr>
          <w:rFonts w:hint="eastAsia" w:hAnsi="宋体" w:eastAsia="宋体" w:cs="宋体"/>
          <w:b/>
          <w:szCs w:val="21"/>
          <w:highlight w:val="none"/>
        </w:rPr>
        <w:t>(4)因重大变故，采购任务取消的。</w:t>
      </w:r>
    </w:p>
    <w:p>
      <w:pPr>
        <w:pStyle w:val="14"/>
        <w:spacing w:line="360" w:lineRule="auto"/>
        <w:ind w:firstLine="525"/>
        <w:rPr>
          <w:rFonts w:hAnsi="宋体" w:eastAsia="宋体" w:cs="宋体"/>
          <w:b/>
          <w:szCs w:val="21"/>
          <w:highlight w:val="none"/>
        </w:rPr>
      </w:pPr>
      <w:r>
        <w:rPr>
          <w:rFonts w:hint="eastAsia" w:hAnsi="宋体" w:eastAsia="宋体" w:cs="宋体"/>
          <w:b/>
          <w:szCs w:val="21"/>
          <w:highlight w:val="none"/>
        </w:rPr>
        <w:t>废标后，采购人应当将废标理由通知所有投标人。</w:t>
      </w:r>
    </w:p>
    <w:p>
      <w:pPr>
        <w:pStyle w:val="3"/>
        <w:numPr>
          <w:ilvl w:val="0"/>
          <w:numId w:val="0"/>
        </w:numPr>
        <w:ind w:left="425"/>
        <w:jc w:val="center"/>
        <w:rPr>
          <w:rFonts w:ascii="宋体" w:hAnsi="宋体" w:eastAsia="宋体"/>
          <w:szCs w:val="28"/>
          <w:highlight w:val="none"/>
        </w:rPr>
      </w:pPr>
      <w:bookmarkStart w:id="129" w:name="_Toc73019962"/>
      <w:bookmarkStart w:id="130" w:name="_Toc168573761"/>
      <w:bookmarkStart w:id="131" w:name="_Toc17720"/>
      <w:bookmarkStart w:id="132" w:name="_Toc15884"/>
      <w:bookmarkStart w:id="133" w:name="_Toc27792"/>
      <w:bookmarkStart w:id="134" w:name="_Toc8033"/>
      <w:bookmarkStart w:id="135" w:name="_Toc22861"/>
      <w:r>
        <w:rPr>
          <w:rFonts w:hint="eastAsia" w:ascii="宋体" w:hAnsi="宋体" w:eastAsia="宋体"/>
          <w:szCs w:val="28"/>
          <w:highlight w:val="none"/>
        </w:rPr>
        <w:t>六、中标结果</w:t>
      </w:r>
      <w:bookmarkEnd w:id="129"/>
      <w:bookmarkEnd w:id="130"/>
      <w:bookmarkEnd w:id="131"/>
      <w:bookmarkEnd w:id="132"/>
      <w:bookmarkEnd w:id="133"/>
      <w:bookmarkEnd w:id="134"/>
      <w:bookmarkEnd w:id="135"/>
    </w:p>
    <w:p>
      <w:pPr>
        <w:pStyle w:val="14"/>
        <w:spacing w:line="360" w:lineRule="auto"/>
        <w:rPr>
          <w:rFonts w:hAnsi="宋体" w:eastAsia="宋体" w:cs="宋体"/>
          <w:b/>
          <w:szCs w:val="21"/>
          <w:highlight w:val="none"/>
        </w:rPr>
      </w:pPr>
      <w:r>
        <w:rPr>
          <w:rFonts w:hint="eastAsia" w:hAnsi="宋体" w:eastAsia="宋体" w:cs="宋体"/>
          <w:b/>
          <w:szCs w:val="21"/>
          <w:highlight w:val="none"/>
        </w:rPr>
        <w:t>28. 中标人的确定</w:t>
      </w:r>
    </w:p>
    <w:p>
      <w:pPr>
        <w:spacing w:line="360" w:lineRule="auto"/>
        <w:rPr>
          <w:rFonts w:ascii="宋体" w:hAnsi="宋体" w:eastAsia="宋体" w:cs="宋体"/>
          <w:szCs w:val="21"/>
          <w:highlight w:val="none"/>
        </w:rPr>
      </w:pPr>
      <w:r>
        <w:rPr>
          <w:rFonts w:hint="eastAsia" w:ascii="宋体" w:hAnsi="宋体" w:eastAsia="宋体" w:cs="宋体"/>
          <w:szCs w:val="21"/>
          <w:highlight w:val="none"/>
        </w:rPr>
        <w:t>28.1采购代理机构应当在评标结束之日起2个工作日内将评标报告送采购人确认。</w:t>
      </w:r>
    </w:p>
    <w:p>
      <w:pPr>
        <w:pStyle w:val="14"/>
        <w:spacing w:line="360" w:lineRule="auto"/>
        <w:rPr>
          <w:rFonts w:hAnsi="宋体" w:eastAsia="宋体" w:cs="宋体"/>
          <w:szCs w:val="21"/>
          <w:highlight w:val="none"/>
        </w:rPr>
      </w:pPr>
      <w:r>
        <w:rPr>
          <w:rFonts w:hint="eastAsia" w:hAnsi="宋体" w:eastAsia="宋体" w:cs="宋体"/>
          <w:szCs w:val="21"/>
          <w:highlight w:val="none"/>
        </w:rPr>
        <w:t>28.2采购人应当在收到评标报告之日起5个工作日内，在评标报告中推荐的中标候选人中按顺序确定中标人。</w:t>
      </w:r>
    </w:p>
    <w:p>
      <w:pPr>
        <w:pStyle w:val="14"/>
        <w:spacing w:line="360" w:lineRule="auto"/>
        <w:rPr>
          <w:rFonts w:hAnsi="宋体" w:eastAsia="宋体" w:cs="宋体"/>
          <w:b/>
          <w:bCs/>
          <w:szCs w:val="21"/>
          <w:highlight w:val="none"/>
        </w:rPr>
      </w:pPr>
      <w:r>
        <w:rPr>
          <w:rFonts w:hint="eastAsia" w:hAnsi="宋体" w:eastAsia="宋体" w:cs="宋体"/>
          <w:b/>
          <w:bCs/>
          <w:szCs w:val="21"/>
          <w:highlight w:val="none"/>
        </w:rPr>
        <w:t>29. 中标通知书</w:t>
      </w:r>
    </w:p>
    <w:p>
      <w:pPr>
        <w:pStyle w:val="14"/>
        <w:spacing w:line="360" w:lineRule="auto"/>
        <w:rPr>
          <w:rFonts w:hAnsi="宋体" w:eastAsia="宋体" w:cs="宋体"/>
          <w:szCs w:val="21"/>
          <w:highlight w:val="none"/>
        </w:rPr>
      </w:pPr>
      <w:r>
        <w:rPr>
          <w:rFonts w:hint="eastAsia" w:hAnsi="宋体" w:eastAsia="宋体" w:cs="宋体"/>
          <w:szCs w:val="21"/>
          <w:highlight w:val="none"/>
        </w:rPr>
        <w:t>29.1中标人确定之日起2个工作日内，采购代理机构在省级以上财政部门指定的媒体上公告中标结果，中标公告期限为1个工作日，同时向中标人发出中标通知书，向未中标人发出招标结果通知书。</w:t>
      </w:r>
    </w:p>
    <w:p>
      <w:pPr>
        <w:pStyle w:val="14"/>
        <w:spacing w:line="360" w:lineRule="auto"/>
        <w:rPr>
          <w:rFonts w:hAnsi="宋体" w:eastAsia="宋体" w:cs="宋体"/>
          <w:szCs w:val="21"/>
          <w:highlight w:val="none"/>
        </w:rPr>
      </w:pPr>
      <w:r>
        <w:rPr>
          <w:rFonts w:hint="eastAsia" w:hAnsi="宋体" w:eastAsia="宋体" w:cs="宋体"/>
          <w:szCs w:val="21"/>
          <w:highlight w:val="none"/>
        </w:rPr>
        <w:t>29.2中标通知书是合同的一个组成部分。</w:t>
      </w:r>
    </w:p>
    <w:p>
      <w:pPr>
        <w:pStyle w:val="14"/>
        <w:spacing w:line="360" w:lineRule="auto"/>
        <w:rPr>
          <w:rFonts w:hAnsi="宋体" w:eastAsia="宋体" w:cs="宋体"/>
          <w:b/>
          <w:bCs/>
          <w:szCs w:val="21"/>
          <w:highlight w:val="none"/>
        </w:rPr>
      </w:pPr>
      <w:r>
        <w:rPr>
          <w:rFonts w:hint="eastAsia" w:hAnsi="宋体" w:eastAsia="宋体" w:cs="宋体"/>
          <w:b/>
          <w:bCs/>
          <w:szCs w:val="21"/>
          <w:highlight w:val="none"/>
        </w:rPr>
        <w:t>30. 签订合同</w:t>
      </w:r>
    </w:p>
    <w:p>
      <w:pPr>
        <w:pStyle w:val="14"/>
        <w:spacing w:line="360" w:lineRule="auto"/>
        <w:rPr>
          <w:rFonts w:hAnsi="宋体" w:eastAsia="宋体" w:cs="宋体"/>
          <w:szCs w:val="21"/>
          <w:highlight w:val="none"/>
        </w:rPr>
      </w:pPr>
      <w:r>
        <w:rPr>
          <w:rFonts w:hint="eastAsia" w:hAnsi="宋体" w:eastAsia="宋体" w:cs="宋体"/>
          <w:szCs w:val="21"/>
          <w:highlight w:val="none"/>
        </w:rPr>
        <w:t>30.1采购人与中标人应当在中标通知书发出之日起30日内，按照招标文件和中标人投标文件的规定签订政府采购合同。</w:t>
      </w:r>
    </w:p>
    <w:p>
      <w:pPr>
        <w:pStyle w:val="14"/>
        <w:spacing w:line="360" w:lineRule="auto"/>
        <w:rPr>
          <w:rFonts w:hAnsi="宋体" w:eastAsia="宋体" w:cs="宋体"/>
          <w:szCs w:val="21"/>
          <w:highlight w:val="none"/>
        </w:rPr>
      </w:pPr>
      <w:r>
        <w:rPr>
          <w:rFonts w:hint="eastAsia" w:hAnsi="宋体" w:eastAsia="宋体" w:cs="宋体"/>
          <w:szCs w:val="21"/>
          <w:highlight w: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pPr>
        <w:pStyle w:val="14"/>
        <w:spacing w:line="360" w:lineRule="auto"/>
        <w:rPr>
          <w:rFonts w:hAnsi="宋体" w:eastAsia="宋体" w:cs="宋体"/>
          <w:szCs w:val="21"/>
          <w:highlight w:val="none"/>
        </w:rPr>
      </w:pPr>
      <w:r>
        <w:rPr>
          <w:rFonts w:hint="eastAsia" w:hAnsi="宋体" w:eastAsia="宋体" w:cs="宋体"/>
          <w:szCs w:val="21"/>
          <w:highlight w:val="none"/>
        </w:rPr>
        <w:t>30.3政府采购合同履行中，采购人需追加与合同标的相同的货物的，在不改变合同其他条款的前提下，可以与中标人协商签订补充合同，但所有补充合同的采购金额不得超过原合同采购金额的百分之十。</w:t>
      </w:r>
    </w:p>
    <w:p>
      <w:pPr>
        <w:pStyle w:val="14"/>
        <w:spacing w:line="360" w:lineRule="auto"/>
        <w:rPr>
          <w:rFonts w:hAnsi="宋体" w:eastAsia="宋体" w:cs="宋体"/>
          <w:b/>
          <w:bCs/>
          <w:szCs w:val="21"/>
          <w:highlight w:val="none"/>
        </w:rPr>
      </w:pPr>
      <w:r>
        <w:rPr>
          <w:rFonts w:hint="eastAsia" w:hAnsi="宋体" w:eastAsia="宋体" w:cs="宋体"/>
          <w:b/>
          <w:bCs/>
          <w:szCs w:val="21"/>
          <w:highlight w:val="none"/>
        </w:rPr>
        <w:t>31. 履约担保</w:t>
      </w:r>
    </w:p>
    <w:p>
      <w:pPr>
        <w:pStyle w:val="14"/>
        <w:tabs>
          <w:tab w:val="left" w:pos="710"/>
        </w:tabs>
        <w:spacing w:line="360" w:lineRule="auto"/>
        <w:rPr>
          <w:rFonts w:hAnsi="宋体" w:eastAsia="宋体" w:cs="宋体"/>
          <w:szCs w:val="21"/>
          <w:highlight w:val="none"/>
        </w:rPr>
      </w:pPr>
      <w:r>
        <w:rPr>
          <w:rFonts w:hint="eastAsia" w:hAnsi="宋体" w:eastAsia="宋体" w:cs="宋体"/>
          <w:szCs w:val="21"/>
          <w:highlight w:val="none"/>
        </w:rPr>
        <w:t>31.1签订合同前，中标人应按“</w:t>
      </w:r>
      <w:r>
        <w:rPr>
          <w:rFonts w:hint="eastAsia" w:hAnsi="宋体" w:eastAsia="宋体" w:cs="宋体"/>
          <w:b/>
          <w:szCs w:val="21"/>
          <w:highlight w:val="none"/>
        </w:rPr>
        <w:t>投标人须知前附表</w:t>
      </w:r>
      <w:r>
        <w:rPr>
          <w:rFonts w:hint="eastAsia" w:hAnsi="宋体" w:eastAsia="宋体" w:cs="宋体"/>
          <w:szCs w:val="21"/>
          <w:highlight w:val="none"/>
        </w:rPr>
        <w:t>”上确定的履约担保的金额及形式，向采购人提交履约担保，联合体中标的，其履约担保由牵头人递交。否则，视为放弃中标项目，投标保证金将不予退还。</w:t>
      </w:r>
    </w:p>
    <w:p>
      <w:pPr>
        <w:pStyle w:val="14"/>
        <w:spacing w:line="360" w:lineRule="auto"/>
        <w:rPr>
          <w:rFonts w:hAnsi="宋体" w:eastAsia="宋体" w:cs="宋体"/>
          <w:szCs w:val="21"/>
          <w:highlight w:val="none"/>
        </w:rPr>
      </w:pPr>
      <w:r>
        <w:rPr>
          <w:rFonts w:hint="eastAsia" w:hAnsi="宋体" w:eastAsia="宋体" w:cs="宋体"/>
          <w:szCs w:val="21"/>
          <w:highlight w:val="none"/>
        </w:rPr>
        <w:t>31.2签订合同后，如中标人不按双方签订合同约定履约，则没收其全部履约保证金，履约保证金不足以赔偿损失的，按实际损失赔偿。</w:t>
      </w:r>
    </w:p>
    <w:p>
      <w:pPr>
        <w:pStyle w:val="3"/>
        <w:numPr>
          <w:ilvl w:val="0"/>
          <w:numId w:val="0"/>
        </w:numPr>
        <w:ind w:left="425"/>
        <w:jc w:val="center"/>
        <w:rPr>
          <w:rFonts w:ascii="宋体" w:hAnsi="宋体" w:eastAsia="宋体" w:cs="宋体"/>
          <w:szCs w:val="28"/>
          <w:highlight w:val="none"/>
        </w:rPr>
      </w:pPr>
      <w:bookmarkStart w:id="136" w:name="_Toc73019963"/>
      <w:bookmarkStart w:id="137" w:name="_Toc15116"/>
      <w:bookmarkStart w:id="138" w:name="_Toc13628"/>
      <w:bookmarkStart w:id="139" w:name="_Toc168573762"/>
      <w:bookmarkStart w:id="140" w:name="_Toc23431"/>
      <w:bookmarkStart w:id="141" w:name="_Toc11397"/>
      <w:bookmarkStart w:id="142" w:name="_Toc23385"/>
      <w:r>
        <w:rPr>
          <w:rFonts w:hint="eastAsia" w:ascii="宋体" w:hAnsi="宋体" w:eastAsia="宋体" w:cs="宋体"/>
          <w:szCs w:val="28"/>
          <w:highlight w:val="none"/>
        </w:rPr>
        <w:t>七、其他事项</w:t>
      </w:r>
      <w:bookmarkEnd w:id="136"/>
      <w:bookmarkEnd w:id="137"/>
      <w:bookmarkEnd w:id="138"/>
      <w:bookmarkEnd w:id="139"/>
      <w:bookmarkEnd w:id="140"/>
      <w:bookmarkEnd w:id="141"/>
      <w:bookmarkEnd w:id="142"/>
    </w:p>
    <w:p>
      <w:pPr>
        <w:pStyle w:val="14"/>
        <w:spacing w:line="360" w:lineRule="auto"/>
        <w:rPr>
          <w:rFonts w:hAnsi="宋体" w:eastAsia="宋体" w:cs="宋体"/>
          <w:b/>
          <w:bCs/>
          <w:szCs w:val="21"/>
          <w:highlight w:val="none"/>
        </w:rPr>
      </w:pPr>
      <w:r>
        <w:rPr>
          <w:rFonts w:hint="eastAsia" w:hAnsi="宋体" w:eastAsia="宋体" w:cs="宋体"/>
          <w:b/>
          <w:bCs/>
          <w:szCs w:val="21"/>
          <w:highlight w:val="none"/>
        </w:rPr>
        <w:t>32. 采购代理服务费</w:t>
      </w:r>
    </w:p>
    <w:p>
      <w:pPr>
        <w:pStyle w:val="14"/>
        <w:spacing w:line="360" w:lineRule="auto"/>
        <w:rPr>
          <w:rFonts w:hAnsi="宋体" w:eastAsia="宋体" w:cs="宋体"/>
          <w:bCs/>
          <w:szCs w:val="21"/>
          <w:highlight w:val="none"/>
        </w:rPr>
      </w:pPr>
      <w:r>
        <w:rPr>
          <w:rFonts w:hint="eastAsia" w:hAnsi="宋体" w:eastAsia="宋体" w:cs="宋体"/>
          <w:bCs/>
          <w:szCs w:val="21"/>
          <w:highlight w:val="none"/>
        </w:rPr>
        <w:t>32.1采购代理机构按“投标人须知前附表”中的收费标准向中标人收取招标代理服务费；</w:t>
      </w:r>
    </w:p>
    <w:p>
      <w:pPr>
        <w:pStyle w:val="14"/>
        <w:spacing w:line="360" w:lineRule="auto"/>
        <w:rPr>
          <w:rFonts w:hAnsi="宋体" w:eastAsia="宋体" w:cs="宋体"/>
          <w:bCs/>
          <w:szCs w:val="21"/>
          <w:highlight w:val="none"/>
        </w:rPr>
      </w:pPr>
      <w:r>
        <w:rPr>
          <w:rFonts w:hint="eastAsia" w:hAnsi="宋体" w:eastAsia="宋体" w:cs="宋体"/>
          <w:bCs/>
          <w:szCs w:val="21"/>
          <w:highlight w:val="none"/>
        </w:rPr>
        <w:t>32.2中标人应在接受“中标通知书”前向采购代理机构一次付清代理服务费。</w:t>
      </w:r>
    </w:p>
    <w:p>
      <w:pPr>
        <w:pStyle w:val="14"/>
        <w:spacing w:line="360" w:lineRule="auto"/>
        <w:rPr>
          <w:rFonts w:hAnsi="宋体" w:eastAsia="宋体" w:cs="宋体"/>
          <w:b/>
          <w:bCs/>
          <w:szCs w:val="21"/>
          <w:highlight w:val="none"/>
        </w:rPr>
      </w:pPr>
      <w:r>
        <w:rPr>
          <w:rFonts w:hint="eastAsia" w:hAnsi="宋体" w:eastAsia="宋体" w:cs="宋体"/>
          <w:b/>
          <w:bCs/>
          <w:szCs w:val="21"/>
          <w:highlight w:val="none"/>
        </w:rPr>
        <w:t>33. 招标文件编制依据</w:t>
      </w:r>
    </w:p>
    <w:p>
      <w:pPr>
        <w:pStyle w:val="14"/>
        <w:spacing w:line="360" w:lineRule="auto"/>
        <w:rPr>
          <w:rFonts w:hAnsi="宋体" w:eastAsia="宋体" w:cs="宋体"/>
          <w:szCs w:val="21"/>
          <w:highlight w:val="none"/>
        </w:rPr>
      </w:pPr>
      <w:r>
        <w:rPr>
          <w:rFonts w:hint="eastAsia" w:hAnsi="宋体" w:eastAsia="宋体" w:cs="宋体"/>
          <w:szCs w:val="21"/>
          <w:highlight w:val="none"/>
        </w:rPr>
        <w:t>33.1本招标文件根据《中华人民共和国政府采购法》及相关法律法规编制。</w:t>
      </w:r>
    </w:p>
    <w:p>
      <w:pPr>
        <w:pStyle w:val="14"/>
        <w:spacing w:line="360" w:lineRule="auto"/>
        <w:rPr>
          <w:rFonts w:hAnsi="宋体" w:eastAsia="宋体" w:cs="宋体"/>
          <w:b/>
          <w:bCs/>
          <w:szCs w:val="21"/>
          <w:highlight w:val="none"/>
        </w:rPr>
      </w:pPr>
      <w:r>
        <w:rPr>
          <w:rFonts w:hint="eastAsia" w:hAnsi="宋体" w:eastAsia="宋体" w:cs="宋体"/>
          <w:b/>
          <w:bCs/>
          <w:szCs w:val="21"/>
          <w:highlight w:val="none"/>
        </w:rPr>
        <w:t>34.</w:t>
      </w:r>
      <w:r>
        <w:rPr>
          <w:rFonts w:hint="eastAsia" w:hAnsi="宋体" w:eastAsia="宋体" w:cs="宋体"/>
          <w:b/>
          <w:szCs w:val="21"/>
          <w:highlight w:val="none"/>
        </w:rPr>
        <w:t>需要补充的其他内容</w:t>
      </w:r>
    </w:p>
    <w:p>
      <w:pPr>
        <w:pStyle w:val="14"/>
        <w:spacing w:line="360" w:lineRule="auto"/>
        <w:rPr>
          <w:rFonts w:hAnsi="宋体" w:eastAsia="宋体" w:cs="宋体"/>
          <w:szCs w:val="21"/>
          <w:highlight w:val="none"/>
        </w:rPr>
      </w:pPr>
      <w:r>
        <w:rPr>
          <w:rFonts w:hint="eastAsia" w:hAnsi="宋体" w:eastAsia="宋体" w:cs="宋体"/>
          <w:szCs w:val="21"/>
          <w:highlight w:val="none"/>
        </w:rPr>
        <w:t>34.1 “</w:t>
      </w:r>
      <w:r>
        <w:rPr>
          <w:rFonts w:hint="eastAsia" w:hAnsi="宋体" w:eastAsia="宋体" w:cs="宋体"/>
          <w:b/>
          <w:szCs w:val="21"/>
          <w:highlight w:val="none"/>
        </w:rPr>
        <w:t>投标人须知前附表</w:t>
      </w:r>
      <w:r>
        <w:rPr>
          <w:rFonts w:hint="eastAsia" w:hAnsi="宋体" w:eastAsia="宋体" w:cs="宋体"/>
          <w:szCs w:val="21"/>
          <w:highlight w:val="none"/>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pPr>
        <w:pStyle w:val="14"/>
        <w:spacing w:line="360" w:lineRule="auto"/>
        <w:ind w:firstLine="420" w:firstLineChars="200"/>
        <w:rPr>
          <w:rFonts w:hint="eastAsia" w:hAnsi="宋体" w:eastAsia="宋体" w:cs="宋体"/>
          <w:szCs w:val="21"/>
          <w:highlight w:val="none"/>
        </w:rPr>
      </w:pPr>
      <w:r>
        <w:rPr>
          <w:rFonts w:hint="eastAsia" w:hAnsi="宋体" w:eastAsia="宋体" w:cs="宋体"/>
          <w:szCs w:val="21"/>
          <w:highlight w:val="none"/>
        </w:rPr>
        <w:t>评标委员会在对有备选方案的投标人进行评审时，应当以主选方案为准进行评审，如考虑备选方案的，备选方案必须实质性响应招标文件要求。</w:t>
      </w:r>
    </w:p>
    <w:p>
      <w:pPr>
        <w:pStyle w:val="14"/>
        <w:spacing w:line="360" w:lineRule="auto"/>
        <w:rPr>
          <w:rFonts w:hAnsi="宋体" w:eastAsia="宋体" w:cs="宋体"/>
          <w:szCs w:val="21"/>
          <w:highlight w:val="none"/>
        </w:rPr>
      </w:pPr>
      <w:r>
        <w:rPr>
          <w:rFonts w:hint="eastAsia" w:hAnsi="宋体"/>
          <w:szCs w:val="21"/>
          <w:highlight w:val="none"/>
        </w:rPr>
        <w:t>34.2</w:t>
      </w:r>
      <w:r>
        <w:rPr>
          <w:rFonts w:hint="eastAsia" w:hAnsi="宋体" w:cs="宋体"/>
          <w:kern w:val="0"/>
          <w:szCs w:val="21"/>
          <w:highlight w:val="none"/>
        </w:rPr>
        <w:t>踏勘现场:</w:t>
      </w:r>
      <w:r>
        <w:rPr>
          <w:rFonts w:hint="eastAsia" w:hAnsi="宋体" w:eastAsia="宋体" w:cs="宋体"/>
          <w:szCs w:val="21"/>
          <w:highlight w:val="none"/>
        </w:rPr>
        <w:t xml:space="preserve"> 见“</w:t>
      </w:r>
      <w:r>
        <w:rPr>
          <w:rFonts w:hint="eastAsia" w:hAnsi="宋体" w:eastAsia="宋体" w:cs="宋体"/>
          <w:b/>
          <w:szCs w:val="21"/>
          <w:highlight w:val="none"/>
        </w:rPr>
        <w:t>投标人须知前附表</w:t>
      </w:r>
      <w:r>
        <w:rPr>
          <w:rFonts w:hint="eastAsia" w:hAnsi="宋体" w:eastAsia="宋体" w:cs="宋体"/>
          <w:szCs w:val="21"/>
          <w:highlight w:val="none"/>
        </w:rPr>
        <w:t>”。</w:t>
      </w:r>
    </w:p>
    <w:p>
      <w:pPr>
        <w:pStyle w:val="14"/>
        <w:spacing w:line="360" w:lineRule="auto"/>
        <w:rPr>
          <w:rFonts w:hAnsi="宋体"/>
          <w:sz w:val="24"/>
          <w:szCs w:val="24"/>
          <w:highlight w:val="none"/>
        </w:rPr>
      </w:pPr>
      <w:r>
        <w:rPr>
          <w:rFonts w:hint="eastAsia" w:hAnsi="宋体" w:eastAsia="宋体" w:cs="宋体"/>
          <w:szCs w:val="21"/>
          <w:highlight w:val="none"/>
        </w:rPr>
        <w:t>34.3其它需要补充的其他内容：见“</w:t>
      </w:r>
      <w:r>
        <w:rPr>
          <w:rFonts w:hint="eastAsia" w:hAnsi="宋体" w:eastAsia="宋体" w:cs="宋体"/>
          <w:b/>
          <w:szCs w:val="21"/>
          <w:highlight w:val="none"/>
        </w:rPr>
        <w:t>投标人须知前附表</w:t>
      </w:r>
      <w:r>
        <w:rPr>
          <w:rFonts w:hint="eastAsia" w:hAnsi="宋体" w:eastAsia="宋体" w:cs="宋体"/>
          <w:szCs w:val="21"/>
          <w:highlight w:val="none"/>
        </w:rPr>
        <w:t>”。</w:t>
      </w:r>
    </w:p>
    <w:p>
      <w:pPr>
        <w:spacing w:line="360" w:lineRule="auto"/>
        <w:jc w:val="left"/>
        <w:rPr>
          <w:rFonts w:ascii="宋体" w:hAnsi="宋体"/>
          <w:sz w:val="24"/>
          <w:highlight w:val="none"/>
        </w:rPr>
      </w:pPr>
    </w:p>
    <w:p>
      <w:pPr>
        <w:pStyle w:val="14"/>
        <w:spacing w:line="360" w:lineRule="auto"/>
        <w:rPr>
          <w:rFonts w:hAnsi="宋体"/>
          <w:sz w:val="24"/>
          <w:szCs w:val="24"/>
          <w:highlight w:val="none"/>
        </w:rPr>
      </w:pPr>
    </w:p>
    <w:p>
      <w:pPr>
        <w:pStyle w:val="24"/>
        <w:numPr>
          <w:ilvl w:val="0"/>
          <w:numId w:val="3"/>
        </w:numPr>
        <w:adjustRightInd w:val="0"/>
        <w:snapToGrid w:val="0"/>
        <w:spacing w:line="360" w:lineRule="auto"/>
        <w:rPr>
          <w:highlight w:val="none"/>
        </w:rPr>
      </w:pPr>
      <w:bookmarkStart w:id="143" w:name="_Toc213141090"/>
      <w:r>
        <w:rPr>
          <w:rFonts w:ascii="宋体" w:hAnsi="宋体"/>
          <w:bCs w:val="0"/>
          <w:kern w:val="44"/>
          <w:sz w:val="36"/>
          <w:szCs w:val="20"/>
          <w:highlight w:val="none"/>
        </w:rPr>
        <w:br w:type="page"/>
      </w:r>
      <w:bookmarkEnd w:id="143"/>
      <w:bookmarkStart w:id="144" w:name="_Toc168573763"/>
      <w:bookmarkStart w:id="145" w:name="_Toc28235"/>
      <w:bookmarkStart w:id="146" w:name="_Toc20515"/>
      <w:bookmarkStart w:id="147" w:name="_Toc30237"/>
      <w:bookmarkStart w:id="148" w:name="_Toc4418"/>
      <w:bookmarkStart w:id="149" w:name="_Toc30952"/>
      <w:r>
        <w:rPr>
          <w:rFonts w:hint="eastAsia" w:ascii="宋体" w:hAnsi="宋体"/>
          <w:bCs w:val="0"/>
          <w:kern w:val="44"/>
          <w:sz w:val="36"/>
          <w:szCs w:val="20"/>
          <w:highlight w:val="none"/>
        </w:rPr>
        <w:t>合同基本格式及主要条款</w:t>
      </w:r>
      <w:bookmarkEnd w:id="144"/>
      <w:bookmarkEnd w:id="145"/>
      <w:bookmarkEnd w:id="146"/>
      <w:bookmarkEnd w:id="147"/>
      <w:bookmarkEnd w:id="148"/>
      <w:bookmarkEnd w:id="149"/>
    </w:p>
    <w:p>
      <w:pPr>
        <w:pStyle w:val="10"/>
        <w:tabs>
          <w:tab w:val="left" w:pos="360"/>
        </w:tabs>
        <w:ind w:firstLine="2531" w:firstLineChars="900"/>
        <w:rPr>
          <w:rFonts w:ascii="宋体" w:hAnsi="宋体" w:cs="宋体"/>
          <w:bCs/>
          <w:spacing w:val="-20"/>
          <w:sz w:val="32"/>
          <w:szCs w:val="32"/>
          <w:highlight w:val="none"/>
        </w:rPr>
      </w:pPr>
      <w:bookmarkStart w:id="150" w:name="_Toc31034"/>
      <w:bookmarkEnd w:id="150"/>
      <w:bookmarkStart w:id="151" w:name="_Toc12847"/>
      <w:bookmarkEnd w:id="151"/>
      <w:bookmarkStart w:id="152" w:name="_Toc467657366"/>
      <w:bookmarkStart w:id="153" w:name="_Toc468692930"/>
      <w:bookmarkStart w:id="154" w:name="_Toc11380"/>
      <w:bookmarkStart w:id="155" w:name="_Toc467656688"/>
      <w:bookmarkStart w:id="156" w:name="_Toc398814605"/>
      <w:bookmarkStart w:id="157" w:name="_Toc502057367"/>
      <w:bookmarkStart w:id="158" w:name="_Toc69900973"/>
      <w:bookmarkStart w:id="159" w:name="_Toc467657311"/>
      <w:bookmarkStart w:id="160" w:name="_Toc467657528"/>
      <w:bookmarkStart w:id="161" w:name="_Toc467657215"/>
      <w:bookmarkStart w:id="162" w:name="_Toc398833228"/>
      <w:bookmarkStart w:id="163" w:name="_Toc3995"/>
      <w:r>
        <w:rPr>
          <w:rFonts w:hint="eastAsia" w:ascii="宋体" w:hAnsi="宋体" w:cs="宋体"/>
          <w:b/>
          <w:bCs/>
          <w:spacing w:val="-20"/>
          <w:kern w:val="44"/>
          <w:sz w:val="32"/>
          <w:szCs w:val="32"/>
          <w:highlight w:val="none"/>
        </w:rPr>
        <w:t>（以双方最终签订的协议为准。）</w:t>
      </w:r>
      <w:bookmarkEnd w:id="152"/>
      <w:bookmarkEnd w:id="153"/>
      <w:bookmarkEnd w:id="154"/>
      <w:bookmarkEnd w:id="155"/>
      <w:bookmarkEnd w:id="156"/>
      <w:bookmarkEnd w:id="157"/>
      <w:bookmarkEnd w:id="158"/>
      <w:bookmarkEnd w:id="159"/>
      <w:bookmarkEnd w:id="160"/>
      <w:bookmarkEnd w:id="161"/>
      <w:bookmarkEnd w:id="162"/>
    </w:p>
    <w:p>
      <w:pPr>
        <w:pStyle w:val="10"/>
        <w:jc w:val="center"/>
        <w:rPr>
          <w:rFonts w:ascii="宋体" w:hAnsi="宋体" w:cs="宋体"/>
          <w:b/>
          <w:bCs/>
          <w:spacing w:val="-20"/>
          <w:kern w:val="44"/>
          <w:sz w:val="48"/>
          <w:szCs w:val="48"/>
          <w:highlight w:val="none"/>
        </w:rPr>
      </w:pPr>
    </w:p>
    <w:bookmarkEnd w:id="163"/>
    <w:p>
      <w:pPr>
        <w:pStyle w:val="10"/>
        <w:jc w:val="center"/>
        <w:rPr>
          <w:rFonts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政府采购</w:t>
      </w:r>
    </w:p>
    <w:p>
      <w:pPr>
        <w:pStyle w:val="10"/>
        <w:jc w:val="center"/>
        <w:rPr>
          <w:rFonts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货物（个人防护装备）买卖合同</w:t>
      </w:r>
    </w:p>
    <w:p>
      <w:pPr>
        <w:pStyle w:val="10"/>
        <w:jc w:val="center"/>
        <w:rPr>
          <w:rFonts w:ascii="宋体" w:hAnsi="宋体" w:cs="宋体"/>
          <w:b/>
          <w:bCs/>
          <w:spacing w:val="-20"/>
          <w:kern w:val="44"/>
          <w:sz w:val="48"/>
          <w:szCs w:val="48"/>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hint="eastAsia" w:ascii="宋体" w:hAnsi="宋体" w:cs="宋体"/>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rFonts w:ascii="宋体" w:hAnsi="宋体" w:cs="宋体"/>
          <w:sz w:val="32"/>
          <w:szCs w:val="32"/>
          <w:highlight w:val="none"/>
        </w:rPr>
      </w:pPr>
      <w:r>
        <w:rPr>
          <w:rFonts w:hint="eastAsia"/>
          <w:sz w:val="32"/>
          <w:szCs w:val="32"/>
          <w:highlight w:val="none"/>
        </w:rPr>
        <w:t>甲    方</w:t>
      </w:r>
      <w:r>
        <w:rPr>
          <w:rFonts w:hint="eastAsia" w:ascii="宋体" w:hAnsi="宋体" w:cs="宋体"/>
          <w:bCs/>
          <w:sz w:val="32"/>
          <w:szCs w:val="32"/>
          <w:highlight w:val="none"/>
        </w:rPr>
        <w:t>（采购方）</w:t>
      </w:r>
      <w:r>
        <w:rPr>
          <w:rFonts w:hint="eastAsia" w:ascii="宋体" w:hAnsi="宋体" w:cs="宋体"/>
          <w:sz w:val="32"/>
          <w:szCs w:val="32"/>
          <w:highlight w:val="none"/>
        </w:rPr>
        <w:t>：</w:t>
      </w:r>
      <w:r>
        <w:rPr>
          <w:rFonts w:hint="eastAsia" w:ascii="宋体" w:hAnsi="宋体" w:cs="宋体"/>
          <w:sz w:val="32"/>
          <w:szCs w:val="32"/>
          <w:highlight w:val="none"/>
          <w:u w:val="single"/>
        </w:rPr>
        <w:t xml:space="preserve">                   </w:t>
      </w:r>
    </w:p>
    <w:p>
      <w:pPr>
        <w:spacing w:line="360" w:lineRule="auto"/>
        <w:ind w:left="420" w:leftChars="200"/>
        <w:rPr>
          <w:sz w:val="32"/>
          <w:szCs w:val="32"/>
          <w:highlight w:val="none"/>
          <w:u w:val="single"/>
        </w:rPr>
      </w:pPr>
      <w:r>
        <w:rPr>
          <w:rFonts w:hint="eastAsia" w:ascii="宋体" w:hAnsi="宋体" w:cs="宋体"/>
          <w:sz w:val="32"/>
          <w:szCs w:val="32"/>
          <w:highlight w:val="none"/>
        </w:rPr>
        <w:t>乙    方</w:t>
      </w:r>
      <w:r>
        <w:rPr>
          <w:rFonts w:hint="eastAsia" w:ascii="宋体" w:hAnsi="宋体" w:cs="宋体"/>
          <w:bCs/>
          <w:sz w:val="32"/>
          <w:szCs w:val="32"/>
          <w:highlight w:val="none"/>
        </w:rPr>
        <w:t>（供货方）</w:t>
      </w:r>
      <w:r>
        <w:rPr>
          <w:rFonts w:hint="eastAsia"/>
          <w:sz w:val="32"/>
          <w:szCs w:val="32"/>
          <w:highlight w:val="none"/>
        </w:rPr>
        <w:t>：</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sectPr>
          <w:pgSz w:w="11906" w:h="16838"/>
          <w:pgMar w:top="1440" w:right="1519" w:bottom="1440" w:left="1519" w:header="851" w:footer="992" w:gutter="0"/>
          <w:cols w:space="425" w:num="1"/>
          <w:docGrid w:type="lines" w:linePitch="312" w:charSpace="0"/>
        </w:sectPr>
      </w:pPr>
      <w:r>
        <w:rPr>
          <w:rFonts w:eastAsia="黑体"/>
          <w:sz w:val="44"/>
          <w:szCs w:val="44"/>
          <w:highlight w:val="none"/>
        </w:rPr>
        <w:br w:type="page"/>
      </w:r>
    </w:p>
    <w:p>
      <w:pPr>
        <w:rPr>
          <w:highlight w:val="none"/>
        </w:rPr>
      </w:pPr>
      <w:bookmarkStart w:id="164" w:name="_Toc22209"/>
    </w:p>
    <w:p>
      <w:pPr>
        <w:pStyle w:val="3"/>
        <w:numPr>
          <w:ilvl w:val="1"/>
          <w:numId w:val="0"/>
        </w:numPr>
        <w:snapToGrid w:val="0"/>
        <w:spacing w:line="240" w:lineRule="auto"/>
        <w:ind w:left="425" w:firstLine="2800" w:firstLineChars="1000"/>
        <w:rPr>
          <w:rFonts w:ascii="黑体" w:hAnsi="华文中宋"/>
          <w:b w:val="0"/>
          <w:szCs w:val="28"/>
          <w:highlight w:val="none"/>
        </w:rPr>
      </w:pPr>
      <w:bookmarkStart w:id="165" w:name="_Toc168573764"/>
      <w:bookmarkStart w:id="166" w:name="_Toc17697"/>
      <w:bookmarkStart w:id="167" w:name="_Toc18880"/>
      <w:bookmarkStart w:id="168" w:name="_Toc25825"/>
      <w:bookmarkStart w:id="169" w:name="_Toc22677"/>
      <w:r>
        <w:rPr>
          <w:rFonts w:hint="eastAsia" w:ascii="黑体" w:hAnsi="华文中宋"/>
          <w:b w:val="0"/>
          <w:szCs w:val="28"/>
          <w:highlight w:val="none"/>
        </w:rPr>
        <w:t>第一节</w:t>
      </w:r>
      <w:r>
        <w:rPr>
          <w:rFonts w:ascii="黑体" w:hAnsi="华文中宋"/>
          <w:b w:val="0"/>
          <w:szCs w:val="28"/>
          <w:highlight w:val="none"/>
        </w:rPr>
        <w:t xml:space="preserve"> </w:t>
      </w:r>
      <w:r>
        <w:rPr>
          <w:rFonts w:hint="eastAsia" w:ascii="黑体" w:hAnsi="华文中宋"/>
          <w:b w:val="0"/>
          <w:szCs w:val="28"/>
          <w:highlight w:val="none"/>
        </w:rPr>
        <w:t>政府采购合同协议书</w:t>
      </w:r>
      <w:bookmarkEnd w:id="164"/>
      <w:bookmarkEnd w:id="165"/>
      <w:bookmarkEnd w:id="166"/>
      <w:bookmarkEnd w:id="167"/>
      <w:bookmarkEnd w:id="168"/>
      <w:bookmarkEnd w:id="169"/>
    </w:p>
    <w:p>
      <w:pPr>
        <w:spacing w:line="360" w:lineRule="auto"/>
        <w:rPr>
          <w:highlight w:val="none"/>
        </w:rPr>
      </w:pPr>
    </w:p>
    <w:p>
      <w:pPr>
        <w:adjustRightInd w:val="0"/>
        <w:snapToGrid w:val="0"/>
        <w:spacing w:line="360" w:lineRule="auto"/>
        <w:ind w:firstLine="420" w:firstLineChars="200"/>
        <w:rPr>
          <w:rFonts w:ascii="宋体" w:hAnsi="宋体" w:cs="宋体"/>
          <w:highlight w:val="none"/>
          <w:u w:val="single"/>
        </w:rPr>
      </w:pPr>
      <w:r>
        <w:rPr>
          <w:rFonts w:hint="eastAsia" w:ascii="宋体" w:hAnsi="宋体"/>
          <w:highlight w:val="none"/>
        </w:rPr>
        <w:t>甲方</w:t>
      </w:r>
      <w:r>
        <w:rPr>
          <w:rFonts w:hint="eastAsia" w:ascii="宋体" w:hAnsi="宋体" w:cs="宋体"/>
          <w:highlight w:val="none"/>
        </w:rPr>
        <w:t>(采购方)：</w:t>
      </w:r>
      <w:r>
        <w:rPr>
          <w:rFonts w:hint="eastAsia" w:ascii="宋体" w:hAnsi="宋体" w:cs="宋体"/>
          <w:highlight w:val="none"/>
          <w:u w:val="single"/>
        </w:rPr>
        <w:t xml:space="preserve">  云南省森林消防总队    </w:t>
      </w:r>
    </w:p>
    <w:p>
      <w:pPr>
        <w:pStyle w:val="69"/>
        <w:spacing w:line="360" w:lineRule="auto"/>
        <w:ind w:firstLine="420"/>
        <w:rPr>
          <w:rFonts w:ascii="宋体" w:hAnsi="宋体" w:eastAsia="宋体" w:cs="宋体"/>
          <w:sz w:val="21"/>
          <w:highlight w:val="none"/>
        </w:rPr>
      </w:pPr>
    </w:p>
    <w:p>
      <w:pPr>
        <w:adjustRightInd w:val="0"/>
        <w:snapToGrid w:val="0"/>
        <w:spacing w:line="360" w:lineRule="auto"/>
        <w:ind w:firstLine="420" w:firstLineChars="200"/>
        <w:rPr>
          <w:rFonts w:ascii="宋体" w:hAnsi="宋体"/>
          <w:highlight w:val="none"/>
          <w:u w:val="single"/>
        </w:rPr>
      </w:pPr>
      <w:r>
        <w:rPr>
          <w:rFonts w:hint="eastAsia" w:ascii="宋体" w:hAnsi="宋体" w:cs="宋体"/>
          <w:highlight w:val="none"/>
        </w:rPr>
        <w:t>乙方(供货方)</w:t>
      </w:r>
      <w:r>
        <w:rPr>
          <w:rFonts w:hint="eastAsia" w:ascii="宋体" w:hAnsi="宋体"/>
          <w:highlight w:val="none"/>
        </w:rPr>
        <w:t>：</w:t>
      </w:r>
      <w:r>
        <w:rPr>
          <w:rFonts w:hint="eastAsia" w:ascii="宋体" w:hAnsi="宋体"/>
          <w:highlight w:val="none"/>
          <w:u w:val="single"/>
        </w:rPr>
        <w:t xml:space="preserve">                          </w:t>
      </w:r>
    </w:p>
    <w:p>
      <w:pPr>
        <w:spacing w:line="360" w:lineRule="auto"/>
        <w:ind w:firstLine="420" w:firstLineChars="200"/>
        <w:rPr>
          <w:highlight w:val="none"/>
        </w:rPr>
      </w:pPr>
    </w:p>
    <w:p>
      <w:pPr>
        <w:pStyle w:val="11"/>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4"/>
        </w:numPr>
        <w:adjustRightInd w:val="0"/>
        <w:snapToGrid w:val="0"/>
        <w:spacing w:line="360" w:lineRule="auto"/>
        <w:ind w:firstLine="422" w:firstLineChars="200"/>
        <w:rPr>
          <w:rFonts w:ascii="宋体" w:hAnsi="宋体"/>
          <w:b/>
          <w:highlight w:val="none"/>
        </w:rPr>
      </w:pPr>
      <w:r>
        <w:rPr>
          <w:rFonts w:hint="eastAsia" w:ascii="宋体" w:hAnsi="宋体"/>
          <w:b/>
          <w:highlight w:val="none"/>
        </w:rPr>
        <w:t>项目信息</w:t>
      </w:r>
    </w:p>
    <w:p>
      <w:pPr>
        <w:pStyle w:val="11"/>
        <w:numPr>
          <w:ilvl w:val="0"/>
          <w:numId w:val="5"/>
        </w:numPr>
        <w:adjustRightInd w:val="0"/>
        <w:snapToGrid w:val="0"/>
        <w:spacing w:line="360" w:lineRule="auto"/>
        <w:ind w:firstLine="420" w:firstLineChars="200"/>
        <w:rPr>
          <w:rFonts w:ascii="宋体" w:hAnsi="宋体"/>
          <w:highlight w:val="none"/>
          <w:u w:val="single"/>
        </w:rPr>
      </w:pPr>
      <w:r>
        <w:rPr>
          <w:rFonts w:hint="eastAsia" w:ascii="宋体" w:hAnsi="宋体"/>
          <w:highlight w:val="none"/>
        </w:rPr>
        <w:t>采购项目名称：</w:t>
      </w:r>
      <w:r>
        <w:rPr>
          <w:rFonts w:ascii="宋体" w:hAnsi="宋体"/>
          <w:highlight w:val="none"/>
          <w:u w:val="single"/>
        </w:rPr>
        <w:t xml:space="preserve">                                          </w:t>
      </w:r>
    </w:p>
    <w:p>
      <w:pPr>
        <w:pStyle w:val="11"/>
        <w:numPr>
          <w:ilvl w:val="255"/>
          <w:numId w:val="0"/>
        </w:numPr>
        <w:tabs>
          <w:tab w:val="left" w:pos="999"/>
        </w:tabs>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         采购项目编号：</w:t>
      </w:r>
      <w:r>
        <w:rPr>
          <w:rFonts w:ascii="宋体" w:hAnsi="宋体"/>
          <w:highlight w:val="none"/>
          <w:u w:val="single"/>
        </w:rPr>
        <w:t xml:space="preserve">                                          </w:t>
      </w:r>
    </w:p>
    <w:p>
      <w:pPr>
        <w:pStyle w:val="11"/>
        <w:adjustRightInd w:val="0"/>
        <w:snapToGrid w:val="0"/>
        <w:spacing w:line="360" w:lineRule="auto"/>
        <w:ind w:firstLine="420" w:firstLineChars="200"/>
        <w:rPr>
          <w:rFonts w:ascii="宋体" w:hAnsi="宋体"/>
          <w:highlight w:val="none"/>
        </w:rPr>
      </w:pPr>
      <w:r>
        <w:rPr>
          <w:rFonts w:hint="eastAsia" w:ascii="宋体" w:hAnsi="宋体"/>
          <w:highlight w:val="none"/>
        </w:rPr>
        <w:t>（2）采购计划编号：</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p>
    <w:p>
      <w:pPr>
        <w:adjustRightInd w:val="0"/>
        <w:snapToGrid w:val="0"/>
        <w:spacing w:line="360" w:lineRule="auto"/>
        <w:ind w:firstLine="420" w:firstLineChars="200"/>
        <w:rPr>
          <w:rFonts w:ascii="宋体" w:hAnsi="宋体"/>
          <w:highlight w:val="none"/>
        </w:rPr>
      </w:pPr>
      <w:r>
        <w:rPr>
          <w:rFonts w:hint="eastAsia" w:ascii="宋体" w:hAnsi="宋体"/>
          <w:highlight w:val="none"/>
        </w:rPr>
        <w:t>（3）项目内容：</w:t>
      </w:r>
    </w:p>
    <w:p>
      <w:pPr>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     采购标的及数量（台/套</w:t>
      </w:r>
      <w:r>
        <w:rPr>
          <w:rFonts w:ascii="宋体" w:hAnsi="宋体"/>
          <w:highlight w:val="none"/>
          <w:lang w:val="en"/>
        </w:rPr>
        <w:t>/</w:t>
      </w:r>
      <w:r>
        <w:rPr>
          <w:rFonts w:hint="eastAsia" w:ascii="宋体" w:hAnsi="宋体"/>
          <w:highlight w:val="none"/>
          <w:lang w:val="en"/>
        </w:rPr>
        <w:t>个</w:t>
      </w:r>
      <w:r>
        <w:rPr>
          <w:rFonts w:ascii="宋体" w:hAnsi="宋体"/>
          <w:highlight w:val="none"/>
          <w:lang w:val="en"/>
        </w:rPr>
        <w:t>/</w:t>
      </w:r>
      <w:r>
        <w:rPr>
          <w:rFonts w:hint="eastAsia" w:ascii="宋体" w:hAnsi="宋体"/>
          <w:highlight w:val="none"/>
          <w:lang w:val="en"/>
        </w:rPr>
        <w:t>架</w:t>
      </w:r>
      <w:r>
        <w:rPr>
          <w:rFonts w:ascii="宋体" w:hAnsi="宋体"/>
          <w:highlight w:val="none"/>
          <w:lang w:val="en"/>
        </w:rPr>
        <w:t>/</w:t>
      </w:r>
      <w:r>
        <w:rPr>
          <w:rFonts w:hint="eastAsia" w:ascii="宋体" w:hAnsi="宋体"/>
          <w:highlight w:val="none"/>
          <w:lang w:val="en"/>
        </w:rPr>
        <w:t>组等</w:t>
      </w:r>
      <w:r>
        <w:rPr>
          <w:rFonts w:hint="eastAsia" w:ascii="宋体" w:hAnsi="宋体"/>
          <w:highlight w:val="none"/>
        </w:rPr>
        <w:t>）：</w:t>
      </w:r>
      <w:r>
        <w:rPr>
          <w:rFonts w:hint="eastAsia" w:ascii="宋体" w:hAnsi="宋体"/>
          <w:highlight w:val="none"/>
          <w:u w:val="single"/>
        </w:rPr>
        <w:t xml:space="preserve">                          </w:t>
      </w:r>
      <w:r>
        <w:rPr>
          <w:rFonts w:hint="eastAsia" w:ascii="宋体" w:hAnsi="宋体"/>
          <w:highlight w:val="none"/>
        </w:rPr>
        <w:t xml:space="preserve">            </w:t>
      </w:r>
      <w:r>
        <w:rPr>
          <w:rFonts w:hint="eastAsia" w:ascii="宋体" w:hAnsi="宋体"/>
          <w:highlight w:val="none"/>
          <w:u w:val="single"/>
        </w:rPr>
        <w:t xml:space="preserve">                  </w:t>
      </w:r>
      <w:r>
        <w:rPr>
          <w:rFonts w:hint="eastAsia" w:ascii="宋体" w:hAnsi="宋体"/>
          <w:highlight w:val="none"/>
        </w:rPr>
        <w:t xml:space="preserve"> </w:t>
      </w:r>
    </w:p>
    <w:p>
      <w:pPr>
        <w:numPr>
          <w:ilvl w:val="255"/>
          <w:numId w:val="0"/>
        </w:numPr>
        <w:adjustRightInd w:val="0"/>
        <w:snapToGrid w:val="0"/>
        <w:spacing w:line="360" w:lineRule="auto"/>
        <w:ind w:firstLine="420" w:firstLineChars="200"/>
        <w:rPr>
          <w:rFonts w:ascii="宋体" w:hAnsi="宋体" w:cs="宋体"/>
          <w:highlight w:val="none"/>
          <w:lang w:val="en"/>
        </w:rPr>
      </w:pPr>
      <w:r>
        <w:rPr>
          <w:rFonts w:hint="eastAsia" w:ascii="宋体" w:hAnsi="宋体"/>
          <w:highlight w:val="none"/>
        </w:rPr>
        <w:t xml:space="preserve">     </w:t>
      </w:r>
      <w:r>
        <w:rPr>
          <w:rFonts w:hint="eastAsia" w:ascii="宋体" w:hAnsi="宋体" w:cs="宋体"/>
          <w:highlight w:val="none"/>
        </w:rPr>
        <w:t>品牌：</w:t>
      </w:r>
      <w:r>
        <w:rPr>
          <w:rFonts w:hint="eastAsia" w:ascii="宋体" w:hAnsi="宋体" w:cs="宋体"/>
          <w:highlight w:val="none"/>
          <w:u w:val="single"/>
        </w:rPr>
        <w:t xml:space="preserve">      </w:t>
      </w:r>
      <w:r>
        <w:rPr>
          <w:rFonts w:ascii="宋体" w:hAnsi="宋体" w:cs="宋体"/>
          <w:highlight w:val="none"/>
          <w:u w:val="single"/>
          <w:lang w:val="en"/>
        </w:rPr>
        <w:t xml:space="preserve">   </w:t>
      </w:r>
      <w:r>
        <w:rPr>
          <w:rFonts w:hint="eastAsia" w:ascii="宋体" w:hAnsi="宋体" w:cs="宋体"/>
          <w:highlight w:val="none"/>
          <w:u w:val="single"/>
        </w:rPr>
        <w:t xml:space="preserve">    </w:t>
      </w:r>
      <w:r>
        <w:rPr>
          <w:rFonts w:ascii="宋体" w:hAnsi="宋体" w:cs="宋体"/>
          <w:highlight w:val="none"/>
          <w:u w:val="single"/>
          <w:lang w:val="en"/>
        </w:rPr>
        <w:t xml:space="preserve"> </w:t>
      </w:r>
      <w:r>
        <w:rPr>
          <w:rFonts w:hint="eastAsia" w:ascii="宋体" w:hAnsi="宋体" w:cs="宋体"/>
          <w:highlight w:val="none"/>
          <w:u w:val="single"/>
        </w:rPr>
        <w:t xml:space="preserve"> </w:t>
      </w:r>
      <w:r>
        <w:rPr>
          <w:rFonts w:ascii="宋体" w:hAnsi="宋体" w:cs="宋体"/>
          <w:highlight w:val="none"/>
          <w:lang w:val="en"/>
        </w:rPr>
        <w:t xml:space="preserve">     </w:t>
      </w:r>
      <w:r>
        <w:rPr>
          <w:rFonts w:hint="eastAsia" w:ascii="宋体" w:hAnsi="宋体" w:cs="宋体"/>
          <w:highlight w:val="none"/>
        </w:rPr>
        <w:t>规格型号：</w:t>
      </w:r>
      <w:r>
        <w:rPr>
          <w:rFonts w:hint="eastAsia" w:ascii="宋体" w:hAnsi="宋体" w:cs="宋体"/>
          <w:highlight w:val="none"/>
          <w:u w:val="single"/>
        </w:rPr>
        <w:t xml:space="preserve">   </w:t>
      </w:r>
      <w:r>
        <w:rPr>
          <w:rFonts w:ascii="宋体" w:hAnsi="宋体" w:cs="宋体"/>
          <w:highlight w:val="none"/>
          <w:u w:val="single"/>
          <w:lang w:val="en"/>
        </w:rPr>
        <w:t xml:space="preserve">  </w:t>
      </w:r>
      <w:r>
        <w:rPr>
          <w:rFonts w:hint="eastAsia" w:ascii="宋体" w:hAnsi="宋体" w:cs="宋体"/>
          <w:highlight w:val="none"/>
          <w:u w:val="single"/>
        </w:rPr>
        <w:t xml:space="preserve">       </w:t>
      </w:r>
      <w:r>
        <w:rPr>
          <w:rFonts w:ascii="宋体" w:hAnsi="宋体" w:cs="宋体"/>
          <w:highlight w:val="none"/>
          <w:u w:val="single"/>
          <w:lang w:val="en"/>
        </w:rPr>
        <w:t xml:space="preserve">   </w:t>
      </w:r>
    </w:p>
    <w:p>
      <w:pPr>
        <w:adjustRightInd w:val="0"/>
        <w:snapToGrid w:val="0"/>
        <w:spacing w:line="360" w:lineRule="auto"/>
        <w:ind w:firstLine="420" w:firstLineChars="200"/>
        <w:rPr>
          <w:rFonts w:ascii="宋体" w:hAnsi="宋体"/>
          <w:highlight w:val="none"/>
          <w:u w:val="single"/>
        </w:rPr>
      </w:pPr>
      <w:r>
        <w:rPr>
          <w:rFonts w:hint="eastAsia" w:ascii="宋体" w:hAnsi="宋体"/>
          <w:highlight w:val="none"/>
        </w:rPr>
        <w:t>采购标的的技术要求、商务要求具体见附件。</w:t>
      </w:r>
    </w:p>
    <w:p>
      <w:pPr>
        <w:numPr>
          <w:ilvl w:val="255"/>
          <w:numId w:val="0"/>
        </w:numPr>
        <w:adjustRightInd w:val="0"/>
        <w:snapToGrid w:val="0"/>
        <w:spacing w:line="360" w:lineRule="auto"/>
        <w:ind w:firstLine="420" w:firstLineChars="200"/>
        <w:rPr>
          <w:rFonts w:ascii="宋体" w:hAnsi="宋体" w:cs="宋体"/>
          <w:highlight w:val="none"/>
        </w:rPr>
      </w:pPr>
      <w:r>
        <w:rPr>
          <w:rFonts w:hint="eastAsia" w:ascii="汉仪书宋二S" w:hAnsi="汉仪书宋二S" w:eastAsia="汉仪书宋二S" w:cs="汉仪书宋二S"/>
          <w:highlight w:val="none"/>
        </w:rPr>
        <w:t>①</w:t>
      </w:r>
      <w:r>
        <w:rPr>
          <w:rFonts w:hint="eastAsia" w:ascii="宋体" w:hAnsi="宋体" w:cs="宋体"/>
          <w:highlight w:val="none"/>
        </w:rPr>
        <w:t>涉及信息类产品，请填写该产品关键部件的品牌、型号：</w:t>
      </w:r>
    </w:p>
    <w:p>
      <w:pPr>
        <w:numPr>
          <w:ilvl w:val="255"/>
          <w:numId w:val="0"/>
        </w:numPr>
        <w:adjustRightInd w:val="0"/>
        <w:snapToGrid w:val="0"/>
        <w:spacing w:line="360" w:lineRule="auto"/>
        <w:ind w:firstLine="420" w:firstLineChars="200"/>
        <w:rPr>
          <w:rFonts w:ascii="宋体" w:hAnsi="宋体" w:cs="宋体"/>
          <w:highlight w:val="none"/>
          <w:u w:val="single"/>
        </w:rPr>
      </w:pPr>
      <w:r>
        <w:rPr>
          <w:rFonts w:hint="eastAsia" w:ascii="宋体" w:hAnsi="宋体" w:cs="宋体"/>
          <w:highlight w:val="none"/>
        </w:rPr>
        <w:t xml:space="preserve">     标的名称：</w:t>
      </w:r>
      <w:r>
        <w:rPr>
          <w:rFonts w:hint="eastAsia" w:ascii="宋体" w:hAnsi="宋体" w:cs="宋体"/>
          <w:highlight w:val="none"/>
          <w:u w:val="single"/>
        </w:rPr>
        <w:t xml:space="preserve">      </w:t>
      </w:r>
      <w:r>
        <w:rPr>
          <w:rFonts w:ascii="宋体" w:hAnsi="宋体" w:cs="宋体"/>
          <w:highlight w:val="none"/>
          <w:u w:val="single"/>
          <w:lang w:val="en"/>
        </w:rPr>
        <w:t xml:space="preserve">               </w:t>
      </w:r>
      <w:r>
        <w:rPr>
          <w:rFonts w:hint="eastAsia" w:ascii="宋体" w:hAnsi="宋体" w:cs="宋体"/>
          <w:highlight w:val="none"/>
          <w:u w:val="single"/>
        </w:rPr>
        <w:t xml:space="preserve">    </w:t>
      </w:r>
    </w:p>
    <w:p>
      <w:pPr>
        <w:numPr>
          <w:ilvl w:val="255"/>
          <w:numId w:val="0"/>
        </w:num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 xml:space="preserve">     关键部件：</w:t>
      </w:r>
      <w:r>
        <w:rPr>
          <w:rFonts w:hint="eastAsia" w:ascii="宋体" w:hAnsi="宋体" w:cs="宋体"/>
          <w:highlight w:val="none"/>
          <w:u w:val="single"/>
        </w:rPr>
        <w:t xml:space="preserve">          </w:t>
      </w:r>
      <w:r>
        <w:rPr>
          <w:rFonts w:hint="eastAsia" w:ascii="宋体" w:hAnsi="宋体" w:cs="宋体"/>
          <w:highlight w:val="none"/>
        </w:rPr>
        <w:t xml:space="preserve"> 品牌：</w:t>
      </w:r>
      <w:r>
        <w:rPr>
          <w:rFonts w:hint="eastAsia" w:ascii="宋体" w:hAnsi="宋体" w:cs="宋体"/>
          <w:highlight w:val="none"/>
          <w:u w:val="single"/>
        </w:rPr>
        <w:t xml:space="preserve">        </w:t>
      </w:r>
      <w:r>
        <w:rPr>
          <w:rFonts w:hint="eastAsia" w:ascii="宋体" w:hAnsi="宋体" w:cs="宋体"/>
          <w:highlight w:val="none"/>
        </w:rPr>
        <w:t xml:space="preserve"> 型号：</w:t>
      </w:r>
      <w:r>
        <w:rPr>
          <w:rFonts w:hint="eastAsia" w:ascii="宋体" w:hAnsi="宋体" w:cs="宋体"/>
          <w:highlight w:val="none"/>
          <w:u w:val="single"/>
        </w:rPr>
        <w:t xml:space="preserve">       </w:t>
      </w:r>
      <w:r>
        <w:rPr>
          <w:rFonts w:hint="eastAsia" w:ascii="宋体" w:hAnsi="宋体" w:cs="宋体"/>
          <w:highlight w:val="none"/>
        </w:rPr>
        <w:t xml:space="preserve"> </w:t>
      </w:r>
    </w:p>
    <w:p>
      <w:pPr>
        <w:pStyle w:val="69"/>
        <w:spacing w:line="360" w:lineRule="auto"/>
        <w:ind w:firstLine="42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kern w:val="2"/>
          <w:sz w:val="21"/>
          <w:highlight w:val="none"/>
        </w:rPr>
        <w:t>关键部件</w:t>
      </w:r>
      <w:r>
        <w:rPr>
          <w:rFonts w:hint="eastAsia" w:ascii="宋体" w:hAnsi="宋体" w:eastAsia="宋体" w:cs="宋体"/>
          <w:sz w:val="21"/>
          <w:highlight w:val="none"/>
        </w:rPr>
        <w:t>：</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p>
    <w:p>
      <w:pPr>
        <w:pStyle w:val="69"/>
        <w:spacing w:line="360" w:lineRule="auto"/>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p>
    <w:p>
      <w:pPr>
        <w:pStyle w:val="69"/>
        <w:numPr>
          <w:ilvl w:val="255"/>
          <w:numId w:val="0"/>
        </w:numPr>
        <w:snapToGrid w:val="0"/>
        <w:spacing w:line="360" w:lineRule="auto"/>
        <w:ind w:firstLine="420" w:firstLineChars="20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②</w:t>
      </w:r>
      <w:r>
        <w:rPr>
          <w:rFonts w:hint="eastAsia" w:ascii="宋体" w:hAnsi="宋体" w:eastAsia="宋体" w:cs="宋体"/>
          <w:sz w:val="21"/>
          <w:highlight w:val="none"/>
        </w:rPr>
        <w:t>涉及车辆采购，请填写是否属于新能源汽车：</w:t>
      </w:r>
    </w:p>
    <w:p>
      <w:pPr>
        <w:pStyle w:val="69"/>
        <w:numPr>
          <w:ilvl w:val="255"/>
          <w:numId w:val="0"/>
        </w:numPr>
        <w:snapToGrid w:val="0"/>
        <w:spacing w:line="360" w:lineRule="auto"/>
        <w:ind w:firstLine="420" w:firstLineChars="200"/>
        <w:rPr>
          <w:rFonts w:asciiTheme="minorEastAsia" w:hAnsiTheme="minorEastAsia" w:eastAsiaTheme="minorEastAsia" w:cstheme="minorEastAsia"/>
          <w:sz w:val="21"/>
          <w:highlight w:val="none"/>
          <w:u w:val="single"/>
        </w:rPr>
      </w:pPr>
      <w:r>
        <w:rPr>
          <w:rFonts w:hint="eastAsia" w:asciiTheme="minorEastAsia" w:hAnsiTheme="minorEastAsia" w:eastAsiaTheme="minorEastAsia" w:cstheme="minorEastAsia"/>
          <w:sz w:val="21"/>
          <w:highlight w:val="none"/>
        </w:rPr>
        <w:t xml:space="preserve">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是，《政府采购品目分类目录》底级品目名称：</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数量：</w:t>
      </w:r>
      <w:r>
        <w:rPr>
          <w:rFonts w:hint="eastAsia" w:asciiTheme="minorEastAsia" w:hAnsiTheme="minorEastAsia" w:eastAsiaTheme="minorEastAsia"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金额：人民币</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u w:val="single"/>
        </w:rPr>
        <w:t xml:space="preserve">             元（大写：               元整）。</w:t>
      </w:r>
      <w:r>
        <w:rPr>
          <w:rFonts w:hint="eastAsia" w:asciiTheme="minorEastAsia" w:hAnsiTheme="minorEastAsia" w:eastAsiaTheme="minorEastAsia" w:cstheme="minorEastAsia"/>
          <w:sz w:val="21"/>
          <w:highlight w:val="none"/>
        </w:rPr>
        <w:t xml:space="preserve">              </w:t>
      </w:r>
    </w:p>
    <w:p>
      <w:pPr>
        <w:pStyle w:val="69"/>
        <w:numPr>
          <w:ilvl w:val="255"/>
          <w:numId w:val="0"/>
        </w:numPr>
        <w:snapToGrid w:val="0"/>
        <w:spacing w:line="360" w:lineRule="auto"/>
        <w:ind w:firstLine="420" w:firstLineChars="200"/>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否</w:t>
      </w:r>
    </w:p>
    <w:p>
      <w:pPr>
        <w:pStyle w:val="69"/>
        <w:numPr>
          <w:ilvl w:val="255"/>
          <w:numId w:val="0"/>
        </w:numPr>
        <w:snapToGrid w:val="0"/>
        <w:spacing w:line="360" w:lineRule="auto"/>
        <w:ind w:firstLine="420" w:firstLineChars="200"/>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lang w:val="en"/>
        </w:rPr>
        <w:t>4</w:t>
      </w:r>
      <w:r>
        <w:rPr>
          <w:rFonts w:hint="eastAsia" w:asciiTheme="minorEastAsia" w:hAnsiTheme="minorEastAsia" w:eastAsiaTheme="minorEastAsia" w:cstheme="minorEastAsia"/>
          <w:sz w:val="21"/>
          <w:highlight w:val="none"/>
        </w:rPr>
        <w:t>）政府采购组织形式：</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政府集中采购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部门集中采购  </w:t>
      </w:r>
      <w:r>
        <w:rPr>
          <w:rFonts w:hint="eastAsia" w:asciiTheme="minorEastAsia" w:hAnsiTheme="minorEastAsia" w:eastAsiaTheme="minorEastAsia" w:cstheme="minorEastAsia"/>
          <w:sz w:val="21"/>
          <w:highlight w:val="none"/>
        </w:rPr>
        <w:sym w:font="Wingdings" w:char="00FE"/>
      </w:r>
      <w:r>
        <w:rPr>
          <w:rFonts w:hint="eastAsia" w:asciiTheme="minorEastAsia" w:hAnsiTheme="minorEastAsia" w:eastAsiaTheme="minorEastAsia" w:cstheme="minorEastAsia"/>
          <w:sz w:val="21"/>
          <w:highlight w:val="none"/>
        </w:rPr>
        <w:t>分散采购</w:t>
      </w:r>
    </w:p>
    <w:p>
      <w:pPr>
        <w:pStyle w:val="69"/>
        <w:numPr>
          <w:ilvl w:val="255"/>
          <w:numId w:val="0"/>
        </w:numPr>
        <w:snapToGrid w:val="0"/>
        <w:spacing w:line="360" w:lineRule="auto"/>
        <w:ind w:firstLine="420" w:firstLineChars="200"/>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w:t>
      </w:r>
      <w:r>
        <w:rPr>
          <w:rFonts w:asciiTheme="minorEastAsia" w:hAnsiTheme="minorEastAsia" w:eastAsiaTheme="minorEastAsia" w:cstheme="minorEastAsia"/>
          <w:sz w:val="21"/>
          <w:highlight w:val="none"/>
          <w:lang w:val="en"/>
        </w:rPr>
        <w:t>5</w:t>
      </w:r>
      <w:r>
        <w:rPr>
          <w:rFonts w:hint="eastAsia" w:asciiTheme="minorEastAsia" w:hAnsiTheme="minorEastAsia" w:eastAsiaTheme="minorEastAsia" w:cstheme="minorEastAsia"/>
          <w:sz w:val="21"/>
          <w:highlight w:val="none"/>
        </w:rPr>
        <w:t>）政府采购方式：</w:t>
      </w:r>
      <w:r>
        <w:rPr>
          <w:rFonts w:hint="eastAsia" w:asciiTheme="minorEastAsia" w:hAnsiTheme="minorEastAsia" w:eastAsiaTheme="minorEastAsia" w:cstheme="minorEastAsia"/>
          <w:sz w:val="21"/>
          <w:highlight w:val="none"/>
        </w:rPr>
        <w:sym w:font="Wingdings" w:char="00FE"/>
      </w:r>
      <w:r>
        <w:rPr>
          <w:rFonts w:hint="eastAsia" w:asciiTheme="minorEastAsia" w:hAnsiTheme="minorEastAsia" w:eastAsiaTheme="minorEastAsia" w:cstheme="minorEastAsia"/>
          <w:sz w:val="21"/>
          <w:highlight w:val="none"/>
        </w:rPr>
        <w:t xml:space="preserve">公开招标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邀请招标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竞争性谈判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竞争性磋商</w:t>
      </w:r>
    </w:p>
    <w:p>
      <w:pPr>
        <w:pStyle w:val="69"/>
        <w:numPr>
          <w:ilvl w:val="255"/>
          <w:numId w:val="0"/>
        </w:numPr>
        <w:snapToGrid w:val="0"/>
        <w:spacing w:line="360" w:lineRule="auto"/>
        <w:ind w:firstLine="440" w:firstLineChars="200"/>
        <w:rPr>
          <w:rFonts w:ascii="宋体" w:hAnsi="宋体" w:eastAsia="宋体" w:cs="宋体"/>
          <w:sz w:val="21"/>
          <w:highlight w:val="none"/>
        </w:rPr>
      </w:pPr>
      <w:r>
        <w:rPr>
          <w:rFonts w:hint="eastAsia" w:ascii="宋体" w:hAnsi="宋体" w:cs="宋体"/>
          <w:highlight w:val="none"/>
        </w:rPr>
        <w:t xml:space="preserve">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询价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单一来源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框架协议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其他：</w:t>
      </w:r>
      <w:r>
        <w:rPr>
          <w:rFonts w:hint="eastAsia" w:ascii="宋体" w:hAnsi="宋体" w:eastAsia="宋体" w:cs="宋体"/>
          <w:sz w:val="21"/>
          <w:highlight w:val="none"/>
          <w:u w:val="single"/>
        </w:rPr>
        <w:t xml:space="preserve">          </w:t>
      </w:r>
    </w:p>
    <w:p>
      <w:pPr>
        <w:pStyle w:val="69"/>
        <w:numPr>
          <w:ilvl w:val="255"/>
          <w:numId w:val="0"/>
        </w:numPr>
        <w:snapToGrid w:val="0"/>
        <w:spacing w:line="360" w:lineRule="auto"/>
        <w:ind w:firstLine="440" w:firstLineChars="200"/>
        <w:rPr>
          <w:rFonts w:ascii="宋体" w:hAnsi="宋体" w:eastAsia="宋体" w:cs="Times New Roman"/>
          <w:kern w:val="2"/>
          <w:sz w:val="21"/>
          <w:highlight w:val="none"/>
        </w:rPr>
      </w:pPr>
      <w:r>
        <w:rPr>
          <w:rFonts w:hint="eastAsia" w:ascii="宋体" w:hAnsi="宋体"/>
          <w:highlight w:val="none"/>
        </w:rPr>
        <w:t xml:space="preserve"> （</w:t>
      </w:r>
      <w:r>
        <w:rPr>
          <w:rFonts w:ascii="宋体" w:hAnsi="宋体"/>
          <w:highlight w:val="none"/>
          <w:lang w:val="en"/>
        </w:rPr>
        <w:t>6</w:t>
      </w:r>
      <w:r>
        <w:rPr>
          <w:rFonts w:hint="eastAsia" w:ascii="宋体" w:hAnsi="宋体"/>
          <w:highlight w:val="none"/>
        </w:rPr>
        <w:t>）</w:t>
      </w:r>
      <w:r>
        <w:rPr>
          <w:rFonts w:hint="eastAsia" w:ascii="宋体" w:hAnsi="宋体" w:eastAsia="宋体" w:cs="Times New Roman"/>
          <w:kern w:val="2"/>
          <w:sz w:val="21"/>
          <w:highlight w:val="none"/>
        </w:rPr>
        <w:t>中标（成交）采购标的制造商是否为中小企业：</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 xml:space="preserve">是      </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否</w:t>
      </w:r>
    </w:p>
    <w:p>
      <w:pPr>
        <w:numPr>
          <w:ilvl w:val="255"/>
          <w:numId w:val="0"/>
        </w:numPr>
        <w:adjustRightInd w:val="0"/>
        <w:snapToGrid w:val="0"/>
        <w:spacing w:line="360" w:lineRule="auto"/>
        <w:ind w:firstLine="420" w:firstLineChars="200"/>
        <w:rPr>
          <w:rFonts w:ascii="宋体" w:hAnsi="宋体"/>
          <w:iCs/>
          <w:highlight w:val="none"/>
        </w:rPr>
      </w:pPr>
      <w:r>
        <w:rPr>
          <w:rFonts w:hint="eastAsia" w:ascii="宋体" w:hAnsi="宋体"/>
          <w:highlight w:val="none"/>
        </w:rPr>
        <w:t xml:space="preserve">         本合同是否为专门面向中小企业的采购合同（中小企业预留合同）：</w:t>
      </w:r>
      <w:r>
        <w:rPr>
          <w:rFonts w:hint="eastAsia" w:ascii="宋体" w:hAnsi="宋体"/>
          <w:iCs/>
          <w:highlight w:val="none"/>
        </w:rPr>
        <w:sym w:font="Wingdings" w:char="00A8"/>
      </w:r>
      <w:r>
        <w:rPr>
          <w:rFonts w:hint="eastAsia" w:ascii="宋体" w:hAnsi="宋体"/>
          <w:iCs/>
          <w:highlight w:val="none"/>
        </w:rPr>
        <w:t xml:space="preserve">是    </w:t>
      </w:r>
      <w:r>
        <w:rPr>
          <w:rFonts w:hint="eastAsia" w:ascii="宋体" w:hAnsi="宋体"/>
          <w:iCs/>
          <w:highlight w:val="none"/>
        </w:rPr>
        <w:sym w:font="Wingdings" w:char="00A8"/>
      </w:r>
      <w:r>
        <w:rPr>
          <w:rFonts w:hint="eastAsia" w:ascii="宋体" w:hAnsi="宋体"/>
          <w:iCs/>
          <w:highlight w:val="none"/>
        </w:rPr>
        <w:t>否</w:t>
      </w:r>
    </w:p>
    <w:p>
      <w:pPr>
        <w:numPr>
          <w:ilvl w:val="255"/>
          <w:numId w:val="0"/>
        </w:numPr>
        <w:adjustRightInd w:val="0"/>
        <w:snapToGrid w:val="0"/>
        <w:spacing w:line="360" w:lineRule="auto"/>
        <w:ind w:firstLine="420" w:firstLineChars="200"/>
        <w:rPr>
          <w:rFonts w:ascii="宋体" w:hAnsi="宋体"/>
          <w:iCs/>
          <w:highlight w:val="none"/>
        </w:rPr>
      </w:pPr>
      <w:r>
        <w:rPr>
          <w:rFonts w:hint="eastAsia"/>
          <w:highlight w:val="none"/>
        </w:rPr>
        <w:t xml:space="preserve">         若本项目不专门面向中小企业采购，是否给予小微企业评审优惠：</w:t>
      </w:r>
      <w:r>
        <w:rPr>
          <w:rFonts w:hint="eastAsia" w:ascii="宋体" w:hAnsi="宋体"/>
          <w:iCs/>
          <w:highlight w:val="none"/>
        </w:rPr>
        <w:sym w:font="Wingdings" w:char="00A8"/>
      </w:r>
      <w:r>
        <w:rPr>
          <w:rFonts w:hint="eastAsia" w:ascii="宋体" w:hAnsi="宋体"/>
          <w:iCs/>
          <w:highlight w:val="none"/>
        </w:rPr>
        <w:t xml:space="preserve">是   </w:t>
      </w:r>
      <w:r>
        <w:rPr>
          <w:rFonts w:hint="eastAsia" w:ascii="宋体" w:hAnsi="宋体"/>
          <w:iCs/>
          <w:highlight w:val="none"/>
        </w:rPr>
        <w:sym w:font="Wingdings" w:char="00A8"/>
      </w:r>
      <w:r>
        <w:rPr>
          <w:rFonts w:hint="eastAsia" w:ascii="宋体" w:hAnsi="宋体"/>
          <w:iCs/>
          <w:highlight w:val="none"/>
        </w:rPr>
        <w:t>否</w:t>
      </w:r>
    </w:p>
    <w:p>
      <w:pPr>
        <w:numPr>
          <w:ilvl w:val="255"/>
          <w:numId w:val="0"/>
        </w:numPr>
        <w:adjustRightInd w:val="0"/>
        <w:snapToGrid w:val="0"/>
        <w:spacing w:line="360" w:lineRule="auto"/>
        <w:ind w:firstLine="420" w:firstLineChars="200"/>
        <w:rPr>
          <w:rFonts w:ascii="宋体" w:hAnsi="宋体"/>
          <w:iCs/>
          <w:highlight w:val="none"/>
        </w:rPr>
      </w:pPr>
      <w:r>
        <w:rPr>
          <w:rFonts w:hint="eastAsia"/>
          <w:highlight w:val="none"/>
        </w:rPr>
        <w:t xml:space="preserve">         中标（成交）采购标的制造商是否为残疾人福利性单位：</w:t>
      </w:r>
      <w:r>
        <w:rPr>
          <w:rFonts w:hint="eastAsia" w:ascii="宋体" w:hAnsi="宋体"/>
          <w:iCs/>
          <w:highlight w:val="none"/>
        </w:rPr>
        <w:sym w:font="Wingdings" w:char="00A8"/>
      </w:r>
      <w:r>
        <w:rPr>
          <w:rFonts w:hint="eastAsia" w:ascii="宋体" w:hAnsi="宋体"/>
          <w:iCs/>
          <w:highlight w:val="none"/>
        </w:rPr>
        <w:t xml:space="preserve">是   </w:t>
      </w:r>
      <w:r>
        <w:rPr>
          <w:rFonts w:hint="eastAsia" w:ascii="宋体" w:hAnsi="宋体"/>
          <w:iCs/>
          <w:highlight w:val="none"/>
        </w:rPr>
        <w:sym w:font="Wingdings" w:char="00A8"/>
      </w:r>
      <w:r>
        <w:rPr>
          <w:rFonts w:hint="eastAsia" w:ascii="宋体" w:hAnsi="宋体"/>
          <w:iCs/>
          <w:highlight w:val="none"/>
        </w:rPr>
        <w:t>否</w:t>
      </w:r>
    </w:p>
    <w:p>
      <w:pPr>
        <w:snapToGrid w:val="0"/>
        <w:spacing w:line="360" w:lineRule="auto"/>
        <w:ind w:firstLine="420" w:firstLineChars="200"/>
        <w:rPr>
          <w:highlight w:val="none"/>
        </w:rPr>
      </w:pPr>
      <w:r>
        <w:rPr>
          <w:rFonts w:hint="eastAsia"/>
          <w:highlight w:val="none"/>
        </w:rPr>
        <w:t xml:space="preserve">         中标（成交）采购标的制造商是否为监狱企业：</w:t>
      </w:r>
      <w:r>
        <w:rPr>
          <w:rFonts w:hint="eastAsia" w:ascii="宋体" w:hAnsi="宋体"/>
          <w:iCs/>
          <w:highlight w:val="none"/>
        </w:rPr>
        <w:sym w:font="Wingdings" w:char="00A8"/>
      </w:r>
      <w:r>
        <w:rPr>
          <w:rFonts w:hint="eastAsia" w:ascii="宋体" w:hAnsi="宋体"/>
          <w:iCs/>
          <w:highlight w:val="none"/>
        </w:rPr>
        <w:t xml:space="preserve">是       </w:t>
      </w:r>
      <w:r>
        <w:rPr>
          <w:rFonts w:hint="eastAsia" w:ascii="宋体" w:hAnsi="宋体"/>
          <w:iCs/>
          <w:highlight w:val="none"/>
        </w:rPr>
        <w:sym w:font="Wingdings" w:char="00A8"/>
      </w:r>
      <w:r>
        <w:rPr>
          <w:rFonts w:hint="eastAsia" w:ascii="宋体" w:hAnsi="宋体"/>
          <w:iCs/>
          <w:highlight w:val="none"/>
        </w:rPr>
        <w:t>否</w:t>
      </w:r>
    </w:p>
    <w:p>
      <w:pPr>
        <w:adjustRightInd w:val="0"/>
        <w:snapToGrid w:val="0"/>
        <w:spacing w:line="360" w:lineRule="auto"/>
        <w:ind w:firstLine="420" w:firstLineChars="200"/>
        <w:rPr>
          <w:rFonts w:ascii="宋体" w:hAnsi="宋体"/>
          <w:highlight w:val="none"/>
        </w:rPr>
      </w:pPr>
      <w:r>
        <w:rPr>
          <w:rFonts w:hint="eastAsia" w:ascii="宋体" w:hAnsi="宋体"/>
          <w:highlight w:val="none"/>
        </w:rPr>
        <w:t>（</w:t>
      </w:r>
      <w:r>
        <w:rPr>
          <w:rFonts w:ascii="宋体" w:hAnsi="宋体"/>
          <w:highlight w:val="none"/>
          <w:lang w:val="en"/>
        </w:rPr>
        <w:t>7</w:t>
      </w:r>
      <w:r>
        <w:rPr>
          <w:rFonts w:hint="eastAsia" w:ascii="宋体" w:hAnsi="宋体"/>
          <w:highlight w:val="none"/>
        </w:rPr>
        <w:t>）合同是否分包：</w:t>
      </w:r>
      <w:r>
        <w:rPr>
          <w:rFonts w:hint="eastAsia" w:ascii="宋体" w:hAnsi="宋体"/>
          <w:iCs/>
          <w:highlight w:val="none"/>
        </w:rPr>
        <w:sym w:font="Wingdings" w:char="00A8"/>
      </w:r>
      <w:r>
        <w:rPr>
          <w:rFonts w:hint="eastAsia" w:ascii="宋体" w:hAnsi="宋体"/>
          <w:iCs/>
          <w:highlight w:val="none"/>
        </w:rPr>
        <w:t xml:space="preserve">是       </w:t>
      </w:r>
      <w:r>
        <w:rPr>
          <w:rFonts w:hint="eastAsia" w:ascii="宋体" w:hAnsi="宋体"/>
          <w:iCs/>
          <w:highlight w:val="none"/>
        </w:rPr>
        <w:sym w:font="Wingdings" w:char="00FE"/>
      </w:r>
      <w:r>
        <w:rPr>
          <w:rFonts w:hint="eastAsia" w:ascii="宋体" w:hAnsi="宋体"/>
          <w:iCs/>
          <w:highlight w:val="none"/>
        </w:rPr>
        <w:t>否</w:t>
      </w:r>
    </w:p>
    <w:p>
      <w:pPr>
        <w:adjustRightInd w:val="0"/>
        <w:snapToGrid w:val="0"/>
        <w:spacing w:line="360" w:lineRule="auto"/>
        <w:ind w:firstLine="420" w:firstLineChars="200"/>
        <w:rPr>
          <w:rFonts w:ascii="宋体" w:hAnsi="宋体"/>
          <w:highlight w:val="none"/>
          <w:u w:val="single"/>
        </w:rPr>
      </w:pPr>
      <w:r>
        <w:rPr>
          <w:rFonts w:hint="eastAsia" w:ascii="宋体" w:hAnsi="宋体"/>
          <w:highlight w:val="none"/>
        </w:rPr>
        <w:t xml:space="preserve"> 分包主要内容：</w:t>
      </w:r>
      <w:r>
        <w:rPr>
          <w:rFonts w:hint="eastAsia" w:ascii="宋体" w:hAnsi="宋体"/>
          <w:highlight w:val="none"/>
          <w:u w:val="single"/>
        </w:rPr>
        <w:t xml:space="preserve">                                            </w:t>
      </w:r>
    </w:p>
    <w:p>
      <w:pPr>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 分包乙方/制造商名称（如乙方和制造商不同，请分别填写）：</w:t>
      </w:r>
    </w:p>
    <w:p>
      <w:pPr>
        <w:adjustRightInd w:val="0"/>
        <w:snapToGrid w:val="0"/>
        <w:spacing w:line="360" w:lineRule="auto"/>
        <w:ind w:firstLine="420" w:firstLineChars="200"/>
        <w:rPr>
          <w:rFonts w:ascii="宋体" w:hAnsi="宋体"/>
          <w:highlight w:val="none"/>
          <w:u w:val="single"/>
        </w:rPr>
      </w:pPr>
      <w:r>
        <w:rPr>
          <w:rFonts w:hint="eastAsia" w:ascii="宋体" w:hAnsi="宋体"/>
          <w:highlight w:val="none"/>
        </w:rPr>
        <w:t xml:space="preserve"> </w:t>
      </w:r>
      <w:r>
        <w:rPr>
          <w:rFonts w:hint="eastAsia" w:ascii="宋体" w:hAnsi="宋体"/>
          <w:highlight w:val="none"/>
          <w:u w:val="single"/>
        </w:rPr>
        <w:t xml:space="preserve">                                                          </w:t>
      </w:r>
    </w:p>
    <w:p>
      <w:pPr>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 分包乙方/制造商类型（如果乙方和制造商不同，只填写制造商类型）：</w:t>
      </w:r>
    </w:p>
    <w:p>
      <w:pPr>
        <w:adjustRightInd w:val="0"/>
        <w:snapToGrid w:val="0"/>
        <w:spacing w:line="360" w:lineRule="auto"/>
        <w:ind w:firstLine="420" w:firstLineChars="200"/>
        <w:rPr>
          <w:rFonts w:ascii="宋体" w:hAnsi="宋体"/>
          <w:iCs/>
          <w:highlight w:val="none"/>
        </w:rPr>
      </w:pPr>
      <w:r>
        <w:rPr>
          <w:rFonts w:hint="eastAsia" w:ascii="宋体" w:hAnsi="宋体"/>
          <w:iCs/>
          <w:highlight w:val="none"/>
        </w:rPr>
        <w:t xml:space="preserve"> </w:t>
      </w:r>
      <w:r>
        <w:rPr>
          <w:rFonts w:hint="eastAsia" w:ascii="宋体" w:hAnsi="宋体"/>
          <w:iCs/>
          <w:highlight w:val="none"/>
        </w:rPr>
        <w:sym w:font="Wingdings" w:char="00A8"/>
      </w:r>
      <w:r>
        <w:rPr>
          <w:rFonts w:hint="eastAsia" w:ascii="宋体" w:hAnsi="宋体"/>
          <w:iCs/>
          <w:highlight w:val="none"/>
        </w:rPr>
        <w:t xml:space="preserve">大型企业  </w:t>
      </w:r>
      <w:r>
        <w:rPr>
          <w:rFonts w:hint="eastAsia" w:ascii="宋体" w:hAnsi="宋体"/>
          <w:iCs/>
          <w:highlight w:val="none"/>
        </w:rPr>
        <w:sym w:font="Wingdings" w:char="00A8"/>
      </w:r>
      <w:r>
        <w:rPr>
          <w:rFonts w:hint="eastAsia" w:ascii="宋体" w:hAnsi="宋体"/>
          <w:iCs/>
          <w:highlight w:val="none"/>
        </w:rPr>
        <w:t xml:space="preserve">中型企业  </w:t>
      </w:r>
      <w:r>
        <w:rPr>
          <w:rFonts w:hint="eastAsia" w:ascii="宋体" w:hAnsi="宋体"/>
          <w:iCs/>
          <w:highlight w:val="none"/>
        </w:rPr>
        <w:sym w:font="Wingdings" w:char="00A8"/>
      </w:r>
      <w:r>
        <w:rPr>
          <w:rFonts w:hint="eastAsia" w:ascii="宋体" w:hAnsi="宋体"/>
          <w:iCs/>
          <w:highlight w:val="none"/>
        </w:rPr>
        <w:t xml:space="preserve">小微型企业  </w:t>
      </w:r>
    </w:p>
    <w:p>
      <w:pPr>
        <w:adjustRightInd w:val="0"/>
        <w:snapToGrid w:val="0"/>
        <w:spacing w:line="360" w:lineRule="auto"/>
        <w:ind w:firstLine="420" w:firstLineChars="200"/>
        <w:rPr>
          <w:rFonts w:eastAsia="华文楷体"/>
          <w:highlight w:val="none"/>
        </w:rPr>
      </w:pPr>
      <w:r>
        <w:rPr>
          <w:rFonts w:hint="eastAsia" w:ascii="宋体" w:hAnsi="宋体"/>
          <w:iCs/>
          <w:highlight w:val="none"/>
        </w:rPr>
        <w:t xml:space="preserve"> </w:t>
      </w:r>
      <w:r>
        <w:rPr>
          <w:rFonts w:hint="eastAsia" w:ascii="宋体" w:hAnsi="宋体"/>
          <w:iCs/>
          <w:highlight w:val="none"/>
        </w:rPr>
        <w:sym w:font="Wingdings" w:char="00A8"/>
      </w:r>
      <w:r>
        <w:rPr>
          <w:rFonts w:hint="eastAsia" w:ascii="宋体" w:hAnsi="宋体"/>
          <w:iCs/>
          <w:highlight w:val="none"/>
        </w:rPr>
        <w:t xml:space="preserve">残疾人福利性单位 </w:t>
      </w:r>
      <w:r>
        <w:rPr>
          <w:rFonts w:hint="eastAsia" w:ascii="宋体" w:hAnsi="宋体"/>
          <w:iCs/>
          <w:highlight w:val="none"/>
        </w:rPr>
        <w:sym w:font="Wingdings" w:char="00A8"/>
      </w:r>
      <w:r>
        <w:rPr>
          <w:rFonts w:hint="eastAsia" w:ascii="宋体" w:hAnsi="宋体"/>
          <w:iCs/>
          <w:highlight w:val="none"/>
        </w:rPr>
        <w:t xml:space="preserve">监狱企业 </w:t>
      </w:r>
      <w:r>
        <w:rPr>
          <w:rFonts w:hint="eastAsia" w:ascii="宋体" w:hAnsi="宋体"/>
          <w:iCs/>
          <w:highlight w:val="none"/>
        </w:rPr>
        <w:sym w:font="Wingdings" w:char="00A8"/>
      </w:r>
      <w:r>
        <w:rPr>
          <w:rFonts w:hint="eastAsia" w:ascii="宋体" w:hAnsi="宋体"/>
          <w:iCs/>
          <w:highlight w:val="none"/>
        </w:rPr>
        <w:t>其他</w:t>
      </w:r>
    </w:p>
    <w:p>
      <w:pPr>
        <w:numPr>
          <w:ilvl w:val="255"/>
          <w:numId w:val="0"/>
        </w:numPr>
        <w:adjustRightInd w:val="0"/>
        <w:snapToGrid w:val="0"/>
        <w:spacing w:line="360" w:lineRule="auto"/>
        <w:ind w:firstLine="420" w:firstLineChars="200"/>
        <w:rPr>
          <w:rFonts w:ascii="宋体" w:hAnsi="宋体" w:cs="宋体"/>
          <w:iCs/>
          <w:highlight w:val="none"/>
        </w:rPr>
      </w:pPr>
      <w:r>
        <w:rPr>
          <w:rFonts w:hint="eastAsia" w:ascii="宋体" w:hAnsi="宋体" w:cs="宋体"/>
          <w:highlight w:val="none"/>
        </w:rPr>
        <w:t>（</w:t>
      </w:r>
      <w:r>
        <w:rPr>
          <w:rFonts w:ascii="宋体" w:hAnsi="宋体" w:cs="宋体"/>
          <w:highlight w:val="none"/>
          <w:lang w:val="en"/>
        </w:rPr>
        <w:t>8</w:t>
      </w:r>
      <w:r>
        <w:rPr>
          <w:rFonts w:hint="eastAsia" w:ascii="宋体" w:hAnsi="宋体" w:cs="宋体"/>
          <w:highlight w:val="none"/>
        </w:rPr>
        <w:t>）中标（成交）乙方是否为外商投资企业：</w:t>
      </w:r>
      <w:r>
        <w:rPr>
          <w:rFonts w:hint="eastAsia" w:ascii="宋体" w:hAnsi="宋体" w:cs="宋体"/>
          <w:iCs/>
          <w:highlight w:val="none"/>
        </w:rPr>
        <w:sym w:font="Wingdings" w:char="00A8"/>
      </w:r>
      <w:r>
        <w:rPr>
          <w:rFonts w:hint="eastAsia" w:ascii="宋体" w:hAnsi="宋体" w:cs="宋体"/>
          <w:iCs/>
          <w:highlight w:val="none"/>
        </w:rPr>
        <w:t xml:space="preserve">是       </w:t>
      </w:r>
      <w:r>
        <w:rPr>
          <w:rFonts w:hint="eastAsia" w:ascii="宋体" w:hAnsi="宋体" w:cs="宋体"/>
          <w:iCs/>
          <w:highlight w:val="none"/>
        </w:rPr>
        <w:sym w:font="Wingdings" w:char="00A8"/>
      </w:r>
      <w:r>
        <w:rPr>
          <w:rFonts w:hint="eastAsia" w:ascii="宋体" w:hAnsi="宋体" w:cs="宋体"/>
          <w:iCs/>
          <w:highlight w:val="none"/>
        </w:rPr>
        <w:t>否</w:t>
      </w:r>
    </w:p>
    <w:p>
      <w:pPr>
        <w:pStyle w:val="69"/>
        <w:tabs>
          <w:tab w:val="left" w:pos="1340"/>
        </w:tabs>
        <w:spacing w:line="360" w:lineRule="auto"/>
        <w:ind w:firstLine="420"/>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hint="eastAsia" w:ascii="宋体" w:hAnsi="宋体" w:eastAsia="宋体" w:cs="宋体"/>
          <w:iCs/>
          <w:sz w:val="21"/>
          <w:highlight w:val="none"/>
        </w:rPr>
        <w:sym w:font="Wingdings" w:char="00A8"/>
      </w:r>
      <w:r>
        <w:rPr>
          <w:rFonts w:hint="eastAsia" w:ascii="宋体" w:hAnsi="宋体" w:eastAsia="宋体" w:cs="宋体"/>
          <w:sz w:val="21"/>
          <w:highlight w:val="none"/>
        </w:rPr>
        <w:t xml:space="preserve">全部由外国投资者投资  </w:t>
      </w:r>
      <w:r>
        <w:rPr>
          <w:rFonts w:hint="eastAsia" w:ascii="宋体" w:hAnsi="宋体" w:eastAsia="宋体" w:cs="宋体"/>
          <w:iCs/>
          <w:sz w:val="21"/>
          <w:highlight w:val="none"/>
        </w:rPr>
        <w:sym w:font="Wingdings" w:char="00A8"/>
      </w:r>
      <w:r>
        <w:rPr>
          <w:rFonts w:hint="eastAsia" w:ascii="宋体" w:hAnsi="宋体" w:eastAsia="宋体" w:cs="宋体"/>
          <w:iCs/>
          <w:sz w:val="21"/>
          <w:highlight w:val="none"/>
        </w:rPr>
        <w:t>部分由外国投资者投资</w:t>
      </w:r>
    </w:p>
    <w:p>
      <w:pPr>
        <w:numPr>
          <w:ilvl w:val="255"/>
          <w:numId w:val="0"/>
        </w:num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w:t>
      </w:r>
      <w:r>
        <w:rPr>
          <w:rFonts w:ascii="宋体" w:hAnsi="宋体" w:cs="宋体"/>
          <w:highlight w:val="none"/>
          <w:lang w:val="en"/>
        </w:rPr>
        <w:t>9</w:t>
      </w:r>
      <w:r>
        <w:rPr>
          <w:rFonts w:hint="eastAsia" w:ascii="宋体" w:hAnsi="宋体" w:cs="宋体"/>
          <w:highlight w:val="none"/>
        </w:rPr>
        <w:t>）是否涉及进口产品：</w:t>
      </w:r>
    </w:p>
    <w:p>
      <w:pPr>
        <w:numPr>
          <w:ilvl w:val="255"/>
          <w:numId w:val="0"/>
        </w:numPr>
        <w:adjustRightInd w:val="0"/>
        <w:snapToGrid w:val="0"/>
        <w:spacing w:line="360" w:lineRule="auto"/>
        <w:ind w:firstLine="420" w:firstLineChars="200"/>
        <w:rPr>
          <w:rFonts w:ascii="宋体" w:hAnsi="宋体" w:cs="宋体"/>
          <w:highlight w:val="none"/>
          <w:u w:val="single"/>
        </w:rPr>
      </w:pPr>
      <w:r>
        <w:rPr>
          <w:rFonts w:hint="eastAsia" w:ascii="宋体" w:hAnsi="宋体" w:cs="宋体"/>
          <w:highlight w:val="none"/>
        </w:rPr>
        <w:t xml:space="preserve"> </w:t>
      </w:r>
      <w:r>
        <w:rPr>
          <w:rFonts w:hint="eastAsia" w:ascii="宋体" w:hAnsi="宋体" w:cs="宋体"/>
          <w:highlight w:val="none"/>
        </w:rPr>
        <w:sym w:font="Wingdings" w:char="00A8"/>
      </w:r>
      <w:r>
        <w:rPr>
          <w:rFonts w:hint="eastAsia" w:ascii="宋体" w:hAnsi="宋体" w:cs="宋体"/>
          <w:highlight w:val="none"/>
        </w:rPr>
        <w:t>是，《政府采购品目分类目录》底级品目名称：</w:t>
      </w:r>
      <w:r>
        <w:rPr>
          <w:rFonts w:hint="eastAsia" w:ascii="宋体" w:hAnsi="宋体" w:cs="宋体"/>
          <w:highlight w:val="none"/>
          <w:u w:val="single"/>
        </w:rPr>
        <w:t xml:space="preserve">         </w:t>
      </w:r>
      <w:r>
        <w:rPr>
          <w:rFonts w:hint="eastAsia" w:ascii="宋体" w:hAnsi="宋体" w:cs="宋体"/>
          <w:highlight w:val="none"/>
        </w:rPr>
        <w:t xml:space="preserve"> 金额：人民币</w:t>
      </w:r>
      <w:r>
        <w:rPr>
          <w:rFonts w:hint="eastAsia" w:ascii="宋体" w:hAnsi="宋体" w:cs="宋体"/>
          <w:highlight w:val="none"/>
          <w:u w:val="single"/>
        </w:rPr>
        <w:t xml:space="preserve">       （大写：       元整 ）。  </w:t>
      </w:r>
    </w:p>
    <w:p>
      <w:pPr>
        <w:numPr>
          <w:ilvl w:val="255"/>
          <w:numId w:val="0"/>
        </w:numPr>
        <w:adjustRightInd w:val="0"/>
        <w:snapToGrid w:val="0"/>
        <w:spacing w:line="360" w:lineRule="auto"/>
        <w:ind w:firstLine="420" w:firstLineChars="200"/>
        <w:rPr>
          <w:rFonts w:ascii="宋体" w:hAnsi="宋体"/>
          <w:highlight w:val="none"/>
        </w:rPr>
      </w:pPr>
      <w:r>
        <w:rPr>
          <w:rFonts w:hint="eastAsia" w:ascii="宋体" w:hAnsi="宋体" w:cs="宋体"/>
          <w:highlight w:val="none"/>
        </w:rPr>
        <w:t xml:space="preserve">        国别：</w:t>
      </w:r>
      <w:r>
        <w:rPr>
          <w:rFonts w:hint="eastAsia" w:ascii="宋体" w:hAnsi="宋体" w:cs="宋体"/>
          <w:highlight w:val="none"/>
          <w:u w:val="single"/>
        </w:rPr>
        <w:t xml:space="preserve">        </w:t>
      </w:r>
      <w:r>
        <w:rPr>
          <w:rFonts w:hint="eastAsia" w:ascii="宋体" w:hAnsi="宋体" w:cs="宋体"/>
          <w:highlight w:val="none"/>
        </w:rPr>
        <w:t xml:space="preserve"> 品牌：</w:t>
      </w:r>
      <w:r>
        <w:rPr>
          <w:rFonts w:hint="eastAsia" w:ascii="宋体" w:hAnsi="宋体" w:cs="宋体"/>
          <w:highlight w:val="none"/>
          <w:u w:val="single"/>
        </w:rPr>
        <w:t xml:space="preserve">        </w:t>
      </w:r>
      <w:r>
        <w:rPr>
          <w:rFonts w:hint="eastAsia" w:ascii="宋体" w:hAnsi="宋体" w:cs="宋体"/>
          <w:highlight w:val="none"/>
        </w:rPr>
        <w:t xml:space="preserve"> 规格型号：</w:t>
      </w:r>
      <w:r>
        <w:rPr>
          <w:rFonts w:hint="eastAsia" w:ascii="宋体" w:hAnsi="宋体" w:cs="宋体"/>
          <w:highlight w:val="none"/>
          <w:u w:val="single"/>
        </w:rPr>
        <w:t xml:space="preserve">        </w:t>
      </w:r>
      <w:r>
        <w:rPr>
          <w:rFonts w:hint="eastAsia" w:ascii="宋体" w:hAnsi="宋体"/>
          <w:highlight w:val="none"/>
        </w:rPr>
        <w:t xml:space="preserve">      </w:t>
      </w:r>
    </w:p>
    <w:p>
      <w:pPr>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 </w:t>
      </w:r>
      <w:r>
        <w:rPr>
          <w:rFonts w:hint="eastAsia" w:ascii="宋体" w:hAnsi="宋体"/>
          <w:highlight w:val="none"/>
        </w:rPr>
        <w:sym w:font="Wingdings" w:char="00FE"/>
      </w:r>
      <w:r>
        <w:rPr>
          <w:rFonts w:hint="eastAsia" w:ascii="宋体" w:hAnsi="宋体"/>
          <w:highlight w:val="none"/>
        </w:rPr>
        <w:t>否</w:t>
      </w:r>
    </w:p>
    <w:p>
      <w:pPr>
        <w:numPr>
          <w:ilvl w:val="255"/>
          <w:numId w:val="0"/>
        </w:numPr>
        <w:tabs>
          <w:tab w:val="left" w:pos="740"/>
        </w:tabs>
        <w:adjustRightInd w:val="0"/>
        <w:snapToGrid w:val="0"/>
        <w:spacing w:line="360" w:lineRule="auto"/>
        <w:ind w:firstLine="420" w:firstLineChars="200"/>
        <w:rPr>
          <w:rFonts w:ascii="宋体" w:hAnsi="宋体"/>
          <w:highlight w:val="none"/>
        </w:rPr>
      </w:pPr>
      <w:r>
        <w:rPr>
          <w:rFonts w:hint="eastAsia" w:ascii="宋体" w:hAnsi="宋体"/>
          <w:highlight w:val="none"/>
        </w:rPr>
        <w:t>（1</w:t>
      </w:r>
      <w:r>
        <w:rPr>
          <w:rFonts w:ascii="宋体" w:hAnsi="宋体"/>
          <w:highlight w:val="none"/>
          <w:lang w:val="en"/>
        </w:rPr>
        <w:t>0</w:t>
      </w:r>
      <w:r>
        <w:rPr>
          <w:rFonts w:hint="eastAsia" w:ascii="宋体" w:hAnsi="宋体"/>
          <w:highlight w:val="none"/>
        </w:rPr>
        <w:t>）是否涉及节能产品：</w:t>
      </w:r>
    </w:p>
    <w:p>
      <w:pPr>
        <w:numPr>
          <w:ilvl w:val="255"/>
          <w:numId w:val="0"/>
        </w:numPr>
        <w:tabs>
          <w:tab w:val="left" w:pos="740"/>
        </w:tabs>
        <w:adjustRightInd w:val="0"/>
        <w:snapToGrid w:val="0"/>
        <w:spacing w:line="360" w:lineRule="auto"/>
        <w:ind w:firstLine="420" w:firstLineChars="200"/>
        <w:rPr>
          <w:rFonts w:ascii="宋体" w:hAnsi="宋体"/>
          <w:iCs/>
          <w:highlight w:val="none"/>
        </w:rPr>
      </w:pPr>
      <w:r>
        <w:rPr>
          <w:rFonts w:hint="eastAsia" w:ascii="宋体" w:hAnsi="宋体"/>
          <w:highlight w:val="none"/>
        </w:rPr>
        <w:t xml:space="preserve">        </w:t>
      </w:r>
      <w:r>
        <w:rPr>
          <w:rFonts w:hint="eastAsia" w:ascii="宋体" w:hAnsi="宋体"/>
          <w:highlight w:val="none"/>
        </w:rPr>
        <w:sym w:font="Wingdings" w:char="00A8"/>
      </w:r>
      <w:r>
        <w:rPr>
          <w:rFonts w:hint="eastAsia" w:ascii="宋体" w:hAnsi="宋体"/>
          <w:highlight w:val="none"/>
        </w:rPr>
        <w:t>是，《节能产品政府采购品目清单》的底级品目名称：</w:t>
      </w:r>
      <w:r>
        <w:rPr>
          <w:rFonts w:hint="eastAsia" w:ascii="宋体" w:hAnsi="宋体"/>
          <w:highlight w:val="none"/>
          <w:u w:val="single"/>
        </w:rPr>
        <w:t xml:space="preserve">         </w:t>
      </w:r>
      <w:r>
        <w:rPr>
          <w:rFonts w:hint="eastAsia" w:ascii="宋体" w:hAnsi="宋体"/>
          <w:iCs/>
          <w:highlight w:val="none"/>
        </w:rPr>
        <w:t xml:space="preserve">     </w:t>
      </w:r>
    </w:p>
    <w:p>
      <w:pPr>
        <w:numPr>
          <w:ilvl w:val="255"/>
          <w:numId w:val="0"/>
        </w:numPr>
        <w:tabs>
          <w:tab w:val="left" w:pos="740"/>
        </w:tabs>
        <w:adjustRightInd w:val="0"/>
        <w:snapToGrid w:val="0"/>
        <w:spacing w:line="360" w:lineRule="auto"/>
        <w:ind w:firstLine="420" w:firstLineChars="200"/>
        <w:rPr>
          <w:rFonts w:ascii="宋体" w:hAnsi="宋体"/>
          <w:iCs/>
          <w:highlight w:val="none"/>
        </w:rPr>
      </w:pPr>
      <w:r>
        <w:rPr>
          <w:rFonts w:hint="eastAsia" w:ascii="宋体" w:hAnsi="宋体"/>
          <w:iCs/>
          <w:highlight w:val="none"/>
        </w:rPr>
        <w:t xml:space="preserve">                </w:t>
      </w:r>
      <w:r>
        <w:rPr>
          <w:rFonts w:hint="eastAsia" w:ascii="宋体" w:hAnsi="宋体"/>
          <w:iCs/>
          <w:highlight w:val="none"/>
        </w:rPr>
        <w:sym w:font="Wingdings" w:char="00A8"/>
      </w:r>
      <w:r>
        <w:rPr>
          <w:rFonts w:hint="eastAsia" w:ascii="宋体" w:hAnsi="宋体"/>
          <w:iCs/>
          <w:highlight w:val="none"/>
        </w:rPr>
        <w:t xml:space="preserve">强制采购       </w:t>
      </w:r>
      <w:r>
        <w:rPr>
          <w:rFonts w:hint="eastAsia" w:ascii="宋体" w:hAnsi="宋体"/>
          <w:iCs/>
          <w:highlight w:val="none"/>
        </w:rPr>
        <w:sym w:font="Wingdings" w:char="00A8"/>
      </w:r>
      <w:r>
        <w:rPr>
          <w:rFonts w:hint="eastAsia" w:ascii="宋体" w:hAnsi="宋体"/>
          <w:iCs/>
          <w:highlight w:val="none"/>
        </w:rPr>
        <w:t xml:space="preserve">优先采购    </w:t>
      </w:r>
    </w:p>
    <w:p>
      <w:pPr>
        <w:numPr>
          <w:ilvl w:val="255"/>
          <w:numId w:val="0"/>
        </w:numPr>
        <w:tabs>
          <w:tab w:val="left" w:pos="740"/>
        </w:tabs>
        <w:adjustRightInd w:val="0"/>
        <w:snapToGrid w:val="0"/>
        <w:spacing w:line="360" w:lineRule="auto"/>
        <w:ind w:firstLine="420" w:firstLineChars="200"/>
        <w:rPr>
          <w:rFonts w:ascii="宋体" w:hAnsi="宋体"/>
          <w:highlight w:val="none"/>
        </w:rPr>
      </w:pPr>
      <w:r>
        <w:rPr>
          <w:rFonts w:hint="eastAsia" w:ascii="宋体" w:hAnsi="宋体"/>
          <w:iCs/>
          <w:highlight w:val="none"/>
        </w:rPr>
        <w:t xml:space="preserve">        </w:t>
      </w:r>
      <w:r>
        <w:rPr>
          <w:rFonts w:hint="eastAsia" w:ascii="宋体" w:hAnsi="宋体"/>
          <w:highlight w:val="none"/>
        </w:rPr>
        <w:sym w:font="Wingdings" w:char="00A8"/>
      </w:r>
      <w:r>
        <w:rPr>
          <w:rFonts w:hint="eastAsia" w:ascii="宋体" w:hAnsi="宋体"/>
          <w:highlight w:val="none"/>
        </w:rPr>
        <w:t>否</w:t>
      </w:r>
    </w:p>
    <w:p>
      <w:pPr>
        <w:numPr>
          <w:ilvl w:val="255"/>
          <w:numId w:val="0"/>
        </w:numPr>
        <w:tabs>
          <w:tab w:val="left" w:pos="740"/>
        </w:tabs>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          是否涉及环境标志产品：</w:t>
      </w:r>
    </w:p>
    <w:p>
      <w:pPr>
        <w:numPr>
          <w:ilvl w:val="255"/>
          <w:numId w:val="0"/>
        </w:numPr>
        <w:tabs>
          <w:tab w:val="left" w:pos="740"/>
        </w:tabs>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        </w:t>
      </w:r>
      <w:r>
        <w:rPr>
          <w:rFonts w:hint="eastAsia" w:ascii="宋体" w:hAnsi="宋体"/>
          <w:highlight w:val="none"/>
        </w:rPr>
        <w:sym w:font="Wingdings" w:char="00A8"/>
      </w:r>
      <w:r>
        <w:rPr>
          <w:rFonts w:hint="eastAsia" w:ascii="宋体" w:hAnsi="宋体"/>
          <w:highlight w:val="none"/>
        </w:rPr>
        <w:t>是，《环境标志产品政府采购品目清单》的底级品目名称：</w:t>
      </w:r>
      <w:r>
        <w:rPr>
          <w:rFonts w:hint="eastAsia" w:ascii="宋体" w:hAnsi="宋体"/>
          <w:highlight w:val="none"/>
          <w:u w:val="single"/>
        </w:rPr>
        <w:t xml:space="preserve">         </w:t>
      </w:r>
      <w:r>
        <w:rPr>
          <w:rFonts w:hint="eastAsia" w:ascii="宋体" w:hAnsi="宋体"/>
          <w:iCs/>
          <w:highlight w:val="none"/>
        </w:rPr>
        <w:t xml:space="preserve"> </w:t>
      </w:r>
    </w:p>
    <w:p>
      <w:pPr>
        <w:numPr>
          <w:ilvl w:val="255"/>
          <w:numId w:val="0"/>
        </w:numPr>
        <w:tabs>
          <w:tab w:val="left" w:pos="740"/>
        </w:tabs>
        <w:adjustRightInd w:val="0"/>
        <w:snapToGrid w:val="0"/>
        <w:spacing w:line="360" w:lineRule="auto"/>
        <w:ind w:firstLine="420" w:firstLineChars="200"/>
        <w:rPr>
          <w:rFonts w:ascii="宋体" w:hAnsi="宋体"/>
          <w:iCs/>
          <w:highlight w:val="none"/>
        </w:rPr>
      </w:pPr>
      <w:r>
        <w:rPr>
          <w:rFonts w:hint="eastAsia" w:ascii="宋体" w:hAnsi="宋体"/>
          <w:iCs/>
          <w:highlight w:val="none"/>
        </w:rPr>
        <w:t xml:space="preserve">                </w:t>
      </w:r>
      <w:r>
        <w:rPr>
          <w:rFonts w:hint="eastAsia" w:ascii="宋体" w:hAnsi="宋体"/>
          <w:iCs/>
          <w:highlight w:val="none"/>
        </w:rPr>
        <w:sym w:font="Wingdings" w:char="00A8"/>
      </w:r>
      <w:r>
        <w:rPr>
          <w:rFonts w:hint="eastAsia" w:ascii="宋体" w:hAnsi="宋体"/>
          <w:iCs/>
          <w:highlight w:val="none"/>
        </w:rPr>
        <w:t xml:space="preserve">强制采购       </w:t>
      </w:r>
      <w:r>
        <w:rPr>
          <w:rFonts w:hint="eastAsia" w:ascii="宋体" w:hAnsi="宋体"/>
          <w:iCs/>
          <w:highlight w:val="none"/>
        </w:rPr>
        <w:sym w:font="Wingdings" w:char="00A8"/>
      </w:r>
      <w:r>
        <w:rPr>
          <w:rFonts w:hint="eastAsia" w:ascii="宋体" w:hAnsi="宋体"/>
          <w:iCs/>
          <w:highlight w:val="none"/>
        </w:rPr>
        <w:t xml:space="preserve">优先采购    </w:t>
      </w:r>
    </w:p>
    <w:p>
      <w:pPr>
        <w:numPr>
          <w:ilvl w:val="255"/>
          <w:numId w:val="0"/>
        </w:numPr>
        <w:tabs>
          <w:tab w:val="left" w:pos="740"/>
        </w:tabs>
        <w:adjustRightInd w:val="0"/>
        <w:snapToGrid w:val="0"/>
        <w:spacing w:line="360" w:lineRule="auto"/>
        <w:ind w:firstLine="420" w:firstLineChars="200"/>
        <w:rPr>
          <w:rFonts w:ascii="宋体" w:hAnsi="宋体"/>
          <w:highlight w:val="none"/>
        </w:rPr>
      </w:pPr>
      <w:r>
        <w:rPr>
          <w:rFonts w:hint="eastAsia" w:ascii="宋体" w:hAnsi="宋体"/>
          <w:iCs/>
          <w:highlight w:val="none"/>
        </w:rPr>
        <w:t xml:space="preserve">        </w:t>
      </w:r>
      <w:r>
        <w:rPr>
          <w:rFonts w:hint="eastAsia" w:ascii="宋体" w:hAnsi="宋体"/>
          <w:highlight w:val="none"/>
        </w:rPr>
        <w:sym w:font="Wingdings" w:char="00A8"/>
      </w:r>
      <w:r>
        <w:rPr>
          <w:rFonts w:hint="eastAsia" w:ascii="宋体" w:hAnsi="宋体"/>
          <w:highlight w:val="none"/>
        </w:rPr>
        <w:t>否</w:t>
      </w:r>
    </w:p>
    <w:p>
      <w:pPr>
        <w:pStyle w:val="69"/>
        <w:numPr>
          <w:ilvl w:val="255"/>
          <w:numId w:val="0"/>
        </w:numPr>
        <w:snapToGrid w:val="0"/>
        <w:spacing w:line="360" w:lineRule="auto"/>
        <w:ind w:firstLine="420" w:firstLineChars="200"/>
        <w:rPr>
          <w:rFonts w:ascii="宋体" w:hAnsi="宋体" w:eastAsia="宋体" w:cs="Times New Roman"/>
          <w:kern w:val="2"/>
          <w:sz w:val="21"/>
          <w:highlight w:val="none"/>
        </w:rPr>
      </w:pPr>
      <w:r>
        <w:rPr>
          <w:rFonts w:hint="eastAsia" w:ascii="宋体" w:hAnsi="宋体"/>
          <w:sz w:val="21"/>
          <w:highlight w:val="none"/>
        </w:rPr>
        <w:t xml:space="preserve">          </w:t>
      </w:r>
      <w:r>
        <w:rPr>
          <w:rFonts w:hint="eastAsia" w:ascii="宋体" w:hAnsi="宋体" w:eastAsia="宋体" w:cs="Times New Roman"/>
          <w:kern w:val="2"/>
          <w:sz w:val="21"/>
          <w:highlight w:val="none"/>
        </w:rPr>
        <w:t xml:space="preserve">是否涉及绿色产品： </w:t>
      </w:r>
    </w:p>
    <w:p>
      <w:pPr>
        <w:pStyle w:val="69"/>
        <w:spacing w:line="360" w:lineRule="auto"/>
        <w:ind w:firstLine="420"/>
        <w:rPr>
          <w:rFonts w:ascii="宋体" w:hAnsi="宋体" w:eastAsia="宋体"/>
          <w:highlight w:val="none"/>
          <w:u w:val="single"/>
        </w:rPr>
      </w:pPr>
      <w:r>
        <w:rPr>
          <w:rFonts w:hint="eastAsia" w:ascii="宋体" w:hAnsi="宋体" w:eastAsia="宋体" w:cs="Times New Roman"/>
          <w:kern w:val="2"/>
          <w:sz w:val="21"/>
          <w:highlight w:val="none"/>
        </w:rPr>
        <w:t xml:space="preserve">        </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是，绿色产品政府采购相关政策确定的底级品目名称：</w:t>
      </w:r>
      <w:r>
        <w:rPr>
          <w:rFonts w:hint="eastAsia" w:ascii="宋体" w:hAnsi="宋体" w:eastAsia="宋体"/>
          <w:highlight w:val="none"/>
          <w:u w:val="single"/>
        </w:rPr>
        <w:t xml:space="preserve">         </w:t>
      </w:r>
    </w:p>
    <w:p>
      <w:pPr>
        <w:numPr>
          <w:ilvl w:val="255"/>
          <w:numId w:val="0"/>
        </w:numPr>
        <w:tabs>
          <w:tab w:val="left" w:pos="740"/>
        </w:tabs>
        <w:adjustRightInd w:val="0"/>
        <w:snapToGrid w:val="0"/>
        <w:spacing w:line="360" w:lineRule="auto"/>
        <w:ind w:firstLine="420" w:firstLineChars="200"/>
        <w:rPr>
          <w:rFonts w:ascii="宋体" w:hAnsi="宋体"/>
          <w:iCs/>
          <w:highlight w:val="none"/>
        </w:rPr>
      </w:pPr>
      <w:r>
        <w:rPr>
          <w:rFonts w:hint="eastAsia" w:ascii="宋体" w:hAnsi="宋体"/>
          <w:iCs/>
          <w:highlight w:val="none"/>
        </w:rPr>
        <w:t xml:space="preserve">                </w:t>
      </w:r>
      <w:r>
        <w:rPr>
          <w:rFonts w:hint="eastAsia" w:ascii="宋体" w:hAnsi="宋体"/>
          <w:iCs/>
          <w:highlight w:val="none"/>
        </w:rPr>
        <w:sym w:font="Wingdings" w:char="00A8"/>
      </w:r>
      <w:r>
        <w:rPr>
          <w:rFonts w:hint="eastAsia" w:ascii="宋体" w:hAnsi="宋体"/>
          <w:iCs/>
          <w:highlight w:val="none"/>
        </w:rPr>
        <w:t xml:space="preserve">强制采购       </w:t>
      </w:r>
      <w:r>
        <w:rPr>
          <w:rFonts w:hint="eastAsia" w:ascii="宋体" w:hAnsi="宋体"/>
          <w:iCs/>
          <w:highlight w:val="none"/>
        </w:rPr>
        <w:sym w:font="Wingdings" w:char="00A8"/>
      </w:r>
      <w:r>
        <w:rPr>
          <w:rFonts w:hint="eastAsia" w:ascii="宋体" w:hAnsi="宋体"/>
          <w:iCs/>
          <w:highlight w:val="none"/>
        </w:rPr>
        <w:t xml:space="preserve">优先采购    </w:t>
      </w:r>
    </w:p>
    <w:p>
      <w:pPr>
        <w:pStyle w:val="69"/>
        <w:spacing w:line="360" w:lineRule="auto"/>
        <w:ind w:firstLine="420"/>
        <w:rPr>
          <w:rFonts w:ascii="宋体" w:hAnsi="宋体"/>
          <w:sz w:val="21"/>
          <w:highlight w:val="none"/>
        </w:rPr>
      </w:pPr>
      <w:r>
        <w:rPr>
          <w:rFonts w:hint="eastAsia" w:ascii="宋体" w:hAnsi="宋体" w:eastAsia="宋体" w:cs="Times New Roman"/>
          <w:kern w:val="2"/>
          <w:sz w:val="21"/>
          <w:highlight w:val="none"/>
        </w:rPr>
        <w:t xml:space="preserve">        </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否</w:t>
      </w:r>
    </w:p>
    <w:p>
      <w:pPr>
        <w:numPr>
          <w:ilvl w:val="255"/>
          <w:numId w:val="0"/>
        </w:numPr>
        <w:adjustRightInd w:val="0"/>
        <w:snapToGrid w:val="0"/>
        <w:spacing w:line="360" w:lineRule="auto"/>
        <w:ind w:firstLine="420" w:firstLineChars="200"/>
        <w:rPr>
          <w:rFonts w:ascii="宋体" w:hAnsi="宋体"/>
          <w:highlight w:val="none"/>
        </w:rPr>
      </w:pPr>
      <w:r>
        <w:rPr>
          <w:rFonts w:hint="eastAsia" w:ascii="宋体" w:hAnsi="宋体"/>
          <w:highlight w:val="none"/>
        </w:rPr>
        <w:t>（1</w:t>
      </w:r>
      <w:r>
        <w:rPr>
          <w:rFonts w:ascii="宋体" w:hAnsi="宋体"/>
          <w:highlight w:val="none"/>
          <w:lang w:val="en"/>
        </w:rPr>
        <w:t>1</w:t>
      </w:r>
      <w:r>
        <w:rPr>
          <w:rFonts w:hint="eastAsia" w:ascii="宋体" w:hAnsi="宋体"/>
          <w:highlight w:val="none"/>
        </w:rPr>
        <w:t>）涉及商品包装和快递包装的，是否参考《商品包装政府采购需求标准（试行）》、《快递包装政府采购需求标准（试行）》明确产品及相关快递服务的具体包装要求：</w:t>
      </w:r>
    </w:p>
    <w:p>
      <w:pPr>
        <w:numPr>
          <w:ilvl w:val="255"/>
          <w:numId w:val="0"/>
        </w:numPr>
        <w:adjustRightInd w:val="0"/>
        <w:snapToGrid w:val="0"/>
        <w:spacing w:line="360" w:lineRule="auto"/>
        <w:ind w:firstLine="420" w:firstLineChars="200"/>
        <w:rPr>
          <w:rFonts w:ascii="宋体" w:hAnsi="宋体"/>
          <w:highlight w:val="none"/>
        </w:rPr>
      </w:pPr>
      <w:r>
        <w:rPr>
          <w:rFonts w:hint="eastAsia" w:ascii="宋体" w:hAnsi="宋体"/>
          <w:highlight w:val="none"/>
        </w:rPr>
        <w:sym w:font="Wingdings" w:char="00A8"/>
      </w:r>
      <w:r>
        <w:rPr>
          <w:rFonts w:hint="eastAsia" w:ascii="宋体" w:hAnsi="宋体"/>
          <w:highlight w:val="none"/>
        </w:rPr>
        <w:t xml:space="preserve">是       </w:t>
      </w:r>
      <w:r>
        <w:rPr>
          <w:rFonts w:hint="eastAsia" w:ascii="宋体" w:hAnsi="宋体"/>
          <w:highlight w:val="none"/>
        </w:rPr>
        <w:sym w:font="Wingdings" w:char="00A8"/>
      </w:r>
      <w:r>
        <w:rPr>
          <w:rFonts w:hint="eastAsia" w:ascii="宋体" w:hAnsi="宋体"/>
          <w:highlight w:val="none"/>
        </w:rPr>
        <w:t xml:space="preserve">否      </w:t>
      </w:r>
      <w:r>
        <w:rPr>
          <w:rFonts w:hint="eastAsia" w:ascii="宋体" w:hAnsi="宋体"/>
          <w:highlight w:val="none"/>
        </w:rPr>
        <w:sym w:font="Wingdings" w:char="00A8"/>
      </w:r>
      <w:r>
        <w:rPr>
          <w:rFonts w:hint="eastAsia" w:ascii="宋体" w:hAnsi="宋体"/>
          <w:highlight w:val="none"/>
        </w:rPr>
        <w:t>不涉及</w:t>
      </w:r>
    </w:p>
    <w:p>
      <w:pPr>
        <w:numPr>
          <w:ilvl w:val="0"/>
          <w:numId w:val="4"/>
        </w:numPr>
        <w:adjustRightInd w:val="0"/>
        <w:snapToGrid w:val="0"/>
        <w:spacing w:line="360" w:lineRule="auto"/>
        <w:ind w:firstLine="422" w:firstLineChars="200"/>
        <w:rPr>
          <w:rFonts w:ascii="宋体" w:hAnsi="宋体"/>
          <w:b/>
          <w:highlight w:val="none"/>
        </w:rPr>
      </w:pPr>
      <w:r>
        <w:rPr>
          <w:rFonts w:hint="eastAsia" w:ascii="宋体" w:hAnsi="宋体"/>
          <w:b/>
          <w:highlight w:val="none"/>
        </w:rPr>
        <w:t>合同金额</w:t>
      </w:r>
    </w:p>
    <w:p>
      <w:pPr>
        <w:adjustRightInd w:val="0"/>
        <w:snapToGrid w:val="0"/>
        <w:spacing w:line="360" w:lineRule="auto"/>
        <w:ind w:firstLine="420" w:firstLineChars="200"/>
        <w:rPr>
          <w:rFonts w:ascii="宋体" w:hAnsi="宋体"/>
          <w:highlight w:val="none"/>
        </w:rPr>
      </w:pPr>
      <w:r>
        <w:rPr>
          <w:rFonts w:hint="eastAsia" w:ascii="宋体" w:hAnsi="宋体"/>
          <w:highlight w:val="none"/>
        </w:rPr>
        <w:t>（1）合同金额小写：</w:t>
      </w:r>
      <w:r>
        <w:rPr>
          <w:rFonts w:hint="eastAsia" w:ascii="宋体" w:hAnsi="宋体"/>
          <w:highlight w:val="none"/>
          <w:u w:val="single"/>
        </w:rPr>
        <w:t xml:space="preserve">                           </w:t>
      </w:r>
    </w:p>
    <w:p>
      <w:pPr>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             大写：</w:t>
      </w:r>
      <w:r>
        <w:rPr>
          <w:rFonts w:hint="eastAsia" w:ascii="宋体" w:hAnsi="宋体"/>
          <w:highlight w:val="none"/>
          <w:u w:val="single"/>
        </w:rPr>
        <w:t xml:space="preserve">                           </w:t>
      </w:r>
    </w:p>
    <w:p>
      <w:pPr>
        <w:spacing w:line="360" w:lineRule="auto"/>
        <w:ind w:firstLine="420" w:firstLineChars="200"/>
        <w:rPr>
          <w:highlight w:val="none"/>
        </w:rPr>
      </w:pPr>
      <w:r>
        <w:rPr>
          <w:rFonts w:hint="eastAsia" w:ascii="宋体" w:hAnsi="宋体" w:cs="宋体"/>
          <w:highlight w:val="none"/>
        </w:rPr>
        <w:t>该合同价中已含实施和完成合同项目所需的研发、改造、人工、材料、机械、措施、质检（自检）、安装调试费（含安装、调试所需材料）、包装、运输、保险、设备的到厂卸货、二次转运、管理、利润、规费、税金、维护、培训、售后、</w:t>
      </w:r>
      <w:r>
        <w:rPr>
          <w:rFonts w:hint="eastAsia" w:cs="宋体"/>
          <w:highlight w:val="none"/>
        </w:rPr>
        <w:t>辅材、纽扣、臂章、随配附件、标识及服饰制作和印刷费用、保证期内缺陷的修复补救</w:t>
      </w:r>
      <w:r>
        <w:rPr>
          <w:rFonts w:hint="eastAsia" w:ascii="宋体" w:hAnsi="宋体" w:cs="宋体"/>
          <w:highlight w:val="none"/>
        </w:rPr>
        <w:t>、合同明示的所有责任、义务和风险等按照技术标准和规范要求、工艺和方法完成本项目内容所需的费用以及考虑除不可抗力外的其他任何风险而增加的费用。</w:t>
      </w:r>
      <w:r>
        <w:rPr>
          <w:rFonts w:hint="eastAsia"/>
          <w:highlight w:val="none"/>
        </w:rPr>
        <w:t xml:space="preserve">                      </w:t>
      </w:r>
    </w:p>
    <w:p>
      <w:pPr>
        <w:numPr>
          <w:ilvl w:val="255"/>
          <w:numId w:val="0"/>
        </w:numPr>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    （2）合同定价方式：</w:t>
      </w:r>
    </w:p>
    <w:p>
      <w:pPr>
        <w:adjustRightInd w:val="0"/>
        <w:snapToGrid w:val="0"/>
        <w:spacing w:line="360" w:lineRule="auto"/>
        <w:ind w:firstLine="420" w:firstLineChars="200"/>
        <w:rPr>
          <w:rFonts w:eastAsia="华文楷体"/>
          <w:highlight w:val="none"/>
          <w:u w:val="single"/>
        </w:rPr>
      </w:pPr>
      <w:r>
        <w:rPr>
          <w:rFonts w:hint="eastAsia" w:ascii="宋体" w:hAnsi="宋体"/>
          <w:iCs/>
          <w:highlight w:val="none"/>
        </w:rPr>
        <w:t xml:space="preserve">  </w:t>
      </w:r>
      <w:r>
        <w:rPr>
          <w:rFonts w:hint="eastAsia" w:ascii="宋体" w:hAnsi="宋体"/>
          <w:iCs/>
          <w:highlight w:val="none"/>
        </w:rPr>
        <w:sym w:font="Wingdings" w:char="00FE"/>
      </w:r>
      <w:r>
        <w:rPr>
          <w:rFonts w:hint="eastAsia" w:ascii="宋体" w:hAnsi="宋体"/>
          <w:iCs/>
          <w:highlight w:val="none"/>
        </w:rPr>
        <w:t xml:space="preserve">固定总价 </w:t>
      </w:r>
      <w:r>
        <w:rPr>
          <w:rFonts w:hint="eastAsia" w:ascii="宋体" w:hAnsi="宋体"/>
          <w:iCs/>
          <w:highlight w:val="none"/>
        </w:rPr>
        <w:sym w:font="Wingdings" w:char="00A8"/>
      </w:r>
      <w:r>
        <w:rPr>
          <w:rFonts w:hint="eastAsia" w:ascii="宋体" w:hAnsi="宋体"/>
          <w:iCs/>
          <w:highlight w:val="none"/>
        </w:rPr>
        <w:t xml:space="preserve">固定单价 </w:t>
      </w:r>
      <w:r>
        <w:rPr>
          <w:rFonts w:hint="eastAsia" w:ascii="宋体" w:hAnsi="宋体"/>
          <w:iCs/>
          <w:highlight w:val="none"/>
        </w:rPr>
        <w:sym w:font="Wingdings" w:char="00A8"/>
      </w:r>
      <w:r>
        <w:rPr>
          <w:rFonts w:hint="eastAsia" w:ascii="宋体" w:hAnsi="宋体"/>
          <w:iCs/>
          <w:highlight w:val="none"/>
        </w:rPr>
        <w:t xml:space="preserve">固定费率 </w:t>
      </w:r>
      <w:r>
        <w:rPr>
          <w:rFonts w:hint="eastAsia" w:ascii="宋体" w:hAnsi="宋体"/>
          <w:iCs/>
          <w:highlight w:val="none"/>
        </w:rPr>
        <w:sym w:font="Wingdings" w:char="00A8"/>
      </w:r>
      <w:r>
        <w:rPr>
          <w:rFonts w:hint="eastAsia" w:ascii="宋体" w:hAnsi="宋体"/>
          <w:iCs/>
          <w:highlight w:val="none"/>
        </w:rPr>
        <w:t xml:space="preserve">成本补偿 </w:t>
      </w:r>
      <w:r>
        <w:rPr>
          <w:rFonts w:hint="eastAsia" w:ascii="宋体" w:hAnsi="宋体"/>
          <w:iCs/>
          <w:highlight w:val="none"/>
        </w:rPr>
        <w:sym w:font="Wingdings" w:char="00A8"/>
      </w:r>
      <w:r>
        <w:rPr>
          <w:rFonts w:hint="eastAsia" w:ascii="宋体" w:hAnsi="宋体"/>
          <w:iCs/>
          <w:highlight w:val="none"/>
        </w:rPr>
        <w:t xml:space="preserve">绩效激励 </w:t>
      </w:r>
      <w:r>
        <w:rPr>
          <w:rFonts w:hint="eastAsia" w:ascii="宋体" w:hAnsi="宋体"/>
          <w:iCs/>
          <w:highlight w:val="none"/>
        </w:rPr>
        <w:sym w:font="Wingdings" w:char="00A8"/>
      </w:r>
      <w:r>
        <w:rPr>
          <w:rFonts w:hint="eastAsia" w:ascii="宋体" w:hAnsi="宋体"/>
          <w:iCs/>
          <w:highlight w:val="none"/>
        </w:rPr>
        <w:t>其他</w:t>
      </w:r>
      <w:r>
        <w:rPr>
          <w:rFonts w:hint="eastAsia" w:ascii="宋体" w:hAnsi="宋体"/>
          <w:highlight w:val="none"/>
          <w:u w:val="single"/>
        </w:rPr>
        <w:t xml:space="preserve">       </w:t>
      </w:r>
    </w:p>
    <w:p>
      <w:pPr>
        <w:pStyle w:val="36"/>
        <w:spacing w:line="360" w:lineRule="auto"/>
        <w:rPr>
          <w:highlight w:val="none"/>
        </w:rPr>
      </w:pPr>
      <w:r>
        <w:rPr>
          <w:rFonts w:hint="eastAsia" w:ascii="宋体" w:hAnsi="宋体"/>
          <w:highlight w:val="none"/>
        </w:rPr>
        <w:t>（3）付款方式：</w:t>
      </w:r>
    </w:p>
    <w:p>
      <w:pPr>
        <w:adjustRightInd w:val="0"/>
        <w:snapToGrid w:val="0"/>
        <w:spacing w:line="360" w:lineRule="auto"/>
        <w:ind w:firstLine="420" w:firstLineChars="200"/>
        <w:rPr>
          <w:rFonts w:ascii="宋体" w:hAnsi="宋体"/>
          <w:highlight w:val="none"/>
          <w:u w:val="single"/>
        </w:rPr>
      </w:pPr>
      <w:r>
        <w:rPr>
          <w:rFonts w:hint="eastAsia" w:ascii="宋体" w:hAnsi="宋体"/>
          <w:highlight w:val="none"/>
        </w:rPr>
        <w:sym w:font="Wingdings" w:char="00A8"/>
      </w:r>
      <w:r>
        <w:rPr>
          <w:rFonts w:hint="eastAsia" w:ascii="宋体" w:hAnsi="宋体"/>
          <w:highlight w:val="none"/>
        </w:rPr>
        <w:t>全额付款：</w:t>
      </w:r>
      <w:r>
        <w:rPr>
          <w:rFonts w:hint="eastAsia" w:ascii="宋体" w:hAnsi="宋体"/>
          <w:highlight w:val="none"/>
          <w:u w:val="single"/>
        </w:rPr>
        <w:t xml:space="preserve">                                                             </w:t>
      </w:r>
    </w:p>
    <w:p>
      <w:pPr>
        <w:adjustRightInd w:val="0"/>
        <w:snapToGrid w:val="0"/>
        <w:spacing w:line="360" w:lineRule="auto"/>
        <w:ind w:firstLine="420" w:firstLineChars="200"/>
        <w:rPr>
          <w:rFonts w:ascii="宋体" w:hAnsi="宋体" w:cs="宋体"/>
          <w:highlight w:val="none"/>
        </w:rPr>
      </w:pPr>
      <w:r>
        <w:rPr>
          <w:rFonts w:hint="eastAsia" w:ascii="宋体" w:hAnsi="宋体"/>
          <w:highlight w:val="none"/>
        </w:rPr>
        <w:sym w:font="Wingdings" w:char="00FE"/>
      </w:r>
      <w:r>
        <w:rPr>
          <w:rFonts w:hint="eastAsia" w:ascii="宋体" w:hAnsi="宋体"/>
          <w:highlight w:val="none"/>
        </w:rPr>
        <w:t>分期付款：</w:t>
      </w:r>
      <w:r>
        <w:rPr>
          <w:rFonts w:hint="eastAsia" w:ascii="宋体" w:hAnsi="宋体" w:cs="宋体"/>
          <w:highlight w:val="none"/>
        </w:rPr>
        <w:t xml:space="preserve">（1）本项目 </w:t>
      </w:r>
      <w:r>
        <w:rPr>
          <w:rFonts w:hint="eastAsia" w:ascii="宋体" w:hAnsi="宋体"/>
          <w:highlight w:val="none"/>
        </w:rPr>
        <w:sym w:font="Wingdings" w:char="00FE"/>
      </w:r>
      <w:r>
        <w:rPr>
          <w:rFonts w:hint="eastAsia" w:ascii="宋体" w:hAnsi="宋体" w:cs="宋体"/>
          <w:highlight w:val="none"/>
        </w:rPr>
        <w:t xml:space="preserve">支持预付款 </w:t>
      </w:r>
      <w:r>
        <w:rPr>
          <w:rFonts w:hint="eastAsia" w:ascii="宋体" w:hAnsi="宋体"/>
          <w:highlight w:val="none"/>
        </w:rPr>
        <w:sym w:font="Wingdings" w:char="00A8"/>
      </w:r>
      <w:r>
        <w:rPr>
          <w:rFonts w:hint="eastAsia" w:ascii="宋体" w:hAnsi="宋体"/>
          <w:highlight w:val="none"/>
        </w:rPr>
        <w:t>不支持</w:t>
      </w:r>
      <w:r>
        <w:rPr>
          <w:rFonts w:hint="eastAsia" w:ascii="宋体" w:hAnsi="宋体" w:cs="宋体"/>
          <w:highlight w:val="none"/>
        </w:rPr>
        <w:t>预付款。本项目支持预付款，预付款比例为合同总额的</w:t>
      </w:r>
      <w:r>
        <w:rPr>
          <w:rFonts w:hint="eastAsia" w:ascii="宋体" w:hAnsi="宋体" w:cs="宋体"/>
          <w:highlight w:val="none"/>
          <w:u w:val="single"/>
        </w:rPr>
        <w:t xml:space="preserve"> 39%：¥       元（人民币大写：        ）</w:t>
      </w:r>
      <w:r>
        <w:rPr>
          <w:rFonts w:hint="eastAsia" w:ascii="宋体" w:hAnsi="宋体" w:cs="宋体"/>
          <w:highlight w:val="none"/>
        </w:rPr>
        <w:t>，合同签订生效起5个工作日内，乙方向甲方提供合同总价39%预付款担保（可非现金方式）。甲方预付款担保后向乙方支付合同总金额39%的预付款。</w:t>
      </w:r>
    </w:p>
    <w:p>
      <w:pPr>
        <w:numPr>
          <w:ilvl w:val="0"/>
          <w:numId w:val="5"/>
        </w:num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乙方将采购货物（产品）全部送至甲方指定地点，并安装、调试完毕经甲方最终书面验收合格15个日历天内，乙方提出书面申请，甲方按结算审计审定金额支付剩余合同价款，并无息退还乙方预付款担保。</w:t>
      </w:r>
    </w:p>
    <w:p>
      <w:pPr>
        <w:adjustRightInd w:val="0"/>
        <w:snapToGrid w:val="0"/>
        <w:spacing w:line="360" w:lineRule="auto"/>
        <w:ind w:left="420" w:leftChars="200"/>
        <w:rPr>
          <w:rFonts w:ascii="宋体" w:hAnsi="宋体"/>
          <w:highlight w:val="none"/>
          <w:u w:val="single"/>
        </w:rPr>
      </w:pPr>
      <w:r>
        <w:rPr>
          <w:rFonts w:hint="eastAsia" w:ascii="宋体" w:hAnsi="宋体"/>
          <w:highlight w:val="none"/>
        </w:rPr>
        <w:sym w:font="Wingdings" w:char="00A8"/>
      </w:r>
      <w:r>
        <w:rPr>
          <w:rFonts w:hint="eastAsia" w:ascii="宋体" w:hAnsi="宋体"/>
          <w:highlight w:val="none"/>
        </w:rPr>
        <w:t>成本补偿：</w:t>
      </w:r>
      <w:r>
        <w:rPr>
          <w:rFonts w:hint="eastAsia" w:ascii="宋体" w:hAnsi="宋体"/>
          <w:highlight w:val="none"/>
          <w:u w:val="single"/>
        </w:rPr>
        <w:t xml:space="preserve">      （应明确按照成本补偿方式的支付方式和支付条件）   </w:t>
      </w:r>
    </w:p>
    <w:p>
      <w:pPr>
        <w:adjustRightInd w:val="0"/>
        <w:snapToGrid w:val="0"/>
        <w:spacing w:line="360" w:lineRule="auto"/>
        <w:ind w:firstLine="420" w:firstLineChars="200"/>
        <w:rPr>
          <w:rFonts w:ascii="宋体" w:hAnsi="宋体"/>
          <w:highlight w:val="none"/>
          <w:u w:val="single"/>
        </w:rPr>
      </w:pPr>
      <w:r>
        <w:rPr>
          <w:rFonts w:hint="eastAsia" w:ascii="宋体" w:hAnsi="宋体"/>
          <w:highlight w:val="none"/>
        </w:rPr>
        <w:sym w:font="Wingdings" w:char="00A8"/>
      </w:r>
      <w:r>
        <w:rPr>
          <w:rFonts w:hint="eastAsia" w:ascii="宋体" w:hAnsi="宋体"/>
          <w:highlight w:val="none"/>
        </w:rPr>
        <w:t>绩效激励：</w:t>
      </w:r>
      <w:r>
        <w:rPr>
          <w:rFonts w:hint="eastAsia" w:ascii="宋体" w:hAnsi="宋体"/>
          <w:highlight w:val="none"/>
          <w:u w:val="single"/>
        </w:rPr>
        <w:t xml:space="preserve">      （应明确按照绩效激励方式的支付方式和支付条件）   </w:t>
      </w:r>
    </w:p>
    <w:p>
      <w:pPr>
        <w:spacing w:line="360" w:lineRule="auto"/>
        <w:ind w:firstLine="420" w:firstLineChars="200"/>
        <w:rPr>
          <w:highlight w:val="none"/>
        </w:rPr>
      </w:pPr>
      <w:r>
        <w:rPr>
          <w:rFonts w:hint="eastAsia" w:ascii="宋体" w:hAnsi="宋体" w:cs="宋体"/>
          <w:highlight w:val="none"/>
        </w:rPr>
        <w:t>双方确认的支付方式为：对公银行转账。</w:t>
      </w:r>
    </w:p>
    <w:p>
      <w:pPr>
        <w:spacing w:line="360" w:lineRule="auto"/>
        <w:ind w:firstLine="420" w:firstLineChars="200"/>
        <w:rPr>
          <w:rFonts w:ascii="宋体" w:hAnsi="宋体" w:cs="宋体"/>
          <w:highlight w:val="none"/>
        </w:rPr>
      </w:pPr>
      <w:r>
        <w:rPr>
          <w:rFonts w:hint="eastAsia" w:ascii="宋体" w:hAnsi="宋体" w:cs="宋体"/>
          <w:highlight w:val="none"/>
        </w:rPr>
        <w:t>收款方账户信息为：</w:t>
      </w:r>
    </w:p>
    <w:p>
      <w:pPr>
        <w:spacing w:line="360" w:lineRule="auto"/>
        <w:ind w:firstLine="420" w:firstLineChars="200"/>
        <w:rPr>
          <w:rFonts w:ascii="宋体" w:hAnsi="宋体" w:cs="宋体"/>
          <w:highlight w:val="none"/>
          <w:u w:val="single"/>
        </w:rPr>
      </w:pPr>
      <w:r>
        <w:rPr>
          <w:rFonts w:hint="eastAsia" w:ascii="宋体" w:hAnsi="宋体" w:cs="宋体"/>
          <w:highlight w:val="none"/>
        </w:rPr>
        <w:t>户名：</w:t>
      </w:r>
      <w:r>
        <w:rPr>
          <w:rFonts w:hint="eastAsia" w:ascii="宋体" w:hAnsi="宋体" w:cs="宋体"/>
          <w:highlight w:val="none"/>
          <w:u w:val="single"/>
        </w:rPr>
        <w:t xml:space="preserve">                                    </w:t>
      </w:r>
      <w:r>
        <w:rPr>
          <w:rFonts w:hint="eastAsia" w:ascii="宋体" w:hAnsi="宋体" w:cs="宋体"/>
          <w:highlight w:val="none"/>
        </w:rPr>
        <w:t>；</w:t>
      </w:r>
    </w:p>
    <w:p>
      <w:pPr>
        <w:spacing w:line="360" w:lineRule="auto"/>
        <w:ind w:firstLine="420" w:firstLineChars="200"/>
        <w:rPr>
          <w:rFonts w:ascii="宋体" w:hAnsi="宋体" w:cs="宋体"/>
          <w:highlight w:val="none"/>
          <w:u w:val="single"/>
        </w:rPr>
      </w:pPr>
      <w:r>
        <w:rPr>
          <w:rFonts w:hint="eastAsia" w:ascii="宋体" w:hAnsi="宋体" w:cs="宋体"/>
          <w:highlight w:val="none"/>
        </w:rPr>
        <w:t>开户行：</w:t>
      </w:r>
      <w:r>
        <w:rPr>
          <w:rFonts w:hint="eastAsia" w:ascii="宋体" w:hAnsi="宋体" w:cs="宋体"/>
          <w:highlight w:val="none"/>
          <w:u w:val="single"/>
        </w:rPr>
        <w:t xml:space="preserve">                                  </w:t>
      </w:r>
      <w:r>
        <w:rPr>
          <w:rFonts w:hint="eastAsia" w:ascii="宋体" w:hAnsi="宋体" w:cs="宋体"/>
          <w:highlight w:val="none"/>
        </w:rPr>
        <w:t>；</w:t>
      </w:r>
    </w:p>
    <w:p>
      <w:pPr>
        <w:spacing w:line="360" w:lineRule="auto"/>
        <w:ind w:firstLine="420" w:firstLineChars="200"/>
        <w:rPr>
          <w:rFonts w:ascii="宋体" w:hAnsi="宋体" w:cs="宋体"/>
          <w:highlight w:val="none"/>
        </w:rPr>
      </w:pPr>
      <w:r>
        <w:rPr>
          <w:rFonts w:hint="eastAsia" w:ascii="宋体" w:hAnsi="宋体" w:cs="宋体"/>
          <w:highlight w:val="none"/>
        </w:rPr>
        <w:t>账号：</w:t>
      </w:r>
      <w:r>
        <w:rPr>
          <w:rFonts w:hint="eastAsia" w:ascii="宋体" w:hAnsi="宋体" w:cs="宋体"/>
          <w:highlight w:val="none"/>
          <w:u w:val="single"/>
        </w:rPr>
        <w:t xml:space="preserve">                                     </w:t>
      </w:r>
      <w:r>
        <w:rPr>
          <w:rFonts w:hint="eastAsia" w:ascii="宋体" w:hAnsi="宋体" w:cs="宋体"/>
          <w:highlight w:val="none"/>
        </w:rPr>
        <w:t>。</w:t>
      </w:r>
    </w:p>
    <w:p>
      <w:pPr>
        <w:spacing w:line="360" w:lineRule="auto"/>
        <w:ind w:firstLine="420" w:firstLineChars="200"/>
        <w:rPr>
          <w:rFonts w:ascii="宋体" w:hAnsi="宋体" w:cs="宋体"/>
          <w:highlight w:val="none"/>
        </w:rPr>
      </w:pPr>
      <w:r>
        <w:rPr>
          <w:rFonts w:hint="eastAsia" w:ascii="宋体" w:hAnsi="宋体" w:cs="宋体"/>
          <w:highlight w:val="none"/>
        </w:rPr>
        <w:t>收款方信息变更的，应以书面形式通知付款方，未及时通知给双方造成的全部损失由收款方承担。</w:t>
      </w:r>
    </w:p>
    <w:p>
      <w:pPr>
        <w:spacing w:line="360" w:lineRule="auto"/>
        <w:ind w:firstLine="420" w:firstLineChars="200"/>
        <w:rPr>
          <w:highlight w:val="none"/>
        </w:rPr>
      </w:pPr>
      <w:r>
        <w:rPr>
          <w:rFonts w:hint="eastAsia" w:ascii="宋体" w:hAnsi="宋体" w:cs="宋体"/>
          <w:highlight w:val="none"/>
        </w:rPr>
        <w:t>收款方委托其雇员办理收款事宜的，应出具加盖收款方公章的授权委托书，授权书注明办理本合同价款收取事项及具体授权期限，未出具符合前述要求的有效授权委托书的，付款方可不予办理，导致逾期支付的，不视为付款方违约。</w:t>
      </w:r>
    </w:p>
    <w:p>
      <w:pPr>
        <w:numPr>
          <w:ilvl w:val="0"/>
          <w:numId w:val="4"/>
        </w:numPr>
        <w:adjustRightInd w:val="0"/>
        <w:snapToGrid w:val="0"/>
        <w:spacing w:line="360" w:lineRule="auto"/>
        <w:ind w:firstLine="422" w:firstLineChars="200"/>
        <w:rPr>
          <w:rFonts w:ascii="宋体" w:hAnsi="宋体"/>
          <w:b/>
          <w:highlight w:val="none"/>
          <w:u w:val="single"/>
        </w:rPr>
      </w:pPr>
      <w:r>
        <w:rPr>
          <w:rFonts w:hint="eastAsia" w:ascii="宋体" w:hAnsi="宋体"/>
          <w:b/>
          <w:highlight w:val="none"/>
        </w:rPr>
        <w:t>合同履行</w:t>
      </w:r>
    </w:p>
    <w:p>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（1）起始日期：</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日，完成日期：</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w:t>
      </w:r>
    </w:p>
    <w:p>
      <w:pPr>
        <w:adjustRightInd w:val="0"/>
        <w:snapToGrid w:val="0"/>
        <w:spacing w:line="360" w:lineRule="auto"/>
        <w:ind w:firstLine="420" w:firstLineChars="200"/>
        <w:rPr>
          <w:rFonts w:ascii="宋体" w:hAnsi="宋体" w:cs="宋体"/>
          <w:highlight w:val="none"/>
          <w:u w:val="single"/>
        </w:rPr>
      </w:pPr>
      <w:r>
        <w:rPr>
          <w:rFonts w:hint="eastAsia" w:ascii="宋体" w:hAnsi="宋体" w:cs="宋体"/>
          <w:highlight w:val="none"/>
        </w:rPr>
        <w:t>（2）履约地点</w:t>
      </w:r>
      <w:r>
        <w:rPr>
          <w:rFonts w:hint="eastAsia" w:ascii="宋体" w:hAnsi="宋体" w:cs="宋体"/>
          <w:bCs/>
          <w:highlight w:val="none"/>
        </w:rPr>
        <w:t>：</w:t>
      </w:r>
      <w:r>
        <w:rPr>
          <w:rFonts w:hint="eastAsia" w:ascii="宋体" w:hAnsi="宋体" w:cs="宋体"/>
          <w:highlight w:val="none"/>
          <w:u w:val="single"/>
        </w:rPr>
        <w:t xml:space="preserve">                             </w:t>
      </w:r>
    </w:p>
    <w:p>
      <w:pPr>
        <w:adjustRightInd w:val="0"/>
        <w:snapToGrid w:val="0"/>
        <w:spacing w:line="360" w:lineRule="auto"/>
        <w:ind w:firstLine="420" w:firstLineChars="200"/>
        <w:rPr>
          <w:rFonts w:ascii="宋体" w:hAnsi="宋体" w:cs="宋体"/>
          <w:highlight w:val="none"/>
        </w:rPr>
      </w:pPr>
      <w:r>
        <w:rPr>
          <w:rFonts w:hint="eastAsia" w:ascii="宋体" w:hAnsi="宋体" w:cs="宋体"/>
          <w:bCs/>
          <w:highlight w:val="none"/>
        </w:rPr>
        <w:t>（3）履约担保：</w:t>
      </w:r>
      <w:r>
        <w:rPr>
          <w:rFonts w:hint="eastAsia" w:ascii="宋体" w:hAnsi="宋体" w:cs="宋体"/>
          <w:highlight w:val="none"/>
        </w:rPr>
        <w:t>是否收取履约保证金：</w:t>
      </w:r>
      <w:r>
        <w:rPr>
          <w:rFonts w:hint="eastAsia" w:ascii="宋体" w:hAnsi="宋体" w:cs="宋体"/>
          <w:highlight w:val="none"/>
        </w:rPr>
        <w:sym w:font="Wingdings" w:char="00FE"/>
      </w:r>
      <w:r>
        <w:rPr>
          <w:rFonts w:hint="eastAsia" w:ascii="宋体" w:hAnsi="宋体" w:cs="宋体"/>
          <w:highlight w:val="none"/>
        </w:rPr>
        <w:t xml:space="preserve">是    </w:t>
      </w:r>
      <w:r>
        <w:rPr>
          <w:rFonts w:hint="eastAsia" w:ascii="宋体" w:hAnsi="宋体" w:cs="宋体"/>
          <w:highlight w:val="none"/>
        </w:rPr>
        <w:sym w:font="Wingdings" w:char="00A8"/>
      </w:r>
      <w:r>
        <w:rPr>
          <w:rFonts w:hint="eastAsia" w:ascii="宋体" w:hAnsi="宋体" w:cs="宋体"/>
          <w:highlight w:val="none"/>
        </w:rPr>
        <w:t>否</w:t>
      </w:r>
    </w:p>
    <w:p>
      <w:pPr>
        <w:pStyle w:val="69"/>
        <w:spacing w:line="360" w:lineRule="auto"/>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收取履约保证金形式：乙方在收到中标通知书后5个工作日内，以支票、汇票、本票或者保险公司和银行出具的保函等非现金方式向甲方提供履约担保，金额为合同总额</w:t>
      </w:r>
      <w:r>
        <w:rPr>
          <w:rFonts w:hint="eastAsia" w:ascii="宋体" w:hAnsi="宋体" w:cs="宋体"/>
          <w:sz w:val="21"/>
          <w:highlight w:val="none"/>
          <w:u w:val="single"/>
        </w:rPr>
        <w:t xml:space="preserve">   3 </w:t>
      </w:r>
      <w:r>
        <w:rPr>
          <w:rFonts w:hint="eastAsia" w:ascii="宋体" w:hAnsi="宋体" w:eastAsia="宋体" w:cs="宋体"/>
          <w:sz w:val="21"/>
          <w:highlight w:val="none"/>
          <w:u w:val="single"/>
        </w:rPr>
        <w:t>%</w:t>
      </w:r>
      <w:r>
        <w:rPr>
          <w:rFonts w:hint="eastAsia" w:ascii="宋体" w:hAnsi="宋体" w:eastAsia="宋体" w:cs="宋体"/>
          <w:sz w:val="21"/>
          <w:highlight w:val="none"/>
        </w:rPr>
        <w:t>：</w:t>
      </w:r>
      <w:r>
        <w:rPr>
          <w:rFonts w:hint="eastAsia" w:ascii="宋体" w:hAnsi="宋体" w:eastAsia="宋体" w:cs="宋体"/>
          <w:sz w:val="21"/>
          <w:highlight w:val="none"/>
          <w:u w:val="single"/>
        </w:rPr>
        <w:t>¥</w:t>
      </w:r>
      <w:r>
        <w:rPr>
          <w:rFonts w:hint="eastAsia" w:ascii="宋体" w:hAnsi="宋体" w:cs="宋体"/>
          <w:sz w:val="21"/>
          <w:highlight w:val="none"/>
          <w:u w:val="single"/>
        </w:rPr>
        <w:t xml:space="preserve">        </w:t>
      </w:r>
      <w:r>
        <w:rPr>
          <w:rFonts w:hint="eastAsia" w:ascii="宋体" w:hAnsi="宋体" w:eastAsia="宋体" w:cs="宋体"/>
          <w:sz w:val="21"/>
          <w:highlight w:val="none"/>
          <w:u w:val="single"/>
        </w:rPr>
        <w:t>元（大写：</w:t>
      </w:r>
      <w:r>
        <w:rPr>
          <w:rFonts w:hint="eastAsia" w:ascii="宋体" w:hAnsi="宋体" w:cs="宋体"/>
          <w:sz w:val="21"/>
          <w:highlight w:val="none"/>
          <w:u w:val="single"/>
        </w:rPr>
        <w:t xml:space="preserve">        </w:t>
      </w:r>
      <w:r>
        <w:rPr>
          <w:rFonts w:hint="eastAsia" w:ascii="宋体" w:hAnsi="宋体" w:eastAsia="宋体" w:cs="宋体"/>
          <w:sz w:val="21"/>
          <w:highlight w:val="none"/>
          <w:u w:val="single"/>
        </w:rPr>
        <w:t>）</w:t>
      </w:r>
      <w:r>
        <w:rPr>
          <w:rFonts w:hint="eastAsia" w:ascii="宋体" w:hAnsi="宋体" w:eastAsia="宋体" w:cs="宋体"/>
          <w:sz w:val="21"/>
          <w:highlight w:val="none"/>
        </w:rPr>
        <w:t>，凭履约保证金缴纳凭证或担保函到甲方签订采购合同。自项目验收合格后，由供应商提出退还履约保证金申请，总队向供应商无息返还履约保证。</w:t>
      </w:r>
    </w:p>
    <w:p>
      <w:pPr>
        <w:pStyle w:val="69"/>
        <w:spacing w:line="360" w:lineRule="auto"/>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p>
    <w:p>
      <w:pPr>
        <w:snapToGrid w:val="0"/>
        <w:spacing w:line="360" w:lineRule="auto"/>
        <w:ind w:firstLine="420" w:firstLineChars="200"/>
        <w:rPr>
          <w:rFonts w:ascii="宋体" w:hAnsi="宋体" w:cs="宋体"/>
          <w:highlight w:val="none"/>
          <w:u w:val="single"/>
        </w:rPr>
      </w:pPr>
      <w:r>
        <w:rPr>
          <w:rFonts w:hint="eastAsia" w:ascii="宋体" w:hAnsi="宋体" w:cs="宋体"/>
          <w:bCs/>
          <w:highlight w:val="none"/>
        </w:rPr>
        <w:t xml:space="preserve">    履约担保期限：</w:t>
      </w:r>
      <w:r>
        <w:rPr>
          <w:rFonts w:hint="eastAsia" w:ascii="宋体" w:hAnsi="宋体" w:cs="宋体"/>
          <w:bCs/>
          <w:highlight w:val="none"/>
          <w:u w:val="single"/>
        </w:rPr>
        <w:t>自所有防护装备验收合格后</w:t>
      </w:r>
      <w:r>
        <w:rPr>
          <w:rFonts w:hint="eastAsia" w:ascii="宋体" w:hAnsi="宋体" w:cs="宋体"/>
          <w:highlight w:val="none"/>
          <w:u w:val="single"/>
        </w:rPr>
        <w:t>。如在担保期内保函到期，则乙方需在保函到期前提供新的保函。</w:t>
      </w:r>
    </w:p>
    <w:p>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（4）分期履行要求：</w:t>
      </w:r>
      <w:r>
        <w:rPr>
          <w:rFonts w:hint="eastAsia" w:ascii="宋体" w:hAnsi="宋体" w:cs="宋体"/>
          <w:bCs/>
          <w:highlight w:val="none"/>
          <w:u w:val="single"/>
        </w:rPr>
        <w:t xml:space="preserve">                                                        </w:t>
      </w:r>
    </w:p>
    <w:p>
      <w:pPr>
        <w:adjustRightInd w:val="0"/>
        <w:snapToGrid w:val="0"/>
        <w:spacing w:line="360" w:lineRule="auto"/>
        <w:ind w:firstLine="420" w:firstLineChars="200"/>
        <w:rPr>
          <w:rFonts w:ascii="宋体" w:hAnsi="宋体" w:cs="宋体"/>
          <w:highlight w:val="none"/>
          <w:u w:val="single"/>
        </w:rPr>
      </w:pPr>
      <w:r>
        <w:rPr>
          <w:rFonts w:hint="eastAsia" w:ascii="宋体" w:hAnsi="宋体" w:cs="宋体"/>
          <w:bCs/>
          <w:highlight w:val="none"/>
        </w:rPr>
        <w:t>（5）风险处置措施和替代方案：</w:t>
      </w:r>
      <w:r>
        <w:rPr>
          <w:rFonts w:hint="eastAsia" w:ascii="宋体" w:hAnsi="宋体" w:cs="宋体"/>
          <w:highlight w:val="none"/>
          <w:u w:val="single"/>
        </w:rPr>
        <w:t xml:space="preserve">                                                 </w:t>
      </w:r>
    </w:p>
    <w:p>
      <w:pPr>
        <w:numPr>
          <w:ilvl w:val="0"/>
          <w:numId w:val="4"/>
        </w:numPr>
        <w:adjustRightInd w:val="0"/>
        <w:snapToGrid w:val="0"/>
        <w:spacing w:line="360" w:lineRule="auto"/>
        <w:ind w:firstLine="422" w:firstLineChars="200"/>
        <w:rPr>
          <w:rFonts w:ascii="宋体" w:hAnsi="宋体"/>
          <w:b/>
          <w:highlight w:val="none"/>
        </w:rPr>
      </w:pPr>
      <w:bookmarkStart w:id="170" w:name="_Toc5164"/>
      <w:r>
        <w:rPr>
          <w:rFonts w:hint="eastAsia" w:ascii="宋体" w:hAnsi="宋体"/>
          <w:b/>
          <w:highlight w:val="none"/>
        </w:rPr>
        <w:t>质量要求及技术标准</w:t>
      </w:r>
      <w:bookmarkEnd w:id="170"/>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（1）乙方为甲方生产的被服装具，必须按照招标产品技术规范及标样组织生产；如乙方未按约定的技术规范和标样生产，甲方有权拒收乙方产品。</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（2）乙方应当严格履行标书中明确的生产技术规范，严格按照合同约定的时间、品种、数量完成生产任务。</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3）合同履行过程中，若技术规范更新，按国家消防救援局最新技术规范执行。乙方应该按下发新标准参数生产，交货日期在甲乙双方原定交货时间基础上由双方协商确定顺延日期，甲方不承担因交货日期顺延所增加的任何费用。相关顺延情形，一律采用书面形式确认。</w:t>
      </w:r>
    </w:p>
    <w:p>
      <w:pPr>
        <w:numPr>
          <w:ilvl w:val="0"/>
          <w:numId w:val="4"/>
        </w:numPr>
        <w:adjustRightInd w:val="0"/>
        <w:snapToGrid w:val="0"/>
        <w:spacing w:line="360" w:lineRule="auto"/>
        <w:ind w:firstLine="422" w:firstLineChars="200"/>
        <w:rPr>
          <w:rFonts w:ascii="宋体" w:hAnsi="宋体"/>
          <w:b/>
          <w:highlight w:val="none"/>
        </w:rPr>
      </w:pPr>
      <w:bookmarkStart w:id="171" w:name="_Toc13832"/>
      <w:r>
        <w:rPr>
          <w:rFonts w:hint="eastAsia" w:ascii="宋体" w:hAnsi="宋体"/>
          <w:b/>
          <w:highlight w:val="none"/>
        </w:rPr>
        <w:t>生产组织</w:t>
      </w:r>
      <w:bookmarkEnd w:id="171"/>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（1）甲方通过电子邮件形式，将所需产品具体号型</w:t>
      </w:r>
      <w:r>
        <w:rPr>
          <w:rFonts w:hint="eastAsia" w:ascii="宋体" w:hAnsi="宋体" w:cs="宋体"/>
          <w:highlight w:val="none"/>
          <w:lang w:bidi="ar"/>
        </w:rPr>
        <w:t>于合同签订后3日</w:t>
      </w:r>
      <w:r>
        <w:rPr>
          <w:rFonts w:hint="eastAsia" w:ascii="宋体" w:hAnsi="宋体" w:cs="宋体"/>
          <w:szCs w:val="32"/>
          <w:highlight w:val="none"/>
        </w:rPr>
        <w:t>内发给乙方。</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（2）乙方应在取得中标通知书后3日内提交《生产供应计划表》（附件  ），合同内产品由乙方按照该生产计划组织生产，生产地必须为投标文件承诺的地点，严禁组织外加工、严禁擅自扩大生产数量、严禁擅自改变生产号型和生产品种等违约行为。</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（3）为规范乙方生产等相关行为，甲乙双方约定《生产保密协议》（附件  ）、《反商业贿赂协议》（附件  ）、《生产供应有关事项的协议》（附件  ）。</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（4）因保障需要，如甲方向乙方下达零星产品保障需求，乙方应在最短时间内予以响应和生产，并在规定时间内将零星产品寄递至甲方指定地点。</w:t>
      </w:r>
    </w:p>
    <w:p>
      <w:pPr>
        <w:numPr>
          <w:ilvl w:val="0"/>
          <w:numId w:val="4"/>
        </w:numPr>
        <w:adjustRightInd w:val="0"/>
        <w:snapToGrid w:val="0"/>
        <w:spacing w:line="360" w:lineRule="auto"/>
        <w:ind w:firstLine="422" w:firstLineChars="200"/>
        <w:rPr>
          <w:rFonts w:ascii="宋体" w:hAnsi="宋体"/>
          <w:b/>
          <w:highlight w:val="none"/>
        </w:rPr>
      </w:pPr>
      <w:bookmarkStart w:id="172" w:name="_Toc21738"/>
      <w:r>
        <w:rPr>
          <w:rFonts w:hint="eastAsia" w:ascii="宋体" w:hAnsi="宋体"/>
          <w:b/>
          <w:highlight w:val="none"/>
        </w:rPr>
        <w:t>原材料采购合同及检测报告</w:t>
      </w:r>
      <w:bookmarkEnd w:id="172"/>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乙方应在完成原材料采购后，迅速进行质量检测，并留存备查（至少留存五年）。</w:t>
      </w:r>
    </w:p>
    <w:p>
      <w:pPr>
        <w:numPr>
          <w:ilvl w:val="0"/>
          <w:numId w:val="4"/>
        </w:numPr>
        <w:adjustRightInd w:val="0"/>
        <w:snapToGrid w:val="0"/>
        <w:spacing w:line="360" w:lineRule="auto"/>
        <w:ind w:firstLine="422" w:firstLineChars="200"/>
        <w:rPr>
          <w:rFonts w:ascii="宋体" w:hAnsi="宋体"/>
          <w:b/>
          <w:highlight w:val="none"/>
        </w:rPr>
      </w:pPr>
      <w:bookmarkStart w:id="173" w:name="_Toc5775"/>
      <w:r>
        <w:rPr>
          <w:rFonts w:hint="eastAsia" w:ascii="宋体" w:hAnsi="宋体"/>
          <w:b/>
          <w:highlight w:val="none"/>
        </w:rPr>
        <w:t>生产进度报告</w:t>
      </w:r>
      <w:bookmarkEnd w:id="173"/>
    </w:p>
    <w:p>
      <w:pPr>
        <w:spacing w:line="360" w:lineRule="auto"/>
        <w:ind w:firstLine="420" w:firstLineChars="200"/>
        <w:rPr>
          <w:rFonts w:ascii="宋体" w:hAnsi="宋体" w:cs="宋体"/>
          <w:highlight w:val="none"/>
          <w:lang w:bidi="ar"/>
        </w:rPr>
      </w:pPr>
      <w:r>
        <w:rPr>
          <w:rFonts w:hint="eastAsia" w:ascii="宋体" w:hAnsi="宋体" w:cs="宋体"/>
          <w:highlight w:val="none"/>
          <w:lang w:bidi="ar"/>
        </w:rPr>
        <w:t>甲方有权根据最终确认的生产（代理）进度计划，随时派人员检查乙方执行情况，如有关键节点进度延期，乙方应向甲方书面说明原因，并提出改进措施、及时补救，保证交货时间。</w:t>
      </w:r>
    </w:p>
    <w:p>
      <w:pPr>
        <w:numPr>
          <w:ilvl w:val="0"/>
          <w:numId w:val="4"/>
        </w:numPr>
        <w:adjustRightInd w:val="0"/>
        <w:snapToGrid w:val="0"/>
        <w:spacing w:line="360" w:lineRule="auto"/>
        <w:ind w:firstLine="422" w:firstLineChars="200"/>
        <w:rPr>
          <w:rFonts w:ascii="宋体" w:hAnsi="宋体"/>
          <w:b/>
          <w:highlight w:val="none"/>
        </w:rPr>
      </w:pPr>
      <w:bookmarkStart w:id="174" w:name="_Toc13232"/>
      <w:r>
        <w:rPr>
          <w:rFonts w:hint="eastAsia" w:ascii="宋体" w:hAnsi="宋体"/>
          <w:b/>
          <w:highlight w:val="none"/>
        </w:rPr>
        <w:t>质量监管</w:t>
      </w:r>
      <w:bookmarkEnd w:id="174"/>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1）甲方采用产品首检、质量巡检、出厂前检、入库实物抽检等方式，加强质量监管。实物抽检的范围包括：一是对乙方厂区进行实物抽检，二是对发给收货单位的实物进行抽检。实物抽检后导致实际供货数量不足的，一律由乙方负责免费补充（包括免费生产和发运给最小保障单位）。实物抽检完成后的检测费用由甲方承担，如出现检测不合格等问题，复检费用由乙方承担。</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（2）甲方的质量检验以抽检为主。乙方生产的被服装具产品必须使用甲方提供的技术文件规定的原材料，且理化送检合格率达到100%，现场抽检产品合格率不低于95%；否则，视为整批被服装具产品不合格。</w:t>
      </w:r>
    </w:p>
    <w:p>
      <w:pPr>
        <w:numPr>
          <w:ilvl w:val="0"/>
          <w:numId w:val="4"/>
        </w:numPr>
        <w:adjustRightInd w:val="0"/>
        <w:snapToGrid w:val="0"/>
        <w:spacing w:line="360" w:lineRule="auto"/>
        <w:ind w:firstLine="422" w:firstLineChars="200"/>
        <w:rPr>
          <w:rFonts w:ascii="宋体" w:hAnsi="宋体"/>
          <w:b/>
          <w:highlight w:val="none"/>
        </w:rPr>
      </w:pPr>
      <w:bookmarkStart w:id="175" w:name="_Toc16205"/>
      <w:r>
        <w:rPr>
          <w:rFonts w:hint="eastAsia" w:ascii="宋体" w:hAnsi="宋体"/>
          <w:b/>
          <w:highlight w:val="none"/>
        </w:rPr>
        <w:t>包装方式及费用</w:t>
      </w:r>
      <w:bookmarkEnd w:id="175"/>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（1）乙方按甲方要求及招标文件规定的包装方式进行包装，包装费用由乙方承担（投标和签订本合同时，乙方已完全知晓并完全接受该条款）。</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（2）乙方按照甲方提供的收货单位集中打包，在箱内放置装箱单，在箱体外粘贴装箱单。</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（3）运输时须按甲方要求送至指定地点，乙方自行选取物流企业，确保物流方式快捷、高效、整洁，严禁造成甲方货物的污染、破损等问题，所有运输费运费由中标商承担。</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4）乙方按照包装要求，将货物发至甲方指定地点后，甲方收货人发现包装箱内的实物与甲方下达给乙方的包装明细不相符且存在错号、破损等情况，乙方免费调换（10天内），并承担相应费用；出错（破损、灭失）产品的数量占比高于合同产品总数量 3‰的，甲方扣除乙方履约保证金的10%，并按比例递增。</w:t>
      </w:r>
    </w:p>
    <w:p>
      <w:pPr>
        <w:numPr>
          <w:ilvl w:val="0"/>
          <w:numId w:val="4"/>
        </w:numPr>
        <w:adjustRightInd w:val="0"/>
        <w:snapToGrid w:val="0"/>
        <w:spacing w:line="360" w:lineRule="auto"/>
        <w:ind w:firstLine="422" w:firstLineChars="200"/>
        <w:rPr>
          <w:rFonts w:ascii="宋体" w:hAnsi="宋体"/>
          <w:b/>
          <w:highlight w:val="none"/>
        </w:rPr>
      </w:pPr>
      <w:r>
        <w:rPr>
          <w:rFonts w:ascii="宋体" w:hAnsi="宋体"/>
          <w:b/>
          <w:highlight w:val="none"/>
        </w:rPr>
        <w:t>10.甲乙双方的权利义务</w:t>
      </w:r>
    </w:p>
    <w:p>
      <w:pPr>
        <w:spacing w:line="360" w:lineRule="auto"/>
        <w:ind w:firstLine="420" w:firstLineChars="200"/>
        <w:rPr>
          <w:rFonts w:ascii="宋体" w:hAnsi="宋体" w:cs="宋体"/>
          <w:highlight w:val="none"/>
        </w:rPr>
      </w:pPr>
      <w:r>
        <w:rPr>
          <w:rFonts w:hint="eastAsia" w:ascii="宋体" w:hAnsi="宋体" w:cs="宋体"/>
          <w:highlight w:val="none"/>
        </w:rPr>
        <w:t>（1）乙方保证提供的售后服务方案符合行业规定，所提供产品符合国家或行业标准。</w:t>
      </w:r>
    </w:p>
    <w:p>
      <w:pPr>
        <w:spacing w:line="360" w:lineRule="auto"/>
        <w:ind w:firstLine="420" w:firstLineChars="200"/>
        <w:rPr>
          <w:rFonts w:ascii="宋体" w:hAnsi="宋体" w:cs="宋体"/>
          <w:highlight w:val="none"/>
        </w:rPr>
      </w:pPr>
      <w:r>
        <w:rPr>
          <w:rFonts w:hint="eastAsia" w:ascii="宋体" w:hAnsi="宋体" w:cs="宋体"/>
          <w:highlight w:val="none"/>
        </w:rPr>
        <w:t>（2）乙方应保证向甲方提供的产品不存在侵犯第三方知识产权的情况，若在产品使用期间，第三方向乙方或乙方产品提供方提起侵犯其专利权、商标权和工业设计权等知识产权的诉讼，从而影响甲方正常使用由此给甲方造成损失的，乙方应承担赔偿责任，赔偿方式为：①免费更换全部侵权产品；②甲方不同意更换时，由甲方退还侵权产品，乙方退还侵权产品相对应的价款且赔偿甲方重新购买相同质量产品的市场差价。以上赔偿行为不视为免除乙方的违约责任。</w:t>
      </w:r>
    </w:p>
    <w:p>
      <w:pPr>
        <w:spacing w:line="360" w:lineRule="auto"/>
        <w:ind w:firstLine="420" w:firstLineChars="200"/>
        <w:rPr>
          <w:rFonts w:ascii="宋体" w:hAnsi="宋体" w:cs="宋体"/>
          <w:highlight w:val="none"/>
        </w:rPr>
      </w:pPr>
      <w:r>
        <w:rPr>
          <w:rFonts w:hint="eastAsia" w:ascii="宋体" w:hAnsi="宋体" w:cs="宋体"/>
          <w:highlight w:val="none"/>
        </w:rPr>
        <w:t>（3）乙方严格遵守所承诺的行业一切规定和条款；</w:t>
      </w:r>
    </w:p>
    <w:p>
      <w:pPr>
        <w:spacing w:line="360" w:lineRule="auto"/>
        <w:ind w:firstLine="420" w:firstLineChars="200"/>
        <w:rPr>
          <w:rFonts w:ascii="宋体" w:hAnsi="宋体" w:cs="宋体"/>
          <w:highlight w:val="none"/>
        </w:rPr>
      </w:pPr>
      <w:r>
        <w:rPr>
          <w:rFonts w:hint="eastAsia" w:ascii="宋体" w:hAnsi="宋体" w:cs="宋体"/>
          <w:highlight w:val="none"/>
        </w:rPr>
        <w:t>（4）乙方参与甲方共同进行货物的验收。</w:t>
      </w:r>
    </w:p>
    <w:p>
      <w:pPr>
        <w:spacing w:line="360" w:lineRule="auto"/>
        <w:ind w:firstLine="420" w:firstLineChars="200"/>
        <w:rPr>
          <w:rFonts w:ascii="宋体" w:hAnsi="宋体" w:cs="宋体"/>
          <w:highlight w:val="none"/>
        </w:rPr>
      </w:pPr>
      <w:r>
        <w:rPr>
          <w:rFonts w:hint="eastAsia" w:ascii="宋体" w:hAnsi="宋体" w:cs="宋体"/>
          <w:highlight w:val="none"/>
        </w:rPr>
        <w:t>（5）甲方在保质期内如发现产品质量问题，经查证后，属乙方责任的，乙方应无偿调换、退货，</w:t>
      </w:r>
      <w:r>
        <w:rPr>
          <w:rFonts w:ascii="宋体" w:hAnsi="宋体" w:cs="宋体"/>
          <w:highlight w:val="none"/>
        </w:rPr>
        <w:t>并承担由此给甲方造成的一切损失及承担相应责任。</w:t>
      </w:r>
    </w:p>
    <w:p>
      <w:pPr>
        <w:spacing w:line="360" w:lineRule="auto"/>
        <w:ind w:firstLine="420" w:firstLineChars="200"/>
        <w:rPr>
          <w:rFonts w:ascii="宋体" w:hAnsi="宋体" w:cs="宋体"/>
          <w:highlight w:val="none"/>
        </w:rPr>
      </w:pPr>
      <w:r>
        <w:rPr>
          <w:rFonts w:hint="eastAsia" w:ascii="宋体" w:hAnsi="宋体" w:cs="宋体"/>
          <w:highlight w:val="none"/>
        </w:rPr>
        <w:t>（6）乙方应向甲方提供有效的营业执照、及法定代表⼈身份证复印件。</w:t>
      </w:r>
    </w:p>
    <w:p>
      <w:pPr>
        <w:spacing w:line="360" w:lineRule="auto"/>
        <w:ind w:firstLine="420" w:firstLineChars="200"/>
        <w:rPr>
          <w:rFonts w:ascii="宋体" w:hAnsi="宋体" w:cs="宋体"/>
          <w:highlight w:val="none"/>
        </w:rPr>
      </w:pPr>
      <w:r>
        <w:rPr>
          <w:rFonts w:hint="eastAsia" w:ascii="宋体" w:hAnsi="宋体" w:cs="宋体"/>
          <w:highlight w:val="none"/>
        </w:rPr>
        <w:t>（7）</w:t>
      </w:r>
      <w:r>
        <w:rPr>
          <w:rFonts w:ascii="宋体" w:hAnsi="宋体" w:cs="宋体"/>
          <w:highlight w:val="none"/>
        </w:rPr>
        <w:t>甲方需按</w:t>
      </w:r>
      <w:r>
        <w:rPr>
          <w:rFonts w:hint="eastAsia" w:ascii="宋体" w:hAnsi="宋体" w:cs="宋体"/>
          <w:highlight w:val="none"/>
        </w:rPr>
        <w:t>合同</w:t>
      </w:r>
      <w:r>
        <w:rPr>
          <w:rFonts w:ascii="宋体" w:hAnsi="宋体" w:cs="宋体"/>
          <w:highlight w:val="none"/>
        </w:rPr>
        <w:t>约定的付款条件，向乙方支付货款；若因甲方延迟付款而造成乙方无法按时交货，由此所产生的损失由甲方承担。</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（8）生产合同签订后，除下列情况外，擅自解除或变更合同的一方应支付合同总金额10%的违约金；给对方造成损失的，责任方应赔偿对方损失。</w:t>
      </w:r>
    </w:p>
    <w:p>
      <w:pPr>
        <w:spacing w:line="360" w:lineRule="auto"/>
        <w:ind w:firstLine="420" w:firstLineChars="200"/>
        <w:rPr>
          <w:rFonts w:ascii="宋体" w:hAnsi="宋体" w:cs="宋体"/>
          <w:highlight w:val="none"/>
        </w:rPr>
      </w:pPr>
      <w:bookmarkStart w:id="176" w:name="_Toc6124"/>
      <w:r>
        <w:rPr>
          <w:rFonts w:hint="eastAsia" w:ascii="宋体" w:hAnsi="宋体" w:cs="宋体"/>
          <w:highlight w:val="none"/>
        </w:rPr>
        <w:t>1).甲方根据上级政策调整需要，改变被装品种、规格、质量标准等，需变更或解除合同的；</w:t>
      </w:r>
      <w:bookmarkEnd w:id="176"/>
    </w:p>
    <w:p>
      <w:pPr>
        <w:spacing w:line="360" w:lineRule="auto"/>
        <w:ind w:firstLine="420" w:firstLineChars="200"/>
        <w:rPr>
          <w:rFonts w:ascii="宋体" w:hAnsi="宋体" w:cs="宋体"/>
          <w:highlight w:val="none"/>
        </w:rPr>
      </w:pPr>
      <w:bookmarkStart w:id="177" w:name="_Toc28256"/>
      <w:r>
        <w:rPr>
          <w:rFonts w:hint="eastAsia" w:ascii="宋体" w:hAnsi="宋体" w:cs="宋体"/>
          <w:highlight w:val="none"/>
        </w:rPr>
        <w:t>2）.由于不可抗力影响，致使合同无法履行的。</w:t>
      </w:r>
      <w:bookmarkEnd w:id="177"/>
    </w:p>
    <w:p>
      <w:pPr>
        <w:adjustRightInd w:val="0"/>
        <w:snapToGrid w:val="0"/>
        <w:spacing w:line="360" w:lineRule="auto"/>
        <w:ind w:left="420" w:leftChars="200"/>
        <w:rPr>
          <w:rFonts w:ascii="宋体" w:hAnsi="宋体"/>
          <w:b/>
          <w:highlight w:val="none"/>
        </w:rPr>
      </w:pPr>
      <w:r>
        <w:rPr>
          <w:rFonts w:hint="eastAsia" w:ascii="宋体" w:hAnsi="宋体"/>
          <w:b/>
          <w:highlight w:val="none"/>
        </w:rPr>
        <w:t>11.合同验收</w:t>
      </w:r>
    </w:p>
    <w:p>
      <w:pPr>
        <w:numPr>
          <w:ilvl w:val="0"/>
          <w:numId w:val="6"/>
        </w:numPr>
        <w:adjustRightInd w:val="0"/>
        <w:snapToGrid w:val="0"/>
        <w:spacing w:line="360" w:lineRule="auto"/>
        <w:ind w:firstLine="420" w:firstLineChars="200"/>
        <w:rPr>
          <w:rFonts w:ascii="宋体" w:hAnsi="宋体"/>
          <w:bCs/>
          <w:highlight w:val="none"/>
        </w:rPr>
      </w:pPr>
      <w:r>
        <w:rPr>
          <w:rFonts w:hint="eastAsia" w:ascii="宋体" w:hAnsi="宋体"/>
          <w:bCs/>
          <w:highlight w:val="none"/>
        </w:rPr>
        <w:t>验收组织方式：</w:t>
      </w:r>
      <w:r>
        <w:rPr>
          <w:rFonts w:hint="eastAsia" w:ascii="宋体" w:hAnsi="宋体" w:cs="宋体"/>
          <w:highlight w:val="none"/>
        </w:rPr>
        <w:sym w:font="Wingdings" w:char="00FE"/>
      </w:r>
      <w:r>
        <w:rPr>
          <w:rFonts w:hint="eastAsia" w:ascii="宋体" w:hAnsi="宋体"/>
          <w:bCs/>
          <w:highlight w:val="none"/>
        </w:rPr>
        <w:t xml:space="preserve">自行组织 </w:t>
      </w:r>
      <w:r>
        <w:rPr>
          <w:rFonts w:hint="eastAsia" w:ascii="宋体" w:hAnsi="宋体" w:cs="宋体"/>
          <w:highlight w:val="none"/>
        </w:rPr>
        <w:sym w:font="Wingdings" w:char="00FE"/>
      </w:r>
      <w:r>
        <w:rPr>
          <w:rFonts w:hint="eastAsia" w:ascii="宋体" w:hAnsi="宋体"/>
          <w:bCs/>
          <w:highlight w:val="none"/>
        </w:rPr>
        <w:t>委托第三方组织</w:t>
      </w:r>
    </w:p>
    <w:p>
      <w:pPr>
        <w:adjustRightInd w:val="0"/>
        <w:snapToGrid w:val="0"/>
        <w:spacing w:line="360" w:lineRule="auto"/>
        <w:ind w:firstLine="420" w:firstLineChars="200"/>
        <w:rPr>
          <w:rFonts w:ascii="宋体" w:hAnsi="宋体"/>
          <w:bCs/>
          <w:highlight w:val="none"/>
        </w:rPr>
      </w:pPr>
      <w:r>
        <w:rPr>
          <w:rFonts w:hint="eastAsia" w:ascii="宋体" w:hAnsi="宋体"/>
          <w:bCs/>
          <w:highlight w:val="none"/>
        </w:rPr>
        <w:t xml:space="preserve">         验收主体：</w:t>
      </w:r>
      <w:r>
        <w:rPr>
          <w:rFonts w:hint="eastAsia" w:ascii="宋体" w:hAnsi="宋体"/>
          <w:bCs/>
          <w:highlight w:val="none"/>
          <w:u w:val="single"/>
        </w:rPr>
        <w:t xml:space="preserve">                  </w:t>
      </w:r>
    </w:p>
    <w:p>
      <w:pPr>
        <w:adjustRightInd w:val="0"/>
        <w:snapToGrid w:val="0"/>
        <w:spacing w:line="360" w:lineRule="auto"/>
        <w:ind w:firstLine="420" w:firstLineChars="200"/>
        <w:rPr>
          <w:rFonts w:ascii="宋体" w:hAnsi="宋体"/>
          <w:bCs/>
          <w:highlight w:val="none"/>
        </w:rPr>
      </w:pPr>
      <w:r>
        <w:rPr>
          <w:rFonts w:hint="eastAsia" w:ascii="宋体" w:hAnsi="宋体"/>
          <w:bCs/>
          <w:highlight w:val="none"/>
        </w:rPr>
        <w:t xml:space="preserve">        是否邀请本项目的其他乙方参加验收：</w:t>
      </w:r>
      <w:r>
        <w:rPr>
          <w:rFonts w:hint="eastAsia" w:ascii="宋体" w:hAnsi="宋体" w:cs="宋体"/>
          <w:highlight w:val="none"/>
        </w:rPr>
        <w:sym w:font="Wingdings" w:char="00A8"/>
      </w:r>
      <w:r>
        <w:rPr>
          <w:rFonts w:hint="eastAsia" w:ascii="宋体" w:hAnsi="宋体"/>
          <w:bCs/>
          <w:highlight w:val="none"/>
        </w:rPr>
        <w:t xml:space="preserve">是  </w:t>
      </w:r>
      <w:r>
        <w:rPr>
          <w:rFonts w:hint="eastAsia" w:ascii="宋体" w:hAnsi="宋体" w:cs="宋体"/>
          <w:highlight w:val="none"/>
        </w:rPr>
        <w:sym w:font="Wingdings" w:char="00FE"/>
      </w:r>
      <w:r>
        <w:rPr>
          <w:rFonts w:hint="eastAsia" w:ascii="宋体" w:hAnsi="宋体"/>
          <w:bCs/>
          <w:highlight w:val="none"/>
        </w:rPr>
        <w:t>否</w:t>
      </w:r>
    </w:p>
    <w:p>
      <w:pPr>
        <w:adjustRightInd w:val="0"/>
        <w:snapToGrid w:val="0"/>
        <w:spacing w:line="360" w:lineRule="auto"/>
        <w:ind w:firstLine="420" w:firstLineChars="200"/>
        <w:rPr>
          <w:rFonts w:ascii="宋体" w:hAnsi="宋体"/>
          <w:bCs/>
          <w:highlight w:val="none"/>
        </w:rPr>
      </w:pPr>
      <w:r>
        <w:rPr>
          <w:rFonts w:hint="eastAsia" w:ascii="宋体" w:hAnsi="宋体"/>
          <w:bCs/>
          <w:highlight w:val="none"/>
        </w:rPr>
        <w:t>是否邀请专家参加验收：</w:t>
      </w:r>
      <w:r>
        <w:rPr>
          <w:rFonts w:hint="eastAsia" w:ascii="宋体" w:hAnsi="宋体" w:cs="宋体"/>
          <w:highlight w:val="none"/>
        </w:rPr>
        <w:sym w:font="Wingdings" w:char="00FE"/>
      </w:r>
      <w:r>
        <w:rPr>
          <w:rFonts w:hint="eastAsia" w:ascii="宋体" w:hAnsi="宋体"/>
          <w:bCs/>
          <w:highlight w:val="none"/>
        </w:rPr>
        <w:t xml:space="preserve">是  </w:t>
      </w:r>
      <w:r>
        <w:rPr>
          <w:rFonts w:hint="eastAsia" w:ascii="宋体" w:hAnsi="宋体" w:cs="宋体"/>
          <w:highlight w:val="none"/>
        </w:rPr>
        <w:sym w:font="Wingdings" w:char="00A8"/>
      </w:r>
      <w:r>
        <w:rPr>
          <w:rFonts w:hint="eastAsia" w:ascii="宋体" w:hAnsi="宋体"/>
          <w:bCs/>
          <w:highlight w:val="none"/>
        </w:rPr>
        <w:t>否</w:t>
      </w:r>
    </w:p>
    <w:p>
      <w:pPr>
        <w:adjustRightInd w:val="0"/>
        <w:snapToGrid w:val="0"/>
        <w:spacing w:line="360" w:lineRule="auto"/>
        <w:ind w:firstLine="420" w:firstLineChars="200"/>
        <w:rPr>
          <w:rFonts w:ascii="宋体" w:hAnsi="宋体"/>
          <w:bCs/>
          <w:highlight w:val="none"/>
        </w:rPr>
      </w:pPr>
      <w:r>
        <w:rPr>
          <w:rFonts w:hint="eastAsia" w:ascii="宋体" w:hAnsi="宋体"/>
          <w:bCs/>
          <w:highlight w:val="none"/>
        </w:rPr>
        <w:t>是否邀请服务对象参加验收：</w:t>
      </w:r>
      <w:r>
        <w:rPr>
          <w:rFonts w:hint="eastAsia" w:ascii="宋体" w:hAnsi="宋体" w:cs="宋体"/>
          <w:highlight w:val="none"/>
        </w:rPr>
        <w:sym w:font="Wingdings" w:char="00A8"/>
      </w:r>
      <w:r>
        <w:rPr>
          <w:rFonts w:hint="eastAsia" w:ascii="宋体" w:hAnsi="宋体"/>
          <w:bCs/>
          <w:highlight w:val="none"/>
        </w:rPr>
        <w:t xml:space="preserve">是  </w:t>
      </w:r>
      <w:r>
        <w:rPr>
          <w:rFonts w:hint="eastAsia" w:ascii="宋体" w:hAnsi="宋体" w:cs="宋体"/>
          <w:highlight w:val="none"/>
        </w:rPr>
        <w:sym w:font="Wingdings" w:char="00A8"/>
      </w:r>
      <w:r>
        <w:rPr>
          <w:rFonts w:hint="eastAsia" w:ascii="宋体" w:hAnsi="宋体"/>
          <w:bCs/>
          <w:highlight w:val="none"/>
        </w:rPr>
        <w:t>否</w:t>
      </w:r>
    </w:p>
    <w:p>
      <w:pPr>
        <w:adjustRightInd w:val="0"/>
        <w:snapToGrid w:val="0"/>
        <w:spacing w:line="360" w:lineRule="auto"/>
        <w:ind w:firstLine="420" w:firstLineChars="200"/>
        <w:rPr>
          <w:rFonts w:ascii="宋体" w:hAnsi="宋体"/>
          <w:bCs/>
          <w:highlight w:val="none"/>
        </w:rPr>
      </w:pPr>
      <w:r>
        <w:rPr>
          <w:rFonts w:hint="eastAsia" w:ascii="宋体" w:hAnsi="宋体"/>
          <w:bCs/>
          <w:highlight w:val="none"/>
        </w:rPr>
        <w:t>是否邀请第三方检测机构参加验收：</w:t>
      </w:r>
      <w:r>
        <w:rPr>
          <w:rFonts w:hint="eastAsia" w:ascii="宋体" w:hAnsi="宋体" w:cs="宋体"/>
          <w:highlight w:val="none"/>
        </w:rPr>
        <w:sym w:font="Wingdings" w:char="00FE"/>
      </w:r>
      <w:r>
        <w:rPr>
          <w:rFonts w:hint="eastAsia" w:ascii="宋体" w:hAnsi="宋体"/>
          <w:bCs/>
          <w:highlight w:val="none"/>
        </w:rPr>
        <w:t xml:space="preserve">是  </w:t>
      </w:r>
      <w:r>
        <w:rPr>
          <w:rFonts w:hint="eastAsia" w:ascii="宋体" w:hAnsi="宋体" w:cs="宋体"/>
          <w:highlight w:val="none"/>
        </w:rPr>
        <w:sym w:font="Wingdings" w:char="00A8"/>
      </w:r>
      <w:r>
        <w:rPr>
          <w:rFonts w:hint="eastAsia" w:ascii="宋体" w:hAnsi="宋体"/>
          <w:bCs/>
          <w:highlight w:val="none"/>
        </w:rPr>
        <w:t>否</w:t>
      </w:r>
    </w:p>
    <w:p>
      <w:pPr>
        <w:adjustRightInd w:val="0"/>
        <w:snapToGrid w:val="0"/>
        <w:spacing w:line="360" w:lineRule="auto"/>
        <w:ind w:firstLine="420" w:firstLineChars="200"/>
        <w:rPr>
          <w:rFonts w:ascii="宋体" w:hAnsi="宋体"/>
          <w:bCs/>
          <w:highlight w:val="none"/>
        </w:rPr>
      </w:pPr>
      <w:r>
        <w:rPr>
          <w:rFonts w:hint="eastAsia" w:ascii="宋体" w:hAnsi="宋体"/>
          <w:bCs/>
          <w:highlight w:val="none"/>
        </w:rPr>
        <w:t>是否进行抽查检测：</w:t>
      </w:r>
      <w:r>
        <w:rPr>
          <w:rFonts w:hint="eastAsia" w:ascii="宋体" w:hAnsi="宋体" w:cs="宋体"/>
          <w:highlight w:val="none"/>
        </w:rPr>
        <w:sym w:font="Wingdings" w:char="00FE"/>
      </w:r>
      <w:r>
        <w:rPr>
          <w:rFonts w:hint="eastAsia" w:ascii="宋体" w:hAnsi="宋体"/>
          <w:bCs/>
          <w:highlight w:val="none"/>
        </w:rPr>
        <w:t>是，抽查比例：</w:t>
      </w:r>
      <w:r>
        <w:rPr>
          <w:rFonts w:hint="eastAsia" w:ascii="宋体" w:hAnsi="宋体"/>
          <w:bCs/>
          <w:highlight w:val="none"/>
          <w:u w:val="single"/>
        </w:rPr>
        <w:t xml:space="preserve">        </w:t>
      </w:r>
      <w:r>
        <w:rPr>
          <w:rFonts w:hint="eastAsia" w:ascii="宋体" w:hAnsi="宋体"/>
          <w:bCs/>
          <w:highlight w:val="none"/>
        </w:rPr>
        <w:t xml:space="preserve"> </w:t>
      </w:r>
      <w:r>
        <w:rPr>
          <w:rFonts w:hint="eastAsia" w:ascii="宋体" w:hAnsi="宋体" w:cs="宋体"/>
          <w:highlight w:val="none"/>
        </w:rPr>
        <w:sym w:font="Wingdings" w:char="00A8"/>
      </w:r>
      <w:r>
        <w:rPr>
          <w:rFonts w:hint="eastAsia" w:ascii="宋体" w:hAnsi="宋体"/>
          <w:bCs/>
          <w:highlight w:val="none"/>
        </w:rPr>
        <w:t>否</w:t>
      </w:r>
    </w:p>
    <w:p>
      <w:pPr>
        <w:adjustRightInd w:val="0"/>
        <w:snapToGrid w:val="0"/>
        <w:spacing w:line="360" w:lineRule="auto"/>
        <w:ind w:firstLine="420" w:firstLineChars="200"/>
        <w:rPr>
          <w:rFonts w:ascii="宋体" w:hAnsi="宋体"/>
          <w:bCs/>
          <w:highlight w:val="none"/>
        </w:rPr>
      </w:pPr>
      <w:r>
        <w:rPr>
          <w:rFonts w:hint="eastAsia" w:ascii="宋体" w:hAnsi="宋体"/>
          <w:bCs/>
          <w:highlight w:val="none"/>
        </w:rPr>
        <w:t>是否存在破坏性检测：</w:t>
      </w:r>
      <w:r>
        <w:rPr>
          <w:rFonts w:hint="eastAsia" w:ascii="宋体" w:hAnsi="宋体" w:cs="宋体"/>
          <w:highlight w:val="none"/>
        </w:rPr>
        <w:sym w:font="Wingdings" w:char="00A8"/>
      </w:r>
      <w:r>
        <w:rPr>
          <w:rFonts w:hint="eastAsia" w:ascii="宋体" w:hAnsi="宋体"/>
          <w:bCs/>
          <w:highlight w:val="none"/>
        </w:rPr>
        <w:t>是</w:t>
      </w:r>
    </w:p>
    <w:p>
      <w:pPr>
        <w:adjustRightInd w:val="0"/>
        <w:snapToGrid w:val="0"/>
        <w:spacing w:line="360" w:lineRule="auto"/>
        <w:ind w:firstLine="420" w:firstLineChars="200"/>
        <w:rPr>
          <w:rFonts w:ascii="宋体" w:hAnsi="宋体"/>
          <w:bCs/>
          <w:highlight w:val="none"/>
          <w:u w:val="single"/>
        </w:rPr>
      </w:pPr>
      <w:r>
        <w:rPr>
          <w:rFonts w:hint="eastAsia" w:ascii="宋体" w:hAnsi="宋体"/>
          <w:bCs/>
          <w:highlight w:val="none"/>
        </w:rPr>
        <w:t>对被破坏的检测产品的处理方式：</w:t>
      </w:r>
      <w:r>
        <w:rPr>
          <w:rFonts w:hint="eastAsia" w:ascii="宋体" w:hAnsi="宋体"/>
          <w:bCs/>
          <w:highlight w:val="none"/>
          <w:u w:val="single"/>
        </w:rPr>
        <w:t xml:space="preserve">                                          </w:t>
      </w:r>
    </w:p>
    <w:p>
      <w:pPr>
        <w:adjustRightInd w:val="0"/>
        <w:snapToGrid w:val="0"/>
        <w:spacing w:line="360" w:lineRule="auto"/>
        <w:ind w:firstLine="420" w:firstLineChars="200"/>
        <w:rPr>
          <w:rFonts w:ascii="宋体" w:hAnsi="宋体"/>
          <w:bCs/>
          <w:highlight w:val="none"/>
        </w:rPr>
      </w:pPr>
      <w:r>
        <w:rPr>
          <w:rFonts w:hint="eastAsia" w:ascii="宋体" w:hAnsi="宋体"/>
          <w:bCs/>
          <w:highlight w:val="none"/>
        </w:rPr>
        <w:t xml:space="preserve">                    </w:t>
      </w:r>
      <w:r>
        <w:rPr>
          <w:rFonts w:hint="eastAsia" w:ascii="宋体" w:hAnsi="宋体" w:cs="宋体"/>
          <w:highlight w:val="none"/>
        </w:rPr>
        <w:sym w:font="Wingdings" w:char="00A8"/>
      </w:r>
      <w:r>
        <w:rPr>
          <w:rFonts w:hint="eastAsia" w:ascii="宋体" w:hAnsi="宋体"/>
          <w:bCs/>
          <w:highlight w:val="none"/>
        </w:rPr>
        <w:t>否</w:t>
      </w:r>
    </w:p>
    <w:p>
      <w:pPr>
        <w:adjustRightInd w:val="0"/>
        <w:snapToGrid w:val="0"/>
        <w:spacing w:line="360" w:lineRule="auto"/>
        <w:ind w:firstLine="420" w:firstLineChars="200"/>
        <w:rPr>
          <w:rFonts w:ascii="宋体" w:hAnsi="宋体"/>
          <w:bCs/>
          <w:highlight w:val="none"/>
          <w:u w:val="single"/>
        </w:rPr>
      </w:pPr>
      <w:r>
        <w:rPr>
          <w:rFonts w:hint="eastAsia" w:ascii="宋体" w:hAnsi="宋体"/>
          <w:bCs/>
          <w:highlight w:val="none"/>
        </w:rPr>
        <w:t>验收组织的其他事项：</w:t>
      </w:r>
      <w:r>
        <w:rPr>
          <w:rFonts w:hint="eastAsia" w:ascii="宋体" w:hAnsi="宋体"/>
          <w:bCs/>
          <w:highlight w:val="none"/>
          <w:u w:val="single"/>
        </w:rPr>
        <w:t xml:space="preserve">                </w:t>
      </w:r>
    </w:p>
    <w:p>
      <w:pPr>
        <w:adjustRightInd w:val="0"/>
        <w:snapToGrid w:val="0"/>
        <w:spacing w:line="360" w:lineRule="auto"/>
        <w:ind w:firstLine="420" w:firstLineChars="200"/>
        <w:rPr>
          <w:rFonts w:ascii="宋体" w:hAnsi="宋体"/>
          <w:bCs/>
          <w:highlight w:val="none"/>
        </w:rPr>
      </w:pPr>
      <w:r>
        <w:rPr>
          <w:rFonts w:hint="eastAsia" w:ascii="宋体" w:hAnsi="宋体"/>
          <w:bCs/>
          <w:highlight w:val="none"/>
        </w:rPr>
        <w:t>（2）履约验收时间：</w:t>
      </w:r>
      <w:r>
        <w:rPr>
          <w:rFonts w:hint="eastAsia" w:ascii="宋体" w:hAnsi="宋体"/>
          <w:bCs/>
          <w:highlight w:val="none"/>
          <w:u w:val="single"/>
        </w:rPr>
        <w:t xml:space="preserve">    按本条款（4）履约验收程序执行 。</w:t>
      </w:r>
      <w:r>
        <w:rPr>
          <w:rFonts w:hint="eastAsia" w:ascii="宋体" w:hAnsi="宋体"/>
          <w:bCs/>
          <w:highlight w:val="none"/>
        </w:rPr>
        <w:t>（3）履约验收方式：</w:t>
      </w:r>
      <w:r>
        <w:rPr>
          <w:rFonts w:hint="eastAsia" w:ascii="宋体" w:hAnsi="宋体" w:cs="宋体"/>
          <w:highlight w:val="none"/>
        </w:rPr>
        <w:sym w:font="Wingdings" w:char="00A8"/>
      </w:r>
      <w:r>
        <w:rPr>
          <w:rFonts w:hint="eastAsia" w:ascii="宋体" w:hAnsi="宋体"/>
          <w:bCs/>
          <w:highlight w:val="none"/>
        </w:rPr>
        <w:t xml:space="preserve">一次性验收         </w:t>
      </w:r>
    </w:p>
    <w:p>
      <w:pPr>
        <w:adjustRightInd w:val="0"/>
        <w:snapToGrid w:val="0"/>
        <w:spacing w:line="360" w:lineRule="auto"/>
        <w:ind w:firstLine="420" w:firstLineChars="200"/>
        <w:rPr>
          <w:rFonts w:ascii="宋体" w:hAnsi="宋体"/>
          <w:bCs/>
          <w:highlight w:val="none"/>
        </w:rPr>
      </w:pPr>
      <w:r>
        <w:rPr>
          <w:rFonts w:hint="eastAsia" w:ascii="宋体" w:hAnsi="宋体"/>
          <w:bCs/>
          <w:highlight w:val="none"/>
        </w:rPr>
        <w:t xml:space="preserve">                       </w:t>
      </w:r>
      <w:r>
        <w:rPr>
          <w:rFonts w:hint="eastAsia" w:ascii="宋体" w:hAnsi="宋体" w:cs="宋体"/>
          <w:highlight w:val="none"/>
        </w:rPr>
        <w:sym w:font="Wingdings" w:char="00FE"/>
      </w:r>
      <w:r>
        <w:rPr>
          <w:rFonts w:hint="eastAsia" w:ascii="宋体" w:hAnsi="宋体"/>
          <w:bCs/>
          <w:highlight w:val="none"/>
        </w:rPr>
        <w:t>分期/分项验收：</w:t>
      </w:r>
      <w:r>
        <w:rPr>
          <w:rFonts w:hint="eastAsia" w:ascii="宋体" w:hAnsi="宋体"/>
          <w:bCs/>
          <w:highlight w:val="none"/>
          <w:u w:val="single"/>
        </w:rPr>
        <w:t xml:space="preserve"> （应明确分期</w:t>
      </w:r>
      <w:r>
        <w:rPr>
          <w:rFonts w:ascii="宋体" w:hAnsi="宋体"/>
          <w:bCs/>
          <w:highlight w:val="none"/>
          <w:u w:val="single"/>
          <w:lang w:val="en"/>
        </w:rPr>
        <w:t>/</w:t>
      </w:r>
      <w:r>
        <w:rPr>
          <w:rFonts w:hint="eastAsia" w:ascii="宋体" w:hAnsi="宋体"/>
          <w:bCs/>
          <w:highlight w:val="none"/>
          <w:u w:val="single"/>
          <w:lang w:val="en"/>
        </w:rPr>
        <w:t>分项验收的工作安排</w:t>
      </w:r>
      <w:r>
        <w:rPr>
          <w:rFonts w:hint="eastAsia" w:ascii="宋体" w:hAnsi="宋体"/>
          <w:bCs/>
          <w:highlight w:val="none"/>
          <w:u w:val="single"/>
        </w:rPr>
        <w:t xml:space="preserve">）  </w:t>
      </w:r>
    </w:p>
    <w:p>
      <w:pPr>
        <w:numPr>
          <w:ilvl w:val="0"/>
          <w:numId w:val="7"/>
        </w:numPr>
        <w:spacing w:line="360" w:lineRule="auto"/>
        <w:ind w:firstLine="420" w:firstLineChars="200"/>
        <w:rPr>
          <w:rFonts w:ascii="宋体" w:hAnsi="宋体"/>
          <w:bCs/>
          <w:highlight w:val="none"/>
        </w:rPr>
      </w:pPr>
      <w:r>
        <w:rPr>
          <w:rFonts w:hint="eastAsia" w:ascii="宋体" w:hAnsi="宋体"/>
          <w:bCs/>
          <w:highlight w:val="none"/>
        </w:rPr>
        <w:t>履约验收程序：</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（4）.1 产品质量应达到技术需求，应能通过质检、计量部门的检验；</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（4）.2检验和验收将按照以下标准和条件进行：</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（4）.2.1招标文件中对货物规定的技术标准；</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（4）.2.2招标人向乙方提供的样品标准；</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（4）.2.3检验抽样按有关标准执行。</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（4）.3合同货物经如下检验合格后才能进行批量生产和供货：</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（4）.3.1产品质量验收</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验收范围：验收范围：主要原辅材料、首批产品。材料质量检验程序按《森林消防队伍防护类被服装具供应管理暂行规定》第二十五条执行。</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（4）.3.2乙方在产品通过封样后，上报《首批防护被装产品质量验收申请表》，甲方收到报检后10个工作日内，按照《首批防护被装产品质量验收标准》组织验收。</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（4）.3.3首批产品报检数量：下线待检产品、已检验待包装产品，均不少于 50 套（件、顶、双）；待出厂产品，不少于 200 套（件、床），其中鞋帽、服饰不少于 400 顶（双、副）。</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（4）.3.4验收时，审查技术资料和理化检测报告，查验材料筹措渠道，检查生产现场和设备，按抽样比例、数量及要求抽检产品质量。</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（4）.3.5验收后，验收组做出是否通过验收和允许批量生产的结论，向企业出具《首批防护被装产品质量验收书》，通报验收结果。</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（4）.4 生产过程监督检查</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乙方批量生产开始后，甲方可随时派员对消防被装的生产工艺、半成品、成品、样板、图纸、楦样、主辅材料及包装材料等进行实地检查，重点对乙方产品的主辅材料、式样结构、规格尺寸、外观质量、颜色色差、缝制质量、工艺要求、包装质量等质量管理项目采用人工观察、尺寸测量等方法进行检验和判定，确保乙方产品与标样在外观风格、细节工艺、主辅材料等各个方面保持一致性。</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（4）.4 .1实地检查组由地方检测机构专家和验收组被装业务人员组成，总人数不少于3人。</w:t>
      </w:r>
    </w:p>
    <w:p>
      <w:pPr>
        <w:spacing w:line="360" w:lineRule="auto"/>
        <w:ind w:left="399" w:leftChars="190"/>
        <w:rPr>
          <w:rFonts w:asciiTheme="minorEastAsia" w:hAnsiTheme="minorEastAsia" w:cstheme="minorEastAsia"/>
          <w:highlight w:val="none"/>
        </w:rPr>
      </w:pPr>
      <w:r>
        <w:rPr>
          <w:rFonts w:hint="eastAsia" w:asciiTheme="minorEastAsia" w:hAnsiTheme="minorEastAsia" w:cstheme="minorEastAsia"/>
          <w:highlight w:val="none"/>
        </w:rPr>
        <w:t>（4）.4 .2实地检查组根据检查情况，向甲方报送《防护被装产品实地检查情况报告单》（4）.5 对出库前的成品进行待出厂产品质量检验</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（4）.5 .1待出厂检验由乙方上报《防护被装产品待出厂检验申请表》，收到报检后 10 个工作日内实施检验。</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（4）.5 .2待出厂检验的产品，必须经企业检验合格并包装好。报检数量，每次不少于合同总量的三分之一。</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（4）.5 .3待出厂检验采取随机抽样的方法，按抽样比例、数量及要求抽样检测（费用由乙方承担）如有质量问题，与乙方核实签字后，填写《防护被装产品质检抽样登记表》和《防护被装产品质量检验原始记录单》，以备审查。若检测结果和投标文件相应参数（或采购合同双方约定的技术指标）不符合，乙方将面临解除合同并承担相关后果的风险。</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（4）.5 .4检验后，按照标准规定做出是否允许出厂的结论。质量合格的，签发《防护被装产品质量检验出厂许可证》。抽检产品不合格的，对原批次产品加倍重新抽检；质量不合格的，向企业下达《防护被装产品质量问题整改通知书》。</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（4）.5 .5凭甲方出具的《产品出厂许可证》方可供货。</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（4）.6产品技术标准应符合招标文件规定的标准以及甲方确定的技术标准；未经批准，擅自修改、调整产品技术标准或包装标准（或材质），甲方有权视为整批产品为不合格产品。</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（4）.7入库产品抽查</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7.1甲方验收人员对照乙方提供的交货清单，根据出厂许可证和规定检验程序，对接收产品按照3000以内抽检5‰、3001至30000抽检3‰的比例，对外观及包装进行抽检。乙方委托的物流人员须在开箱现场全程配合。</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7.2甲方验收人员确认品种、数量、号型无误后，在6份《云南省森林消防总队物资到货验收登记表》上签字盖章并注明收货时间，5份交给物流返回乙方（乙方1份，甲方后勤部门2份、采购中心1份、财务部门1份），1份留存收货单位；甲方验收人员完成验收10日内，即应将签收后的回执单进行拍照或扫描后，将相关图片发至乙方指定邮箱（暂时省略）；甲方验收人员不及时采用邮件发送相关回执单的照片或扫描件时，乙方可随时通过甲方指定渠道进行投诉。</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（4）.7.3甲方验收人员在现场点验无异议的，不得在验收结束之日后再次向乙方提出关于数量、号型方面的异议；如甲方验收人员在后续有异议的，可向甲方后勤部门反映。</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7.4甲方在现场查验中发现差异、错号、破损、灭失等情况，经现场交接双方签字确认后，现场通知乙方，乙方必须无条件在15天内免费调换、补足，同时查找问题原因。如确实存在相应问题，应由乙方承担全部的生产、物流等费用；如不存在相应问题，乙方提供相应证明材料后，双方协商解决。</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（4）.7.5乙方按照甲方要求进行分包包装，分包的包装箱内出错（破损）产品的数量占比高于合同产品总数量3‰的，甲方扣除乙方履约保证金的10%。</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8.除了按照甲方所提出的交货产品、数量、号型、交货时间等要求进行严格落实外，乙方不接受甲方所属的任何下级单位及人员提出的任何额外要求。</w:t>
      </w:r>
    </w:p>
    <w:p>
      <w:pPr>
        <w:spacing w:line="360" w:lineRule="auto"/>
        <w:ind w:firstLine="420" w:firstLineChars="200"/>
        <w:rPr>
          <w:rFonts w:asciiTheme="minorEastAsia" w:hAnsiTheme="minorEastAsia" w:cstheme="minorEastAsia"/>
          <w:highlight w:val="none"/>
        </w:rPr>
      </w:pPr>
      <w:r>
        <w:rPr>
          <w:rFonts w:hint="eastAsia" w:asciiTheme="minorEastAsia" w:hAnsiTheme="minorEastAsia" w:cstheme="minorEastAsia"/>
          <w:highlight w:val="none"/>
        </w:rPr>
        <w:t>（4）.7.6乙方应按合同规定的时间和数量与甲方做好货物移交验收工作，运输移交工程所发生的一切费用由乙方承担。</w:t>
      </w:r>
    </w:p>
    <w:p>
      <w:pPr>
        <w:pStyle w:val="70"/>
        <w:spacing w:line="360" w:lineRule="auto"/>
        <w:ind w:firstLine="420"/>
        <w:jc w:val="left"/>
        <w:rPr>
          <w:rFonts w:ascii="宋体" w:hAnsi="宋体" w:eastAsia="华文仿宋"/>
          <w:bCs/>
          <w:szCs w:val="21"/>
          <w:highlight w:val="none"/>
        </w:rPr>
      </w:pPr>
      <w:r>
        <w:rPr>
          <w:rFonts w:hint="eastAsia" w:ascii="宋体" w:hAnsi="宋体"/>
          <w:bCs/>
          <w:szCs w:val="21"/>
          <w:highlight w:val="none"/>
        </w:rPr>
        <w:t>（5）履约验收的内容： 包括每一项技术和商务要求的履约情况。</w:t>
      </w:r>
    </w:p>
    <w:p>
      <w:pPr>
        <w:spacing w:line="360" w:lineRule="auto"/>
        <w:ind w:firstLine="420" w:firstLineChars="200"/>
        <w:rPr>
          <w:rFonts w:ascii="宋体" w:hAnsi="宋体"/>
          <w:bCs/>
          <w:highlight w:val="none"/>
        </w:rPr>
      </w:pPr>
      <w:r>
        <w:rPr>
          <w:rFonts w:hint="eastAsia" w:ascii="宋体" w:hAnsi="宋体"/>
          <w:bCs/>
          <w:highlight w:val="none"/>
        </w:rPr>
        <w:t>（6）履约验收标准：</w:t>
      </w:r>
    </w:p>
    <w:p>
      <w:pPr>
        <w:spacing w:line="360" w:lineRule="auto"/>
        <w:ind w:firstLine="420" w:firstLineChars="200"/>
        <w:rPr>
          <w:rFonts w:ascii="宋体" w:hAnsi="宋体" w:cs="宋体"/>
          <w:highlight w:val="none"/>
        </w:rPr>
      </w:pPr>
      <w:r>
        <w:rPr>
          <w:rFonts w:hint="eastAsia" w:ascii="宋体" w:hAnsi="宋体"/>
          <w:bCs/>
          <w:highlight w:val="none"/>
        </w:rPr>
        <w:t>（6）.1</w:t>
      </w:r>
      <w:r>
        <w:rPr>
          <w:rFonts w:hint="eastAsia" w:ascii="宋体" w:hAnsi="宋体" w:cs="宋体"/>
          <w:highlight w:val="none"/>
        </w:rPr>
        <w:t>乙方提供的货物或服务应符合国家规定的标准、行业标准、招投标文件及本合同约定，且乙方提供的货物，应当是符合甲方要求的全新的、经出厂检验合格（包括零部件）产品。</w:t>
      </w:r>
    </w:p>
    <w:p>
      <w:pPr>
        <w:spacing w:line="360" w:lineRule="auto"/>
        <w:ind w:firstLine="420" w:firstLineChars="200"/>
        <w:rPr>
          <w:rFonts w:ascii="宋体" w:hAnsi="宋体" w:cs="宋体"/>
          <w:highlight w:val="none"/>
        </w:rPr>
      </w:pPr>
      <w:r>
        <w:rPr>
          <w:rFonts w:hint="eastAsia" w:ascii="宋体" w:hAnsi="宋体"/>
          <w:bCs/>
          <w:highlight w:val="none"/>
        </w:rPr>
        <w:t>（6）.2</w:t>
      </w:r>
      <w:r>
        <w:rPr>
          <w:rFonts w:hint="eastAsia" w:ascii="宋体" w:hAnsi="宋体" w:cs="宋体"/>
          <w:highlight w:val="none"/>
        </w:rPr>
        <w:t>如对验收结果等有异议，提出异议期限为交货后一个工作日。</w:t>
      </w:r>
    </w:p>
    <w:p>
      <w:pPr>
        <w:spacing w:line="360" w:lineRule="auto"/>
        <w:ind w:firstLine="420" w:firstLineChars="200"/>
        <w:rPr>
          <w:highlight w:val="none"/>
        </w:rPr>
      </w:pPr>
      <w:r>
        <w:rPr>
          <w:rFonts w:hint="eastAsia" w:ascii="宋体" w:hAnsi="宋体"/>
          <w:bCs/>
          <w:highlight w:val="none"/>
        </w:rPr>
        <w:t>（6）.3</w:t>
      </w:r>
      <w:r>
        <w:rPr>
          <w:rFonts w:hint="eastAsia" w:ascii="宋体" w:hAnsi="宋体" w:cs="宋体"/>
          <w:highlight w:val="none"/>
        </w:rPr>
        <w:t>甲方入库产品抽查是对产品外观、数量、型号的检查验收，只是对产品的表面验收，不能视为是对产品质量的验收确认，在质保期内，甲方根据检验结果发现产品（货物）的质量或规格与合同要求不符，或产品（货物）被证实有缺陷，包括潜在的缺陷、使用不合适的材料、产品在使用过程中才能发现的隐蔽瑕疵等，乙方应依照本合同约定承担违约责任，验收和检验应当按照甲方要求及安排进行，乙方配合甲方做好验收工作，本合同货物及服务应当符合国家规定的标准以及行业标准。若发现交付货物或完成的服务不符合要求或存在质量问题，乙方应当按照甲方要求采取有效补救措施，如果超过15个日历天仍未有效解决的，视为验收不合格，甲方有权单方面解除本合同，所供产品（货物）由乙方自行带回，甲方有权没收其履约保证金，根据合同违约条款追究乙方违约责任，并将乙方纳入甲方采购黑名单,并在全国消防装备信息网上公示其违约事实。在产品安装调试期间或安装调试完成后，如果因乙方提供产品（货物）有缺陷或由于乙方技术人员的指导错误或乙方提供的技术资料、图纸、说明书的错误造成甲方设备、材料损坏、乙方应采取必要的补救措施、赔偿甲方的损失并承担违约责任。</w:t>
      </w:r>
    </w:p>
    <w:p>
      <w:pPr>
        <w:spacing w:line="360" w:lineRule="auto"/>
        <w:ind w:firstLine="420" w:firstLineChars="200"/>
        <w:rPr>
          <w:rFonts w:ascii="宋体" w:hAnsi="宋体" w:cs="宋体"/>
          <w:highlight w:val="none"/>
          <w:u w:val="single"/>
        </w:rPr>
      </w:pPr>
      <w:r>
        <w:rPr>
          <w:rFonts w:hint="eastAsia" w:ascii="宋体" w:hAnsi="宋体" w:cs="宋体"/>
          <w:highlight w:val="none"/>
          <w:u w:val="single"/>
        </w:rPr>
        <w:t>（7）是否以采购活动中乙方提供的样品作为参考：</w:t>
      </w:r>
      <w:r>
        <w:rPr>
          <w:rFonts w:hint="eastAsia" w:ascii="宋体" w:hAnsi="宋体" w:cs="宋体"/>
          <w:highlight w:val="none"/>
          <w:u w:val="single"/>
        </w:rPr>
        <w:sym w:font="Wingdings" w:char="00FE"/>
      </w:r>
      <w:r>
        <w:rPr>
          <w:rFonts w:hint="eastAsia" w:ascii="宋体" w:hAnsi="宋体" w:cs="宋体"/>
          <w:highlight w:val="none"/>
          <w:u w:val="single"/>
        </w:rPr>
        <w:t xml:space="preserve">是  </w:t>
      </w:r>
      <w:r>
        <w:rPr>
          <w:rFonts w:hint="eastAsia" w:ascii="宋体" w:hAnsi="宋体" w:cs="宋体"/>
          <w:highlight w:val="none"/>
          <w:u w:val="single"/>
        </w:rPr>
        <w:sym w:font="Wingdings" w:char="00A8"/>
      </w:r>
      <w:r>
        <w:rPr>
          <w:rFonts w:hint="eastAsia" w:ascii="宋体" w:hAnsi="宋体" w:cs="宋体"/>
          <w:highlight w:val="none"/>
          <w:u w:val="single"/>
        </w:rPr>
        <w:t>否</w:t>
      </w:r>
    </w:p>
    <w:p>
      <w:pPr>
        <w:spacing w:line="360" w:lineRule="auto"/>
        <w:ind w:firstLine="420" w:firstLineChars="200"/>
        <w:rPr>
          <w:rFonts w:ascii="宋体" w:hAnsi="宋体" w:cs="宋体"/>
          <w:highlight w:val="none"/>
          <w:u w:val="single"/>
        </w:rPr>
      </w:pPr>
      <w:bookmarkStart w:id="178" w:name="_Toc4608"/>
      <w:r>
        <w:rPr>
          <w:rFonts w:hint="eastAsia" w:ascii="宋体" w:hAnsi="宋体" w:cs="宋体"/>
          <w:highlight w:val="none"/>
          <w:u w:val="single"/>
        </w:rPr>
        <w:t>（8）履约验收其他事项：</w:t>
      </w:r>
      <w:bookmarkEnd w:id="178"/>
      <w:r>
        <w:rPr>
          <w:rFonts w:hint="eastAsia" w:ascii="宋体" w:hAnsi="宋体" w:cs="宋体"/>
          <w:highlight w:val="none"/>
          <w:u w:val="single"/>
        </w:rPr>
        <w:t xml:space="preserve">   </w:t>
      </w:r>
    </w:p>
    <w:p>
      <w:pPr>
        <w:spacing w:line="360" w:lineRule="auto"/>
        <w:ind w:firstLine="422" w:firstLineChars="200"/>
        <w:rPr>
          <w:rFonts w:ascii="Times New Roman" w:hAnsi="Times New Roman" w:eastAsia="黑体"/>
          <w:sz w:val="32"/>
          <w:szCs w:val="32"/>
          <w:highlight w:val="none"/>
        </w:rPr>
      </w:pPr>
      <w:r>
        <w:rPr>
          <w:rFonts w:hint="eastAsia" w:ascii="宋体" w:hAnsi="宋体" w:cs="宋体"/>
          <w:b/>
          <w:bCs/>
          <w:highlight w:val="none"/>
        </w:rPr>
        <w:t>12.</w:t>
      </w:r>
      <w:r>
        <w:rPr>
          <w:rFonts w:ascii="宋体" w:hAnsi="宋体" w:cs="宋体"/>
          <w:b/>
          <w:bCs/>
          <w:highlight w:val="none"/>
        </w:rPr>
        <w:t>交货地点</w:t>
      </w:r>
      <w:r>
        <w:rPr>
          <w:rFonts w:hint="eastAsia" w:ascii="宋体" w:hAnsi="宋体" w:cs="宋体"/>
          <w:b/>
          <w:bCs/>
          <w:highlight w:val="none"/>
        </w:rPr>
        <w:t>、时间、</w:t>
      </w:r>
      <w:r>
        <w:rPr>
          <w:rFonts w:ascii="宋体" w:hAnsi="宋体" w:cs="宋体"/>
          <w:b/>
          <w:bCs/>
          <w:highlight w:val="none"/>
        </w:rPr>
        <w:t>方式：</w:t>
      </w:r>
    </w:p>
    <w:p>
      <w:pPr>
        <w:spacing w:line="360" w:lineRule="auto"/>
        <w:ind w:firstLine="420" w:firstLineChars="200"/>
        <w:rPr>
          <w:rFonts w:ascii="宋体" w:hAnsi="宋体" w:cs="宋体"/>
          <w:highlight w:val="none"/>
        </w:rPr>
      </w:pPr>
      <w:r>
        <w:rPr>
          <w:rFonts w:ascii="宋体" w:hAnsi="宋体" w:cs="宋体"/>
          <w:highlight w:val="none"/>
        </w:rPr>
        <w:t>（</w:t>
      </w:r>
      <w:r>
        <w:rPr>
          <w:rFonts w:hint="eastAsia" w:ascii="宋体" w:hAnsi="宋体" w:cs="宋体"/>
          <w:highlight w:val="none"/>
        </w:rPr>
        <w:t>一）交货地点：云南省森林消防总队指定地点。</w:t>
      </w:r>
    </w:p>
    <w:p>
      <w:pPr>
        <w:spacing w:line="360" w:lineRule="auto"/>
        <w:ind w:firstLine="420" w:firstLineChars="200"/>
        <w:rPr>
          <w:rFonts w:ascii="宋体" w:hAnsi="宋体" w:cs="宋体"/>
          <w:highlight w:val="none"/>
          <w:lang w:val="zh-CN"/>
        </w:rPr>
      </w:pPr>
      <w:r>
        <w:rPr>
          <w:rFonts w:hint="eastAsia" w:ascii="宋体" w:hAnsi="宋体" w:cs="宋体"/>
          <w:highlight w:val="none"/>
          <w:lang w:val="zh-CN"/>
        </w:rPr>
        <w:t>（</w:t>
      </w:r>
      <w:r>
        <w:rPr>
          <w:rFonts w:hint="eastAsia" w:ascii="宋体" w:hAnsi="宋体" w:cs="宋体"/>
          <w:highlight w:val="none"/>
        </w:rPr>
        <w:t xml:space="preserve">二）交货时间：   </w:t>
      </w:r>
      <w:r>
        <w:rPr>
          <w:rFonts w:hint="eastAsia" w:ascii="宋体" w:hAnsi="宋体" w:cs="宋体"/>
          <w:highlight w:val="none"/>
          <w:lang w:val="zh-CN"/>
        </w:rPr>
        <w:t>年</w:t>
      </w:r>
      <w:r>
        <w:rPr>
          <w:rFonts w:hint="eastAsia" w:ascii="宋体" w:hAnsi="宋体" w:cs="宋体"/>
          <w:highlight w:val="none"/>
        </w:rPr>
        <w:t xml:space="preserve">  </w:t>
      </w:r>
      <w:r>
        <w:rPr>
          <w:rFonts w:hint="eastAsia" w:ascii="宋体" w:hAnsi="宋体" w:cs="宋体"/>
          <w:highlight w:val="none"/>
          <w:lang w:val="zh-CN"/>
        </w:rPr>
        <w:t>月</w:t>
      </w:r>
      <w:r>
        <w:rPr>
          <w:rFonts w:hint="eastAsia" w:ascii="宋体" w:hAnsi="宋体" w:cs="宋体"/>
          <w:highlight w:val="none"/>
        </w:rPr>
        <w:t xml:space="preserve">  </w:t>
      </w:r>
      <w:r>
        <w:rPr>
          <w:rFonts w:hint="eastAsia" w:ascii="宋体" w:hAnsi="宋体" w:cs="宋体"/>
          <w:highlight w:val="none"/>
          <w:lang w:val="zh-CN"/>
        </w:rPr>
        <w:t>日前配送完毕。</w:t>
      </w:r>
    </w:p>
    <w:p>
      <w:pPr>
        <w:spacing w:line="360" w:lineRule="auto"/>
        <w:ind w:firstLine="420" w:firstLineChars="200"/>
        <w:rPr>
          <w:rFonts w:ascii="宋体" w:hAnsi="宋体" w:cs="宋体"/>
          <w:b/>
          <w:bCs/>
          <w:highlight w:val="none"/>
        </w:rPr>
      </w:pPr>
      <w:r>
        <w:rPr>
          <w:rFonts w:hint="eastAsia" w:ascii="宋体" w:hAnsi="宋体" w:cs="宋体"/>
          <w:highlight w:val="none"/>
        </w:rPr>
        <w:t>（三）交货方式：</w:t>
      </w:r>
      <w:r>
        <w:rPr>
          <w:rFonts w:hint="eastAsia" w:ascii="宋体" w:hAnsi="宋体" w:cs="宋体"/>
          <w:highlight w:val="none"/>
          <w:lang w:val="zh-CN"/>
        </w:rPr>
        <w:t>乙方负责指定相关人员及车辆到甲方指定</w:t>
      </w:r>
      <w:r>
        <w:rPr>
          <w:rFonts w:ascii="宋体" w:hAnsi="宋体" w:cs="宋体"/>
          <w:highlight w:val="none"/>
          <w:lang w:val="zh-CN"/>
        </w:rPr>
        <w:t>地点进行</w:t>
      </w:r>
      <w:r>
        <w:rPr>
          <w:rFonts w:hint="eastAsia" w:ascii="宋体" w:hAnsi="宋体" w:cs="宋体"/>
          <w:highlight w:val="none"/>
          <w:lang w:val="zh-CN"/>
        </w:rPr>
        <w:t>交货</w:t>
      </w:r>
      <w:r>
        <w:rPr>
          <w:rFonts w:ascii="宋体" w:hAnsi="宋体" w:cs="宋体"/>
          <w:highlight w:val="none"/>
          <w:lang w:val="zh-CN"/>
        </w:rPr>
        <w:t>。</w:t>
      </w:r>
    </w:p>
    <w:p>
      <w:pPr>
        <w:pStyle w:val="69"/>
        <w:spacing w:line="360" w:lineRule="auto"/>
        <w:ind w:firstLine="422"/>
        <w:rPr>
          <w:rFonts w:ascii="宋体" w:hAnsi="宋体" w:eastAsia="宋体" w:cs="宋体"/>
          <w:b/>
          <w:bCs/>
          <w:sz w:val="21"/>
          <w:highlight w:val="none"/>
        </w:rPr>
      </w:pPr>
      <w:r>
        <w:rPr>
          <w:rFonts w:hint="eastAsia" w:ascii="宋体" w:hAnsi="宋体" w:eastAsia="宋体" w:cs="宋体"/>
          <w:b/>
          <w:bCs/>
          <w:sz w:val="21"/>
          <w:highlight w:val="none"/>
        </w:rPr>
        <w:t>13.售后服务</w:t>
      </w:r>
    </w:p>
    <w:p>
      <w:pPr>
        <w:spacing w:line="360" w:lineRule="auto"/>
        <w:ind w:firstLine="420" w:firstLineChars="200"/>
        <w:rPr>
          <w:rFonts w:ascii="宋体" w:hAnsi="宋体" w:cs="宋体"/>
          <w:highlight w:val="none"/>
        </w:rPr>
      </w:pPr>
      <w:r>
        <w:rPr>
          <w:rFonts w:hint="eastAsia" w:ascii="宋体" w:hAnsi="宋体" w:cs="宋体"/>
          <w:highlight w:val="none"/>
        </w:rPr>
        <w:t>（1）质保期：质保期从货物验收合格之日起开始计算。在此期间如发现货物有质量问题，乙方应在24小时内无条件免费更换货物。</w:t>
      </w:r>
    </w:p>
    <w:p>
      <w:pPr>
        <w:spacing w:line="360" w:lineRule="auto"/>
        <w:ind w:firstLine="420" w:firstLineChars="200"/>
        <w:rPr>
          <w:rFonts w:ascii="宋体" w:hAnsi="宋体" w:cs="宋体"/>
          <w:highlight w:val="none"/>
        </w:rPr>
      </w:pPr>
      <w:r>
        <w:rPr>
          <w:rFonts w:hint="eastAsia" w:ascii="宋体" w:hAnsi="宋体" w:cs="宋体"/>
          <w:highlight w:val="none"/>
        </w:rPr>
        <w:t>（2）应具有完善的服务保障体系。能够提供7×24电话技术咨询服务、故障诊断处理服务，并承诺在紧急情况发生时 4 小时间内响应，如短时间无法快速处理问题需返厂修理，在修理同时乙方应免费提供备用产品；</w:t>
      </w:r>
    </w:p>
    <w:p>
      <w:pPr>
        <w:spacing w:line="360" w:lineRule="auto"/>
        <w:ind w:firstLine="420" w:firstLineChars="200"/>
        <w:rPr>
          <w:rFonts w:ascii="宋体" w:hAnsi="宋体" w:cs="宋体"/>
          <w:highlight w:val="none"/>
        </w:rPr>
      </w:pPr>
      <w:r>
        <w:rPr>
          <w:rFonts w:hint="eastAsia" w:ascii="宋体" w:hAnsi="宋体" w:cs="宋体"/>
          <w:highlight w:val="none"/>
        </w:rPr>
        <w:t>（3）零星采购保障要求：因保障需要，用户单位向乙方下达零星采购保障需求后，乙方应在最短时间内予以响应，并在规定时间内将零星采购货物寄递至用户单位指定地点，涉及的运输费用均由乙方承担。</w:t>
      </w:r>
    </w:p>
    <w:p>
      <w:pPr>
        <w:spacing w:line="360" w:lineRule="auto"/>
        <w:ind w:firstLine="420" w:firstLineChars="200"/>
        <w:rPr>
          <w:rFonts w:ascii="宋体" w:hAnsi="宋体" w:cs="宋体"/>
          <w:highlight w:val="none"/>
        </w:rPr>
      </w:pPr>
      <w:r>
        <w:rPr>
          <w:rFonts w:hint="eastAsia" w:ascii="宋体" w:hAnsi="宋体" w:cs="宋体"/>
          <w:highlight w:val="none"/>
        </w:rPr>
        <w:t>（4）后续实施需提供技术支持。乙方须具备完善的技术支持、售后服务体系，提供免费售后服务电话以及现场更换或返厂维修，涉及的相关费用由投标方承担。提供防护装备使用维护教学视频和文字材料。</w:t>
      </w:r>
    </w:p>
    <w:p>
      <w:pPr>
        <w:spacing w:line="360" w:lineRule="auto"/>
        <w:ind w:firstLine="422" w:firstLineChars="200"/>
        <w:rPr>
          <w:rFonts w:ascii="宋体" w:hAnsi="宋体" w:cs="宋体"/>
          <w:b/>
          <w:bCs/>
          <w:highlight w:val="none"/>
        </w:rPr>
      </w:pPr>
      <w:r>
        <w:rPr>
          <w:rFonts w:hint="eastAsia" w:ascii="宋体" w:hAnsi="宋体" w:cs="宋体"/>
          <w:b/>
          <w:bCs/>
          <w:highlight w:val="none"/>
        </w:rPr>
        <w:t>（5）乙方投标响应文件承诺其他售后服务：</w:t>
      </w:r>
      <w:r>
        <w:rPr>
          <w:rFonts w:hint="eastAsia" w:ascii="宋体" w:hAnsi="宋体" w:cs="宋体"/>
          <w:highlight w:val="none"/>
          <w:u w:val="single"/>
        </w:rPr>
        <w:t xml:space="preserve">                         。</w:t>
      </w:r>
    </w:p>
    <w:p>
      <w:pPr>
        <w:pStyle w:val="69"/>
        <w:spacing w:line="360" w:lineRule="auto"/>
        <w:ind w:firstLine="422"/>
        <w:rPr>
          <w:rFonts w:ascii="宋体" w:hAnsi="宋体" w:eastAsia="宋体" w:cs="宋体"/>
          <w:b/>
          <w:bCs/>
          <w:sz w:val="21"/>
          <w:highlight w:val="none"/>
        </w:rPr>
      </w:pPr>
      <w:r>
        <w:rPr>
          <w:rFonts w:hint="eastAsia" w:ascii="宋体" w:hAnsi="宋体" w:eastAsia="宋体" w:cs="宋体"/>
          <w:b/>
          <w:bCs/>
          <w:sz w:val="21"/>
          <w:highlight w:val="none"/>
        </w:rPr>
        <w:t>14.违约责任</w:t>
      </w:r>
    </w:p>
    <w:p>
      <w:pPr>
        <w:spacing w:line="360" w:lineRule="auto"/>
        <w:ind w:firstLine="420" w:firstLineChars="200"/>
        <w:rPr>
          <w:rFonts w:ascii="宋体" w:hAnsi="宋体" w:cs="宋体"/>
          <w:highlight w:val="none"/>
        </w:rPr>
      </w:pPr>
      <w:r>
        <w:rPr>
          <w:rFonts w:hint="eastAsia" w:ascii="宋体" w:hAnsi="宋体" w:cs="宋体"/>
          <w:highlight w:val="none"/>
        </w:rPr>
        <w:t>（1）乙方逾期履行本合同供货约定义务时，每逾期一日，应当按本合同总价的1‰向甲方支付履约逾期违约金；</w:t>
      </w:r>
      <w:r>
        <w:rPr>
          <w:rFonts w:hint="eastAsia" w:ascii="宋体" w:hAnsi="宋体" w:cs="宋体"/>
          <w:szCs w:val="32"/>
          <w:highlight w:val="none"/>
        </w:rPr>
        <w:t>延迟交货10天以上（不含10天）15天以下（含15天）的，乙方应向甲方支付延期交货部分产品合同金额3%的</w:t>
      </w:r>
      <w:r>
        <w:rPr>
          <w:rFonts w:hint="eastAsia" w:ascii="宋体" w:hAnsi="宋体" w:cs="宋体"/>
          <w:highlight w:val="none"/>
        </w:rPr>
        <w:t>履约逾期违约金</w:t>
      </w:r>
      <w:r>
        <w:rPr>
          <w:rFonts w:hint="eastAsia" w:ascii="宋体" w:hAnsi="宋体" w:cs="宋体"/>
          <w:szCs w:val="32"/>
          <w:highlight w:val="none"/>
        </w:rPr>
        <w:t>；</w:t>
      </w:r>
      <w:r>
        <w:rPr>
          <w:rFonts w:hint="eastAsia" w:ascii="宋体" w:hAnsi="宋体" w:cs="宋体"/>
          <w:highlight w:val="none"/>
        </w:rPr>
        <w:t>逾期超过15天以上，甲方有权单方解除本合同，并有权扣除全部履约保证金并要求乙方退还全部或部分已收合同款，如给甲方造成经济损失的，乙方应当承担全部违约责任并按实际损失额向甲方全额赔偿。</w:t>
      </w:r>
    </w:p>
    <w:p>
      <w:pPr>
        <w:spacing w:line="360" w:lineRule="auto"/>
        <w:ind w:firstLine="420" w:firstLineChars="200"/>
        <w:rPr>
          <w:rFonts w:ascii="宋体" w:hAnsi="宋体" w:cs="宋体"/>
          <w:highlight w:val="none"/>
        </w:rPr>
      </w:pPr>
      <w:r>
        <w:rPr>
          <w:rFonts w:hint="eastAsia" w:ascii="宋体" w:hAnsi="宋体" w:cs="宋体"/>
          <w:highlight w:val="none"/>
        </w:rPr>
        <w:t>（2）除本合同另有约定，乙方违约的，甲方有权扣除履约保证金并限期催告乙方停止违约行为、采取有效补救措施（包括但不限于继续履行合同、扣除履约保证金、赔偿甲方经济损失等）。如乙方未在甲方指定期限内采取相关措施并经甲方验收合格的，甲方有权单方解除本合同，并要求乙方退还全部或部分已收合同款，如给甲方造成经济损失的，乙方应当承担全部违约责任并按实际损失额向甲方全额赔偿。</w:t>
      </w:r>
    </w:p>
    <w:p>
      <w:pPr>
        <w:spacing w:line="360" w:lineRule="auto"/>
        <w:ind w:firstLine="420" w:firstLineChars="200"/>
        <w:rPr>
          <w:rFonts w:ascii="宋体" w:hAnsi="宋体" w:cs="宋体"/>
          <w:highlight w:val="none"/>
        </w:rPr>
      </w:pPr>
      <w:r>
        <w:rPr>
          <w:rFonts w:hint="eastAsia" w:ascii="宋体" w:hAnsi="宋体" w:cs="宋体"/>
          <w:highlight w:val="none"/>
        </w:rPr>
        <w:t>（3）在乙方违约但甲方不解除合同的情形下，甲方有权随时将履约保证金等额抵扣乙方应支付的违约金或经济损失，不足部分的违约金或经济损失由乙方另行支付，且乙方应当自履约保证金抵扣发生之日起二日内向甲方补足履约保证金。乙方违约，甲方解除本合同时，乙方所缴纳的履约保证金不予退还，乙方除应赔偿给甲方造成的损失外，还应承担合同总金额30%的违约金；</w:t>
      </w:r>
    </w:p>
    <w:p>
      <w:pPr>
        <w:spacing w:line="360" w:lineRule="auto"/>
        <w:ind w:firstLine="420" w:firstLineChars="200"/>
        <w:rPr>
          <w:rFonts w:ascii="宋体" w:hAnsi="宋体" w:cs="宋体"/>
          <w:highlight w:val="none"/>
        </w:rPr>
      </w:pPr>
      <w:r>
        <w:rPr>
          <w:rFonts w:hint="eastAsia" w:ascii="宋体" w:hAnsi="宋体" w:cs="宋体"/>
          <w:highlight w:val="none"/>
        </w:rPr>
        <w:t>（4）乙方必须向甲方提供全新的、经出厂检验合格的、获得国家销售许可的合格产品。若乙方所供货物是假货或走私等非法来源货物的，甲方有权扣除履约保证金并无条件解除本合同，乙方除应退还甲方支付的货款外还应向甲方支付合同总价30%倍的违约金。</w:t>
      </w:r>
    </w:p>
    <w:p>
      <w:pPr>
        <w:spacing w:line="360" w:lineRule="auto"/>
        <w:ind w:firstLine="420" w:firstLineChars="200"/>
        <w:rPr>
          <w:rFonts w:ascii="宋体" w:hAnsi="宋体" w:cs="宋体"/>
          <w:highlight w:val="none"/>
        </w:rPr>
      </w:pPr>
      <w:r>
        <w:rPr>
          <w:rFonts w:hint="eastAsia" w:ascii="宋体" w:hAnsi="宋体" w:cs="宋体"/>
          <w:highlight w:val="none"/>
        </w:rPr>
        <w:t>（5）乙方向甲方开具等额、真实、合法的有效发票，若乙方提供的发票存在虚假、过期、失效或违法等情形的，乙方应向甲方支付合同总价30%违约金并向甲方重新开具等额、真实、合法的有效发票。</w:t>
      </w:r>
    </w:p>
    <w:p>
      <w:pPr>
        <w:spacing w:line="360" w:lineRule="auto"/>
        <w:ind w:firstLine="420" w:firstLineChars="200"/>
        <w:rPr>
          <w:rFonts w:ascii="宋体" w:hAnsi="宋体" w:cs="宋体"/>
          <w:highlight w:val="none"/>
        </w:rPr>
      </w:pPr>
      <w:r>
        <w:rPr>
          <w:rFonts w:hint="eastAsia" w:ascii="宋体" w:hAnsi="宋体" w:cs="宋体"/>
          <w:highlight w:val="none"/>
        </w:rPr>
        <w:t>（6）质保期内，如乙方所供货物(产品)在使用过程中存在隐藏的重大缺陷(设计、工艺或者材料)及质量问题导致发生安全事故，造成甲方人员、任何第三方人员伤亡及财产损失的，由乙方承担医药费等全部赔偿责任且乙方应按合同总金额的30％向甲方支付违约金，涉嫌违法或构成犯罪的甲方将移交相关部门处理。</w:t>
      </w:r>
    </w:p>
    <w:p>
      <w:pPr>
        <w:spacing w:line="360" w:lineRule="auto"/>
        <w:ind w:firstLine="420" w:firstLineChars="200"/>
        <w:rPr>
          <w:rFonts w:ascii="宋体" w:hAnsi="宋体" w:cs="宋体"/>
          <w:highlight w:val="none"/>
        </w:rPr>
      </w:pPr>
      <w:r>
        <w:rPr>
          <w:rFonts w:hint="eastAsia" w:ascii="宋体" w:hAnsi="宋体" w:cs="宋体"/>
          <w:highlight w:val="none"/>
        </w:rPr>
        <w:t>（7）乙方应保证向甲方提供的产品不存在侵犯第三方知识产权的情况，若在产品使用期间，第三方向乙方或乙方产品提供方提起侵犯其专利权、商标权和工业设计权等知识产权的诉讼，从而影响甲方正常使用由此给甲方造成损失的，乙方应向甲方承担合同总金额的30％的违约金。</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（8）对部分指标不符合技术规范标准，但不影响使用的产品，应当返修；无法返修的，视不合格情况，对乙方进行约谈或处以该产品合同价3%的违约金。</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9）对已结算的入库产品，甲方任保留随机抽样送检的权利，发现质量问题，但仍可正常使用的，或在发放使用中发现质量问题的，根据产品质量问题程度，采取约谈、经济赔付或更换、返修实物的方式处理。采取经济赔付方式处理的，甲方有权处以该产品合同价3%的违约金。</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（10）包装不合格。外包装箱的强度、厚度等质量指标不符合甲方要求的，在运输过程中变形、破损等问题，甲方所属单位有权拒收。因乙方更换包装超出合同规定或双方商定交货时间的，按延期交货处理。</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11）产品外加工问题。乙方如将中标的产品转包或安排外加工生产（即乙方实际生产地点不在乙方投标文件中承诺的生产地点），甲方有权解除或终止合同，除没收乙方履约保证金作为违约金外，乙方另行支付合同总金额20%的违约金。</w:t>
      </w:r>
    </w:p>
    <w:p>
      <w:pPr>
        <w:spacing w:line="360" w:lineRule="auto"/>
        <w:ind w:firstLine="420" w:firstLineChars="200"/>
        <w:rPr>
          <w:rFonts w:ascii="宋体" w:hAnsi="宋体" w:cs="宋体"/>
          <w:szCs w:val="32"/>
          <w:highlight w:val="none"/>
        </w:rPr>
      </w:pPr>
      <w:r>
        <w:rPr>
          <w:rFonts w:hint="eastAsia" w:ascii="宋体" w:hAnsi="宋体" w:cs="宋体"/>
          <w:szCs w:val="32"/>
          <w:highlight w:val="none"/>
        </w:rPr>
        <w:t>（12）违规生产、转让、仿制、泄密等问题。甲方将没收乙方履约保证金，取消乙方再次参与甲方项目投标资格，乙方另行支付合同总金额 20%的违约金，并依法依规对乙方追究责任。</w:t>
      </w:r>
    </w:p>
    <w:p>
      <w:pPr>
        <w:spacing w:line="360" w:lineRule="auto"/>
        <w:ind w:firstLine="420" w:firstLineChars="200"/>
        <w:rPr>
          <w:rFonts w:ascii="宋体" w:hAnsi="宋体" w:cs="宋体"/>
          <w:highlight w:val="none"/>
        </w:rPr>
      </w:pPr>
      <w:r>
        <w:rPr>
          <w:rFonts w:hint="eastAsia" w:ascii="宋体" w:hAnsi="宋体" w:cs="宋体"/>
          <w:highlight w:val="none"/>
        </w:rPr>
        <w:t>（13）本合同的违约方应承担守约方为维护自身合法权益而支出的必要费用，包括但不限于诉讼费、保全费、保全保险费、鉴定评估费、差旅费、律师费等。</w:t>
      </w:r>
    </w:p>
    <w:p>
      <w:pPr>
        <w:spacing w:line="360" w:lineRule="auto"/>
        <w:ind w:firstLine="420" w:firstLineChars="200"/>
        <w:rPr>
          <w:rFonts w:ascii="宋体" w:hAnsi="宋体" w:cs="宋体"/>
          <w:highlight w:val="none"/>
        </w:rPr>
      </w:pPr>
      <w:r>
        <w:rPr>
          <w:rFonts w:hint="eastAsia" w:ascii="宋体" w:hAnsi="宋体" w:cs="宋体"/>
          <w:highlight w:val="none"/>
        </w:rPr>
        <w:t>（14）甲方由于领导出差或经费支付需报请会议研究、结算审核审计、上级要求等原因，导致甲方不能按合同约定时间支付有关款项，乙方不能以此为理由拖延甲方采购货物（产品）的按期交付，乙方不得提出让甲方支付延期支付款项利息等要求，甲方不承担任何延期付款的违约责任。</w:t>
      </w:r>
    </w:p>
    <w:p>
      <w:pPr>
        <w:pStyle w:val="69"/>
        <w:spacing w:line="360" w:lineRule="auto"/>
        <w:ind w:firstLine="422"/>
        <w:rPr>
          <w:rFonts w:ascii="宋体" w:hAnsi="宋体" w:eastAsia="宋体" w:cs="宋体"/>
          <w:b/>
          <w:bCs/>
          <w:sz w:val="21"/>
          <w:highlight w:val="none"/>
        </w:rPr>
      </w:pPr>
      <w:r>
        <w:rPr>
          <w:rFonts w:hint="eastAsia" w:ascii="宋体" w:hAnsi="宋体" w:eastAsia="宋体" w:cs="宋体"/>
          <w:b/>
          <w:bCs/>
          <w:sz w:val="21"/>
          <w:highlight w:val="none"/>
        </w:rPr>
        <w:t>15.解决争议的方式</w:t>
      </w:r>
    </w:p>
    <w:p>
      <w:pPr>
        <w:pStyle w:val="69"/>
        <w:spacing w:line="360" w:lineRule="auto"/>
        <w:ind w:firstLine="420"/>
        <w:rPr>
          <w:rFonts w:ascii="宋体" w:hAnsi="宋体" w:eastAsia="宋体" w:cs="宋体"/>
          <w:sz w:val="21"/>
          <w:highlight w:val="none"/>
          <w:u w:val="single"/>
        </w:rPr>
      </w:pPr>
      <w:r>
        <w:rPr>
          <w:rFonts w:hint="eastAsia" w:ascii="宋体" w:hAnsi="宋体" w:eastAsia="宋体" w:cs="宋体"/>
          <w:iCs/>
          <w:sz w:val="21"/>
          <w:highlight w:val="none"/>
        </w:rPr>
        <w:t>因本合同及合同有关事项发生的争议，双方协商解决，协商不成时，甲乙双方均有权向</w:t>
      </w:r>
      <w:r>
        <w:rPr>
          <w:rFonts w:hint="eastAsia" w:ascii="宋体" w:hAnsi="宋体" w:eastAsia="宋体" w:cs="宋体"/>
          <w:iCs/>
          <w:sz w:val="21"/>
          <w:highlight w:val="none"/>
          <w:u w:val="single"/>
        </w:rPr>
        <w:t xml:space="preserve"> 甲方所在地  </w:t>
      </w:r>
      <w:r>
        <w:rPr>
          <w:rFonts w:hint="eastAsia" w:ascii="宋体" w:hAnsi="宋体" w:eastAsia="宋体" w:cs="宋体"/>
          <w:iCs/>
          <w:sz w:val="21"/>
          <w:highlight w:val="none"/>
        </w:rPr>
        <w:t>人民法院提起诉讼。</w:t>
      </w:r>
    </w:p>
    <w:p>
      <w:pPr>
        <w:spacing w:line="360" w:lineRule="auto"/>
        <w:ind w:firstLine="422" w:firstLineChars="200"/>
        <w:rPr>
          <w:rFonts w:ascii="宋体" w:hAnsi="宋体" w:cs="宋体"/>
          <w:highlight w:val="none"/>
        </w:rPr>
      </w:pPr>
      <w:r>
        <w:rPr>
          <w:rFonts w:hint="eastAsia" w:ascii="宋体" w:hAnsi="宋体" w:cs="宋体"/>
          <w:b/>
          <w:bCs/>
          <w:highlight w:val="none"/>
        </w:rPr>
        <w:t>16.特别约定</w:t>
      </w:r>
    </w:p>
    <w:p>
      <w:pPr>
        <w:spacing w:line="360" w:lineRule="auto"/>
        <w:ind w:firstLine="420" w:firstLineChars="200"/>
        <w:rPr>
          <w:rFonts w:ascii="宋体" w:hAnsi="宋体"/>
          <w:b/>
          <w:highlight w:val="none"/>
        </w:rPr>
      </w:pPr>
      <w:r>
        <w:rPr>
          <w:rFonts w:hint="eastAsia" w:ascii="宋体" w:hAnsi="宋体" w:cs="宋体"/>
          <w:highlight w:val="none"/>
        </w:rPr>
        <w:t>本合同所用资金为财政资金，需接受国家审计，若因甲方审计流程需要，乙方应无条件全面配合甲方的审计工作，否则视为乙方违约，应向甲方承担合同总价30%的违约金。</w:t>
      </w:r>
    </w:p>
    <w:p>
      <w:pPr>
        <w:adjustRightInd w:val="0"/>
        <w:snapToGrid w:val="0"/>
        <w:spacing w:line="360" w:lineRule="auto"/>
        <w:ind w:firstLine="422" w:firstLineChars="200"/>
        <w:rPr>
          <w:rFonts w:ascii="宋体" w:hAnsi="宋体"/>
          <w:b/>
          <w:highlight w:val="none"/>
        </w:rPr>
      </w:pPr>
      <w:r>
        <w:rPr>
          <w:rFonts w:hint="eastAsia" w:ascii="宋体" w:hAnsi="宋体"/>
          <w:b/>
          <w:highlight w:val="none"/>
        </w:rPr>
        <w:t>17.组成合同的文件</w:t>
      </w:r>
    </w:p>
    <w:p>
      <w:pPr>
        <w:adjustRightInd w:val="0"/>
        <w:snapToGrid w:val="0"/>
        <w:spacing w:line="360" w:lineRule="auto"/>
        <w:ind w:firstLine="420" w:firstLineChars="200"/>
        <w:rPr>
          <w:rFonts w:ascii="宋体" w:hAnsi="宋体"/>
          <w:highlight w:val="none"/>
        </w:rPr>
      </w:pPr>
      <w:r>
        <w:rPr>
          <w:rFonts w:hint="eastAsia" w:ascii="宋体" w:hAnsi="宋体"/>
          <w:highlight w:val="none"/>
        </w:rPr>
        <w:t>本协议书与下列文件一起构成合同文件，如下述文件之间有任何抵触、矛盾或歧义，应按以下顺序解释：</w:t>
      </w:r>
    </w:p>
    <w:p>
      <w:pPr>
        <w:adjustRightInd w:val="0"/>
        <w:snapToGrid w:val="0"/>
        <w:spacing w:line="360" w:lineRule="auto"/>
        <w:ind w:firstLine="420" w:firstLineChars="200"/>
        <w:rPr>
          <w:rFonts w:ascii="宋体" w:hAnsi="宋体"/>
          <w:highlight w:val="none"/>
        </w:rPr>
      </w:pPr>
      <w:r>
        <w:rPr>
          <w:rFonts w:hint="eastAsia" w:ascii="宋体" w:hAnsi="宋体"/>
          <w:highlight w:val="none"/>
        </w:rPr>
        <w:t>（1）政府采购合同协议书及其变更、补充协议</w:t>
      </w:r>
    </w:p>
    <w:p>
      <w:pPr>
        <w:adjustRightInd w:val="0"/>
        <w:snapToGrid w:val="0"/>
        <w:spacing w:line="360" w:lineRule="auto"/>
        <w:ind w:firstLine="420" w:firstLineChars="200"/>
        <w:rPr>
          <w:rFonts w:ascii="宋体" w:hAnsi="宋体"/>
          <w:highlight w:val="none"/>
        </w:rPr>
      </w:pPr>
      <w:r>
        <w:rPr>
          <w:rFonts w:hint="eastAsia" w:ascii="宋体" w:hAnsi="宋体"/>
          <w:highlight w:val="none"/>
        </w:rPr>
        <w:t>（2）政府采购合同专用条款</w:t>
      </w:r>
    </w:p>
    <w:p>
      <w:pPr>
        <w:adjustRightInd w:val="0"/>
        <w:snapToGrid w:val="0"/>
        <w:spacing w:line="360" w:lineRule="auto"/>
        <w:ind w:firstLine="420" w:firstLineChars="200"/>
        <w:rPr>
          <w:rFonts w:ascii="宋体" w:hAnsi="宋体"/>
          <w:highlight w:val="none"/>
        </w:rPr>
      </w:pPr>
      <w:r>
        <w:rPr>
          <w:rFonts w:hint="eastAsia" w:ascii="宋体" w:hAnsi="宋体"/>
          <w:highlight w:val="none"/>
        </w:rPr>
        <w:t>（3）政府采购合同通用条款</w:t>
      </w:r>
    </w:p>
    <w:p>
      <w:pPr>
        <w:adjustRightInd w:val="0"/>
        <w:snapToGrid w:val="0"/>
        <w:spacing w:line="360" w:lineRule="auto"/>
        <w:ind w:firstLine="420" w:firstLineChars="200"/>
        <w:rPr>
          <w:rFonts w:ascii="宋体" w:hAnsi="宋体"/>
          <w:highlight w:val="none"/>
        </w:rPr>
      </w:pPr>
      <w:r>
        <w:rPr>
          <w:rFonts w:hint="eastAsia" w:ascii="宋体" w:hAnsi="宋体"/>
          <w:highlight w:val="none"/>
        </w:rPr>
        <w:t>（4）中标（成交）通知书</w:t>
      </w:r>
    </w:p>
    <w:p>
      <w:pPr>
        <w:adjustRightInd w:val="0"/>
        <w:snapToGrid w:val="0"/>
        <w:spacing w:line="360" w:lineRule="auto"/>
        <w:ind w:firstLine="420" w:firstLineChars="200"/>
        <w:rPr>
          <w:rFonts w:ascii="宋体" w:hAnsi="宋体"/>
          <w:highlight w:val="none"/>
        </w:rPr>
      </w:pPr>
      <w:r>
        <w:rPr>
          <w:rFonts w:hint="eastAsia" w:ascii="宋体" w:hAnsi="宋体"/>
          <w:highlight w:val="none"/>
        </w:rPr>
        <w:t>（5）投标（响应）文件</w:t>
      </w:r>
    </w:p>
    <w:p>
      <w:pPr>
        <w:adjustRightInd w:val="0"/>
        <w:snapToGrid w:val="0"/>
        <w:spacing w:line="360" w:lineRule="auto"/>
        <w:ind w:firstLine="420" w:firstLineChars="200"/>
        <w:rPr>
          <w:rFonts w:ascii="宋体" w:hAnsi="宋体"/>
          <w:highlight w:val="none"/>
        </w:rPr>
      </w:pPr>
      <w:r>
        <w:rPr>
          <w:rFonts w:hint="eastAsia" w:ascii="宋体" w:hAnsi="宋体"/>
          <w:highlight w:val="none"/>
        </w:rPr>
        <w:t>（6）采购文件</w:t>
      </w:r>
    </w:p>
    <w:p>
      <w:pPr>
        <w:adjustRightInd w:val="0"/>
        <w:snapToGrid w:val="0"/>
        <w:spacing w:line="360" w:lineRule="auto"/>
        <w:ind w:firstLine="420" w:firstLineChars="200"/>
        <w:rPr>
          <w:rFonts w:ascii="宋体" w:hAnsi="宋体"/>
          <w:highlight w:val="none"/>
        </w:rPr>
      </w:pPr>
      <w:r>
        <w:rPr>
          <w:rFonts w:hint="eastAsia" w:ascii="宋体" w:hAnsi="宋体"/>
          <w:highlight w:val="none"/>
        </w:rPr>
        <w:t>（7）有关技术文件，图纸</w:t>
      </w:r>
    </w:p>
    <w:p>
      <w:pPr>
        <w:pStyle w:val="69"/>
        <w:spacing w:line="360" w:lineRule="auto"/>
        <w:ind w:firstLine="420"/>
        <w:rPr>
          <w:rFonts w:ascii="宋体" w:hAnsi="宋体" w:eastAsia="宋体" w:cs="宋体"/>
          <w:kern w:val="2"/>
          <w:sz w:val="21"/>
          <w:highlight w:val="none"/>
        </w:rPr>
      </w:pPr>
      <w:r>
        <w:rPr>
          <w:rFonts w:hint="eastAsia" w:ascii="宋体" w:hAnsi="宋体" w:eastAsia="宋体" w:cs="宋体"/>
          <w:sz w:val="21"/>
          <w:highlight w:val="none"/>
        </w:rPr>
        <w:t>（8）</w:t>
      </w:r>
      <w:r>
        <w:rPr>
          <w:rFonts w:hint="eastAsia" w:ascii="宋体" w:hAnsi="宋体" w:eastAsia="宋体" w:cs="宋体"/>
          <w:kern w:val="2"/>
          <w:sz w:val="21"/>
          <w:highlight w:val="none"/>
        </w:rPr>
        <w:t>国家法律、行政法规和规章制度规定或合同约定的作为合同组成部分的其他文件</w:t>
      </w:r>
    </w:p>
    <w:p>
      <w:pPr>
        <w:adjustRightInd w:val="0"/>
        <w:snapToGrid w:val="0"/>
        <w:spacing w:line="360" w:lineRule="auto"/>
        <w:ind w:firstLine="422" w:firstLineChars="200"/>
        <w:rPr>
          <w:rFonts w:ascii="宋体" w:hAnsi="宋体"/>
          <w:b/>
          <w:highlight w:val="none"/>
        </w:rPr>
      </w:pPr>
      <w:r>
        <w:rPr>
          <w:rFonts w:hint="eastAsia" w:ascii="宋体" w:hAnsi="宋体"/>
          <w:b/>
          <w:highlight w:val="none"/>
        </w:rPr>
        <w:t>18.合同生效</w:t>
      </w:r>
    </w:p>
    <w:p>
      <w:pPr>
        <w:adjustRightInd w:val="0"/>
        <w:snapToGrid w:val="0"/>
        <w:spacing w:line="360" w:lineRule="auto"/>
        <w:ind w:firstLine="420" w:firstLineChars="200"/>
        <w:rPr>
          <w:rFonts w:ascii="宋体" w:hAnsi="宋体"/>
          <w:highlight w:val="none"/>
        </w:rPr>
      </w:pPr>
      <w:r>
        <w:rPr>
          <w:rFonts w:hint="eastAsia" w:ascii="宋体" w:hAnsi="宋体"/>
          <w:highlight w:val="none"/>
        </w:rPr>
        <w:t>本合同自</w:t>
      </w:r>
      <w:r>
        <w:rPr>
          <w:rFonts w:hint="eastAsia" w:ascii="宋体" w:hAnsi="宋体"/>
          <w:highlight w:val="none"/>
          <w:u w:val="single"/>
        </w:rPr>
        <w:t xml:space="preserve">                             </w:t>
      </w:r>
      <w:r>
        <w:rPr>
          <w:rFonts w:hint="eastAsia" w:ascii="宋体" w:hAnsi="宋体"/>
          <w:highlight w:val="none"/>
        </w:rPr>
        <w:t>生效。</w:t>
      </w:r>
    </w:p>
    <w:p>
      <w:pPr>
        <w:adjustRightInd w:val="0"/>
        <w:snapToGrid w:val="0"/>
        <w:spacing w:line="360" w:lineRule="auto"/>
        <w:ind w:firstLine="422" w:firstLineChars="200"/>
        <w:rPr>
          <w:rFonts w:ascii="宋体" w:hAnsi="宋体"/>
          <w:b/>
          <w:highlight w:val="none"/>
        </w:rPr>
      </w:pPr>
      <w:r>
        <w:rPr>
          <w:rFonts w:hint="eastAsia" w:ascii="宋体" w:hAnsi="宋体"/>
          <w:b/>
          <w:highlight w:val="none"/>
        </w:rPr>
        <w:t>19.合同份数</w:t>
      </w:r>
    </w:p>
    <w:p>
      <w:pPr>
        <w:adjustRightInd w:val="0"/>
        <w:snapToGrid w:val="0"/>
        <w:spacing w:line="360" w:lineRule="auto"/>
        <w:ind w:firstLine="420" w:firstLineChars="200"/>
        <w:rPr>
          <w:rFonts w:ascii="宋体" w:hAnsi="宋体"/>
          <w:highlight w:val="none"/>
        </w:rPr>
      </w:pPr>
      <w:r>
        <w:rPr>
          <w:rFonts w:hint="eastAsia" w:ascii="宋体" w:hAnsi="宋体"/>
          <w:highlight w:val="none"/>
        </w:rPr>
        <w:t>本合同一式</w:t>
      </w:r>
      <w:r>
        <w:rPr>
          <w:rFonts w:hint="eastAsia" w:ascii="宋体" w:hAnsi="宋体"/>
          <w:highlight w:val="none"/>
          <w:u w:val="single"/>
        </w:rPr>
        <w:t xml:space="preserve">    </w:t>
      </w:r>
      <w:r>
        <w:rPr>
          <w:rFonts w:hint="eastAsia" w:ascii="宋体" w:hAnsi="宋体"/>
          <w:highlight w:val="none"/>
        </w:rPr>
        <w:t>份，甲方执</w:t>
      </w:r>
      <w:r>
        <w:rPr>
          <w:rFonts w:hint="eastAsia" w:ascii="宋体" w:hAnsi="宋体"/>
          <w:highlight w:val="none"/>
          <w:u w:val="single"/>
        </w:rPr>
        <w:t xml:space="preserve">    </w:t>
      </w:r>
      <w:r>
        <w:rPr>
          <w:rFonts w:hint="eastAsia" w:ascii="宋体" w:hAnsi="宋体"/>
          <w:highlight w:val="none"/>
        </w:rPr>
        <w:t>份，乙方执</w:t>
      </w:r>
      <w:r>
        <w:rPr>
          <w:rFonts w:hint="eastAsia" w:ascii="宋体" w:hAnsi="宋体"/>
          <w:highlight w:val="none"/>
          <w:u w:val="single"/>
        </w:rPr>
        <w:t xml:space="preserve">    </w:t>
      </w:r>
      <w:r>
        <w:rPr>
          <w:rFonts w:hint="eastAsia" w:ascii="宋体" w:hAnsi="宋体"/>
          <w:highlight w:val="none"/>
        </w:rPr>
        <w:t>份，均具有同等法律效力。</w:t>
      </w:r>
    </w:p>
    <w:p>
      <w:pPr>
        <w:adjustRightInd w:val="0"/>
        <w:snapToGrid w:val="0"/>
        <w:spacing w:line="360" w:lineRule="auto"/>
        <w:ind w:firstLine="420" w:firstLineChars="200"/>
        <w:rPr>
          <w:rFonts w:ascii="宋体" w:hAnsi="宋体"/>
          <w:highlight w:val="none"/>
        </w:rPr>
      </w:pPr>
      <w:r>
        <w:rPr>
          <w:rFonts w:hint="eastAsia" w:ascii="宋体" w:hAnsi="宋体"/>
          <w:highlight w:val="none"/>
        </w:rPr>
        <w:t>合同订立时间：</w:t>
      </w:r>
      <w:r>
        <w:rPr>
          <w:rFonts w:hint="eastAsia" w:ascii="宋体" w:hAnsi="宋体"/>
          <w:highlight w:val="none"/>
          <w:u w:val="single"/>
        </w:rPr>
        <w:t xml:space="preserve">         </w:t>
      </w:r>
      <w:r>
        <w:rPr>
          <w:rFonts w:hint="eastAsia" w:ascii="宋体" w:hAnsi="宋体"/>
          <w:highlight w:val="none"/>
        </w:rPr>
        <w:t>年</w:t>
      </w:r>
      <w:r>
        <w:rPr>
          <w:rFonts w:hint="eastAsia" w:ascii="宋体" w:hAnsi="宋体"/>
          <w:highlight w:val="none"/>
          <w:u w:val="single"/>
        </w:rPr>
        <w:t xml:space="preserve">      </w:t>
      </w:r>
      <w:r>
        <w:rPr>
          <w:rFonts w:hint="eastAsia" w:ascii="宋体" w:hAnsi="宋体"/>
          <w:highlight w:val="none"/>
        </w:rPr>
        <w:t>月</w:t>
      </w:r>
      <w:r>
        <w:rPr>
          <w:rFonts w:hint="eastAsia" w:ascii="宋体" w:hAnsi="宋体"/>
          <w:highlight w:val="none"/>
          <w:u w:val="single"/>
        </w:rPr>
        <w:t xml:space="preserve">      </w:t>
      </w:r>
      <w:r>
        <w:rPr>
          <w:rFonts w:hint="eastAsia" w:ascii="宋体" w:hAnsi="宋体"/>
          <w:highlight w:val="none"/>
        </w:rPr>
        <w:t>日</w:t>
      </w:r>
    </w:p>
    <w:p>
      <w:pPr>
        <w:adjustRightInd w:val="0"/>
        <w:snapToGrid w:val="0"/>
        <w:spacing w:line="360" w:lineRule="auto"/>
        <w:ind w:firstLine="420" w:firstLineChars="200"/>
        <w:rPr>
          <w:rFonts w:ascii="宋体" w:hAnsi="宋体"/>
          <w:highlight w:val="none"/>
        </w:rPr>
      </w:pPr>
      <w:r>
        <w:rPr>
          <w:rFonts w:hint="eastAsia" w:ascii="宋体" w:hAnsi="宋体"/>
          <w:highlight w:val="none"/>
        </w:rPr>
        <w:t>合同订立地点：</w:t>
      </w:r>
      <w:r>
        <w:rPr>
          <w:rFonts w:hint="eastAsia" w:ascii="宋体" w:hAnsi="宋体"/>
          <w:highlight w:val="none"/>
          <w:u w:val="single"/>
        </w:rPr>
        <w:t xml:space="preserve">                           </w:t>
      </w:r>
    </w:p>
    <w:p>
      <w:pPr>
        <w:adjustRightInd w:val="0"/>
        <w:snapToGrid w:val="0"/>
        <w:spacing w:line="360" w:lineRule="auto"/>
        <w:ind w:firstLine="420" w:firstLineChars="200"/>
        <w:rPr>
          <w:rFonts w:ascii="宋体" w:hAnsi="宋体"/>
          <w:highlight w:val="none"/>
        </w:rPr>
      </w:pPr>
      <w:r>
        <w:rPr>
          <w:rFonts w:hint="eastAsia" w:ascii="宋体" w:hAnsi="宋体"/>
          <w:highlight w:val="none"/>
        </w:rPr>
        <w:t>附件：具体标的及其技术要求和商务要求、联合协议、分包意向协议等。</w:t>
      </w:r>
    </w:p>
    <w:p>
      <w:pPr>
        <w:adjustRightInd w:val="0"/>
        <w:snapToGrid w:val="0"/>
        <w:spacing w:line="360" w:lineRule="auto"/>
        <w:ind w:firstLine="420" w:firstLineChars="200"/>
        <w:jc w:val="center"/>
        <w:rPr>
          <w:rFonts w:ascii="宋体" w:hAnsi="宋体" w:cs="宋体"/>
          <w:highlight w:val="none"/>
          <w:lang w:val="en"/>
        </w:rPr>
      </w:pPr>
      <w:r>
        <w:rPr>
          <w:rFonts w:hint="eastAsia" w:ascii="宋体" w:hAnsi="宋体" w:cs="宋体"/>
          <w:highlight w:val="none"/>
          <w:lang w:val="en"/>
        </w:rPr>
        <w:t>（</w:t>
      </w:r>
      <w:r>
        <w:rPr>
          <w:rFonts w:hint="eastAsia" w:ascii="宋体" w:hAnsi="宋体" w:cs="宋体"/>
          <w:highlight w:val="none"/>
        </w:rPr>
        <w:t>以下无正文</w:t>
      </w:r>
      <w:r>
        <w:rPr>
          <w:rFonts w:hint="eastAsia" w:ascii="宋体" w:hAnsi="宋体" w:cs="宋体"/>
          <w:highlight w:val="none"/>
          <w:lang w:val="en"/>
        </w:rPr>
        <w:t>）</w:t>
      </w:r>
    </w:p>
    <w:p>
      <w:pPr>
        <w:pStyle w:val="69"/>
        <w:ind w:firstLine="420"/>
        <w:rPr>
          <w:rFonts w:ascii="宋体" w:hAnsi="宋体" w:eastAsia="宋体" w:cs="宋体"/>
          <w:sz w:val="21"/>
          <w:highlight w:val="none"/>
          <w:lang w:val="en"/>
        </w:rPr>
      </w:pPr>
    </w:p>
    <w:p>
      <w:pPr>
        <w:pStyle w:val="69"/>
        <w:ind w:firstLine="420"/>
        <w:rPr>
          <w:rFonts w:ascii="宋体" w:hAnsi="宋体" w:eastAsia="宋体" w:cs="宋体"/>
          <w:sz w:val="21"/>
          <w:highlight w:val="none"/>
          <w:lang w:val="en"/>
        </w:rPr>
      </w:pPr>
    </w:p>
    <w:p>
      <w:pPr>
        <w:pStyle w:val="69"/>
        <w:ind w:firstLine="420"/>
        <w:rPr>
          <w:rFonts w:ascii="宋体" w:hAnsi="宋体" w:eastAsia="宋体" w:cs="宋体"/>
          <w:sz w:val="21"/>
          <w:highlight w:val="none"/>
          <w:lang w:val="en"/>
        </w:rPr>
      </w:pPr>
    </w:p>
    <w:p>
      <w:pPr>
        <w:rPr>
          <w:rFonts w:ascii="宋体" w:hAnsi="宋体" w:cs="宋体"/>
          <w:highlight w:val="none"/>
          <w:lang w:val="en"/>
        </w:rPr>
      </w:pPr>
      <w:r>
        <w:rPr>
          <w:rFonts w:hint="eastAsia" w:ascii="宋体" w:hAnsi="宋体" w:cs="宋体"/>
          <w:highlight w:val="none"/>
          <w:lang w:val="en"/>
        </w:rPr>
        <w:br w:type="page"/>
      </w:r>
    </w:p>
    <w:p>
      <w:pPr>
        <w:pStyle w:val="69"/>
        <w:ind w:firstLine="0" w:firstLineChars="0"/>
        <w:rPr>
          <w:rFonts w:ascii="宋体" w:hAnsi="宋体" w:eastAsia="宋体" w:cs="宋体"/>
          <w:sz w:val="21"/>
          <w:highlight w:val="none"/>
          <w:lang w:val="en"/>
        </w:rPr>
      </w:pPr>
      <w:r>
        <w:rPr>
          <w:rFonts w:hint="eastAsia" w:ascii="宋体" w:hAnsi="宋体" w:eastAsia="宋体" w:cs="宋体"/>
          <w:sz w:val="21"/>
          <w:highlight w:val="none"/>
          <w:lang w:val="en"/>
        </w:rPr>
        <w:t>（</w:t>
      </w:r>
      <w:r>
        <w:rPr>
          <w:rFonts w:hint="eastAsia" w:ascii="宋体" w:hAnsi="宋体" w:eastAsia="宋体" w:cs="宋体"/>
          <w:sz w:val="21"/>
          <w:highlight w:val="none"/>
        </w:rPr>
        <w:t>本页为签署页</w:t>
      </w:r>
      <w:r>
        <w:rPr>
          <w:rFonts w:hint="eastAsia" w:ascii="宋体" w:hAnsi="宋体" w:eastAsia="宋体" w:cs="宋体"/>
          <w:sz w:val="21"/>
          <w:highlight w:val="none"/>
          <w:lang w:val="en"/>
        </w:rPr>
        <w:t>）</w:t>
      </w:r>
    </w:p>
    <w:tbl>
      <w:tblPr>
        <w:tblStyle w:val="28"/>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88"/>
        <w:gridCol w:w="2412"/>
        <w:gridCol w:w="1979"/>
        <w:gridCol w:w="2119"/>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0" w:type="dxa"/>
            <w:gridSpan w:val="2"/>
            <w:tcBorders>
              <w:bottom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甲方</w:t>
            </w:r>
            <w:r>
              <w:rPr>
                <w:rFonts w:hint="eastAsia"/>
                <w:highlight w:val="none"/>
              </w:rPr>
              <w:t>（甲方</w:t>
            </w:r>
            <w:r>
              <w:rPr>
                <w:rFonts w:hint="eastAsia" w:ascii="宋体" w:hAnsi="宋体"/>
                <w:highlight w:val="none"/>
              </w:rPr>
              <w:t>、受甲方委托签订合同的单位或</w:t>
            </w:r>
            <w:r>
              <w:rPr>
                <w:rFonts w:hint="eastAsia"/>
                <w:highlight w:val="none"/>
              </w:rPr>
              <w:t>采购文件约定的合同甲方）</w:t>
            </w:r>
          </w:p>
        </w:tc>
        <w:tc>
          <w:tcPr>
            <w:tcW w:w="4098" w:type="dxa"/>
            <w:gridSpan w:val="2"/>
            <w:tcBorders>
              <w:left w:val="single" w:color="auto" w:sz="2" w:space="0"/>
              <w:bottom w:val="single" w:color="auto" w:sz="2" w:space="0"/>
            </w:tcBorders>
            <w:vAlign w:val="center"/>
          </w:tcPr>
          <w:p>
            <w:pPr>
              <w:adjustRightInd w:val="0"/>
              <w:snapToGrid w:val="0"/>
              <w:spacing w:line="300" w:lineRule="exact"/>
              <w:jc w:val="center"/>
              <w:rPr>
                <w:highlight w:val="none"/>
              </w:rPr>
            </w:pPr>
            <w:r>
              <w:rPr>
                <w:highlight w:val="none"/>
              </w:rPr>
              <w:t>乙方</w:t>
            </w:r>
            <w:r>
              <w:rPr>
                <w:rFonts w:hint="eastAsia"/>
                <w:highlight w:val="none"/>
              </w:rPr>
              <w:t>（乙方）</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88"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单位名称</w:t>
            </w:r>
            <w:r>
              <w:rPr>
                <w:rFonts w:hint="eastAsia"/>
                <w:highlight w:val="none"/>
              </w:rPr>
              <w:t>（公章或合同章）</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单位名称</w:t>
            </w:r>
            <w:r>
              <w:rPr>
                <w:rFonts w:hint="eastAsia"/>
                <w:highlight w:val="none"/>
              </w:rPr>
              <w:t>（公章或合同章）</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88" w:type="dxa"/>
            <w:vMerge w:val="restart"/>
            <w:tcBorders>
              <w:top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法定代表人</w:t>
            </w:r>
          </w:p>
          <w:p>
            <w:pPr>
              <w:adjustRightInd w:val="0"/>
              <w:snapToGrid w:val="0"/>
              <w:spacing w:line="300" w:lineRule="exact"/>
              <w:ind w:firstLine="100" w:firstLineChars="48"/>
              <w:jc w:val="center"/>
              <w:rPr>
                <w:highlight w:val="none"/>
              </w:rPr>
            </w:pPr>
            <w:r>
              <w:rPr>
                <w:rFonts w:hint="eastAsia"/>
                <w:highlight w:val="none"/>
              </w:rPr>
              <w:t>或其</w:t>
            </w:r>
            <w:r>
              <w:rPr>
                <w:highlight w:val="none"/>
              </w:rPr>
              <w:t>委托代理人</w:t>
            </w:r>
            <w:r>
              <w:rPr>
                <w:rFonts w:hint="eastAsia"/>
                <w:highlight w:val="none"/>
              </w:rPr>
              <w:t>（签章）</w:t>
            </w:r>
          </w:p>
        </w:tc>
        <w:tc>
          <w:tcPr>
            <w:tcW w:w="2412" w:type="dxa"/>
            <w:vMerge w:val="restart"/>
            <w:tcBorders>
              <w:top w:val="single" w:color="auto" w:sz="2" w:space="0"/>
              <w:left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法定代表人</w:t>
            </w:r>
          </w:p>
          <w:p>
            <w:pPr>
              <w:adjustRightInd w:val="0"/>
              <w:snapToGrid w:val="0"/>
              <w:spacing w:line="300" w:lineRule="exact"/>
              <w:jc w:val="center"/>
              <w:rPr>
                <w:highlight w:val="none"/>
              </w:rPr>
            </w:pPr>
            <w:r>
              <w:rPr>
                <w:rFonts w:hint="eastAsia"/>
                <w:highlight w:val="none"/>
              </w:rPr>
              <w:t>或其</w:t>
            </w:r>
            <w:r>
              <w:rPr>
                <w:highlight w:val="none"/>
              </w:rPr>
              <w:t>委托代理人</w:t>
            </w:r>
            <w:r>
              <w:rPr>
                <w:rFonts w:hint="eastAsia"/>
                <w:highlight w:val="none"/>
              </w:rPr>
              <w:t>（签章）</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8" w:type="dxa"/>
            <w:vMerge w:val="continue"/>
            <w:tcBorders>
              <w:bottom w:val="single" w:color="auto" w:sz="2" w:space="0"/>
              <w:right w:val="single" w:color="auto" w:sz="2" w:space="0"/>
            </w:tcBorders>
            <w:vAlign w:val="center"/>
          </w:tcPr>
          <w:p>
            <w:pPr>
              <w:adjustRightInd w:val="0"/>
              <w:snapToGrid w:val="0"/>
              <w:spacing w:line="300" w:lineRule="exact"/>
              <w:jc w:val="center"/>
              <w:rPr>
                <w:highlight w:val="none"/>
              </w:rPr>
            </w:pPr>
          </w:p>
        </w:tc>
        <w:tc>
          <w:tcPr>
            <w:tcW w:w="2412" w:type="dxa"/>
            <w:vMerge w:val="continue"/>
            <w:tcBorders>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rFonts w:hint="eastAsia"/>
                <w:highlight w:val="none"/>
              </w:rPr>
              <w:t>拥有者性别</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8"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rFonts w:hint="eastAsia"/>
                <w:highlight w:val="none"/>
              </w:rPr>
              <w:t>住  所</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rFonts w:hint="eastAsia"/>
                <w:highlight w:val="none"/>
              </w:rPr>
              <w:t>住  所</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8"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联 系 人</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8"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联系电话</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8"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rFonts w:hint="eastAsia"/>
                <w:highlight w:val="none"/>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rFonts w:hint="eastAsia"/>
                <w:highlight w:val="none"/>
              </w:rPr>
              <w:t>通信地址</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8"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邮政编码</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8"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rFonts w:hint="eastAsia"/>
                <w:highlight w:val="none"/>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rFonts w:hint="eastAsia"/>
                <w:highlight w:val="none"/>
              </w:rPr>
              <w:t>电子邮箱</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8"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rFonts w:hint="eastAsia"/>
                <w:highlight w:val="none"/>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rFonts w:hint="eastAsia"/>
                <w:highlight w:val="none"/>
              </w:rPr>
              <w:t>统一社会信用代码</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8"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开户名称</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8"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开户银行</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88" w:type="dxa"/>
            <w:tcBorders>
              <w:top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highlight w:val="none"/>
              </w:rPr>
            </w:pPr>
            <w:r>
              <w:rPr>
                <w:highlight w:val="none"/>
              </w:rPr>
              <w:t>银行账号</w:t>
            </w:r>
          </w:p>
        </w:tc>
        <w:tc>
          <w:tcPr>
            <w:tcW w:w="2119" w:type="dxa"/>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highlight w:val="none"/>
              </w:rPr>
            </w:pPr>
          </w:p>
        </w:tc>
      </w:tr>
    </w:tbl>
    <w:p>
      <w:pPr>
        <w:pStyle w:val="3"/>
        <w:numPr>
          <w:ilvl w:val="1"/>
          <w:numId w:val="0"/>
        </w:numPr>
        <w:snapToGrid w:val="0"/>
        <w:spacing w:before="165" w:beforeLines="50"/>
        <w:rPr>
          <w:rFonts w:ascii="黑体" w:hAnsi="黑体"/>
          <w:szCs w:val="28"/>
          <w:highlight w:val="none"/>
        </w:rPr>
      </w:pPr>
      <w:r>
        <w:rPr>
          <w:rFonts w:ascii="宋体" w:hAnsi="宋体"/>
          <w:sz w:val="21"/>
          <w:szCs w:val="21"/>
          <w:highlight w:val="none"/>
          <w:u w:val="single"/>
        </w:rPr>
        <w:br w:type="page"/>
      </w:r>
      <w:bookmarkStart w:id="179" w:name="_Toc27624"/>
      <w:r>
        <w:rPr>
          <w:rFonts w:hint="eastAsia" w:ascii="宋体" w:hAnsi="宋体"/>
          <w:sz w:val="21"/>
          <w:szCs w:val="21"/>
          <w:highlight w:val="none"/>
          <w:u w:val="single"/>
        </w:rPr>
        <w:t xml:space="preserve">                               </w:t>
      </w:r>
      <w:bookmarkStart w:id="180" w:name="_Toc6747"/>
      <w:bookmarkStart w:id="181" w:name="_Toc15920"/>
      <w:bookmarkStart w:id="182" w:name="_Toc168573765"/>
      <w:bookmarkStart w:id="183" w:name="_Toc26162"/>
      <w:bookmarkStart w:id="184" w:name="_Toc2712"/>
      <w:r>
        <w:rPr>
          <w:rFonts w:hint="eastAsia" w:ascii="黑体" w:hAnsi="黑体"/>
          <w:b w:val="0"/>
          <w:szCs w:val="28"/>
          <w:highlight w:val="none"/>
        </w:rPr>
        <w:t>第二节 政府采购合同通用条款</w:t>
      </w:r>
      <w:bookmarkEnd w:id="179"/>
      <w:bookmarkEnd w:id="180"/>
      <w:bookmarkEnd w:id="181"/>
      <w:bookmarkEnd w:id="182"/>
      <w:bookmarkEnd w:id="183"/>
      <w:bookmarkEnd w:id="184"/>
    </w:p>
    <w:p>
      <w:pPr>
        <w:tabs>
          <w:tab w:val="left" w:pos="8820"/>
          <w:tab w:val="left" w:pos="9345"/>
          <w:tab w:val="left" w:pos="9765"/>
        </w:tabs>
        <w:adjustRightInd w:val="0"/>
        <w:snapToGrid w:val="0"/>
        <w:spacing w:line="400" w:lineRule="exact"/>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定义</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1.1合同当事人</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（1）甲方（以下称甲方）是指使用财政性资金，通过政府采购方式向乙方购买货物及其相关服务的国家机关、事业单位、团体组织。</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（2）乙方（以下称乙方）是指参加政府采购活动并且中标（成交），向甲方提供合同约定的货物及其相关服务的法人、非法人组织或者自然人。</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（3）其他合同主体是指除甲方和乙方以外，</w:t>
      </w:r>
      <w:r>
        <w:rPr>
          <w:rFonts w:hint="eastAsia" w:ascii="宋体" w:hAnsi="宋体" w:cs="宋体"/>
          <w:bCs/>
          <w:highlight w:val="none"/>
        </w:rPr>
        <w:t>依法参与合同缔结或履行，享有权利、承担义务的合同当事人</w:t>
      </w:r>
      <w:r>
        <w:rPr>
          <w:rFonts w:hint="eastAsia" w:ascii="宋体" w:hAnsi="宋体"/>
          <w:highlight w:val="none"/>
        </w:rPr>
        <w:t>。</w:t>
      </w:r>
    </w:p>
    <w:p>
      <w:pPr>
        <w:tabs>
          <w:tab w:val="left" w:pos="570"/>
          <w:tab w:val="left" w:pos="9240"/>
          <w:tab w:val="left" w:pos="9555"/>
        </w:tabs>
        <w:adjustRightInd w:val="0"/>
        <w:snapToGrid w:val="0"/>
        <w:spacing w:line="400" w:lineRule="exact"/>
        <w:ind w:firstLine="420" w:firstLineChars="200"/>
        <w:rPr>
          <w:rFonts w:ascii="宋体" w:hAnsi="宋体"/>
          <w:highlight w:val="none"/>
        </w:rPr>
      </w:pPr>
      <w:r>
        <w:rPr>
          <w:rFonts w:hint="eastAsia" w:ascii="宋体" w:hAnsi="宋体"/>
          <w:highlight w:val="none"/>
        </w:rPr>
        <w:t>1.2本合同下列术语应解释为：</w:t>
      </w:r>
    </w:p>
    <w:p>
      <w:pPr>
        <w:adjustRightInd w:val="0"/>
        <w:snapToGrid w:val="0"/>
        <w:spacing w:line="400" w:lineRule="exact"/>
        <w:ind w:firstLine="420" w:firstLineChars="200"/>
        <w:rPr>
          <w:rFonts w:ascii="宋体" w:hAnsi="宋体"/>
          <w:highlight w:val="none"/>
        </w:rPr>
      </w:pPr>
      <w:r>
        <w:rPr>
          <w:rFonts w:hint="eastAsia" w:ascii="宋体" w:hAnsi="宋体"/>
          <w:highlight w:val="none"/>
        </w:rPr>
        <w:t>（1）“合同”系指</w:t>
      </w:r>
      <w:r>
        <w:rPr>
          <w:rFonts w:hint="eastAsia" w:ascii="宋体" w:hAnsi="宋体" w:cs="宋体"/>
          <w:bCs/>
          <w:highlight w:val="none"/>
        </w:rPr>
        <w:t>合同当事人意思表示达成一致的任何协议，包括签署的</w:t>
      </w:r>
      <w:r>
        <w:rPr>
          <w:rFonts w:hint="eastAsia" w:ascii="宋体" w:hAnsi="宋体"/>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highlight w:val="none"/>
        </w:rPr>
        <w:t>国家法律、行政法规和规章制度规定或合同约定的作为合同组成部分的其他文件</w:t>
      </w:r>
      <w:r>
        <w:rPr>
          <w:rFonts w:hint="eastAsia" w:ascii="宋体" w:hAnsi="宋体"/>
          <w:highlight w:val="none"/>
        </w:rPr>
        <w:t>。</w:t>
      </w:r>
    </w:p>
    <w:p>
      <w:pPr>
        <w:tabs>
          <w:tab w:val="left" w:pos="570"/>
          <w:tab w:val="left" w:pos="9240"/>
          <w:tab w:val="left" w:pos="9555"/>
        </w:tabs>
        <w:adjustRightInd w:val="0"/>
        <w:snapToGrid w:val="0"/>
        <w:spacing w:line="400" w:lineRule="exact"/>
        <w:ind w:firstLine="420" w:firstLineChars="200"/>
        <w:rPr>
          <w:rFonts w:ascii="宋体" w:hAnsi="宋体"/>
          <w:highlight w:val="none"/>
        </w:rPr>
      </w:pPr>
      <w:r>
        <w:rPr>
          <w:rFonts w:hint="eastAsia" w:ascii="宋体" w:hAnsi="宋体"/>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rPr>
          <w:rFonts w:ascii="宋体" w:hAnsi="宋体"/>
          <w:highlight w:val="none"/>
        </w:rPr>
      </w:pPr>
      <w:r>
        <w:rPr>
          <w:rFonts w:hint="eastAsia" w:ascii="宋体" w:hAnsi="宋体"/>
          <w:highlight w:val="none"/>
        </w:rPr>
        <w:t>（3）“货物”系指乙方根据本合同规定须向甲方提供的各种形态和种类的物品，包括原材料、设备、产品（包括软件）及相关的其备品备件、工具、手册及</w:t>
      </w:r>
      <w:r>
        <w:rPr>
          <w:rFonts w:ascii="宋体" w:hAnsi="宋体"/>
          <w:highlight w:val="none"/>
          <w:lang w:val="en"/>
        </w:rPr>
        <w:t>其他</w:t>
      </w:r>
      <w:r>
        <w:rPr>
          <w:rFonts w:hint="eastAsia" w:ascii="宋体" w:hAnsi="宋体"/>
          <w:highlight w:val="none"/>
        </w:rPr>
        <w:t>技术资料和材料等。</w:t>
      </w:r>
    </w:p>
    <w:p>
      <w:pPr>
        <w:adjustRightInd w:val="0"/>
        <w:snapToGrid w:val="0"/>
        <w:spacing w:line="400" w:lineRule="exact"/>
        <w:ind w:firstLine="420" w:firstLineChars="200"/>
        <w:rPr>
          <w:rFonts w:ascii="宋体" w:hAnsi="宋体"/>
          <w:highlight w:val="none"/>
        </w:rPr>
      </w:pPr>
      <w:r>
        <w:rPr>
          <w:rFonts w:hint="eastAsia" w:ascii="宋体" w:hAnsi="宋体"/>
          <w:highlight w:val="none"/>
        </w:rPr>
        <w:t>（4）“相关服务”系指根据合同规定，乙方应提供的与货物有关的技术、管理和</w:t>
      </w:r>
      <w:r>
        <w:rPr>
          <w:rFonts w:ascii="宋体" w:hAnsi="宋体"/>
          <w:highlight w:val="none"/>
          <w:lang w:val="en"/>
        </w:rPr>
        <w:t>其他</w:t>
      </w:r>
      <w:r>
        <w:rPr>
          <w:rFonts w:hint="eastAsia" w:ascii="宋体" w:hAnsi="宋体"/>
          <w:highlight w:val="none"/>
        </w:rPr>
        <w:t>服务，包括但不限于：管理和质量保证、运输、保险、检验、现场准备、安装、集成、调试、培训、维修、废弃处置、技术支持等以及合同中规定乙方应承担的</w:t>
      </w:r>
      <w:r>
        <w:rPr>
          <w:rFonts w:ascii="宋体" w:hAnsi="宋体"/>
          <w:highlight w:val="none"/>
          <w:lang w:val="en"/>
        </w:rPr>
        <w:t>其他</w:t>
      </w:r>
      <w:r>
        <w:rPr>
          <w:rFonts w:hint="eastAsia" w:ascii="宋体" w:hAnsi="宋体"/>
          <w:highlight w:val="none"/>
        </w:rPr>
        <w:t>义务。</w:t>
      </w:r>
    </w:p>
    <w:p>
      <w:pPr>
        <w:adjustRightInd w:val="0"/>
        <w:snapToGrid w:val="0"/>
        <w:spacing w:line="400" w:lineRule="exact"/>
        <w:ind w:firstLine="420" w:firstLineChars="200"/>
        <w:rPr>
          <w:rFonts w:ascii="宋体" w:hAnsi="宋体"/>
          <w:highlight w:val="none"/>
        </w:rPr>
      </w:pPr>
      <w:r>
        <w:rPr>
          <w:rFonts w:hint="eastAsia" w:ascii="宋体" w:hAnsi="宋体"/>
          <w:highlight w:val="none"/>
        </w:rPr>
        <w:t>（5）“分包”系指中标（成交）乙方按采购文件、投标（响应）文件的规定，根据分包意向协议，将中标（成交）项目中的部分履约内容，分给具有相应资质条件的乙方履行合同的行为。</w:t>
      </w:r>
    </w:p>
    <w:p>
      <w:pPr>
        <w:tabs>
          <w:tab w:val="left" w:pos="570"/>
          <w:tab w:val="left" w:pos="9240"/>
          <w:tab w:val="left" w:pos="9555"/>
        </w:tabs>
        <w:adjustRightInd w:val="0"/>
        <w:snapToGrid w:val="0"/>
        <w:spacing w:line="400" w:lineRule="exact"/>
        <w:ind w:firstLine="420" w:firstLineChars="200"/>
        <w:rPr>
          <w:rFonts w:ascii="宋体" w:hAnsi="宋体"/>
          <w:highlight w:val="none"/>
        </w:rPr>
      </w:pPr>
      <w:r>
        <w:rPr>
          <w:rFonts w:hint="eastAsia" w:ascii="宋体" w:hAnsi="宋体"/>
          <w:highlight w:val="none"/>
        </w:rPr>
        <w:t>（6）“联合体”系指由两个以上的自然人、法人或者非法人组织组成，以一个乙方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highlight w:val="none"/>
        </w:rPr>
        <w:t>政府采购合同专用条款</w:t>
      </w:r>
      <w:r>
        <w:rPr>
          <w:rFonts w:hint="eastAsia" w:ascii="宋体" w:hAnsi="宋体"/>
          <w:highlight w:val="none"/>
        </w:rPr>
        <w:t>】。</w:t>
      </w:r>
    </w:p>
    <w:p>
      <w:pPr>
        <w:tabs>
          <w:tab w:val="left" w:pos="570"/>
          <w:tab w:val="left" w:pos="9240"/>
          <w:tab w:val="left" w:pos="9555"/>
        </w:tabs>
        <w:adjustRightInd w:val="0"/>
        <w:snapToGrid w:val="0"/>
        <w:spacing w:line="400" w:lineRule="exact"/>
        <w:ind w:firstLine="420" w:firstLineChars="200"/>
        <w:rPr>
          <w:rFonts w:ascii="宋体" w:hAnsi="宋体"/>
          <w:highlight w:val="none"/>
        </w:rPr>
      </w:pPr>
      <w:r>
        <w:rPr>
          <w:rFonts w:hint="eastAsia" w:ascii="宋体" w:hAnsi="宋体"/>
          <w:highlight w:val="none"/>
        </w:rPr>
        <w:t>（7）其他术语解释，见【</w:t>
      </w:r>
      <w:r>
        <w:rPr>
          <w:rFonts w:hint="eastAsia" w:ascii="宋体" w:hAnsi="宋体"/>
          <w:b/>
          <w:bCs/>
          <w:highlight w:val="none"/>
        </w:rPr>
        <w:t>政府采购合同专用条款</w:t>
      </w:r>
      <w:r>
        <w:rPr>
          <w:rFonts w:hint="eastAsia" w:ascii="宋体" w:hAnsi="宋体"/>
          <w:highlight w:val="none"/>
        </w:rPr>
        <w:t>】。</w:t>
      </w:r>
    </w:p>
    <w:p>
      <w:pPr>
        <w:numPr>
          <w:ilvl w:val="0"/>
          <w:numId w:val="8"/>
        </w:numPr>
        <w:autoSpaceDE w:val="0"/>
        <w:autoSpaceDN w:val="0"/>
        <w:adjustRightInd w:val="0"/>
        <w:snapToGrid w:val="0"/>
        <w:spacing w:line="400" w:lineRule="exact"/>
        <w:rPr>
          <w:rFonts w:ascii="宋体" w:hAnsi="宋体"/>
          <w:b/>
          <w:bCs/>
          <w:sz w:val="24"/>
          <w:highlight w:val="none"/>
        </w:rPr>
      </w:pPr>
      <w:r>
        <w:rPr>
          <w:rFonts w:hint="eastAsia" w:ascii="宋体" w:hAnsi="宋体"/>
          <w:b/>
          <w:sz w:val="24"/>
          <w:highlight w:val="none"/>
        </w:rPr>
        <w:t>合同标的及金额</w:t>
      </w:r>
    </w:p>
    <w:p>
      <w:pPr>
        <w:autoSpaceDE w:val="0"/>
        <w:autoSpaceDN w:val="0"/>
        <w:adjustRightInd w:val="0"/>
        <w:snapToGrid w:val="0"/>
        <w:spacing w:line="400" w:lineRule="exact"/>
        <w:ind w:firstLine="420" w:firstLineChars="200"/>
        <w:rPr>
          <w:rFonts w:ascii="宋体" w:hAnsi="宋体"/>
          <w:b/>
          <w:bCs/>
          <w:i/>
          <w:iCs/>
          <w:highlight w:val="none"/>
        </w:rPr>
      </w:pPr>
      <w:r>
        <w:rPr>
          <w:rFonts w:hint="eastAsia" w:ascii="宋体" w:hAnsi="宋体"/>
          <w:highlight w:val="none"/>
        </w:rPr>
        <w:t>2.1 合同标的及金额应与中标（成交）结果一致。乙方为履行本合同而发生的所有费用均应包含在合同价款中，甲方不再另行支付</w:t>
      </w:r>
      <w:r>
        <w:rPr>
          <w:rFonts w:ascii="宋体" w:hAnsi="宋体"/>
          <w:highlight w:val="none"/>
          <w:lang w:val="en"/>
        </w:rPr>
        <w:t>其他</w:t>
      </w:r>
      <w:r>
        <w:rPr>
          <w:rFonts w:hint="eastAsia" w:ascii="宋体" w:hAnsi="宋体"/>
          <w:highlight w:val="none"/>
        </w:rPr>
        <w:t>任何费用。</w:t>
      </w:r>
    </w:p>
    <w:p>
      <w:pPr>
        <w:adjustRightInd w:val="0"/>
        <w:snapToGrid w:val="0"/>
        <w:spacing w:line="400" w:lineRule="exact"/>
        <w:rPr>
          <w:rFonts w:ascii="宋体" w:hAnsi="宋体"/>
          <w:b/>
          <w:sz w:val="24"/>
          <w:highlight w:val="none"/>
        </w:rPr>
      </w:pPr>
      <w:r>
        <w:rPr>
          <w:rFonts w:hint="eastAsia" w:ascii="宋体" w:hAnsi="宋体"/>
          <w:b/>
          <w:sz w:val="24"/>
          <w:highlight w:val="none"/>
        </w:rPr>
        <w:t>3. 履行合同的时间、地点和方式</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 xml:space="preserve">3.1 </w:t>
      </w:r>
      <w:r>
        <w:rPr>
          <w:rFonts w:hint="eastAsia" w:ascii="宋体" w:hAnsi="宋体" w:cs="宋体"/>
          <w:highlight w:val="none"/>
        </w:rPr>
        <w:t>乙方应当在约定的时间、地点，按照约定方式履行合同。</w:t>
      </w:r>
    </w:p>
    <w:p>
      <w:pPr>
        <w:autoSpaceDE w:val="0"/>
        <w:autoSpaceDN w:val="0"/>
        <w:adjustRightInd w:val="0"/>
        <w:snapToGrid w:val="0"/>
        <w:spacing w:line="400" w:lineRule="exact"/>
        <w:rPr>
          <w:rFonts w:ascii="宋体" w:hAnsi="宋体"/>
          <w:b/>
          <w:bCs/>
          <w:sz w:val="24"/>
          <w:highlight w:val="none"/>
        </w:rPr>
      </w:pPr>
      <w:r>
        <w:rPr>
          <w:rFonts w:hint="eastAsia" w:ascii="宋体" w:hAnsi="宋体"/>
          <w:b/>
          <w:bCs/>
          <w:sz w:val="24"/>
          <w:highlight w:val="none"/>
        </w:rPr>
        <w:t>4. 甲方的权利和义务</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4.1</w:t>
      </w:r>
      <w:r>
        <w:rPr>
          <w:rFonts w:ascii="宋体" w:hAnsi="宋体"/>
          <w:highlight w:val="none"/>
        </w:rPr>
        <w:t xml:space="preserve"> 签署合同后，甲方</w:t>
      </w:r>
      <w:r>
        <w:rPr>
          <w:rFonts w:hint="eastAsia" w:ascii="宋体" w:hAnsi="宋体"/>
          <w:highlight w:val="none"/>
        </w:rPr>
        <w:t>应</w:t>
      </w:r>
      <w:r>
        <w:rPr>
          <w:rFonts w:ascii="宋体" w:hAnsi="宋体"/>
          <w:highlight w:val="none"/>
        </w:rPr>
        <w:t>确定</w:t>
      </w:r>
      <w:r>
        <w:rPr>
          <w:rFonts w:hint="eastAsia" w:ascii="宋体" w:hAnsi="宋体"/>
          <w:highlight w:val="none"/>
        </w:rPr>
        <w:t>项目负责人（或项目联系人）</w:t>
      </w:r>
      <w:r>
        <w:rPr>
          <w:rFonts w:ascii="宋体" w:hAnsi="宋体"/>
          <w:highlight w:val="none"/>
        </w:rPr>
        <w:t>，负责与本合同有关的事务。</w:t>
      </w:r>
      <w:r>
        <w:rPr>
          <w:rFonts w:hint="eastAsia" w:ascii="宋体" w:hAnsi="宋体"/>
          <w:highlight w:val="none"/>
        </w:rPr>
        <w:t>甲方有权对乙方的履约行为进行检查，并</w:t>
      </w:r>
      <w:r>
        <w:rPr>
          <w:rFonts w:ascii="宋体" w:hAnsi="宋体"/>
          <w:highlight w:val="none"/>
        </w:rPr>
        <w:t>及时确认乙方提交的事项</w:t>
      </w:r>
      <w:r>
        <w:rPr>
          <w:rFonts w:hint="eastAsia" w:ascii="宋体" w:hAnsi="宋体"/>
          <w:highlight w:val="none"/>
        </w:rPr>
        <w:t>。甲方应当</w:t>
      </w:r>
      <w:r>
        <w:rPr>
          <w:rFonts w:ascii="宋体" w:hAnsi="宋体"/>
          <w:highlight w:val="none"/>
        </w:rPr>
        <w:t>配合乙方完成</w:t>
      </w:r>
      <w:r>
        <w:rPr>
          <w:rFonts w:hint="eastAsia" w:ascii="宋体" w:hAnsi="宋体"/>
          <w:highlight w:val="none"/>
        </w:rPr>
        <w:t>相关项目</w:t>
      </w:r>
      <w:r>
        <w:rPr>
          <w:rFonts w:ascii="宋体" w:hAnsi="宋体"/>
          <w:highlight w:val="none"/>
        </w:rPr>
        <w:t>实施工作。</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 xml:space="preserve">4.2 </w:t>
      </w:r>
      <w:r>
        <w:rPr>
          <w:rFonts w:ascii="宋体" w:hAnsi="宋体"/>
          <w:highlight w:val="none"/>
        </w:rPr>
        <w:t>甲方有权要求乙方按时提交各阶段有关</w:t>
      </w:r>
      <w:r>
        <w:rPr>
          <w:rFonts w:hint="eastAsia" w:ascii="宋体" w:hAnsi="宋体"/>
          <w:highlight w:val="none"/>
        </w:rPr>
        <w:t>安排计划</w:t>
      </w:r>
      <w:r>
        <w:rPr>
          <w:rFonts w:ascii="宋体" w:hAnsi="宋体"/>
          <w:highlight w:val="none"/>
        </w:rPr>
        <w:t>，并有权</w:t>
      </w:r>
      <w:r>
        <w:rPr>
          <w:rFonts w:hint="eastAsia" w:ascii="宋体" w:hAnsi="宋体"/>
          <w:highlight w:val="none"/>
        </w:rPr>
        <w:t>定期核对乙方提供货物数量、规格、质量等内容。甲方</w:t>
      </w:r>
      <w:r>
        <w:rPr>
          <w:rFonts w:ascii="宋体" w:hAnsi="宋体"/>
          <w:highlight w:val="none"/>
        </w:rPr>
        <w:t>有权督促乙方工作并要求乙方</w:t>
      </w:r>
      <w:r>
        <w:rPr>
          <w:rFonts w:hint="eastAsia" w:ascii="宋体" w:hAnsi="宋体"/>
          <w:highlight w:val="none"/>
        </w:rPr>
        <w:t>更</w:t>
      </w:r>
      <w:r>
        <w:rPr>
          <w:rFonts w:ascii="宋体" w:hAnsi="宋体"/>
          <w:highlight w:val="none"/>
        </w:rPr>
        <w:t>换不符合要求的</w:t>
      </w:r>
      <w:r>
        <w:rPr>
          <w:rFonts w:hint="eastAsia" w:ascii="宋体" w:hAnsi="宋体"/>
          <w:highlight w:val="none"/>
        </w:rPr>
        <w:t>货物</w:t>
      </w:r>
      <w:r>
        <w:rPr>
          <w:rFonts w:ascii="宋体" w:hAnsi="宋体"/>
          <w:highlight w:val="none"/>
        </w:rPr>
        <w:t>。</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4.</w:t>
      </w:r>
      <w:r>
        <w:rPr>
          <w:rFonts w:ascii="宋体" w:hAnsi="宋体"/>
          <w:highlight w:val="none"/>
        </w:rPr>
        <w:t>3</w:t>
      </w:r>
      <w:r>
        <w:rPr>
          <w:rFonts w:hint="eastAsia" w:ascii="宋体" w:hAnsi="宋体"/>
          <w:highlight w:val="none"/>
        </w:rPr>
        <w:t xml:space="preserve"> </w:t>
      </w:r>
      <w:r>
        <w:rPr>
          <w:rFonts w:ascii="宋体" w:hAnsi="宋体"/>
          <w:highlight w:val="none"/>
        </w:rPr>
        <w:t>甲方</w:t>
      </w:r>
      <w:r>
        <w:rPr>
          <w:rFonts w:hint="eastAsia" w:ascii="宋体" w:hAnsi="宋体"/>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highlight w:val="none"/>
        </w:rPr>
        <w:t>4.4 甲方应当按照合同约定及时对交付的货物进行验收</w:t>
      </w:r>
      <w:r>
        <w:rPr>
          <w:rFonts w:hint="eastAsia" w:ascii="宋体" w:hAnsi="宋体"/>
          <w:highlight w:val="none"/>
        </w:rPr>
        <w:t>，</w:t>
      </w:r>
      <w:r>
        <w:rPr>
          <w:rFonts w:hint="eastAsia" w:ascii="宋体" w:hAnsi="宋体" w:cs="宋体"/>
          <w:highlight w:val="none"/>
        </w:rPr>
        <w:t>未</w:t>
      </w:r>
      <w:r>
        <w:rPr>
          <w:rFonts w:hint="eastAsia" w:ascii="宋体" w:hAnsi="宋体"/>
          <w:highlight w:val="none"/>
        </w:rPr>
        <w:t>在</w:t>
      </w:r>
      <w:r>
        <w:rPr>
          <w:rFonts w:hint="eastAsia" w:ascii="宋体" w:hAnsi="宋体" w:cs="宋体"/>
          <w:b/>
          <w:bCs/>
          <w:highlight w:val="none"/>
        </w:rPr>
        <w:t>【政府采购合同专用条款】</w:t>
      </w:r>
      <w:r>
        <w:rPr>
          <w:rFonts w:hint="eastAsia" w:ascii="宋体" w:hAnsi="宋体" w:cs="宋体"/>
          <w:highlight w:val="none"/>
        </w:rPr>
        <w:t>约定的期限内对乙方履约提出任何异议或者向乙方作出任何说明的，</w:t>
      </w:r>
      <w:r>
        <w:rPr>
          <w:rFonts w:hint="eastAsia" w:ascii="宋体" w:hAnsi="宋体"/>
          <w:highlight w:val="none"/>
        </w:rPr>
        <w:t>视为验收通过。</w:t>
      </w:r>
    </w:p>
    <w:p>
      <w:pPr>
        <w:autoSpaceDE w:val="0"/>
        <w:autoSpaceDN w:val="0"/>
        <w:adjustRightInd w:val="0"/>
        <w:snapToGrid w:val="0"/>
        <w:spacing w:line="400" w:lineRule="exact"/>
        <w:ind w:firstLine="420" w:firstLineChars="200"/>
        <w:rPr>
          <w:rFonts w:ascii="宋体" w:hAnsi="宋体"/>
          <w:highlight w:val="none"/>
        </w:rPr>
      </w:pPr>
      <w:r>
        <w:rPr>
          <w:rFonts w:ascii="宋体" w:hAnsi="宋体"/>
          <w:highlight w:val="none"/>
        </w:rPr>
        <w:t>4</w:t>
      </w:r>
      <w:r>
        <w:rPr>
          <w:rFonts w:hint="eastAsia" w:ascii="宋体" w:hAnsi="宋体"/>
          <w:highlight w:val="none"/>
        </w:rPr>
        <w:t>.</w:t>
      </w:r>
      <w:r>
        <w:rPr>
          <w:rFonts w:ascii="宋体" w:hAnsi="宋体"/>
          <w:highlight w:val="none"/>
        </w:rPr>
        <w:t xml:space="preserve">5 </w:t>
      </w:r>
      <w:r>
        <w:rPr>
          <w:rFonts w:hint="eastAsia" w:ascii="宋体" w:hAnsi="宋体"/>
          <w:highlight w:val="none"/>
        </w:rPr>
        <w:t>甲方应当根据合同约定及时向乙方支付合同价款</w:t>
      </w:r>
      <w:r>
        <w:rPr>
          <w:rFonts w:ascii="宋体" w:hAnsi="宋体"/>
          <w:highlight w:val="none"/>
        </w:rPr>
        <w:t>，不得以内部人员变更、履行内部付款流程等为由，拒绝或迟延支付。</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4.6</w:t>
      </w:r>
      <w:r>
        <w:rPr>
          <w:rFonts w:ascii="宋体" w:hAnsi="宋体"/>
          <w:highlight w:val="none"/>
        </w:rPr>
        <w:t xml:space="preserve"> </w:t>
      </w:r>
      <w:r>
        <w:rPr>
          <w:rFonts w:hint="eastAsia" w:ascii="宋体" w:hAnsi="宋体"/>
          <w:highlight w:val="none"/>
        </w:rPr>
        <w:t>国家法律法规规定及</w:t>
      </w:r>
      <w:r>
        <w:rPr>
          <w:rFonts w:hint="eastAsia" w:ascii="宋体" w:hAnsi="宋体" w:cs="宋体"/>
          <w:b/>
          <w:bCs/>
          <w:highlight w:val="none"/>
        </w:rPr>
        <w:t>【政府采购合同专用条款】</w:t>
      </w:r>
      <w:r>
        <w:rPr>
          <w:rFonts w:hint="eastAsia" w:ascii="宋体" w:hAnsi="宋体"/>
          <w:highlight w:val="none"/>
        </w:rPr>
        <w:t>约定应由甲方承担的其他义务和责任。</w:t>
      </w:r>
    </w:p>
    <w:p>
      <w:pPr>
        <w:autoSpaceDE w:val="0"/>
        <w:autoSpaceDN w:val="0"/>
        <w:adjustRightInd w:val="0"/>
        <w:snapToGrid w:val="0"/>
        <w:spacing w:line="400" w:lineRule="exact"/>
        <w:rPr>
          <w:rFonts w:ascii="宋体" w:hAnsi="宋体"/>
          <w:b/>
          <w:bCs/>
          <w:sz w:val="24"/>
          <w:highlight w:val="none"/>
        </w:rPr>
      </w:pPr>
      <w:r>
        <w:rPr>
          <w:rFonts w:hint="eastAsia" w:ascii="宋体" w:hAnsi="宋体"/>
          <w:b/>
          <w:bCs/>
          <w:sz w:val="24"/>
          <w:highlight w:val="none"/>
        </w:rPr>
        <w:t>5. 乙方的权利和义务</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 xml:space="preserve">5.1 </w:t>
      </w:r>
      <w:r>
        <w:rPr>
          <w:rFonts w:ascii="宋体" w:hAnsi="宋体"/>
          <w:highlight w:val="none"/>
        </w:rPr>
        <w:t>签署合同后，乙方</w:t>
      </w:r>
      <w:r>
        <w:rPr>
          <w:rFonts w:hint="eastAsia" w:ascii="宋体" w:hAnsi="宋体"/>
          <w:highlight w:val="none"/>
        </w:rPr>
        <w:t>应</w:t>
      </w:r>
      <w:r>
        <w:rPr>
          <w:rFonts w:ascii="宋体" w:hAnsi="宋体"/>
          <w:highlight w:val="none"/>
        </w:rPr>
        <w:t>确定</w:t>
      </w:r>
      <w:r>
        <w:rPr>
          <w:rFonts w:hint="eastAsia" w:ascii="宋体" w:hAnsi="宋体"/>
          <w:highlight w:val="none"/>
        </w:rPr>
        <w:t>项目负责人（或项目联系人）</w:t>
      </w:r>
      <w:r>
        <w:rPr>
          <w:rFonts w:ascii="宋体" w:hAnsi="宋体"/>
          <w:highlight w:val="none"/>
        </w:rPr>
        <w:t>，负责与本合同有关的事务。</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5.</w:t>
      </w:r>
      <w:r>
        <w:rPr>
          <w:rFonts w:ascii="宋体" w:hAnsi="宋体"/>
          <w:highlight w:val="none"/>
        </w:rPr>
        <w:t>2 乙方应按照合同要求</w:t>
      </w:r>
      <w:r>
        <w:rPr>
          <w:rFonts w:hint="eastAsia" w:ascii="宋体" w:hAnsi="宋体"/>
          <w:highlight w:val="none"/>
        </w:rPr>
        <w:t>履约</w:t>
      </w:r>
      <w:r>
        <w:rPr>
          <w:rFonts w:ascii="宋体" w:hAnsi="宋体"/>
          <w:highlight w:val="none"/>
        </w:rPr>
        <w:t>，充分合理安排，确保</w:t>
      </w:r>
      <w:r>
        <w:rPr>
          <w:rFonts w:hint="eastAsia" w:ascii="宋体" w:hAnsi="宋体"/>
          <w:highlight w:val="none"/>
        </w:rPr>
        <w:t>提供的货物及相关服务符合合同有关</w:t>
      </w:r>
      <w:r>
        <w:rPr>
          <w:rFonts w:ascii="宋体" w:hAnsi="宋体"/>
          <w:highlight w:val="none"/>
        </w:rPr>
        <w:t>要求</w:t>
      </w:r>
      <w:r>
        <w:rPr>
          <w:rFonts w:hint="eastAsia" w:ascii="宋体" w:hAnsi="宋体"/>
          <w:highlight w:val="none"/>
        </w:rPr>
        <w:t>。接受项目行业管理部门及政府有关部门的指导，配合甲方的履约检查及验收，并</w:t>
      </w:r>
      <w:r>
        <w:rPr>
          <w:rFonts w:ascii="宋体" w:hAnsi="宋体"/>
          <w:highlight w:val="none"/>
        </w:rPr>
        <w:t>负责项目实施过程中的所有协调工作。</w:t>
      </w:r>
    </w:p>
    <w:p>
      <w:pPr>
        <w:pStyle w:val="10"/>
        <w:spacing w:line="400" w:lineRule="exact"/>
        <w:ind w:firstLine="369" w:firstLineChars="176"/>
        <w:rPr>
          <w:rFonts w:ascii="宋体" w:hAnsi="宋体" w:cs="宋体"/>
          <w:szCs w:val="21"/>
          <w:highlight w:val="none"/>
        </w:rPr>
      </w:pPr>
      <w:r>
        <w:rPr>
          <w:rFonts w:hint="eastAsia" w:ascii="宋体" w:hAnsi="宋体"/>
          <w:szCs w:val="21"/>
          <w:highlight w:val="none"/>
        </w:rPr>
        <w:t>5.</w:t>
      </w:r>
      <w:r>
        <w:rPr>
          <w:rFonts w:ascii="宋体" w:hAnsi="宋体"/>
          <w:szCs w:val="21"/>
          <w:highlight w:val="none"/>
        </w:rPr>
        <w:t>3</w:t>
      </w:r>
      <w:r>
        <w:rPr>
          <w:rFonts w:hint="eastAsia" w:ascii="宋体" w:hAnsi="宋体"/>
          <w:szCs w:val="21"/>
          <w:highlight w:val="none"/>
        </w:rPr>
        <w:t>乙方有权</w:t>
      </w:r>
      <w:r>
        <w:rPr>
          <w:rFonts w:hint="eastAsia" w:ascii="宋体" w:hAnsi="宋体" w:cs="宋体"/>
          <w:szCs w:val="21"/>
          <w:highlight w:val="none"/>
        </w:rPr>
        <w:t>根据合同约定向甲方收取合同价款。</w:t>
      </w:r>
    </w:p>
    <w:p>
      <w:pPr>
        <w:pStyle w:val="10"/>
        <w:spacing w:line="400" w:lineRule="exact"/>
        <w:ind w:firstLine="369" w:firstLineChars="176"/>
        <w:rPr>
          <w:rFonts w:ascii="宋体" w:hAnsi="宋体" w:cs="宋体"/>
          <w:szCs w:val="21"/>
          <w:highlight w:val="none"/>
        </w:rPr>
      </w:pPr>
      <w:r>
        <w:rPr>
          <w:rFonts w:hint="eastAsia" w:ascii="宋体" w:hAnsi="宋体"/>
          <w:szCs w:val="21"/>
          <w:highlight w:val="none"/>
        </w:rPr>
        <w:t>5.</w:t>
      </w:r>
      <w:r>
        <w:rPr>
          <w:rFonts w:ascii="宋体" w:hAnsi="宋体"/>
          <w:szCs w:val="21"/>
          <w:highlight w:val="none"/>
        </w:rPr>
        <w:t>4</w:t>
      </w:r>
      <w:r>
        <w:rPr>
          <w:rFonts w:hint="eastAsia" w:ascii="宋体" w:hAnsi="宋体" w:cs="宋体"/>
          <w:szCs w:val="21"/>
          <w:highlight w:val="none"/>
        </w:rPr>
        <w:t>国家法律法规规定</w:t>
      </w:r>
      <w:r>
        <w:rPr>
          <w:rFonts w:hint="eastAsia" w:ascii="宋体" w:hAnsi="宋体"/>
          <w:szCs w:val="21"/>
          <w:highlight w:val="none"/>
        </w:rPr>
        <w:t>及</w:t>
      </w:r>
      <w:r>
        <w:rPr>
          <w:rFonts w:hint="eastAsia" w:ascii="宋体" w:hAnsi="宋体" w:cs="宋体"/>
          <w:b/>
          <w:bCs/>
          <w:szCs w:val="21"/>
          <w:highlight w:val="none"/>
        </w:rPr>
        <w:t>【政府采购合同专用条款】</w:t>
      </w:r>
      <w:r>
        <w:rPr>
          <w:rFonts w:hint="eastAsia" w:ascii="宋体" w:hAnsi="宋体" w:cs="宋体"/>
          <w:szCs w:val="21"/>
          <w:highlight w:val="none"/>
        </w:rPr>
        <w:t>约定应由乙方承担的其他义务和责任。</w:t>
      </w:r>
    </w:p>
    <w:p>
      <w:pPr>
        <w:rPr>
          <w:highlight w:val="none"/>
        </w:rPr>
      </w:pPr>
      <w:r>
        <w:rPr>
          <w:rFonts w:hint="eastAsia" w:ascii="宋体" w:hAnsi="宋体" w:cs="宋体"/>
          <w:highlight w:val="none"/>
        </w:rPr>
        <w:t xml:space="preserve">  </w:t>
      </w:r>
    </w:p>
    <w:p>
      <w:pPr>
        <w:numPr>
          <w:ilvl w:val="0"/>
          <w:numId w:val="9"/>
        </w:numPr>
        <w:autoSpaceDE w:val="0"/>
        <w:autoSpaceDN w:val="0"/>
        <w:adjustRightInd w:val="0"/>
        <w:snapToGrid w:val="0"/>
        <w:spacing w:line="400" w:lineRule="exact"/>
        <w:rPr>
          <w:rFonts w:ascii="宋体" w:hAnsi="宋体"/>
          <w:b/>
          <w:bCs/>
          <w:sz w:val="24"/>
          <w:highlight w:val="none"/>
        </w:rPr>
      </w:pPr>
      <w:r>
        <w:rPr>
          <w:rFonts w:hint="eastAsia" w:ascii="宋体" w:hAnsi="宋体"/>
          <w:b/>
          <w:bCs/>
          <w:sz w:val="24"/>
          <w:highlight w:val="none"/>
        </w:rPr>
        <w:t>合同履行</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6.1 甲乙双方应当按照</w:t>
      </w:r>
      <w:r>
        <w:rPr>
          <w:rFonts w:hint="eastAsia" w:ascii="宋体" w:hAnsi="宋体" w:cs="宋体"/>
          <w:b/>
          <w:bCs/>
          <w:highlight w:val="none"/>
        </w:rPr>
        <w:t>【政府采购合同专用条款】</w:t>
      </w:r>
      <w:r>
        <w:rPr>
          <w:rFonts w:hint="eastAsia" w:ascii="宋体" w:hAnsi="宋体"/>
          <w:highlight w:val="none"/>
        </w:rPr>
        <w:t>约定顺序履行合同义务；如果没有先后顺序的，应当同时履行。</w:t>
      </w:r>
    </w:p>
    <w:p>
      <w:pPr>
        <w:autoSpaceDE w:val="0"/>
        <w:autoSpaceDN w:val="0"/>
        <w:adjustRightInd w:val="0"/>
        <w:snapToGrid w:val="0"/>
        <w:spacing w:line="400" w:lineRule="exact"/>
        <w:ind w:firstLine="420" w:firstLineChars="200"/>
        <w:rPr>
          <w:highlight w:val="none"/>
        </w:rPr>
      </w:pPr>
      <w:r>
        <w:rPr>
          <w:rFonts w:hint="eastAsia" w:ascii="宋体" w:hAnsi="宋体"/>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rPr>
          <w:rFonts w:ascii="宋体" w:hAnsi="宋体"/>
          <w:b/>
          <w:bCs/>
          <w:sz w:val="24"/>
          <w:highlight w:val="none"/>
        </w:rPr>
      </w:pPr>
      <w:r>
        <w:rPr>
          <w:rFonts w:hint="eastAsia" w:ascii="宋体" w:hAnsi="宋体"/>
          <w:b/>
          <w:bCs/>
          <w:sz w:val="24"/>
          <w:highlight w:val="none"/>
        </w:rPr>
        <w:t>7. 货物包装、运输、保险和交付要求</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7.1 本合同</w:t>
      </w:r>
      <w:r>
        <w:rPr>
          <w:rFonts w:hint="eastAsia" w:ascii="宋体" w:hAnsi="宋体"/>
          <w:bCs/>
          <w:highlight w:val="none"/>
        </w:rPr>
        <w:t>涉及商品包装、快递包装的，</w:t>
      </w:r>
      <w:r>
        <w:rPr>
          <w:rFonts w:hint="eastAsia" w:ascii="宋体" w:hAnsi="宋体"/>
          <w:highlight w:val="none"/>
        </w:rPr>
        <w:t>除</w:t>
      </w:r>
      <w:r>
        <w:rPr>
          <w:rFonts w:hint="eastAsia" w:ascii="宋体" w:hAnsi="宋体"/>
          <w:b/>
          <w:highlight w:val="none"/>
        </w:rPr>
        <w:t>【政府采购合同专用条款】</w:t>
      </w:r>
      <w:r>
        <w:rPr>
          <w:rFonts w:hint="eastAsia" w:ascii="宋体" w:hAnsi="宋体"/>
          <w:bCs/>
          <w:highlight w:val="none"/>
        </w:rPr>
        <w:t>另有约定外，</w:t>
      </w:r>
      <w:r>
        <w:rPr>
          <w:rFonts w:hint="eastAsia" w:ascii="宋体" w:hAnsi="宋体"/>
          <w:highlight w:val="none"/>
        </w:rPr>
        <w:t>包装应适应远距离运输、防潮、防震、防锈和防野蛮装卸等要求，确保货物安全无损地运抵</w:t>
      </w:r>
      <w:r>
        <w:rPr>
          <w:rFonts w:hint="eastAsia" w:ascii="宋体" w:hAnsi="宋体"/>
          <w:b/>
          <w:highlight w:val="none"/>
        </w:rPr>
        <w:t>【政府采购合同专用条款】</w:t>
      </w:r>
      <w:r>
        <w:rPr>
          <w:rFonts w:hint="eastAsia" w:ascii="宋体" w:hAnsi="宋体"/>
          <w:bCs/>
          <w:highlight w:val="none"/>
        </w:rPr>
        <w:t>约定的</w:t>
      </w:r>
      <w:r>
        <w:rPr>
          <w:rFonts w:hint="eastAsia" w:ascii="宋体" w:hAnsi="宋体"/>
          <w:highlight w:val="none"/>
        </w:rPr>
        <w:t>指定现场。</w:t>
      </w:r>
    </w:p>
    <w:p>
      <w:pPr>
        <w:adjustRightInd w:val="0"/>
        <w:snapToGrid w:val="0"/>
        <w:spacing w:line="400" w:lineRule="exact"/>
        <w:ind w:firstLine="420" w:firstLineChars="200"/>
        <w:rPr>
          <w:rFonts w:ascii="宋体" w:hAnsi="宋体"/>
          <w:highlight w:val="none"/>
        </w:rPr>
      </w:pPr>
      <w:r>
        <w:rPr>
          <w:rFonts w:hint="eastAsia" w:ascii="宋体" w:hAnsi="宋体"/>
          <w:highlight w:val="none"/>
        </w:rPr>
        <w:t>7.2 除</w:t>
      </w:r>
      <w:r>
        <w:rPr>
          <w:rFonts w:hint="eastAsia" w:ascii="宋体" w:hAnsi="宋体"/>
          <w:b/>
          <w:highlight w:val="none"/>
        </w:rPr>
        <w:t>【政府采购合同专用条款】</w:t>
      </w:r>
      <w:r>
        <w:rPr>
          <w:rFonts w:hint="eastAsia" w:ascii="宋体" w:hAnsi="宋体"/>
          <w:bCs/>
          <w:highlight w:val="none"/>
        </w:rPr>
        <w:t>另有约定外，</w:t>
      </w:r>
      <w:r>
        <w:rPr>
          <w:rFonts w:hint="eastAsia" w:ascii="宋体" w:hAnsi="宋体"/>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rPr>
          <w:rFonts w:ascii="宋体" w:hAnsi="宋体"/>
          <w:highlight w:val="none"/>
        </w:rPr>
      </w:pPr>
      <w:r>
        <w:rPr>
          <w:rFonts w:hint="eastAsia" w:ascii="宋体" w:hAnsi="宋体"/>
          <w:highlight w:val="none"/>
        </w:rPr>
        <w:t>7.3 货物保险要求按</w:t>
      </w:r>
      <w:r>
        <w:rPr>
          <w:rFonts w:hint="eastAsia" w:ascii="宋体" w:hAnsi="宋体"/>
          <w:b/>
          <w:highlight w:val="none"/>
        </w:rPr>
        <w:t>【政府采购合同专用条款】</w:t>
      </w:r>
      <w:r>
        <w:rPr>
          <w:rFonts w:hint="eastAsia" w:ascii="宋体" w:hAnsi="宋体"/>
          <w:bCs/>
          <w:highlight w:val="none"/>
        </w:rPr>
        <w:t>规定执行</w:t>
      </w:r>
      <w:r>
        <w:rPr>
          <w:rFonts w:hint="eastAsia" w:ascii="宋体" w:hAnsi="宋体"/>
          <w:highlight w:val="none"/>
        </w:rPr>
        <w:t>。</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 xml:space="preserve">7.5 </w:t>
      </w:r>
      <w:r>
        <w:rPr>
          <w:rFonts w:hint="eastAsia" w:ascii="宋体" w:hAnsi="宋体" w:cs="宋体"/>
          <w:highlight w:val="none"/>
        </w:rPr>
        <w:t>乙方在运输到达之前应提前通知甲方，并提示货物运输装卸的注意事项，甲方配合乙方做好货物的接收工作。</w:t>
      </w:r>
    </w:p>
    <w:p>
      <w:pPr>
        <w:pStyle w:val="69"/>
        <w:ind w:firstLine="420"/>
        <w:rPr>
          <w:sz w:val="21"/>
          <w:highlight w:val="none"/>
        </w:rPr>
      </w:pPr>
      <w:r>
        <w:rPr>
          <w:rFonts w:hint="eastAsia" w:ascii="宋体" w:hAnsi="宋体" w:eastAsia="宋体" w:cs="Times New Roman"/>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rPr>
          <w:rFonts w:ascii="宋体" w:hAnsi="宋体"/>
          <w:b/>
          <w:sz w:val="24"/>
          <w:highlight w:val="none"/>
        </w:rPr>
      </w:pPr>
      <w:r>
        <w:rPr>
          <w:rFonts w:hint="eastAsia" w:ascii="宋体" w:hAnsi="宋体"/>
          <w:b/>
          <w:sz w:val="24"/>
          <w:highlight w:val="none"/>
        </w:rPr>
        <w:t>8. 质量标准和保证</w:t>
      </w:r>
    </w:p>
    <w:p>
      <w:pPr>
        <w:pStyle w:val="14"/>
        <w:adjustRightInd w:val="0"/>
        <w:snapToGrid w:val="0"/>
        <w:spacing w:line="400" w:lineRule="exact"/>
        <w:ind w:firstLine="420" w:firstLineChars="200"/>
        <w:rPr>
          <w:rFonts w:hAnsi="宋体"/>
          <w:b/>
          <w:highlight w:val="none"/>
        </w:rPr>
      </w:pPr>
      <w:r>
        <w:rPr>
          <w:rFonts w:hint="eastAsia" w:hAnsi="宋体"/>
          <w:highlight w:val="none"/>
        </w:rPr>
        <w:t>8.1 质量标准</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（1）本合同下提供的货物应符合合同</w:t>
      </w:r>
      <w:r>
        <w:rPr>
          <w:rFonts w:hint="eastAsia" w:ascii="宋体" w:hAnsi="宋体" w:cs="宋体"/>
          <w:highlight w:val="none"/>
        </w:rPr>
        <w:t>约定的品牌、规格型号、技术性能、配置、质量、数量等要求。</w:t>
      </w:r>
      <w:r>
        <w:rPr>
          <w:rFonts w:hint="eastAsia" w:ascii="宋体" w:hAnsi="宋体"/>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14"/>
        <w:adjustRightInd w:val="0"/>
        <w:snapToGrid w:val="0"/>
        <w:spacing w:line="400" w:lineRule="exact"/>
        <w:ind w:firstLine="420" w:firstLineChars="200"/>
        <w:rPr>
          <w:rFonts w:hAnsi="宋体"/>
          <w:highlight w:val="none"/>
        </w:rPr>
      </w:pPr>
      <w:r>
        <w:rPr>
          <w:rFonts w:hint="eastAsia" w:hAnsi="宋体"/>
          <w:highlight w:val="none"/>
        </w:rPr>
        <w:t>（2）采用中华人民共和国法定计量单位。</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（3）乙方所提供的货物应符合国家有关安全、环保、卫生的规定。</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8.2 保证</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（1）乙方应保证提供的货物完全符合合同规定的质量、规格和性能要求。乙方应保证货物在正确安装、正常使用和保养条件下，</w:t>
      </w:r>
      <w:r>
        <w:rPr>
          <w:rFonts w:hint="eastAsia" w:ascii="宋体" w:hAnsi="宋体" w:cs="宋体"/>
          <w:highlight w:val="none"/>
        </w:rPr>
        <w:t>在其使用寿命期内具备合同约定的性能</w:t>
      </w:r>
      <w:r>
        <w:rPr>
          <w:rFonts w:hint="eastAsia" w:ascii="宋体" w:hAnsi="宋体"/>
          <w:highlight w:val="none"/>
        </w:rPr>
        <w:t>。存在质量保证期的，货物最终交付验收合格后在</w:t>
      </w:r>
      <w:r>
        <w:rPr>
          <w:rFonts w:hint="eastAsia" w:ascii="宋体" w:hAnsi="宋体"/>
          <w:b/>
          <w:highlight w:val="none"/>
        </w:rPr>
        <w:t>【政府采购合同专用条款】</w:t>
      </w:r>
      <w:r>
        <w:rPr>
          <w:rFonts w:hint="eastAsia" w:ascii="宋体" w:hAnsi="宋体"/>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（2）在质量保证期内所发现的缺陷，甲方应尽快以书面形式通知乙方。</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（3）乙方收到通知后，应在</w:t>
      </w:r>
      <w:r>
        <w:rPr>
          <w:rFonts w:hint="eastAsia" w:ascii="宋体" w:hAnsi="宋体"/>
          <w:b/>
          <w:highlight w:val="none"/>
        </w:rPr>
        <w:t>【政府采购合同专用条款】</w:t>
      </w:r>
      <w:r>
        <w:rPr>
          <w:rFonts w:hint="eastAsia" w:ascii="宋体" w:hAnsi="宋体"/>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（4）在质量保证期内，如果货物的质量或规格与合同不符，或证实货物是有缺陷的，包括潜在的缺陷或使用不符合要求的材料等，甲方可以根据本合同第15.1条规定以书面形式追究乙方的违约责任。</w:t>
      </w:r>
    </w:p>
    <w:p>
      <w:pPr>
        <w:adjustRightInd w:val="0"/>
        <w:snapToGrid w:val="0"/>
        <w:spacing w:line="400" w:lineRule="exact"/>
        <w:ind w:firstLine="420" w:firstLineChars="200"/>
        <w:rPr>
          <w:highlight w:val="none"/>
        </w:rPr>
      </w:pPr>
      <w:r>
        <w:rPr>
          <w:rFonts w:hint="eastAsia" w:ascii="宋体" w:hAnsi="宋体"/>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rPr>
          <w:rFonts w:ascii="宋体" w:hAnsi="宋体"/>
          <w:b/>
          <w:bCs/>
          <w:sz w:val="24"/>
          <w:highlight w:val="none"/>
        </w:rPr>
      </w:pPr>
      <w:r>
        <w:rPr>
          <w:rFonts w:hint="eastAsia" w:ascii="宋体" w:hAnsi="宋体"/>
          <w:b/>
          <w:bCs/>
          <w:sz w:val="24"/>
          <w:highlight w:val="none"/>
        </w:rPr>
        <w:t>9. 权利瑕疵担保</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9.1 乙方保证对其出售的货物享有合法的权利。</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 xml:space="preserve">9.2 </w:t>
      </w:r>
      <w:r>
        <w:rPr>
          <w:rFonts w:hint="eastAsia" w:ascii="宋体" w:hAnsi="宋体" w:cs="宋体"/>
          <w:szCs w:val="15"/>
          <w:highlight w:val="none"/>
        </w:rPr>
        <w:t>乙方保证在交付的货物上不存在抵押权等担保物权。</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9.3 如甲方使用上述货物构成对第三人侵权的，则由乙方承担全部责任。</w:t>
      </w:r>
    </w:p>
    <w:p>
      <w:pPr>
        <w:autoSpaceDE w:val="0"/>
        <w:autoSpaceDN w:val="0"/>
        <w:adjustRightInd w:val="0"/>
        <w:snapToGrid w:val="0"/>
        <w:spacing w:line="400" w:lineRule="exact"/>
        <w:rPr>
          <w:rFonts w:ascii="宋体" w:hAnsi="宋体"/>
          <w:b/>
          <w:bCs/>
          <w:sz w:val="24"/>
          <w:highlight w:val="none"/>
        </w:rPr>
      </w:pPr>
      <w:r>
        <w:rPr>
          <w:rFonts w:hint="eastAsia" w:ascii="宋体" w:hAnsi="宋体"/>
          <w:b/>
          <w:bCs/>
          <w:sz w:val="24"/>
          <w:highlight w:val="none"/>
        </w:rPr>
        <w:t>10. 知识产权保护</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10.1 乙方对其所销售的货物应当享有知识产权或经权利人合法授权，保证没有侵犯任何第三人的知识产权等权利。</w:t>
      </w:r>
      <w:bookmarkStart w:id="185" w:name="_Hlk163047038"/>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bookmarkEnd w:id="185"/>
      <w:r>
        <w:rPr>
          <w:rFonts w:hint="eastAsia" w:ascii="宋体" w:hAnsi="宋体"/>
          <w:highlight w:val="none"/>
        </w:rPr>
        <w:t>。</w:t>
      </w:r>
    </w:p>
    <w:p>
      <w:pPr>
        <w:autoSpaceDE w:val="0"/>
        <w:autoSpaceDN w:val="0"/>
        <w:adjustRightInd w:val="0"/>
        <w:snapToGrid w:val="0"/>
        <w:spacing w:line="400" w:lineRule="exact"/>
        <w:rPr>
          <w:rFonts w:ascii="宋体" w:hAnsi="宋体"/>
          <w:b/>
          <w:bCs/>
          <w:sz w:val="24"/>
          <w:highlight w:val="none"/>
        </w:rPr>
      </w:pPr>
      <w:r>
        <w:rPr>
          <w:rFonts w:hint="eastAsia" w:ascii="宋体" w:hAnsi="宋体"/>
          <w:b/>
          <w:bCs/>
          <w:sz w:val="24"/>
          <w:highlight w:val="none"/>
        </w:rPr>
        <w:t>11. 保密义务</w:t>
      </w:r>
    </w:p>
    <w:p>
      <w:pPr>
        <w:autoSpaceDE w:val="0"/>
        <w:autoSpaceDN w:val="0"/>
        <w:adjustRightInd w:val="0"/>
        <w:snapToGrid w:val="0"/>
        <w:spacing w:line="400" w:lineRule="exact"/>
        <w:ind w:firstLine="420" w:firstLineChars="200"/>
        <w:rPr>
          <w:rFonts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pPr>
        <w:autoSpaceDE w:val="0"/>
        <w:autoSpaceDN w:val="0"/>
        <w:adjustRightInd w:val="0"/>
        <w:snapToGrid w:val="0"/>
        <w:spacing w:line="400" w:lineRule="exact"/>
        <w:rPr>
          <w:rFonts w:ascii="宋体" w:hAnsi="宋体"/>
          <w:b/>
          <w:bCs/>
          <w:sz w:val="24"/>
          <w:highlight w:val="none"/>
        </w:rPr>
      </w:pPr>
      <w:r>
        <w:rPr>
          <w:rFonts w:hint="eastAsia" w:ascii="宋体" w:hAnsi="宋体"/>
          <w:b/>
          <w:bCs/>
          <w:sz w:val="24"/>
          <w:highlight w:val="none"/>
        </w:rPr>
        <w:t>12. 合同价款支付</w:t>
      </w:r>
    </w:p>
    <w:p>
      <w:pPr>
        <w:adjustRightInd w:val="0"/>
        <w:snapToGrid w:val="0"/>
        <w:spacing w:line="400" w:lineRule="exact"/>
        <w:ind w:firstLine="420" w:firstLineChars="200"/>
        <w:rPr>
          <w:rFonts w:ascii="宋体" w:hAnsi="宋体"/>
          <w:highlight w:val="none"/>
        </w:rPr>
      </w:pPr>
      <w:r>
        <w:rPr>
          <w:rFonts w:hint="eastAsia" w:ascii="宋体" w:hAnsi="宋体"/>
          <w:highlight w:val="none"/>
        </w:rPr>
        <w:t>12.1 合同价款支付按照国库集中支付制度及财政管理相关规定执行。</w:t>
      </w:r>
    </w:p>
    <w:p>
      <w:pPr>
        <w:autoSpaceDE w:val="0"/>
        <w:autoSpaceDN w:val="0"/>
        <w:adjustRightInd w:val="0"/>
        <w:snapToGrid w:val="0"/>
        <w:spacing w:line="400" w:lineRule="exact"/>
        <w:ind w:firstLine="420" w:firstLineChars="200"/>
        <w:rPr>
          <w:rFonts w:ascii="宋体" w:hAnsi="宋体" w:cs="宋体"/>
          <w:szCs w:val="15"/>
          <w:highlight w:val="none"/>
        </w:rPr>
      </w:pPr>
      <w:bookmarkStart w:id="186" w:name="_Toc12040"/>
      <w:r>
        <w:rPr>
          <w:rFonts w:hint="eastAsia" w:ascii="宋体" w:hAnsi="宋体" w:cs="宋体"/>
          <w:szCs w:val="15"/>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bookmarkEnd w:id="186"/>
    </w:p>
    <w:p>
      <w:pPr>
        <w:pStyle w:val="10"/>
        <w:spacing w:line="400" w:lineRule="exact"/>
        <w:rPr>
          <w:rFonts w:ascii="宋体" w:hAnsi="宋体"/>
          <w:b/>
          <w:bCs/>
          <w:sz w:val="24"/>
          <w:highlight w:val="none"/>
        </w:rPr>
      </w:pPr>
      <w:r>
        <w:rPr>
          <w:rFonts w:hint="eastAsia" w:ascii="宋体" w:hAnsi="宋体"/>
          <w:b/>
          <w:bCs/>
          <w:sz w:val="24"/>
          <w:highlight w:val="none"/>
        </w:rPr>
        <w:t>13. 履约保证金</w:t>
      </w:r>
    </w:p>
    <w:p>
      <w:pPr>
        <w:adjustRightInd w:val="0"/>
        <w:snapToGrid w:val="0"/>
        <w:spacing w:line="400" w:lineRule="exact"/>
        <w:ind w:firstLine="420" w:firstLineChars="200"/>
        <w:rPr>
          <w:rFonts w:ascii="宋体" w:hAnsi="宋体"/>
          <w:highlight w:val="none"/>
        </w:rPr>
      </w:pPr>
      <w:r>
        <w:rPr>
          <w:rFonts w:hint="eastAsia" w:ascii="宋体" w:hAnsi="宋体"/>
          <w:highlight w:val="none"/>
        </w:rPr>
        <w:t xml:space="preserve">13.1 </w:t>
      </w:r>
      <w:r>
        <w:rPr>
          <w:rFonts w:hint="eastAsia" w:ascii="宋体" w:hAnsi="宋体" w:cs="宋体"/>
          <w:szCs w:val="15"/>
          <w:highlight w:val="none"/>
        </w:rPr>
        <w:t>乙方应当以支票、汇票、本票或者金融机构、担保机构出具的保函等非现金形式提交。</w:t>
      </w:r>
    </w:p>
    <w:p>
      <w:pPr>
        <w:adjustRightInd w:val="0"/>
        <w:snapToGrid w:val="0"/>
        <w:spacing w:line="400" w:lineRule="exact"/>
        <w:ind w:firstLine="420" w:firstLineChars="200"/>
        <w:rPr>
          <w:rFonts w:ascii="宋体" w:hAnsi="宋体"/>
          <w:highlight w:val="none"/>
        </w:rPr>
      </w:pPr>
      <w:r>
        <w:rPr>
          <w:rFonts w:hint="eastAsia" w:ascii="宋体" w:hAnsi="宋体"/>
          <w:highlight w:val="none"/>
        </w:rPr>
        <w:t>13.2 如果乙方出现</w:t>
      </w:r>
      <w:r>
        <w:rPr>
          <w:rFonts w:hint="eastAsia" w:ascii="宋体" w:hAnsi="宋体" w:cs="宋体"/>
          <w:b/>
          <w:bCs/>
          <w:szCs w:val="15"/>
          <w:highlight w:val="none"/>
        </w:rPr>
        <w:t>【政府采购合同专用条款】</w:t>
      </w:r>
      <w:r>
        <w:rPr>
          <w:rFonts w:hint="eastAsia" w:ascii="宋体" w:hAnsi="宋体" w:cs="宋体"/>
          <w:szCs w:val="15"/>
          <w:highlight w:val="none"/>
        </w:rPr>
        <w:t>约定情形的</w:t>
      </w:r>
      <w:r>
        <w:rPr>
          <w:rFonts w:hint="eastAsia" w:ascii="宋体" w:hAnsi="宋体"/>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hint="eastAsia" w:ascii="宋体" w:hAnsi="宋体"/>
          <w:highlight w:val="none"/>
        </w:rPr>
        <w:t>13.3 甲方在项目通过验收后按照</w:t>
      </w:r>
      <w:r>
        <w:rPr>
          <w:rFonts w:hint="eastAsia" w:ascii="宋体" w:hAnsi="宋体"/>
          <w:b/>
          <w:highlight w:val="none"/>
        </w:rPr>
        <w:t>【政府采购合同专用条款】</w:t>
      </w:r>
      <w:r>
        <w:rPr>
          <w:rFonts w:hint="eastAsia" w:ascii="宋体" w:hAnsi="宋体"/>
          <w:highlight w:val="none"/>
        </w:rPr>
        <w:t>规定的时间内将履约保证金退还乙方；逾期退还的，乙方可要求甲方支付违约金，违约金按照</w:t>
      </w:r>
      <w:r>
        <w:rPr>
          <w:rFonts w:hint="eastAsia" w:ascii="宋体" w:hAnsi="宋体"/>
          <w:b/>
          <w:highlight w:val="none"/>
        </w:rPr>
        <w:t>【政府采购合同专用条款】</w:t>
      </w:r>
      <w:r>
        <w:rPr>
          <w:rFonts w:hint="eastAsia" w:ascii="宋体" w:hAnsi="宋体"/>
          <w:highlight w:val="none"/>
        </w:rPr>
        <w:t>规定支付。</w:t>
      </w:r>
    </w:p>
    <w:p>
      <w:pPr>
        <w:autoSpaceDE w:val="0"/>
        <w:autoSpaceDN w:val="0"/>
        <w:adjustRightInd w:val="0"/>
        <w:snapToGrid w:val="0"/>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售后</w:t>
      </w:r>
      <w:r>
        <w:rPr>
          <w:rFonts w:hint="eastAsia" w:ascii="宋体" w:hAnsi="宋体"/>
          <w:b/>
          <w:sz w:val="24"/>
          <w:highlight w:val="none"/>
        </w:rPr>
        <w:t>服务</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（1）货物的现场移动、安装、调试、启动监督及技术支持；</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（2）提供货物组装和维修所需的专用工具和辅助材料；</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（3）在</w:t>
      </w:r>
      <w:r>
        <w:rPr>
          <w:rFonts w:hint="eastAsia" w:ascii="宋体" w:hAnsi="宋体" w:cs="宋体"/>
          <w:b/>
          <w:bCs/>
          <w:szCs w:val="15"/>
          <w:highlight w:val="none"/>
        </w:rPr>
        <w:t>【政府采购合同专用条款】</w:t>
      </w:r>
      <w:r>
        <w:rPr>
          <w:rFonts w:hint="eastAsia" w:ascii="宋体" w:hAnsi="宋体"/>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（4）在制造商所在地或指定现场就货物的安装、启动、运营、维护、废弃处置等对甲方操作人员进行培训</w:t>
      </w:r>
      <w:r>
        <w:rPr>
          <w:rFonts w:hint="eastAsia" w:ascii="宋体" w:hAnsi="宋体" w:cs="宋体"/>
          <w:szCs w:val="15"/>
          <w:highlight w:val="none"/>
        </w:rPr>
        <w:t>；</w:t>
      </w:r>
    </w:p>
    <w:p>
      <w:pPr>
        <w:pStyle w:val="69"/>
        <w:ind w:firstLine="420"/>
        <w:rPr>
          <w:rFonts w:ascii="宋体" w:hAnsi="宋体" w:eastAsia="宋体" w:cs="宋体"/>
          <w:sz w:val="21"/>
          <w:highlight w:val="none"/>
        </w:rPr>
      </w:pPr>
      <w:r>
        <w:rPr>
          <w:rFonts w:hint="eastAsia" w:ascii="宋体" w:hAnsi="宋体" w:eastAsia="宋体" w:cs="宋体"/>
          <w:sz w:val="21"/>
          <w:highlight w:val="none"/>
        </w:rPr>
        <w:t>（5）依照法律、行政法规的规定或者按照</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（6）</w:t>
      </w:r>
      <w:r>
        <w:rPr>
          <w:rFonts w:hint="eastAsia" w:ascii="宋体" w:hAnsi="宋体"/>
          <w:b/>
          <w:highlight w:val="none"/>
        </w:rPr>
        <w:t>【政府采购合同专用条款】</w:t>
      </w:r>
      <w:r>
        <w:rPr>
          <w:rFonts w:hint="eastAsia" w:ascii="宋体" w:hAnsi="宋体"/>
          <w:highlight w:val="none"/>
        </w:rPr>
        <w:t>规定由乙方提供的其他服务。</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14.2 乙方提供的售后服务的费用已包含在合同价款中，甲方不再另行支付。</w:t>
      </w:r>
    </w:p>
    <w:p>
      <w:pPr>
        <w:adjustRightInd w:val="0"/>
        <w:snapToGrid w:val="0"/>
        <w:spacing w:line="400" w:lineRule="exact"/>
        <w:rPr>
          <w:rFonts w:ascii="宋体" w:hAnsi="宋体"/>
          <w:b/>
          <w:bCs/>
          <w:sz w:val="24"/>
          <w:highlight w:val="none"/>
        </w:rPr>
      </w:pPr>
      <w:r>
        <w:rPr>
          <w:rFonts w:hint="eastAsia" w:ascii="宋体" w:hAnsi="宋体"/>
          <w:b/>
          <w:bCs/>
          <w:sz w:val="24"/>
          <w:highlight w:val="none"/>
        </w:rPr>
        <w:t>15. 违约责任</w:t>
      </w:r>
    </w:p>
    <w:p>
      <w:pPr>
        <w:adjustRightInd w:val="0"/>
        <w:snapToGrid w:val="0"/>
        <w:spacing w:line="400" w:lineRule="exact"/>
        <w:ind w:firstLine="420" w:firstLineChars="200"/>
        <w:rPr>
          <w:rFonts w:ascii="宋体" w:hAnsi="宋体"/>
          <w:bCs/>
          <w:highlight w:val="none"/>
        </w:rPr>
      </w:pPr>
      <w:r>
        <w:rPr>
          <w:rFonts w:hint="eastAsia" w:ascii="宋体" w:hAnsi="宋体"/>
          <w:bCs/>
          <w:highlight w:val="none"/>
        </w:rPr>
        <w:t>15.1质量瑕疵的违约责任</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乙方提供的产品不符合合同约定的质量标准或存在产品质量缺陷，甲方有权要求乙方根据</w:t>
      </w:r>
      <w:r>
        <w:rPr>
          <w:rFonts w:hint="eastAsia" w:ascii="宋体" w:hAnsi="宋体"/>
          <w:b/>
          <w:highlight w:val="none"/>
        </w:rPr>
        <w:t>【政府采购合同专用条款】</w:t>
      </w:r>
      <w:r>
        <w:rPr>
          <w:rFonts w:hint="eastAsia" w:ascii="宋体" w:hAnsi="宋体"/>
          <w:bCs/>
          <w:highlight w:val="none"/>
        </w:rPr>
        <w:t>要求</w:t>
      </w:r>
      <w:r>
        <w:rPr>
          <w:rFonts w:hint="eastAsia" w:ascii="宋体" w:hAnsi="宋体"/>
          <w:highlight w:val="none"/>
        </w:rPr>
        <w:t>及时修理、重作、更换，并承担由此给甲方造成的损失。</w:t>
      </w:r>
    </w:p>
    <w:p>
      <w:pPr>
        <w:autoSpaceDE w:val="0"/>
        <w:autoSpaceDN w:val="0"/>
        <w:adjustRightInd w:val="0"/>
        <w:snapToGrid w:val="0"/>
        <w:spacing w:line="400" w:lineRule="exact"/>
        <w:ind w:firstLine="420" w:firstLineChars="200"/>
        <w:rPr>
          <w:rFonts w:ascii="宋体" w:hAnsi="宋体"/>
          <w:bCs/>
          <w:highlight w:val="none"/>
        </w:rPr>
      </w:pPr>
      <w:r>
        <w:rPr>
          <w:rFonts w:hint="eastAsia" w:ascii="宋体" w:hAnsi="宋体"/>
          <w:bCs/>
          <w:highlight w:val="none"/>
        </w:rPr>
        <w:t>15.2 迟延交货的违约责任</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（2）如果乙方没有按照合同规定的时间交货和提供相关服务，甲方有权从货款中扣除误期赔偿费而不影响合同项下的其他补救方法，赔偿费按</w:t>
      </w:r>
      <w:r>
        <w:rPr>
          <w:rFonts w:hint="eastAsia" w:ascii="宋体" w:hAnsi="宋体"/>
          <w:b/>
          <w:highlight w:val="none"/>
        </w:rPr>
        <w:t>【政府采购合同专用条款】</w:t>
      </w:r>
      <w:r>
        <w:rPr>
          <w:rFonts w:hint="eastAsia" w:ascii="宋体" w:hAnsi="宋体"/>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15.3 迟延支付的违约责任</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甲方存在迟延支付乙方合同款项的，应当承担</w:t>
      </w:r>
      <w:r>
        <w:rPr>
          <w:rFonts w:hint="eastAsia" w:ascii="宋体" w:hAnsi="宋体"/>
          <w:b/>
          <w:bCs/>
          <w:highlight w:val="none"/>
        </w:rPr>
        <w:t>【政府采购合同专用条款】</w:t>
      </w:r>
      <w:r>
        <w:rPr>
          <w:rFonts w:hint="eastAsia" w:ascii="宋体" w:hAnsi="宋体"/>
          <w:highlight w:val="none"/>
        </w:rPr>
        <w:t>规定的逾期付款利息。</w:t>
      </w:r>
    </w:p>
    <w:p>
      <w:pPr>
        <w:adjustRightInd w:val="0"/>
        <w:snapToGrid w:val="0"/>
        <w:spacing w:line="400" w:lineRule="exact"/>
        <w:ind w:firstLine="420" w:firstLineChars="200"/>
        <w:rPr>
          <w:rFonts w:ascii="宋体" w:hAnsi="宋体"/>
          <w:highlight w:val="none"/>
        </w:rPr>
      </w:pPr>
      <w:r>
        <w:rPr>
          <w:rFonts w:hint="eastAsia" w:ascii="宋体" w:hAnsi="宋体"/>
          <w:bCs/>
          <w:highlight w:val="none"/>
        </w:rPr>
        <w:t>15.4其他违约责任根据项目实际需要按</w:t>
      </w:r>
      <w:r>
        <w:rPr>
          <w:rFonts w:hint="eastAsia" w:ascii="宋体" w:hAnsi="宋体"/>
          <w:b/>
          <w:bCs/>
          <w:highlight w:val="none"/>
        </w:rPr>
        <w:t>【政府采购合同专用条款】</w:t>
      </w:r>
      <w:r>
        <w:rPr>
          <w:rFonts w:hint="eastAsia" w:ascii="宋体" w:hAnsi="宋体"/>
          <w:highlight w:val="none"/>
        </w:rPr>
        <w:t>规定执行。</w:t>
      </w:r>
    </w:p>
    <w:p>
      <w:pPr>
        <w:numPr>
          <w:ilvl w:val="0"/>
          <w:numId w:val="10"/>
        </w:numPr>
        <w:autoSpaceDE w:val="0"/>
        <w:autoSpaceDN w:val="0"/>
        <w:adjustRightInd w:val="0"/>
        <w:snapToGrid w:val="0"/>
        <w:spacing w:line="400" w:lineRule="exact"/>
        <w:rPr>
          <w:rFonts w:ascii="宋体" w:hAnsi="宋体"/>
          <w:b/>
          <w:sz w:val="24"/>
          <w:highlight w:val="none"/>
        </w:rPr>
      </w:pPr>
      <w:r>
        <w:rPr>
          <w:rFonts w:hint="eastAsia" w:ascii="宋体" w:hAnsi="宋体"/>
          <w:b/>
          <w:sz w:val="24"/>
          <w:highlight w:val="none"/>
        </w:rPr>
        <w:t>合同变更、中止与终止</w:t>
      </w:r>
    </w:p>
    <w:p>
      <w:pPr>
        <w:adjustRightInd w:val="0"/>
        <w:snapToGrid w:val="0"/>
        <w:spacing w:line="400" w:lineRule="exact"/>
        <w:rPr>
          <w:rFonts w:ascii="宋体" w:hAnsi="宋体"/>
          <w:highlight w:val="none"/>
        </w:rPr>
      </w:pPr>
      <w:r>
        <w:rPr>
          <w:rFonts w:hint="eastAsia" w:ascii="宋体" w:hAnsi="宋体"/>
          <w:highlight w:val="none"/>
        </w:rPr>
        <w:t xml:space="preserve">    16.1合同的变更</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rPr>
          <w:rFonts w:ascii="宋体" w:hAnsi="宋体"/>
          <w:highlight w:val="none"/>
        </w:rPr>
      </w:pPr>
      <w:r>
        <w:rPr>
          <w:rFonts w:hint="eastAsia" w:ascii="宋体" w:hAnsi="宋体"/>
          <w:highlight w:val="none"/>
        </w:rPr>
        <w:t>16.2合同的中止</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（1）合同履行过程中因乙方就采购文件、采购过程或结果提起投诉的，甲方认为有必要的，可以中止合同的履行。</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69"/>
        <w:ind w:firstLine="420"/>
        <w:jc w:val="both"/>
        <w:rPr>
          <w:sz w:val="21"/>
          <w:highlight w:val="none"/>
        </w:rPr>
      </w:pPr>
      <w:r>
        <w:rPr>
          <w:rFonts w:hint="eastAsia" w:ascii="宋体" w:hAnsi="宋体" w:eastAsia="宋体" w:cs="宋体"/>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rPr>
          <w:highlight w:val="none"/>
        </w:rPr>
      </w:pPr>
      <w:r>
        <w:rPr>
          <w:rFonts w:hint="eastAsia" w:ascii="宋体" w:hAnsi="宋体"/>
          <w:highlight w:val="none"/>
        </w:rPr>
        <w:t>（4）甲方不得以行政区划调整、政府换届、机构或者职能调整以及相关责任人更替为由中止合同。</w:t>
      </w:r>
    </w:p>
    <w:p>
      <w:pPr>
        <w:adjustRightInd w:val="0"/>
        <w:snapToGrid w:val="0"/>
        <w:spacing w:line="400" w:lineRule="exact"/>
        <w:ind w:firstLine="420" w:firstLineChars="200"/>
        <w:rPr>
          <w:rFonts w:ascii="宋体" w:hAnsi="宋体"/>
          <w:highlight w:val="none"/>
        </w:rPr>
      </w:pPr>
      <w:r>
        <w:rPr>
          <w:rFonts w:hint="eastAsia" w:ascii="宋体" w:hAnsi="宋体"/>
          <w:highlight w:val="none"/>
        </w:rPr>
        <w:t>16.3合同的终止</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（1）合同因有效期限届满而终止；</w:t>
      </w:r>
    </w:p>
    <w:p>
      <w:pPr>
        <w:snapToGrid w:val="0"/>
        <w:spacing w:line="400" w:lineRule="exact"/>
        <w:ind w:firstLine="420" w:firstLineChars="200"/>
        <w:rPr>
          <w:rFonts w:ascii="宋体" w:hAnsi="宋体" w:cs="宋体"/>
          <w:highlight w:val="none"/>
        </w:rPr>
      </w:pPr>
      <w:r>
        <w:rPr>
          <w:rFonts w:hint="eastAsia" w:ascii="宋体" w:hAnsi="宋体"/>
          <w:highlight w:val="none"/>
        </w:rPr>
        <w:t>（2）乙方未按合同约定履行，构成根本性违约的，甲方有权终止合同，</w:t>
      </w:r>
      <w:r>
        <w:rPr>
          <w:rFonts w:hint="eastAsia" w:ascii="宋体" w:hAnsi="宋体" w:cs="宋体"/>
          <w:highlight w:val="none"/>
        </w:rPr>
        <w:t>并追究乙方的违约责任</w:t>
      </w:r>
      <w:r>
        <w:rPr>
          <w:rFonts w:hint="eastAsia" w:ascii="宋体" w:hAnsi="宋体"/>
          <w:highlight w:val="none"/>
        </w:rPr>
        <w:t>。</w:t>
      </w:r>
    </w:p>
    <w:p>
      <w:pPr>
        <w:pStyle w:val="69"/>
        <w:rPr>
          <w:rFonts w:ascii="宋体" w:hAnsi="宋体"/>
          <w:highlight w:val="none"/>
        </w:rPr>
      </w:pPr>
      <w:r>
        <w:rPr>
          <w:rFonts w:hint="eastAsia" w:ascii="宋体" w:hAnsi="宋体"/>
          <w:highlight w:val="none"/>
        </w:rPr>
        <w:t xml:space="preserve">16.4 </w:t>
      </w:r>
      <w:r>
        <w:rPr>
          <w:rFonts w:hint="eastAsia" w:ascii="宋体" w:hAnsi="宋体" w:eastAsia="宋体" w:cs="Times New Roman"/>
          <w:kern w:val="2"/>
          <w:sz w:val="21"/>
          <w:highlight w:val="none"/>
        </w:rPr>
        <w:t>涉及国家利益、社会公共利益的情形</w:t>
      </w:r>
    </w:p>
    <w:p>
      <w:pPr>
        <w:pStyle w:val="69"/>
        <w:ind w:firstLine="420"/>
        <w:jc w:val="both"/>
        <w:rPr>
          <w:sz w:val="21"/>
          <w:highlight w:val="none"/>
        </w:rPr>
      </w:pPr>
      <w:r>
        <w:rPr>
          <w:rFonts w:hint="eastAsia" w:ascii="宋体" w:hAnsi="宋体" w:eastAsia="宋体" w:cs="宋体"/>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rPr>
          <w:rFonts w:ascii="宋体" w:hAnsi="宋体"/>
          <w:b/>
          <w:bCs/>
          <w:sz w:val="24"/>
          <w:highlight w:val="none"/>
        </w:rPr>
      </w:pPr>
      <w:r>
        <w:rPr>
          <w:rFonts w:hint="eastAsia" w:ascii="宋体" w:hAnsi="宋体"/>
          <w:b/>
          <w:bCs/>
          <w:sz w:val="24"/>
          <w:highlight w:val="none"/>
        </w:rPr>
        <w:t>17. 合同分包</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17.1 乙方不得将合同转包给其他乙方。涉及合同分包的，乙方应根据采购文件和投标（响应）文件规定进行合同分包。</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rPr>
          <w:rFonts w:ascii="宋体" w:hAnsi="宋体"/>
          <w:b/>
          <w:bCs/>
          <w:sz w:val="24"/>
          <w:highlight w:val="none"/>
        </w:rPr>
      </w:pPr>
      <w:r>
        <w:rPr>
          <w:rFonts w:hint="eastAsia" w:ascii="宋体" w:hAnsi="宋体"/>
          <w:b/>
          <w:bCs/>
          <w:sz w:val="24"/>
          <w:highlight w:val="none"/>
        </w:rPr>
        <w:t>18. 不可抗力</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rPr>
          <w:rFonts w:ascii="宋体" w:hAnsi="宋体"/>
          <w:b/>
          <w:bCs/>
          <w:sz w:val="24"/>
          <w:highlight w:val="none"/>
        </w:rPr>
      </w:pPr>
      <w:r>
        <w:rPr>
          <w:rFonts w:hint="eastAsia" w:ascii="宋体" w:hAnsi="宋体"/>
          <w:b/>
          <w:bCs/>
          <w:sz w:val="24"/>
          <w:highlight w:val="none"/>
        </w:rPr>
        <w:t>19. 解决争议的方法</w:t>
      </w:r>
    </w:p>
    <w:p>
      <w:pPr>
        <w:pStyle w:val="69"/>
        <w:ind w:firstLine="420"/>
        <w:jc w:val="both"/>
        <w:rPr>
          <w:rFonts w:ascii="宋体" w:hAnsi="宋体" w:eastAsia="宋体" w:cs="宋体"/>
          <w:sz w:val="21"/>
          <w:highlight w:val="none"/>
        </w:rPr>
      </w:pPr>
      <w:r>
        <w:rPr>
          <w:rFonts w:hint="eastAsia" w:ascii="宋体" w:hAnsi="宋体" w:eastAsia="宋体" w:cs="宋体"/>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69"/>
        <w:ind w:firstLine="420"/>
        <w:jc w:val="both"/>
        <w:rPr>
          <w:rFonts w:ascii="宋体" w:hAnsi="宋体" w:eastAsia="宋体" w:cs="宋体"/>
          <w:sz w:val="21"/>
          <w:highlight w:val="none"/>
        </w:rPr>
      </w:pPr>
      <w:r>
        <w:rPr>
          <w:rFonts w:hint="eastAsia" w:ascii="宋体" w:hAnsi="宋体" w:eastAsia="宋体" w:cs="宋体"/>
          <w:sz w:val="21"/>
          <w:highlight w:val="none"/>
        </w:rPr>
        <w:t>19.2 选择仲裁的，应在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pPr>
        <w:pStyle w:val="69"/>
        <w:ind w:firstLine="420"/>
        <w:jc w:val="both"/>
        <w:rPr>
          <w:rFonts w:ascii="宋体" w:hAnsi="宋体" w:eastAsia="宋体" w:cs="宋体"/>
          <w:sz w:val="21"/>
          <w:highlight w:val="none"/>
        </w:rPr>
      </w:pPr>
      <w:r>
        <w:rPr>
          <w:rFonts w:hint="eastAsia" w:ascii="宋体" w:hAnsi="宋体" w:eastAsia="宋体" w:cs="宋体"/>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rPr>
          <w:rFonts w:ascii="宋体" w:hAnsi="宋体"/>
          <w:sz w:val="24"/>
          <w:highlight w:val="none"/>
        </w:rPr>
      </w:pPr>
      <w:r>
        <w:rPr>
          <w:rFonts w:hint="eastAsia" w:ascii="宋体" w:hAnsi="宋体"/>
          <w:b/>
          <w:sz w:val="24"/>
          <w:highlight w:val="none"/>
        </w:rPr>
        <w:t>20. 政府采购政策</w:t>
      </w:r>
    </w:p>
    <w:p>
      <w:pPr>
        <w:autoSpaceDE w:val="0"/>
        <w:autoSpaceDN w:val="0"/>
        <w:adjustRightInd w:val="0"/>
        <w:snapToGrid w:val="0"/>
        <w:spacing w:line="400" w:lineRule="exact"/>
        <w:ind w:firstLine="420" w:firstLineChars="200"/>
        <w:rPr>
          <w:rFonts w:ascii="宋体" w:hAnsi="宋体"/>
          <w:highlight w:val="none"/>
        </w:rPr>
      </w:pPr>
      <w:r>
        <w:rPr>
          <w:rFonts w:hint="eastAsia" w:ascii="宋体" w:hAnsi="宋体"/>
          <w:highlight w:val="none"/>
        </w:rPr>
        <w:t xml:space="preserve">20.1 </w:t>
      </w:r>
      <w:r>
        <w:rPr>
          <w:rFonts w:hint="eastAsia" w:ascii="宋体" w:hAnsi="宋体" w:cs="宋体"/>
          <w:highlight w:val="none"/>
          <w:lang w:val="en-GB"/>
        </w:rPr>
        <w:t>本合同应当按照规定执行政府采购政策。</w:t>
      </w:r>
    </w:p>
    <w:p>
      <w:pPr>
        <w:autoSpaceDE w:val="0"/>
        <w:autoSpaceDN w:val="0"/>
        <w:adjustRightInd w:val="0"/>
        <w:snapToGrid w:val="0"/>
        <w:spacing w:line="400" w:lineRule="exact"/>
        <w:ind w:firstLine="420" w:firstLineChars="200"/>
        <w:rPr>
          <w:rFonts w:ascii="宋体" w:hAnsi="宋体"/>
          <w:highlight w:val="none"/>
        </w:rPr>
      </w:pPr>
      <w:r>
        <w:rPr>
          <w:rFonts w:ascii="宋体" w:hAnsi="宋体"/>
          <w:highlight w:val="none"/>
        </w:rPr>
        <w:t>2</w:t>
      </w:r>
      <w:r>
        <w:rPr>
          <w:rFonts w:hint="eastAsia" w:ascii="宋体" w:hAnsi="宋体"/>
          <w:highlight w:val="none"/>
        </w:rPr>
        <w:t>0.2 本合同依法执行政府采购政策的方式和内容，属于合同履约验收的范围。</w:t>
      </w:r>
      <w:r>
        <w:rPr>
          <w:rFonts w:hint="eastAsia" w:ascii="宋体" w:hAnsi="宋体" w:cs="宋体"/>
          <w:highlight w:val="none"/>
        </w:rPr>
        <w:t>甲乙双方</w:t>
      </w:r>
      <w:r>
        <w:rPr>
          <w:rFonts w:hint="eastAsia" w:ascii="宋体" w:hAnsi="宋体" w:cs="宋体"/>
          <w:highlight w:val="none"/>
          <w:lang w:val="en-GB"/>
        </w:rPr>
        <w:t>未按规定要求执行政府采购政策造成损失的</w:t>
      </w:r>
      <w:r>
        <w:rPr>
          <w:rFonts w:hint="eastAsia" w:ascii="宋体" w:hAnsi="宋体"/>
          <w:highlight w:val="none"/>
        </w:rPr>
        <w:t>，有过错的一方应当承担赔偿责任，双方都有过错的，各自承担相应的责任。</w:t>
      </w:r>
    </w:p>
    <w:p>
      <w:pPr>
        <w:pStyle w:val="10"/>
        <w:spacing w:line="400" w:lineRule="exact"/>
        <w:ind w:firstLine="420" w:firstLineChars="200"/>
        <w:rPr>
          <w:highlight w:val="none"/>
        </w:rPr>
      </w:pPr>
      <w:r>
        <w:rPr>
          <w:rFonts w:ascii="宋体" w:hAnsi="宋体"/>
          <w:szCs w:val="21"/>
          <w:highlight w:val="none"/>
        </w:rPr>
        <w:t>2</w:t>
      </w:r>
      <w:r>
        <w:rPr>
          <w:rFonts w:hint="eastAsia" w:ascii="宋体" w:hAnsi="宋体"/>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rPr>
          <w:rFonts w:ascii="宋体" w:hAnsi="宋体"/>
          <w:b/>
          <w:sz w:val="24"/>
          <w:highlight w:val="none"/>
        </w:rPr>
      </w:pPr>
      <w:r>
        <w:rPr>
          <w:rFonts w:hint="eastAsia" w:ascii="宋体" w:hAnsi="宋体"/>
          <w:b/>
          <w:sz w:val="24"/>
          <w:highlight w:val="none"/>
        </w:rPr>
        <w:t>21. 法律适用</w:t>
      </w:r>
    </w:p>
    <w:p>
      <w:pPr>
        <w:pStyle w:val="69"/>
        <w:ind w:firstLine="420"/>
        <w:jc w:val="both"/>
        <w:rPr>
          <w:rFonts w:ascii="宋体" w:hAnsi="宋体" w:eastAsia="宋体" w:cs="宋体"/>
          <w:sz w:val="21"/>
          <w:highlight w:val="none"/>
        </w:rPr>
      </w:pPr>
      <w:r>
        <w:rPr>
          <w:rFonts w:hint="eastAsia" w:ascii="宋体" w:hAnsi="宋体" w:eastAsia="宋体" w:cs="宋体"/>
          <w:sz w:val="21"/>
          <w:highlight w:val="none"/>
        </w:rPr>
        <w:t>21.1 本合同的订立、生效、解释、履行及与本合同有关的争议解决，均适用法律、行政法规。</w:t>
      </w:r>
    </w:p>
    <w:p>
      <w:pPr>
        <w:pStyle w:val="69"/>
        <w:ind w:firstLine="420"/>
        <w:jc w:val="both"/>
        <w:rPr>
          <w:rFonts w:ascii="宋体" w:hAnsi="宋体" w:eastAsia="宋体" w:cs="宋体"/>
          <w:sz w:val="21"/>
          <w:highlight w:val="none"/>
        </w:rPr>
      </w:pPr>
      <w:r>
        <w:rPr>
          <w:rFonts w:hint="eastAsia" w:ascii="宋体" w:hAnsi="宋体" w:eastAsia="宋体" w:cs="宋体"/>
          <w:sz w:val="21"/>
          <w:highlight w:val="none"/>
        </w:rPr>
        <w:t>21.2 本合同条款与法律、行政法规的强制性规定不一致的，双方当事人应按照法律、行政法规的强制性规定修改本合同的相关条款。</w:t>
      </w:r>
    </w:p>
    <w:p>
      <w:pPr>
        <w:numPr>
          <w:ilvl w:val="255"/>
          <w:numId w:val="0"/>
        </w:numPr>
        <w:autoSpaceDE w:val="0"/>
        <w:autoSpaceDN w:val="0"/>
        <w:adjustRightInd w:val="0"/>
        <w:snapToGrid w:val="0"/>
        <w:spacing w:line="400" w:lineRule="exact"/>
        <w:rPr>
          <w:rFonts w:ascii="宋体" w:hAnsi="宋体"/>
          <w:b/>
          <w:sz w:val="24"/>
          <w:highlight w:val="none"/>
        </w:rPr>
      </w:pPr>
      <w:r>
        <w:rPr>
          <w:rFonts w:hint="eastAsia" w:ascii="宋体" w:hAnsi="宋体"/>
          <w:b/>
          <w:sz w:val="24"/>
          <w:highlight w:val="none"/>
        </w:rPr>
        <w:t>22. 通知</w:t>
      </w:r>
    </w:p>
    <w:p>
      <w:pPr>
        <w:pStyle w:val="69"/>
        <w:ind w:firstLine="420"/>
        <w:jc w:val="both"/>
        <w:rPr>
          <w:rFonts w:ascii="宋体" w:hAnsi="宋体" w:eastAsia="宋体" w:cs="宋体"/>
          <w:sz w:val="21"/>
          <w:highlight w:val="none"/>
        </w:rPr>
      </w:pPr>
      <w:r>
        <w:rPr>
          <w:rFonts w:hint="eastAsia" w:ascii="宋体" w:hAnsi="宋体" w:eastAsia="宋体" w:cs="宋体"/>
          <w:sz w:val="21"/>
          <w:highlight w:val="none"/>
        </w:rPr>
        <w:t>22.1 本合同任何一方向对方发出的通知、信件、数据电文等，应当发送至本合同第一部分《政府采购合同协议书》所约定的通讯地址、联系人、联系电话或电子邮箱。</w:t>
      </w:r>
    </w:p>
    <w:p>
      <w:pPr>
        <w:pStyle w:val="69"/>
        <w:ind w:firstLine="0" w:firstLineChars="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rPr>
          <w:rFonts w:ascii="宋体" w:hAnsi="宋体"/>
          <w:highlight w:val="none"/>
        </w:rPr>
      </w:pPr>
      <w:r>
        <w:rPr>
          <w:rFonts w:hint="eastAsia" w:ascii="宋体" w:hAnsi="宋体"/>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rPr>
          <w:rFonts w:ascii="宋体" w:hAnsi="宋体"/>
          <w:highlight w:val="none"/>
        </w:rPr>
      </w:pPr>
      <w:r>
        <w:rPr>
          <w:rFonts w:hint="eastAsia" w:ascii="宋体" w:hAnsi="宋体"/>
          <w:highlight w:val="none"/>
        </w:rPr>
        <w:t>22.4通知以送达之日或通知书中规定的生效之日起生效，两者中以较迟之日为准。</w:t>
      </w:r>
    </w:p>
    <w:p>
      <w:pPr>
        <w:numPr>
          <w:ilvl w:val="0"/>
          <w:numId w:val="11"/>
        </w:numPr>
        <w:adjustRightInd w:val="0"/>
        <w:snapToGrid w:val="0"/>
        <w:spacing w:line="400" w:lineRule="exact"/>
        <w:rPr>
          <w:rFonts w:ascii="宋体" w:hAnsi="宋体"/>
          <w:b/>
          <w:bCs/>
          <w:sz w:val="24"/>
          <w:highlight w:val="none"/>
        </w:rPr>
      </w:pPr>
      <w:r>
        <w:rPr>
          <w:rFonts w:hint="eastAsia" w:ascii="宋体" w:hAnsi="宋体"/>
          <w:b/>
          <w:bCs/>
          <w:sz w:val="24"/>
          <w:highlight w:val="none"/>
        </w:rPr>
        <w:t>合同未尽事项</w:t>
      </w:r>
    </w:p>
    <w:p>
      <w:pPr>
        <w:adjustRightInd w:val="0"/>
        <w:snapToGrid w:val="0"/>
        <w:spacing w:line="400" w:lineRule="exact"/>
        <w:ind w:firstLine="420" w:firstLineChars="200"/>
        <w:rPr>
          <w:rFonts w:ascii="宋体" w:hAnsi="宋体"/>
          <w:bCs/>
          <w:highlight w:val="none"/>
        </w:rPr>
      </w:pPr>
      <w:r>
        <w:rPr>
          <w:rFonts w:hint="eastAsia" w:ascii="宋体" w:hAnsi="宋体"/>
          <w:bCs/>
          <w:highlight w:val="none"/>
        </w:rPr>
        <w:t>23.1合同未尽事项见</w:t>
      </w:r>
      <w:r>
        <w:rPr>
          <w:rFonts w:hint="eastAsia" w:ascii="宋体" w:hAnsi="宋体"/>
          <w:b/>
          <w:highlight w:val="none"/>
        </w:rPr>
        <w:t>【政府采购合同专用条款】</w:t>
      </w:r>
      <w:r>
        <w:rPr>
          <w:rFonts w:hint="eastAsia" w:ascii="宋体" w:hAnsi="宋体"/>
          <w:bCs/>
          <w:highlight w:val="none"/>
        </w:rPr>
        <w:t>。</w:t>
      </w:r>
    </w:p>
    <w:p>
      <w:pPr>
        <w:adjustRightInd w:val="0"/>
        <w:snapToGrid w:val="0"/>
        <w:spacing w:line="400" w:lineRule="exact"/>
        <w:ind w:firstLine="420"/>
        <w:rPr>
          <w:rFonts w:ascii="宋体" w:hAnsi="宋体"/>
          <w:bCs/>
          <w:highlight w:val="none"/>
        </w:rPr>
      </w:pPr>
      <w:r>
        <w:rPr>
          <w:rFonts w:hint="eastAsia" w:ascii="宋体" w:hAnsi="宋体"/>
          <w:bCs/>
          <w:highlight w:val="none"/>
        </w:rPr>
        <w:t>23.2 合同附件与合同正文具有同等的法律效力。</w:t>
      </w:r>
    </w:p>
    <w:p>
      <w:pPr>
        <w:pStyle w:val="69"/>
        <w:rPr>
          <w:rFonts w:ascii="宋体" w:hAnsi="宋体"/>
          <w:bCs/>
          <w:highlight w:val="none"/>
        </w:rPr>
      </w:pPr>
    </w:p>
    <w:p>
      <w:pPr>
        <w:pStyle w:val="69"/>
        <w:rPr>
          <w:rFonts w:ascii="宋体" w:hAnsi="宋体"/>
          <w:bCs/>
          <w:highlight w:val="none"/>
        </w:rPr>
      </w:pPr>
    </w:p>
    <w:p>
      <w:pPr>
        <w:pStyle w:val="69"/>
        <w:rPr>
          <w:rFonts w:ascii="宋体" w:hAnsi="宋体"/>
          <w:bCs/>
          <w:highlight w:val="none"/>
        </w:rPr>
      </w:pPr>
    </w:p>
    <w:p>
      <w:pPr>
        <w:pStyle w:val="69"/>
        <w:ind w:firstLine="0" w:firstLineChars="0"/>
        <w:rPr>
          <w:rFonts w:ascii="宋体" w:hAnsi="宋体"/>
          <w:bCs/>
          <w:highlight w:val="none"/>
        </w:rPr>
      </w:pPr>
    </w:p>
    <w:p>
      <w:pPr>
        <w:pStyle w:val="69"/>
        <w:ind w:firstLine="0" w:firstLineChars="0"/>
        <w:rPr>
          <w:rFonts w:ascii="宋体" w:hAnsi="宋体"/>
          <w:bCs/>
          <w:highlight w:val="none"/>
        </w:rPr>
      </w:pPr>
    </w:p>
    <w:p>
      <w:pPr>
        <w:rPr>
          <w:rFonts w:ascii="黑体" w:hAnsi="华文中宋" w:eastAsia="黑体"/>
          <w:sz w:val="28"/>
          <w:szCs w:val="28"/>
          <w:highlight w:val="none"/>
        </w:rPr>
      </w:pPr>
      <w:r>
        <w:rPr>
          <w:rFonts w:hint="eastAsia" w:ascii="黑体" w:hAnsi="华文中宋" w:eastAsia="黑体"/>
          <w:sz w:val="28"/>
          <w:szCs w:val="28"/>
          <w:highlight w:val="none"/>
        </w:rPr>
        <w:br w:type="page"/>
      </w:r>
    </w:p>
    <w:p>
      <w:pPr>
        <w:pStyle w:val="3"/>
        <w:numPr>
          <w:ilvl w:val="1"/>
          <w:numId w:val="0"/>
        </w:numPr>
        <w:snapToGrid w:val="0"/>
        <w:spacing w:line="240" w:lineRule="auto"/>
        <w:ind w:left="425" w:firstLine="2800" w:firstLineChars="1000"/>
        <w:rPr>
          <w:rFonts w:ascii="黑体" w:hAnsi="华文中宋"/>
          <w:b w:val="0"/>
          <w:szCs w:val="28"/>
          <w:highlight w:val="none"/>
        </w:rPr>
      </w:pPr>
      <w:bookmarkStart w:id="187" w:name="_Toc24031"/>
      <w:bookmarkStart w:id="188" w:name="_Toc168573766"/>
      <w:bookmarkStart w:id="189" w:name="_Toc30304"/>
      <w:bookmarkStart w:id="190" w:name="_Toc28107"/>
      <w:bookmarkStart w:id="191" w:name="_Toc4468"/>
      <w:r>
        <w:rPr>
          <w:rFonts w:hint="eastAsia" w:ascii="黑体" w:hAnsi="华文中宋"/>
          <w:b w:val="0"/>
          <w:szCs w:val="28"/>
          <w:highlight w:val="none"/>
        </w:rPr>
        <w:t>第三节 政府采购合同专用条款</w:t>
      </w:r>
      <w:bookmarkEnd w:id="187"/>
      <w:bookmarkEnd w:id="188"/>
      <w:bookmarkEnd w:id="189"/>
      <w:bookmarkEnd w:id="190"/>
      <w:bookmarkEnd w:id="191"/>
    </w:p>
    <w:tbl>
      <w:tblPr>
        <w:tblStyle w:val="28"/>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第1.2（6）项</w:t>
            </w:r>
          </w:p>
        </w:tc>
        <w:tc>
          <w:tcPr>
            <w:tcW w:w="1742" w:type="dxa"/>
            <w:vAlign w:val="center"/>
          </w:tcPr>
          <w:p>
            <w:pPr>
              <w:adjustRightInd w:val="0"/>
              <w:snapToGrid w:val="0"/>
              <w:rPr>
                <w:rFonts w:ascii="宋体" w:hAnsi="宋体"/>
                <w:highlight w:val="none"/>
              </w:rPr>
            </w:pPr>
            <w:r>
              <w:rPr>
                <w:rFonts w:hint="eastAsia" w:ascii="宋体" w:hAnsi="宋体"/>
                <w:highlight w:val="none"/>
              </w:rPr>
              <w:t>联合体具体要求</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第1.2（7）项</w:t>
            </w:r>
          </w:p>
        </w:tc>
        <w:tc>
          <w:tcPr>
            <w:tcW w:w="1742" w:type="dxa"/>
            <w:vAlign w:val="center"/>
          </w:tcPr>
          <w:p>
            <w:pPr>
              <w:adjustRightInd w:val="0"/>
              <w:snapToGrid w:val="0"/>
              <w:rPr>
                <w:rFonts w:ascii="宋体" w:hAnsi="宋体"/>
                <w:highlight w:val="none"/>
              </w:rPr>
            </w:pPr>
            <w:r>
              <w:rPr>
                <w:rFonts w:hint="eastAsia" w:ascii="宋体" w:hAnsi="宋体"/>
                <w:highlight w:val="none"/>
              </w:rPr>
              <w:t>其他术语解释</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第4.4款</w:t>
            </w:r>
          </w:p>
        </w:tc>
        <w:tc>
          <w:tcPr>
            <w:tcW w:w="1742" w:type="dxa"/>
            <w:vAlign w:val="center"/>
          </w:tcPr>
          <w:p>
            <w:pPr>
              <w:adjustRightInd w:val="0"/>
              <w:snapToGrid w:val="0"/>
              <w:rPr>
                <w:rFonts w:ascii="宋体" w:hAnsi="宋体"/>
                <w:highlight w:val="none"/>
              </w:rPr>
            </w:pPr>
            <w:r>
              <w:rPr>
                <w:rFonts w:hint="eastAsia" w:ascii="宋体" w:hAnsi="宋体"/>
                <w:highlight w:val="none"/>
              </w:rPr>
              <w:t>履约验收中甲方提出异议或作出说明的期限</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第4.6款</w:t>
            </w:r>
          </w:p>
        </w:tc>
        <w:tc>
          <w:tcPr>
            <w:tcW w:w="1742" w:type="dxa"/>
            <w:vAlign w:val="center"/>
          </w:tcPr>
          <w:p>
            <w:pPr>
              <w:adjustRightInd w:val="0"/>
              <w:snapToGrid w:val="0"/>
              <w:rPr>
                <w:rFonts w:ascii="宋体" w:hAnsi="宋体"/>
                <w:highlight w:val="none"/>
              </w:rPr>
            </w:pPr>
            <w:r>
              <w:rPr>
                <w:rFonts w:hint="eastAsia" w:ascii="宋体" w:hAnsi="宋体"/>
                <w:highlight w:val="none"/>
              </w:rPr>
              <w:t>约定甲方承担的其他义务和责任</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snapToGrid w:val="0"/>
              <w:jc w:val="center"/>
              <w:rPr>
                <w:highlight w:val="none"/>
              </w:rPr>
            </w:pPr>
            <w:r>
              <w:rPr>
                <w:rFonts w:hint="eastAsia" w:ascii="宋体" w:hAnsi="宋体"/>
                <w:highlight w:val="none"/>
              </w:rPr>
              <w:t>第5.4款</w:t>
            </w:r>
          </w:p>
        </w:tc>
        <w:tc>
          <w:tcPr>
            <w:tcW w:w="1742" w:type="dxa"/>
            <w:vAlign w:val="center"/>
          </w:tcPr>
          <w:p>
            <w:pPr>
              <w:adjustRightInd w:val="0"/>
              <w:snapToGrid w:val="0"/>
              <w:rPr>
                <w:rFonts w:ascii="宋体" w:hAnsi="宋体"/>
                <w:highlight w:val="none"/>
              </w:rPr>
            </w:pPr>
            <w:r>
              <w:rPr>
                <w:rFonts w:hint="eastAsia" w:ascii="宋体" w:hAnsi="宋体"/>
                <w:highlight w:val="none"/>
              </w:rPr>
              <w:t>约定乙方承担的其他义务和责任</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snapToGrid w:val="0"/>
              <w:jc w:val="center"/>
              <w:rPr>
                <w:rFonts w:ascii="宋体" w:hAnsi="宋体"/>
                <w:highlight w:val="none"/>
              </w:rPr>
            </w:pPr>
            <w:r>
              <w:rPr>
                <w:rFonts w:hint="eastAsia" w:ascii="宋体" w:hAnsi="宋体"/>
                <w:highlight w:val="none"/>
              </w:rPr>
              <w:t>第6.1款</w:t>
            </w:r>
          </w:p>
        </w:tc>
        <w:tc>
          <w:tcPr>
            <w:tcW w:w="1742" w:type="dxa"/>
            <w:vAlign w:val="center"/>
          </w:tcPr>
          <w:p>
            <w:pPr>
              <w:adjustRightInd w:val="0"/>
              <w:snapToGrid w:val="0"/>
              <w:rPr>
                <w:rFonts w:ascii="宋体" w:hAnsi="宋体"/>
                <w:highlight w:val="none"/>
              </w:rPr>
            </w:pPr>
            <w:r>
              <w:rPr>
                <w:rFonts w:hint="eastAsia" w:ascii="宋体" w:hAnsi="宋体"/>
                <w:highlight w:val="none"/>
              </w:rPr>
              <w:t>履行合同义务的顺序</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第7.1款</w:t>
            </w:r>
          </w:p>
        </w:tc>
        <w:tc>
          <w:tcPr>
            <w:tcW w:w="1742" w:type="dxa"/>
            <w:vAlign w:val="center"/>
          </w:tcPr>
          <w:p>
            <w:pPr>
              <w:adjustRightInd w:val="0"/>
              <w:snapToGrid w:val="0"/>
              <w:rPr>
                <w:rFonts w:ascii="宋体" w:hAnsi="宋体"/>
                <w:highlight w:val="none"/>
              </w:rPr>
            </w:pPr>
            <w:r>
              <w:rPr>
                <w:rFonts w:hint="eastAsia" w:ascii="宋体" w:hAnsi="宋体"/>
                <w:highlight w:val="none"/>
              </w:rPr>
              <w:t>包装特殊要求</w:t>
            </w:r>
          </w:p>
        </w:tc>
        <w:tc>
          <w:tcPr>
            <w:tcW w:w="5170" w:type="dxa"/>
            <w:vAlign w:val="center"/>
          </w:tcPr>
          <w:p>
            <w:pPr>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pPr>
              <w:adjustRightInd w:val="0"/>
              <w:snapToGrid w:val="0"/>
              <w:jc w:val="center"/>
              <w:rPr>
                <w:rFonts w:ascii="宋体" w:hAnsi="宋体"/>
                <w:highlight w:val="none"/>
              </w:rPr>
            </w:pPr>
          </w:p>
        </w:tc>
        <w:tc>
          <w:tcPr>
            <w:tcW w:w="1742" w:type="dxa"/>
            <w:vAlign w:val="center"/>
          </w:tcPr>
          <w:p>
            <w:pPr>
              <w:adjustRightInd w:val="0"/>
              <w:snapToGrid w:val="0"/>
              <w:rPr>
                <w:rFonts w:ascii="宋体" w:hAnsi="宋体"/>
                <w:highlight w:val="none"/>
              </w:rPr>
            </w:pPr>
            <w:r>
              <w:rPr>
                <w:rFonts w:hint="eastAsia" w:ascii="宋体" w:hAnsi="宋体"/>
                <w:highlight w:val="none"/>
              </w:rPr>
              <w:t>指定现场</w:t>
            </w:r>
          </w:p>
        </w:tc>
        <w:tc>
          <w:tcPr>
            <w:tcW w:w="5170" w:type="dxa"/>
            <w:vAlign w:val="center"/>
          </w:tcPr>
          <w:p>
            <w:pPr>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第7.2款</w:t>
            </w:r>
          </w:p>
        </w:tc>
        <w:tc>
          <w:tcPr>
            <w:tcW w:w="1742" w:type="dxa"/>
            <w:vAlign w:val="center"/>
          </w:tcPr>
          <w:p>
            <w:pPr>
              <w:adjustRightInd w:val="0"/>
              <w:snapToGrid w:val="0"/>
              <w:rPr>
                <w:rFonts w:ascii="宋体" w:hAnsi="宋体"/>
                <w:highlight w:val="none"/>
              </w:rPr>
            </w:pPr>
            <w:r>
              <w:rPr>
                <w:rFonts w:hint="eastAsia" w:ascii="宋体" w:hAnsi="宋体"/>
                <w:highlight w:val="none"/>
              </w:rPr>
              <w:t>运输特殊要求</w:t>
            </w:r>
          </w:p>
        </w:tc>
        <w:tc>
          <w:tcPr>
            <w:tcW w:w="5170" w:type="dxa"/>
            <w:vAlign w:val="center"/>
          </w:tcPr>
          <w:p>
            <w:pPr>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第7.3款</w:t>
            </w:r>
          </w:p>
        </w:tc>
        <w:tc>
          <w:tcPr>
            <w:tcW w:w="1742" w:type="dxa"/>
            <w:vAlign w:val="center"/>
          </w:tcPr>
          <w:p>
            <w:pPr>
              <w:adjustRightInd w:val="0"/>
              <w:snapToGrid w:val="0"/>
              <w:rPr>
                <w:rFonts w:ascii="宋体" w:hAnsi="宋体"/>
                <w:highlight w:val="none"/>
              </w:rPr>
            </w:pPr>
            <w:r>
              <w:rPr>
                <w:rFonts w:hint="eastAsia" w:ascii="宋体" w:hAnsi="宋体"/>
                <w:highlight w:val="none"/>
              </w:rPr>
              <w:t>保险要求</w:t>
            </w:r>
          </w:p>
        </w:tc>
        <w:tc>
          <w:tcPr>
            <w:tcW w:w="5170" w:type="dxa"/>
            <w:vAlign w:val="center"/>
          </w:tcPr>
          <w:p>
            <w:pPr>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第8.2（1）项</w:t>
            </w:r>
          </w:p>
        </w:tc>
        <w:tc>
          <w:tcPr>
            <w:tcW w:w="1742" w:type="dxa"/>
            <w:vAlign w:val="center"/>
          </w:tcPr>
          <w:p>
            <w:pPr>
              <w:adjustRightInd w:val="0"/>
              <w:snapToGrid w:val="0"/>
              <w:rPr>
                <w:rFonts w:ascii="宋体" w:hAnsi="宋体"/>
                <w:highlight w:val="none"/>
              </w:rPr>
            </w:pPr>
            <w:r>
              <w:rPr>
                <w:rFonts w:hint="eastAsia" w:ascii="宋体" w:hAnsi="宋体"/>
                <w:highlight w:val="none"/>
              </w:rPr>
              <w:t>质量保证期</w:t>
            </w:r>
          </w:p>
        </w:tc>
        <w:tc>
          <w:tcPr>
            <w:tcW w:w="5170" w:type="dxa"/>
            <w:vAlign w:val="center"/>
          </w:tcPr>
          <w:p>
            <w:pPr>
              <w:autoSpaceDE w:val="0"/>
              <w:autoSpaceDN w:val="0"/>
              <w:adjustRightInd w:val="0"/>
              <w:snapToGrid w:val="0"/>
              <w:ind w:firstLine="420" w:firstLineChars="20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第8.2（3）项</w:t>
            </w:r>
          </w:p>
        </w:tc>
        <w:tc>
          <w:tcPr>
            <w:tcW w:w="1742" w:type="dxa"/>
            <w:vAlign w:val="center"/>
          </w:tcPr>
          <w:p>
            <w:pPr>
              <w:adjustRightInd w:val="0"/>
              <w:snapToGrid w:val="0"/>
              <w:rPr>
                <w:rFonts w:ascii="宋体" w:hAnsi="宋体"/>
                <w:highlight w:val="none"/>
              </w:rPr>
            </w:pPr>
            <w:r>
              <w:rPr>
                <w:rFonts w:hint="eastAsia" w:ascii="宋体" w:hAnsi="宋体"/>
                <w:highlight w:val="none"/>
              </w:rPr>
              <w:t>货物质量缺陷</w:t>
            </w:r>
          </w:p>
          <w:p>
            <w:pPr>
              <w:adjustRightInd w:val="0"/>
              <w:snapToGrid w:val="0"/>
              <w:rPr>
                <w:rFonts w:ascii="宋体" w:hAnsi="宋体"/>
                <w:highlight w:val="none"/>
              </w:rPr>
            </w:pPr>
            <w:r>
              <w:rPr>
                <w:rFonts w:hint="eastAsia" w:ascii="宋体" w:hAnsi="宋体"/>
                <w:highlight w:val="none"/>
              </w:rPr>
              <w:t>响应时间</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snapToGrid w:val="0"/>
              <w:jc w:val="center"/>
              <w:rPr>
                <w:rFonts w:ascii="宋体" w:hAnsi="宋体" w:cs="宋体"/>
                <w:highlight w:val="none"/>
              </w:rPr>
            </w:pPr>
            <w:r>
              <w:rPr>
                <w:rFonts w:hint="eastAsia" w:ascii="宋体" w:hAnsi="宋体" w:cs="宋体"/>
                <w:highlight w:val="none"/>
              </w:rPr>
              <w:t>第二节</w:t>
            </w:r>
          </w:p>
          <w:p>
            <w:pPr>
              <w:pStyle w:val="69"/>
              <w:ind w:firstLine="0" w:firstLineChars="0"/>
              <w:jc w:val="center"/>
              <w:rPr>
                <w:highlight w:val="none"/>
              </w:rPr>
            </w:pPr>
            <w:r>
              <w:rPr>
                <w:rFonts w:hint="eastAsia" w:ascii="宋体" w:hAnsi="宋体" w:eastAsia="宋体" w:cs="宋体"/>
                <w:highlight w:val="none"/>
              </w:rPr>
              <w:t>第11.1款</w:t>
            </w:r>
          </w:p>
        </w:tc>
        <w:tc>
          <w:tcPr>
            <w:tcW w:w="1742" w:type="dxa"/>
            <w:vAlign w:val="center"/>
          </w:tcPr>
          <w:p>
            <w:pPr>
              <w:adjustRightInd w:val="0"/>
              <w:snapToGrid w:val="0"/>
              <w:rPr>
                <w:rFonts w:ascii="宋体" w:hAnsi="宋体"/>
                <w:highlight w:val="none"/>
              </w:rPr>
            </w:pPr>
            <w:r>
              <w:rPr>
                <w:rFonts w:hint="eastAsia" w:ascii="宋体" w:hAnsi="宋体"/>
                <w:highlight w:val="none"/>
              </w:rPr>
              <w:t>其他应当保密的信息</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第12.2款</w:t>
            </w:r>
          </w:p>
        </w:tc>
        <w:tc>
          <w:tcPr>
            <w:tcW w:w="1742" w:type="dxa"/>
            <w:vAlign w:val="center"/>
          </w:tcPr>
          <w:p>
            <w:pPr>
              <w:adjustRightInd w:val="0"/>
              <w:snapToGrid w:val="0"/>
              <w:rPr>
                <w:rFonts w:ascii="宋体" w:hAnsi="宋体"/>
                <w:highlight w:val="none"/>
              </w:rPr>
            </w:pPr>
            <w:r>
              <w:rPr>
                <w:rFonts w:hint="eastAsia" w:ascii="宋体" w:hAnsi="宋体"/>
                <w:highlight w:val="none"/>
              </w:rPr>
              <w:t>合同价款支付时间</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第13.2款</w:t>
            </w:r>
          </w:p>
        </w:tc>
        <w:tc>
          <w:tcPr>
            <w:tcW w:w="1742" w:type="dxa"/>
            <w:vAlign w:val="center"/>
          </w:tcPr>
          <w:p>
            <w:pPr>
              <w:adjustRightInd w:val="0"/>
              <w:snapToGrid w:val="0"/>
              <w:rPr>
                <w:rFonts w:ascii="宋体" w:hAnsi="宋体"/>
                <w:highlight w:val="none"/>
              </w:rPr>
            </w:pPr>
            <w:r>
              <w:rPr>
                <w:rFonts w:hint="eastAsia" w:ascii="宋体" w:hAnsi="宋体"/>
                <w:highlight w:val="none"/>
              </w:rPr>
              <w:t>履约保证金不予退还的情形</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第13.3款</w:t>
            </w:r>
          </w:p>
        </w:tc>
        <w:tc>
          <w:tcPr>
            <w:tcW w:w="1742" w:type="dxa"/>
            <w:vAlign w:val="center"/>
          </w:tcPr>
          <w:p>
            <w:pPr>
              <w:adjustRightInd w:val="0"/>
              <w:snapToGrid w:val="0"/>
              <w:rPr>
                <w:rFonts w:ascii="宋体" w:hAnsi="宋体"/>
                <w:highlight w:val="none"/>
              </w:rPr>
            </w:pPr>
            <w:r>
              <w:rPr>
                <w:rFonts w:hint="eastAsia" w:ascii="宋体" w:hAnsi="宋体"/>
                <w:highlight w:val="none"/>
              </w:rPr>
              <w:t>履约保证金退还时间及逾期退还的违约金</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第14.1（3）项</w:t>
            </w:r>
          </w:p>
        </w:tc>
        <w:tc>
          <w:tcPr>
            <w:tcW w:w="1742" w:type="dxa"/>
            <w:vAlign w:val="center"/>
          </w:tcPr>
          <w:p>
            <w:pPr>
              <w:adjustRightInd w:val="0"/>
              <w:snapToGrid w:val="0"/>
              <w:rPr>
                <w:rFonts w:ascii="宋体" w:hAnsi="宋体"/>
                <w:highlight w:val="none"/>
              </w:rPr>
            </w:pPr>
            <w:r>
              <w:rPr>
                <w:rFonts w:hint="eastAsia" w:ascii="宋体" w:hAnsi="宋体"/>
                <w:highlight w:val="none"/>
              </w:rPr>
              <w:t>运行监督、维修期限</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第14.1（5）项</w:t>
            </w:r>
          </w:p>
        </w:tc>
        <w:tc>
          <w:tcPr>
            <w:tcW w:w="1742" w:type="dxa"/>
            <w:vAlign w:val="center"/>
          </w:tcPr>
          <w:p>
            <w:pPr>
              <w:adjustRightInd w:val="0"/>
              <w:snapToGrid w:val="0"/>
              <w:rPr>
                <w:rFonts w:ascii="宋体" w:hAnsi="宋体"/>
                <w:highlight w:val="none"/>
              </w:rPr>
            </w:pPr>
            <w:r>
              <w:rPr>
                <w:rFonts w:hint="eastAsia" w:ascii="宋体" w:hAnsi="宋体"/>
                <w:highlight w:val="none"/>
              </w:rPr>
              <w:t>货物回收的约定</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第14.1（6）项</w:t>
            </w:r>
          </w:p>
        </w:tc>
        <w:tc>
          <w:tcPr>
            <w:tcW w:w="1742" w:type="dxa"/>
            <w:vAlign w:val="center"/>
          </w:tcPr>
          <w:p>
            <w:pPr>
              <w:adjustRightInd w:val="0"/>
              <w:snapToGrid w:val="0"/>
              <w:rPr>
                <w:rFonts w:ascii="宋体" w:hAnsi="宋体"/>
                <w:highlight w:val="none"/>
              </w:rPr>
            </w:pPr>
            <w:r>
              <w:rPr>
                <w:rFonts w:hint="eastAsia" w:ascii="宋体" w:hAnsi="宋体"/>
                <w:highlight w:val="none"/>
              </w:rPr>
              <w:t>乙方提供的其他服务</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第15.1款</w:t>
            </w:r>
          </w:p>
        </w:tc>
        <w:tc>
          <w:tcPr>
            <w:tcW w:w="1742" w:type="dxa"/>
            <w:vAlign w:val="center"/>
          </w:tcPr>
          <w:p>
            <w:pPr>
              <w:adjustRightInd w:val="0"/>
              <w:snapToGrid w:val="0"/>
              <w:rPr>
                <w:rFonts w:ascii="宋体" w:hAnsi="宋体"/>
                <w:highlight w:val="none"/>
              </w:rPr>
            </w:pPr>
            <w:r>
              <w:rPr>
                <w:rFonts w:hint="eastAsia" w:ascii="宋体" w:hAnsi="宋体"/>
                <w:highlight w:val="none"/>
              </w:rPr>
              <w:t>修理、重作、更换相关具体规定</w:t>
            </w:r>
          </w:p>
        </w:tc>
        <w:tc>
          <w:tcPr>
            <w:tcW w:w="5170" w:type="dxa"/>
            <w:vAlign w:val="center"/>
          </w:tcPr>
          <w:p>
            <w:pPr>
              <w:adjustRightInd w:val="0"/>
              <w:snapToGrid w:val="0"/>
              <w:rPr>
                <w:rFonts w:ascii="宋体" w:hAnsi="宋体"/>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第15.2（2）项</w:t>
            </w:r>
          </w:p>
        </w:tc>
        <w:tc>
          <w:tcPr>
            <w:tcW w:w="1742" w:type="dxa"/>
            <w:vAlign w:val="center"/>
          </w:tcPr>
          <w:p>
            <w:pPr>
              <w:adjustRightInd w:val="0"/>
              <w:snapToGrid w:val="0"/>
              <w:rPr>
                <w:rFonts w:ascii="宋体" w:hAnsi="宋体"/>
                <w:highlight w:val="none"/>
              </w:rPr>
            </w:pPr>
            <w:r>
              <w:rPr>
                <w:rFonts w:hint="eastAsia" w:ascii="宋体" w:hAnsi="宋体"/>
                <w:highlight w:val="none"/>
              </w:rPr>
              <w:t>迟延交货赔偿费</w:t>
            </w:r>
          </w:p>
        </w:tc>
        <w:tc>
          <w:tcPr>
            <w:tcW w:w="5170" w:type="dxa"/>
            <w:vAlign w:val="center"/>
          </w:tcPr>
          <w:p>
            <w:pPr>
              <w:adjustRightInd w:val="0"/>
              <w:snapToGrid w:val="0"/>
              <w:rPr>
                <w:rFonts w:ascii="宋体" w:hAnsi="宋体"/>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第15.3款</w:t>
            </w:r>
          </w:p>
        </w:tc>
        <w:tc>
          <w:tcPr>
            <w:tcW w:w="1742" w:type="dxa"/>
            <w:vAlign w:val="center"/>
          </w:tcPr>
          <w:p>
            <w:pPr>
              <w:adjustRightInd w:val="0"/>
              <w:snapToGrid w:val="0"/>
              <w:rPr>
                <w:rFonts w:ascii="宋体" w:hAnsi="宋体"/>
                <w:highlight w:val="none"/>
              </w:rPr>
            </w:pPr>
            <w:r>
              <w:rPr>
                <w:rFonts w:hint="eastAsia" w:ascii="宋体" w:hAnsi="宋体"/>
                <w:highlight w:val="none"/>
              </w:rPr>
              <w:t>逾期付款利息</w:t>
            </w:r>
          </w:p>
        </w:tc>
        <w:tc>
          <w:tcPr>
            <w:tcW w:w="5170" w:type="dxa"/>
            <w:vAlign w:val="center"/>
          </w:tcPr>
          <w:p>
            <w:pPr>
              <w:adjustRightInd w:val="0"/>
              <w:snapToGrid w:val="0"/>
              <w:rPr>
                <w:rFonts w:ascii="宋体" w:hAnsi="宋体"/>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第15.4款</w:t>
            </w:r>
          </w:p>
        </w:tc>
        <w:tc>
          <w:tcPr>
            <w:tcW w:w="1742" w:type="dxa"/>
            <w:tcBorders>
              <w:left w:val="single" w:color="auto" w:sz="2" w:space="0"/>
              <w:bottom w:val="single" w:color="auto" w:sz="2" w:space="0"/>
              <w:right w:val="single" w:color="auto" w:sz="2" w:space="0"/>
            </w:tcBorders>
            <w:vAlign w:val="center"/>
          </w:tcPr>
          <w:p>
            <w:pPr>
              <w:adjustRightInd w:val="0"/>
              <w:snapToGrid w:val="0"/>
              <w:rPr>
                <w:rFonts w:ascii="宋体" w:hAnsi="宋体"/>
                <w:highlight w:val="none"/>
              </w:rPr>
            </w:pPr>
            <w:r>
              <w:rPr>
                <w:rFonts w:hint="eastAsia" w:ascii="宋体" w:hAnsi="宋体"/>
                <w:highlight w:val="none"/>
              </w:rPr>
              <w:t>其他违约责任</w:t>
            </w:r>
          </w:p>
        </w:tc>
        <w:tc>
          <w:tcPr>
            <w:tcW w:w="5170" w:type="dxa"/>
            <w:tcBorders>
              <w:left w:val="single" w:color="auto" w:sz="2" w:space="0"/>
              <w:bottom w:val="single" w:color="auto" w:sz="2" w:space="0"/>
            </w:tcBorders>
            <w:vAlign w:val="center"/>
          </w:tcPr>
          <w:p>
            <w:pPr>
              <w:adjustRightInd w:val="0"/>
              <w:snapToGrid w:val="0"/>
              <w:rPr>
                <w:rFonts w:ascii="宋体" w:hAnsi="宋体"/>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第19.2款</w:t>
            </w:r>
          </w:p>
        </w:tc>
        <w:tc>
          <w:tcPr>
            <w:tcW w:w="1742" w:type="dxa"/>
            <w:tcBorders>
              <w:top w:val="single" w:color="auto" w:sz="2" w:space="0"/>
              <w:left w:val="single" w:color="auto" w:sz="2" w:space="0"/>
              <w:right w:val="single" w:color="auto" w:sz="2" w:space="0"/>
            </w:tcBorders>
            <w:vAlign w:val="center"/>
          </w:tcPr>
          <w:p>
            <w:pPr>
              <w:adjustRightInd w:val="0"/>
              <w:snapToGrid w:val="0"/>
              <w:rPr>
                <w:rFonts w:ascii="宋体" w:hAnsi="宋体"/>
                <w:highlight w:val="none"/>
              </w:rPr>
            </w:pPr>
            <w:r>
              <w:rPr>
                <w:rFonts w:hint="eastAsia" w:ascii="宋体" w:hAnsi="宋体"/>
                <w:highlight w:val="none"/>
              </w:rPr>
              <w:t>解决争议的方法</w:t>
            </w:r>
          </w:p>
        </w:tc>
        <w:tc>
          <w:tcPr>
            <w:tcW w:w="5170" w:type="dxa"/>
            <w:tcBorders>
              <w:top w:val="single" w:color="auto" w:sz="2" w:space="0"/>
              <w:left w:val="single" w:color="auto" w:sz="2" w:space="0"/>
            </w:tcBorders>
            <w:vAlign w:val="center"/>
          </w:tcPr>
          <w:p>
            <w:pPr>
              <w:autoSpaceDE w:val="0"/>
              <w:autoSpaceDN w:val="0"/>
              <w:adjustRightInd w:val="0"/>
              <w:snapToGrid w:val="0"/>
              <w:spacing w:line="400" w:lineRule="exact"/>
              <w:rPr>
                <w:rFonts w:ascii="宋体" w:hAnsi="宋体" w:cs="宋体"/>
                <w:iCs/>
                <w:highlight w:val="none"/>
              </w:rPr>
            </w:pPr>
            <w:r>
              <w:rPr>
                <w:rFonts w:hint="eastAsia" w:ascii="宋体" w:hAnsi="宋体" w:cs="宋体"/>
                <w:iCs/>
                <w:highlight w:val="none"/>
              </w:rPr>
              <w:t>因本合同及合同有关事项发生的争议，按下列第</w:t>
            </w:r>
            <w:r>
              <w:rPr>
                <w:rFonts w:hint="eastAsia" w:ascii="宋体" w:hAnsi="宋体" w:cs="宋体"/>
                <w:iCs/>
                <w:highlight w:val="none"/>
                <w:u w:val="single"/>
              </w:rPr>
              <w:t xml:space="preserve">   </w:t>
            </w:r>
            <w:r>
              <w:rPr>
                <w:rFonts w:hint="eastAsia" w:ascii="宋体" w:hAnsi="宋体" w:cs="宋体"/>
                <w:iCs/>
                <w:highlight w:val="none"/>
              </w:rPr>
              <w:t>种方式解决：</w:t>
            </w:r>
          </w:p>
          <w:p>
            <w:pPr>
              <w:autoSpaceDE w:val="0"/>
              <w:autoSpaceDN w:val="0"/>
              <w:adjustRightInd w:val="0"/>
              <w:snapToGrid w:val="0"/>
              <w:spacing w:line="400" w:lineRule="exact"/>
              <w:rPr>
                <w:rFonts w:ascii="宋体" w:hAnsi="宋体" w:cs="宋体"/>
                <w:iCs/>
                <w:highlight w:val="none"/>
              </w:rPr>
            </w:pPr>
            <w:r>
              <w:rPr>
                <w:rFonts w:hint="eastAsia" w:ascii="宋体" w:hAnsi="宋体" w:cs="宋体"/>
                <w:iCs/>
                <w:highlight w:val="none"/>
              </w:rPr>
              <w:t>（1）向</w:t>
            </w:r>
            <w:r>
              <w:rPr>
                <w:rFonts w:hint="eastAsia" w:ascii="宋体" w:hAnsi="宋体" w:cs="宋体"/>
                <w:iCs/>
                <w:highlight w:val="none"/>
                <w:u w:val="single"/>
              </w:rPr>
              <w:t xml:space="preserve">                    </w:t>
            </w:r>
            <w:r>
              <w:rPr>
                <w:rFonts w:hint="eastAsia" w:ascii="宋体" w:hAnsi="宋体" w:cs="宋体"/>
                <w:iCs/>
                <w:highlight w:val="none"/>
              </w:rPr>
              <w:t>仲裁委员会申请仲裁，仲裁地点为</w:t>
            </w:r>
            <w:r>
              <w:rPr>
                <w:rFonts w:hint="eastAsia" w:ascii="宋体" w:hAnsi="宋体" w:cs="宋体"/>
                <w:iCs/>
                <w:highlight w:val="none"/>
                <w:u w:val="single"/>
              </w:rPr>
              <w:t xml:space="preserve">           </w:t>
            </w:r>
            <w:r>
              <w:rPr>
                <w:rFonts w:hint="eastAsia" w:ascii="宋体" w:hAnsi="宋体" w:cs="宋体"/>
                <w:iCs/>
                <w:highlight w:val="none"/>
              </w:rPr>
              <w:t>；</w:t>
            </w:r>
          </w:p>
          <w:p>
            <w:pPr>
              <w:adjustRightInd w:val="0"/>
              <w:snapToGrid w:val="0"/>
              <w:rPr>
                <w:rFonts w:ascii="宋体" w:hAnsi="宋体"/>
                <w:highlight w:val="none"/>
                <w:u w:val="single"/>
              </w:rPr>
            </w:pPr>
            <w:r>
              <w:rPr>
                <w:rFonts w:hint="eastAsia" w:ascii="宋体" w:hAnsi="宋体" w:cs="宋体"/>
                <w:iCs/>
                <w:highlight w:val="none"/>
              </w:rPr>
              <w:t>（2）向</w:t>
            </w:r>
            <w:r>
              <w:rPr>
                <w:rFonts w:hint="eastAsia" w:ascii="宋体" w:hAnsi="宋体" w:cs="宋体"/>
                <w:iCs/>
                <w:highlight w:val="none"/>
                <w:u w:val="single"/>
              </w:rPr>
              <w:t xml:space="preserve">                    </w:t>
            </w:r>
            <w:r>
              <w:rPr>
                <w:rFonts w:hint="eastAsia" w:ascii="宋体" w:hAnsi="宋体" w:cs="宋体"/>
                <w:iCs/>
                <w:highlight w:val="none"/>
              </w:rPr>
              <w:t>人民法院起诉。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pPr>
              <w:adjustRightInd w:val="0"/>
              <w:snapToGrid w:val="0"/>
              <w:jc w:val="center"/>
              <w:rPr>
                <w:rFonts w:ascii="宋体" w:hAnsi="宋体"/>
                <w:highlight w:val="none"/>
              </w:rPr>
            </w:pPr>
            <w:r>
              <w:rPr>
                <w:rFonts w:hint="eastAsia" w:ascii="宋体" w:hAnsi="宋体"/>
                <w:highlight w:val="none"/>
              </w:rPr>
              <w:t>第二节</w:t>
            </w:r>
          </w:p>
          <w:p>
            <w:pPr>
              <w:adjustRightInd w:val="0"/>
              <w:snapToGrid w:val="0"/>
              <w:jc w:val="center"/>
              <w:rPr>
                <w:rFonts w:ascii="宋体" w:hAnsi="宋体"/>
                <w:highlight w:val="none"/>
              </w:rPr>
            </w:pPr>
            <w:r>
              <w:rPr>
                <w:rFonts w:hint="eastAsia" w:ascii="宋体" w:hAnsi="宋体"/>
                <w:highlight w:val="none"/>
              </w:rPr>
              <w:t>第23.1款</w:t>
            </w:r>
          </w:p>
        </w:tc>
        <w:tc>
          <w:tcPr>
            <w:tcW w:w="1742" w:type="dxa"/>
            <w:vAlign w:val="center"/>
          </w:tcPr>
          <w:p>
            <w:pPr>
              <w:adjustRightInd w:val="0"/>
              <w:snapToGrid w:val="0"/>
              <w:rPr>
                <w:rFonts w:ascii="宋体" w:hAnsi="宋体"/>
                <w:highlight w:val="none"/>
              </w:rPr>
            </w:pPr>
            <w:r>
              <w:rPr>
                <w:rFonts w:hint="eastAsia" w:ascii="宋体" w:hAnsi="宋体"/>
                <w:bCs/>
                <w:highlight w:val="none"/>
              </w:rPr>
              <w:t>其他专用条款</w:t>
            </w:r>
          </w:p>
        </w:tc>
        <w:tc>
          <w:tcPr>
            <w:tcW w:w="5170" w:type="dxa"/>
            <w:vAlign w:val="center"/>
          </w:tcPr>
          <w:p>
            <w:pPr>
              <w:adjustRightInd w:val="0"/>
              <w:snapToGrid w:val="0"/>
              <w:rPr>
                <w:rFonts w:ascii="宋体" w:hAnsi="宋体"/>
                <w:highlight w:val="none"/>
              </w:rPr>
            </w:pPr>
          </w:p>
        </w:tc>
      </w:tr>
    </w:tbl>
    <w:p>
      <w:pPr>
        <w:rPr>
          <w:highlight w:val="none"/>
        </w:rPr>
      </w:pPr>
    </w:p>
    <w:p>
      <w:pPr>
        <w:pStyle w:val="24"/>
        <w:spacing w:line="360" w:lineRule="auto"/>
        <w:outlineLvl w:val="9"/>
        <w:rPr>
          <w:rFonts w:ascii="宋体" w:hAnsi="宋体" w:eastAsia="宋体" w:cs="宋体"/>
          <w:sz w:val="22"/>
          <w:szCs w:val="22"/>
          <w:highlight w:val="none"/>
        </w:rPr>
      </w:pPr>
    </w:p>
    <w:p>
      <w:pPr>
        <w:pStyle w:val="24"/>
        <w:spacing w:line="360" w:lineRule="auto"/>
        <w:rPr>
          <w:rFonts w:ascii="宋体" w:hAnsi="宋体"/>
          <w:bCs w:val="0"/>
          <w:kern w:val="44"/>
          <w:sz w:val="36"/>
          <w:szCs w:val="20"/>
          <w:highlight w:val="none"/>
        </w:rPr>
      </w:pPr>
      <w:r>
        <w:rPr>
          <w:rFonts w:hint="eastAsia" w:ascii="宋体" w:hAnsi="宋体" w:eastAsia="宋体" w:cs="宋体"/>
          <w:highlight w:val="none"/>
        </w:rPr>
        <w:br w:type="page"/>
      </w:r>
      <w:bookmarkStart w:id="192" w:name="_Toc7665"/>
      <w:bookmarkStart w:id="193" w:name="_Toc25840"/>
      <w:bookmarkStart w:id="194" w:name="_Toc168573767"/>
      <w:bookmarkStart w:id="195" w:name="_Toc26288"/>
      <w:bookmarkStart w:id="196" w:name="_Toc19395"/>
      <w:bookmarkStart w:id="197" w:name="_Toc27240"/>
      <w:r>
        <w:rPr>
          <w:rFonts w:hint="eastAsia" w:ascii="宋体" w:hAnsi="宋体"/>
          <w:bCs w:val="0"/>
          <w:kern w:val="44"/>
          <w:sz w:val="36"/>
          <w:szCs w:val="20"/>
          <w:highlight w:val="none"/>
        </w:rPr>
        <w:t>第四章  投标文件格式</w:t>
      </w:r>
      <w:bookmarkEnd w:id="192"/>
      <w:bookmarkEnd w:id="193"/>
      <w:bookmarkEnd w:id="194"/>
      <w:bookmarkEnd w:id="195"/>
      <w:bookmarkEnd w:id="196"/>
      <w:bookmarkEnd w:id="197"/>
    </w:p>
    <w:p>
      <w:pPr>
        <w:pStyle w:val="14"/>
        <w:spacing w:line="360" w:lineRule="auto"/>
        <w:rPr>
          <w:rFonts w:hAnsi="宋体"/>
          <w:szCs w:val="21"/>
          <w:highlight w:val="none"/>
        </w:rPr>
      </w:pPr>
    </w:p>
    <w:p>
      <w:pPr>
        <w:pStyle w:val="14"/>
        <w:spacing w:line="360" w:lineRule="auto"/>
        <w:rPr>
          <w:rFonts w:hAnsi="宋体"/>
          <w:szCs w:val="21"/>
          <w:highlight w:val="none"/>
          <w:u w:val="single"/>
        </w:rPr>
      </w:pPr>
    </w:p>
    <w:p>
      <w:pPr>
        <w:pStyle w:val="14"/>
        <w:spacing w:line="360" w:lineRule="auto"/>
        <w:jc w:val="center"/>
        <w:rPr>
          <w:rFonts w:hAnsi="宋体"/>
          <w:b/>
          <w:bCs/>
          <w:sz w:val="48"/>
          <w:highlight w:val="none"/>
        </w:rPr>
      </w:pPr>
      <w:r>
        <w:rPr>
          <w:rFonts w:hint="eastAsia" w:hAnsi="宋体"/>
          <w:b/>
          <w:bCs/>
          <w:sz w:val="48"/>
          <w:highlight w:val="none"/>
        </w:rPr>
        <w:t>云南省森林消防总队个人防护装备（头盔、灯类）购置项目</w:t>
      </w:r>
    </w:p>
    <w:p>
      <w:pPr>
        <w:pStyle w:val="14"/>
        <w:spacing w:line="360" w:lineRule="auto"/>
        <w:jc w:val="center"/>
        <w:rPr>
          <w:rFonts w:hAnsi="宋体"/>
          <w:b/>
          <w:bCs/>
          <w:sz w:val="48"/>
          <w:highlight w:val="none"/>
        </w:rPr>
      </w:pPr>
      <w:r>
        <w:rPr>
          <w:rFonts w:hint="eastAsia" w:hAnsi="宋体"/>
          <w:b/>
          <w:bCs/>
          <w:sz w:val="48"/>
          <w:highlight w:val="none"/>
        </w:rPr>
        <w:t>（</w:t>
      </w:r>
      <w:r>
        <w:rPr>
          <w:rFonts w:hint="eastAsia" w:hAnsi="宋体"/>
          <w:b/>
          <w:bCs/>
          <w:sz w:val="48"/>
          <w:highlight w:val="none"/>
          <w:u w:val="single"/>
        </w:rPr>
        <w:t xml:space="preserve">   </w:t>
      </w:r>
      <w:r>
        <w:rPr>
          <w:rFonts w:hint="eastAsia" w:hAnsi="宋体"/>
          <w:b/>
          <w:bCs/>
          <w:sz w:val="48"/>
          <w:highlight w:val="none"/>
        </w:rPr>
        <w:t>标包）</w:t>
      </w:r>
    </w:p>
    <w:p>
      <w:pPr>
        <w:pStyle w:val="14"/>
        <w:spacing w:line="360" w:lineRule="auto"/>
        <w:jc w:val="center"/>
        <w:rPr>
          <w:rFonts w:hAnsi="宋体"/>
          <w:b/>
          <w:sz w:val="32"/>
          <w:szCs w:val="32"/>
          <w:highlight w:val="none"/>
        </w:rPr>
      </w:pPr>
    </w:p>
    <w:p>
      <w:pPr>
        <w:pStyle w:val="14"/>
        <w:spacing w:line="360" w:lineRule="auto"/>
        <w:jc w:val="center"/>
        <w:rPr>
          <w:rFonts w:hAnsi="宋体"/>
          <w:b/>
          <w:sz w:val="32"/>
          <w:szCs w:val="32"/>
          <w:highlight w:val="none"/>
        </w:rPr>
      </w:pPr>
    </w:p>
    <w:p>
      <w:pPr>
        <w:pStyle w:val="14"/>
        <w:spacing w:line="360" w:lineRule="auto"/>
        <w:jc w:val="center"/>
        <w:rPr>
          <w:rFonts w:hAnsi="宋体"/>
          <w:b/>
          <w:sz w:val="32"/>
          <w:szCs w:val="32"/>
          <w:highlight w:val="none"/>
        </w:rPr>
      </w:pPr>
    </w:p>
    <w:p>
      <w:pPr>
        <w:pStyle w:val="14"/>
        <w:spacing w:line="360" w:lineRule="auto"/>
        <w:jc w:val="center"/>
        <w:rPr>
          <w:rFonts w:hAnsi="宋体"/>
          <w:b/>
          <w:sz w:val="32"/>
          <w:szCs w:val="32"/>
          <w:highlight w:val="none"/>
        </w:rPr>
      </w:pPr>
    </w:p>
    <w:p>
      <w:pPr>
        <w:pStyle w:val="14"/>
        <w:spacing w:line="360" w:lineRule="auto"/>
        <w:jc w:val="center"/>
        <w:rPr>
          <w:rFonts w:hAnsi="宋体"/>
          <w:b/>
          <w:sz w:val="72"/>
          <w:szCs w:val="72"/>
          <w:highlight w:val="none"/>
        </w:rPr>
      </w:pPr>
      <w:r>
        <w:rPr>
          <w:rFonts w:hint="eastAsia" w:hAnsi="宋体"/>
          <w:b/>
          <w:sz w:val="72"/>
          <w:szCs w:val="72"/>
          <w:highlight w:val="none"/>
        </w:rPr>
        <w:t>投 标 文 件</w:t>
      </w:r>
    </w:p>
    <w:p>
      <w:pPr>
        <w:pStyle w:val="14"/>
        <w:spacing w:line="360" w:lineRule="auto"/>
        <w:jc w:val="center"/>
        <w:rPr>
          <w:rFonts w:hAnsi="宋体"/>
          <w:b/>
          <w:sz w:val="72"/>
          <w:szCs w:val="72"/>
          <w:highlight w:val="none"/>
        </w:rPr>
      </w:pPr>
    </w:p>
    <w:p>
      <w:pPr>
        <w:pStyle w:val="14"/>
        <w:spacing w:line="360" w:lineRule="auto"/>
        <w:ind w:firstLine="3601" w:firstLineChars="1281"/>
        <w:rPr>
          <w:rFonts w:hAnsi="宋体"/>
          <w:b/>
          <w:sz w:val="28"/>
          <w:szCs w:val="28"/>
          <w:highlight w:val="none"/>
        </w:rPr>
      </w:pPr>
      <w:r>
        <w:rPr>
          <w:rFonts w:hint="eastAsia" w:hAnsi="宋体"/>
          <w:b/>
          <w:sz w:val="28"/>
          <w:szCs w:val="28"/>
          <w:highlight w:val="none"/>
        </w:rPr>
        <w:t>项目编号：</w:t>
      </w:r>
    </w:p>
    <w:p>
      <w:pPr>
        <w:pStyle w:val="14"/>
        <w:spacing w:line="360" w:lineRule="auto"/>
        <w:ind w:firstLine="3601" w:firstLineChars="1281"/>
        <w:rPr>
          <w:rFonts w:hAnsi="宋体"/>
          <w:b/>
          <w:sz w:val="28"/>
          <w:szCs w:val="28"/>
          <w:highlight w:val="none"/>
        </w:rPr>
      </w:pPr>
    </w:p>
    <w:p>
      <w:pPr>
        <w:pStyle w:val="14"/>
        <w:spacing w:line="360" w:lineRule="auto"/>
        <w:jc w:val="center"/>
        <w:rPr>
          <w:rFonts w:hAnsi="宋体"/>
          <w:b/>
          <w:sz w:val="28"/>
          <w:szCs w:val="28"/>
          <w:highlight w:val="none"/>
        </w:rPr>
      </w:pPr>
    </w:p>
    <w:p>
      <w:pPr>
        <w:pStyle w:val="14"/>
        <w:spacing w:line="360" w:lineRule="auto"/>
        <w:jc w:val="center"/>
        <w:rPr>
          <w:rFonts w:hAnsi="宋体"/>
          <w:b/>
          <w:sz w:val="28"/>
          <w:szCs w:val="28"/>
          <w:highlight w:val="none"/>
        </w:rPr>
      </w:pPr>
    </w:p>
    <w:p>
      <w:pPr>
        <w:pStyle w:val="14"/>
        <w:spacing w:line="360" w:lineRule="auto"/>
        <w:jc w:val="center"/>
        <w:rPr>
          <w:rFonts w:hAnsi="宋体"/>
          <w:b/>
          <w:sz w:val="72"/>
          <w:szCs w:val="72"/>
          <w:highlight w:val="none"/>
        </w:rPr>
      </w:pPr>
    </w:p>
    <w:p>
      <w:pPr>
        <w:spacing w:line="360" w:lineRule="auto"/>
        <w:ind w:firstLine="2691" w:firstLineChars="1117"/>
        <w:rPr>
          <w:rFonts w:ascii="宋体" w:hAnsi="宋体"/>
          <w:b/>
          <w:sz w:val="24"/>
          <w:highlight w:val="none"/>
        </w:rPr>
      </w:pPr>
      <w:r>
        <w:rPr>
          <w:rFonts w:hint="eastAsia" w:ascii="宋体" w:hAnsi="宋体"/>
          <w:b/>
          <w:sz w:val="24"/>
          <w:highlight w:val="none"/>
        </w:rPr>
        <w:t>投标人</w:t>
      </w:r>
      <w:r>
        <w:rPr>
          <w:rFonts w:ascii="宋体" w:hAnsi="宋体"/>
          <w:b/>
          <w:sz w:val="24"/>
          <w:highlight w:val="none"/>
        </w:rPr>
        <w:t>：（</w:t>
      </w:r>
      <w:r>
        <w:rPr>
          <w:rFonts w:hint="eastAsia" w:ascii="宋体" w:hAnsi="宋体"/>
          <w:b/>
          <w:sz w:val="24"/>
          <w:highlight w:val="none"/>
        </w:rPr>
        <w:t>加</w:t>
      </w:r>
      <w:r>
        <w:rPr>
          <w:rFonts w:ascii="宋体" w:hAnsi="宋体"/>
          <w:b/>
          <w:sz w:val="24"/>
          <w:highlight w:val="none"/>
        </w:rPr>
        <w:t>盖</w:t>
      </w:r>
      <w:r>
        <w:rPr>
          <w:rFonts w:hint="eastAsia" w:ascii="宋体" w:hAnsi="宋体"/>
          <w:b/>
          <w:sz w:val="24"/>
          <w:highlight w:val="none"/>
        </w:rPr>
        <w:t>电子公章</w:t>
      </w:r>
      <w:r>
        <w:rPr>
          <w:rFonts w:ascii="宋体" w:hAnsi="宋体"/>
          <w:b/>
          <w:sz w:val="24"/>
          <w:highlight w:val="none"/>
        </w:rPr>
        <w:t>）</w:t>
      </w:r>
    </w:p>
    <w:p>
      <w:pPr>
        <w:spacing w:line="360" w:lineRule="auto"/>
        <w:ind w:firstLine="2691" w:firstLineChars="1117"/>
        <w:rPr>
          <w:rFonts w:ascii="宋体" w:hAnsi="宋体"/>
          <w:b/>
          <w:sz w:val="24"/>
          <w:highlight w:val="none"/>
        </w:rPr>
      </w:pPr>
    </w:p>
    <w:p>
      <w:pPr>
        <w:pStyle w:val="14"/>
        <w:spacing w:line="360" w:lineRule="auto"/>
        <w:ind w:firstLine="2766" w:firstLineChars="1148"/>
        <w:rPr>
          <w:rFonts w:hAnsi="宋体"/>
          <w:sz w:val="24"/>
          <w:highlight w:val="none"/>
        </w:rPr>
      </w:pPr>
      <w:r>
        <w:rPr>
          <w:rFonts w:hint="eastAsia" w:hAnsi="宋体"/>
          <w:b/>
          <w:sz w:val="24"/>
          <w:highlight w:val="none"/>
        </w:rPr>
        <w:t>法定代表人或其委托代理人（签名或电子签章）</w:t>
      </w:r>
      <w:r>
        <w:rPr>
          <w:rFonts w:hAnsi="宋体"/>
          <w:b/>
          <w:sz w:val="24"/>
          <w:highlight w:val="none"/>
        </w:rPr>
        <w:t>：</w:t>
      </w:r>
    </w:p>
    <w:p>
      <w:pPr>
        <w:pStyle w:val="14"/>
        <w:spacing w:line="360" w:lineRule="auto"/>
        <w:ind w:firstLine="2520" w:firstLineChars="1050"/>
        <w:rPr>
          <w:rFonts w:hAnsi="宋体"/>
          <w:sz w:val="24"/>
          <w:highlight w:val="none"/>
        </w:rPr>
      </w:pPr>
    </w:p>
    <w:p>
      <w:pPr>
        <w:pStyle w:val="14"/>
        <w:spacing w:line="360" w:lineRule="auto"/>
        <w:ind w:firstLine="3373" w:firstLineChars="1400"/>
        <w:rPr>
          <w:rFonts w:hAnsi="宋体" w:eastAsia="宋体"/>
          <w:sz w:val="32"/>
          <w:szCs w:val="32"/>
          <w:highlight w:val="none"/>
        </w:rPr>
      </w:pPr>
      <w:r>
        <w:rPr>
          <w:rFonts w:hint="eastAsia" w:hAnsi="宋体"/>
          <w:b/>
          <w:sz w:val="24"/>
          <w:highlight w:val="none"/>
        </w:rPr>
        <w:t xml:space="preserve">年 </w:t>
      </w:r>
      <w:r>
        <w:rPr>
          <w:rFonts w:hAnsi="宋体"/>
          <w:b/>
          <w:sz w:val="24"/>
          <w:highlight w:val="none"/>
        </w:rPr>
        <w:t xml:space="preserve"> </w:t>
      </w:r>
      <w:r>
        <w:rPr>
          <w:rFonts w:hint="eastAsia" w:hAnsi="宋体"/>
          <w:b/>
          <w:sz w:val="24"/>
          <w:highlight w:val="none"/>
        </w:rPr>
        <w:t xml:space="preserve">月 </w:t>
      </w:r>
      <w:r>
        <w:rPr>
          <w:rFonts w:hAnsi="宋体"/>
          <w:b/>
          <w:sz w:val="24"/>
          <w:highlight w:val="none"/>
        </w:rPr>
        <w:t xml:space="preserve"> </w:t>
      </w:r>
      <w:r>
        <w:rPr>
          <w:rFonts w:hint="eastAsia" w:hAnsi="宋体"/>
          <w:b/>
          <w:sz w:val="24"/>
          <w:highlight w:val="none"/>
        </w:rPr>
        <w:t>日</w:t>
      </w:r>
      <w:bookmarkStart w:id="198" w:name="_Toc496122187"/>
    </w:p>
    <w:p>
      <w:pPr>
        <w:pStyle w:val="3"/>
        <w:numPr>
          <w:ilvl w:val="0"/>
          <w:numId w:val="0"/>
        </w:numPr>
        <w:jc w:val="center"/>
        <w:rPr>
          <w:rFonts w:ascii="宋体" w:hAnsi="宋体" w:eastAsia="宋体"/>
          <w:sz w:val="32"/>
          <w:szCs w:val="32"/>
          <w:highlight w:val="none"/>
        </w:rPr>
      </w:pPr>
      <w:bookmarkStart w:id="199" w:name="_Toc21855"/>
      <w:bookmarkStart w:id="200" w:name="_Toc5265"/>
      <w:bookmarkStart w:id="201" w:name="_Toc20802"/>
      <w:bookmarkStart w:id="202" w:name="_Toc168573768"/>
      <w:bookmarkStart w:id="203" w:name="_Toc28490"/>
      <w:bookmarkStart w:id="204" w:name="_Toc10106"/>
      <w:r>
        <w:rPr>
          <w:rFonts w:ascii="宋体" w:hAnsi="宋体" w:eastAsia="宋体"/>
          <w:sz w:val="32"/>
          <w:szCs w:val="32"/>
          <w:highlight w:val="none"/>
        </w:rPr>
        <w:t>一</w:t>
      </w:r>
      <w:r>
        <w:rPr>
          <w:rFonts w:hint="eastAsia" w:ascii="宋体" w:hAnsi="宋体" w:eastAsia="宋体"/>
          <w:sz w:val="32"/>
          <w:szCs w:val="32"/>
          <w:highlight w:val="none"/>
        </w:rPr>
        <w:t>、</w:t>
      </w:r>
      <w:r>
        <w:rPr>
          <w:rFonts w:ascii="宋体" w:hAnsi="宋体" w:eastAsia="宋体"/>
          <w:sz w:val="32"/>
          <w:szCs w:val="32"/>
          <w:highlight w:val="none"/>
        </w:rPr>
        <w:t>资格</w:t>
      </w:r>
      <w:bookmarkEnd w:id="198"/>
      <w:r>
        <w:rPr>
          <w:rFonts w:hint="eastAsia" w:ascii="宋体" w:hAnsi="宋体" w:eastAsia="宋体"/>
          <w:sz w:val="32"/>
          <w:szCs w:val="32"/>
          <w:highlight w:val="none"/>
        </w:rPr>
        <w:t>审查部分</w:t>
      </w:r>
      <w:bookmarkEnd w:id="199"/>
      <w:bookmarkEnd w:id="200"/>
      <w:bookmarkEnd w:id="201"/>
      <w:bookmarkEnd w:id="202"/>
      <w:bookmarkEnd w:id="203"/>
      <w:bookmarkEnd w:id="204"/>
    </w:p>
    <w:p>
      <w:pPr>
        <w:pStyle w:val="5"/>
        <w:jc w:val="center"/>
        <w:rPr>
          <w:rFonts w:ascii="宋体" w:hAnsi="宋体" w:cs="宋体"/>
          <w:b/>
          <w:bCs/>
          <w:sz w:val="32"/>
          <w:szCs w:val="32"/>
          <w:highlight w:val="none"/>
        </w:rPr>
      </w:pPr>
      <w:bookmarkStart w:id="205" w:name="_Toc520749007"/>
      <w:bookmarkStart w:id="206" w:name="_Toc327190555"/>
      <w:r>
        <w:rPr>
          <w:rFonts w:hint="eastAsia" w:ascii="宋体" w:hAnsi="宋体" w:cs="宋体"/>
          <w:b/>
          <w:bCs/>
          <w:sz w:val="32"/>
          <w:szCs w:val="32"/>
          <w:highlight w:val="none"/>
        </w:rPr>
        <w:t>（一）</w:t>
      </w:r>
      <w:bookmarkEnd w:id="205"/>
      <w:r>
        <w:rPr>
          <w:rFonts w:hint="eastAsia" w:ascii="宋体" w:hAnsi="宋体" w:cs="宋体"/>
          <w:b/>
          <w:bCs/>
          <w:sz w:val="32"/>
          <w:szCs w:val="32"/>
          <w:highlight w:val="none"/>
        </w:rPr>
        <w:t>营业执照或事业单位法人证书或其他证明材料</w:t>
      </w:r>
    </w:p>
    <w:p>
      <w:pPr>
        <w:spacing w:line="360" w:lineRule="auto"/>
        <w:ind w:firstLine="472" w:firstLineChars="225"/>
        <w:rPr>
          <w:rFonts w:ascii="宋体" w:hAnsi="宋体" w:cs="宋体"/>
          <w:szCs w:val="21"/>
          <w:highlight w:val="none"/>
        </w:rPr>
      </w:pPr>
      <w:r>
        <w:rPr>
          <w:rFonts w:hint="eastAsia" w:ascii="宋体" w:hAnsi="宋体" w:cs="宋体"/>
          <w:szCs w:val="21"/>
          <w:highlight w:val="none"/>
        </w:rPr>
        <w:t>投标人具有独立承担民事责任的能力（法人、其他组织或者自然人）,提供营业执照或事业单位法人证书或</w:t>
      </w:r>
      <w:r>
        <w:rPr>
          <w:rFonts w:hint="eastAsia" w:ascii="宋体" w:hAnsi="宋体" w:cs="宋体"/>
          <w:highlight w:val="none"/>
        </w:rPr>
        <w:t>其他类似的法定凭证</w:t>
      </w:r>
      <w:r>
        <w:rPr>
          <w:rFonts w:hint="eastAsia" w:ascii="宋体" w:hAnsi="宋体" w:cs="宋体"/>
          <w:szCs w:val="21"/>
          <w:highlight w:val="none"/>
        </w:rPr>
        <w:t>；（提供原件扫描件）。</w:t>
      </w:r>
    </w:p>
    <w:p>
      <w:pPr>
        <w:spacing w:line="360" w:lineRule="auto"/>
        <w:ind w:firstLine="472" w:firstLineChars="225"/>
        <w:rPr>
          <w:rFonts w:ascii="宋体" w:hAnsi="宋体" w:cs="宋体"/>
          <w:szCs w:val="21"/>
          <w:highlight w:val="none"/>
        </w:rPr>
      </w:pPr>
      <w:r>
        <w:rPr>
          <w:rFonts w:hint="eastAsia" w:ascii="宋体" w:hAnsi="宋体" w:cs="宋体"/>
          <w:szCs w:val="21"/>
          <w:highlight w:val="none"/>
        </w:rPr>
        <w:t>注：自然人的身份证明为法定代表人的身份证原件扫描件。</w:t>
      </w:r>
    </w:p>
    <w:p>
      <w:pPr>
        <w:jc w:val="center"/>
        <w:rPr>
          <w:rFonts w:ascii="宋体" w:hAnsi="宋体" w:cs="宋体"/>
          <w:highlight w:val="none"/>
        </w:rPr>
      </w:pPr>
      <w:r>
        <w:rPr>
          <w:rFonts w:hint="eastAsia" w:ascii="宋体" w:hAnsi="宋体" w:cs="宋体"/>
          <w:highlight w:val="none"/>
        </w:rPr>
        <w:t>投标人一般情况表</w:t>
      </w:r>
    </w:p>
    <w:tbl>
      <w:tblPr>
        <w:tblStyle w:val="28"/>
        <w:tblW w:w="917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73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s="宋体"/>
                <w:szCs w:val="21"/>
                <w:highlight w:val="none"/>
              </w:rPr>
            </w:pPr>
            <w:r>
              <w:rPr>
                <w:rFonts w:hint="eastAsia" w:ascii="宋体" w:hAnsi="宋体" w:cs="宋体"/>
                <w:szCs w:val="21"/>
                <w:highlight w:val="none"/>
              </w:rPr>
              <w:t>1</w:t>
            </w:r>
          </w:p>
        </w:tc>
        <w:tc>
          <w:tcPr>
            <w:tcW w:w="8597" w:type="dxa"/>
            <w:gridSpan w:val="2"/>
            <w:tcBorders>
              <w:top w:val="single" w:color="auto" w:sz="6" w:space="0"/>
              <w:left w:val="single" w:color="auto" w:sz="6" w:space="0"/>
              <w:bottom w:val="single" w:color="auto" w:sz="6" w:space="0"/>
              <w:right w:val="single" w:color="auto" w:sz="6" w:space="0"/>
            </w:tcBorders>
            <w:vAlign w:val="center"/>
          </w:tcPr>
          <w:p>
            <w:pPr>
              <w:ind w:firstLine="100"/>
              <w:rPr>
                <w:rFonts w:ascii="宋体" w:hAnsi="宋体" w:cs="宋体"/>
                <w:szCs w:val="21"/>
                <w:highlight w:val="none"/>
              </w:rPr>
            </w:pPr>
            <w:r>
              <w:rPr>
                <w:rFonts w:hint="eastAsia" w:ascii="宋体" w:hAnsi="宋体" w:cs="宋体"/>
                <w:szCs w:val="21"/>
                <w:highlight w:val="none"/>
              </w:rPr>
              <w:t>企业名称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s="宋体"/>
                <w:szCs w:val="21"/>
                <w:highlight w:val="none"/>
              </w:rPr>
            </w:pPr>
            <w:r>
              <w:rPr>
                <w:rFonts w:hint="eastAsia" w:ascii="宋体" w:hAnsi="宋体" w:cs="宋体"/>
                <w:szCs w:val="21"/>
                <w:highlight w:val="none"/>
              </w:rPr>
              <w:t>2</w:t>
            </w:r>
          </w:p>
        </w:tc>
        <w:tc>
          <w:tcPr>
            <w:tcW w:w="8597" w:type="dxa"/>
            <w:gridSpan w:val="2"/>
            <w:tcBorders>
              <w:top w:val="single" w:color="auto" w:sz="6" w:space="0"/>
              <w:left w:val="single" w:color="auto" w:sz="6" w:space="0"/>
              <w:bottom w:val="single" w:color="auto" w:sz="6" w:space="0"/>
              <w:right w:val="single" w:color="auto" w:sz="6" w:space="0"/>
            </w:tcBorders>
            <w:vAlign w:val="center"/>
          </w:tcPr>
          <w:p>
            <w:pPr>
              <w:ind w:firstLine="100"/>
              <w:rPr>
                <w:rFonts w:ascii="宋体" w:hAnsi="宋体" w:cs="宋体"/>
                <w:szCs w:val="21"/>
                <w:highlight w:val="none"/>
              </w:rPr>
            </w:pPr>
            <w:r>
              <w:rPr>
                <w:rFonts w:hint="eastAsia" w:ascii="宋体" w:hAnsi="宋体" w:cs="宋体"/>
                <w:szCs w:val="21"/>
                <w:highlight w:val="none"/>
              </w:rPr>
              <w:t>总部地址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s="宋体"/>
                <w:szCs w:val="21"/>
                <w:highlight w:val="none"/>
              </w:rPr>
            </w:pPr>
            <w:r>
              <w:rPr>
                <w:rFonts w:hint="eastAsia" w:ascii="宋体" w:hAnsi="宋体" w:cs="宋体"/>
                <w:szCs w:val="21"/>
                <w:highlight w:val="none"/>
              </w:rPr>
              <w:t>3</w:t>
            </w:r>
          </w:p>
        </w:tc>
        <w:tc>
          <w:tcPr>
            <w:tcW w:w="8597" w:type="dxa"/>
            <w:gridSpan w:val="2"/>
            <w:tcBorders>
              <w:top w:val="single" w:color="auto" w:sz="6" w:space="0"/>
              <w:left w:val="single" w:color="auto" w:sz="6" w:space="0"/>
              <w:bottom w:val="single" w:color="auto" w:sz="6" w:space="0"/>
              <w:right w:val="single" w:color="auto" w:sz="6" w:space="0"/>
            </w:tcBorders>
            <w:vAlign w:val="center"/>
          </w:tcPr>
          <w:p>
            <w:pPr>
              <w:ind w:firstLine="100"/>
              <w:rPr>
                <w:rFonts w:ascii="宋体" w:hAnsi="宋体" w:cs="宋体"/>
                <w:szCs w:val="21"/>
                <w:highlight w:val="none"/>
              </w:rPr>
            </w:pPr>
            <w:r>
              <w:rPr>
                <w:rFonts w:hint="eastAsia" w:ascii="宋体" w:hAnsi="宋体" w:cs="宋体"/>
                <w:szCs w:val="21"/>
                <w:highlight w:val="none"/>
              </w:rPr>
              <w:t>当地代表处地址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s="宋体"/>
                <w:szCs w:val="21"/>
                <w:highlight w:val="none"/>
              </w:rPr>
            </w:pPr>
            <w:r>
              <w:rPr>
                <w:rFonts w:hint="eastAsia" w:ascii="宋体" w:hAnsi="宋体" w:cs="宋体"/>
                <w:szCs w:val="21"/>
                <w:highlight w:val="none"/>
              </w:rPr>
              <w:t>4</w:t>
            </w:r>
          </w:p>
        </w:tc>
        <w:tc>
          <w:tcPr>
            <w:tcW w:w="3859" w:type="dxa"/>
            <w:tcBorders>
              <w:top w:val="single" w:color="auto" w:sz="6" w:space="0"/>
              <w:left w:val="single" w:color="auto" w:sz="6" w:space="0"/>
              <w:bottom w:val="single" w:color="auto" w:sz="6" w:space="0"/>
              <w:right w:val="single" w:color="auto" w:sz="6" w:space="0"/>
            </w:tcBorders>
            <w:vAlign w:val="center"/>
          </w:tcPr>
          <w:p>
            <w:pPr>
              <w:ind w:firstLine="100"/>
              <w:rPr>
                <w:rFonts w:ascii="宋体" w:hAnsi="宋体" w:cs="宋体"/>
                <w:szCs w:val="21"/>
                <w:highlight w:val="none"/>
              </w:rPr>
            </w:pPr>
            <w:r>
              <w:rPr>
                <w:rFonts w:hint="eastAsia" w:ascii="宋体" w:hAnsi="宋体" w:cs="宋体"/>
                <w:szCs w:val="21"/>
                <w:highlight w:val="none"/>
              </w:rPr>
              <w:t>电话</w:t>
            </w:r>
          </w:p>
        </w:tc>
        <w:tc>
          <w:tcPr>
            <w:tcW w:w="4738" w:type="dxa"/>
            <w:tcBorders>
              <w:top w:val="single" w:color="auto" w:sz="6" w:space="0"/>
              <w:left w:val="single" w:color="auto" w:sz="6" w:space="0"/>
              <w:bottom w:val="single" w:color="auto" w:sz="6" w:space="0"/>
              <w:right w:val="single" w:color="auto" w:sz="6" w:space="0"/>
            </w:tcBorders>
            <w:vAlign w:val="center"/>
          </w:tcPr>
          <w:p>
            <w:pPr>
              <w:ind w:firstLine="100"/>
              <w:rPr>
                <w:rFonts w:ascii="宋体" w:hAnsi="宋体" w:cs="宋体"/>
                <w:szCs w:val="21"/>
                <w:highlight w:val="none"/>
              </w:rPr>
            </w:pPr>
            <w:r>
              <w:rPr>
                <w:rFonts w:hint="eastAsia" w:ascii="宋体" w:hAnsi="宋体" w:cs="宋体"/>
                <w:szCs w:val="21"/>
                <w:highlight w:val="none"/>
              </w:rPr>
              <w:t>联系人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s="宋体"/>
                <w:szCs w:val="21"/>
                <w:highlight w:val="none"/>
              </w:rPr>
            </w:pPr>
            <w:r>
              <w:rPr>
                <w:rFonts w:hint="eastAsia" w:ascii="宋体" w:hAnsi="宋体" w:cs="宋体"/>
                <w:szCs w:val="21"/>
                <w:highlight w:val="none"/>
              </w:rPr>
              <w:t>5</w:t>
            </w:r>
          </w:p>
        </w:tc>
        <w:tc>
          <w:tcPr>
            <w:tcW w:w="3859" w:type="dxa"/>
            <w:tcBorders>
              <w:top w:val="single" w:color="auto" w:sz="6" w:space="0"/>
              <w:left w:val="single" w:color="auto" w:sz="6" w:space="0"/>
              <w:bottom w:val="single" w:color="auto" w:sz="6" w:space="0"/>
              <w:right w:val="single" w:color="auto" w:sz="6" w:space="0"/>
            </w:tcBorders>
            <w:vAlign w:val="center"/>
          </w:tcPr>
          <w:p>
            <w:pPr>
              <w:ind w:firstLine="100"/>
              <w:rPr>
                <w:rFonts w:ascii="宋体" w:hAnsi="宋体" w:cs="宋体"/>
                <w:szCs w:val="21"/>
                <w:highlight w:val="none"/>
              </w:rPr>
            </w:pPr>
            <w:r>
              <w:rPr>
                <w:rFonts w:hint="eastAsia" w:ascii="宋体" w:hAnsi="宋体" w:cs="宋体"/>
                <w:szCs w:val="21"/>
                <w:highlight w:val="none"/>
              </w:rPr>
              <w:t>传真</w:t>
            </w:r>
          </w:p>
        </w:tc>
        <w:tc>
          <w:tcPr>
            <w:tcW w:w="4738" w:type="dxa"/>
            <w:tcBorders>
              <w:top w:val="single" w:color="auto" w:sz="6" w:space="0"/>
              <w:left w:val="single" w:color="auto" w:sz="6" w:space="0"/>
              <w:bottom w:val="single" w:color="auto" w:sz="6" w:space="0"/>
              <w:right w:val="single" w:color="auto" w:sz="6" w:space="0"/>
            </w:tcBorders>
            <w:vAlign w:val="center"/>
          </w:tcPr>
          <w:p>
            <w:pPr>
              <w:ind w:firstLine="100"/>
              <w:rPr>
                <w:rFonts w:ascii="宋体" w:hAnsi="宋体" w:cs="宋体"/>
                <w:szCs w:val="21"/>
                <w:highlight w:val="none"/>
              </w:rPr>
            </w:pPr>
            <w:r>
              <w:rPr>
                <w:rFonts w:hint="eastAsia" w:ascii="宋体" w:hAnsi="宋体" w:cs="宋体"/>
                <w:szCs w:val="21"/>
                <w:highlight w:val="none"/>
              </w:rPr>
              <w:t>电子邮箱</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s="宋体"/>
                <w:szCs w:val="21"/>
                <w:highlight w:val="none"/>
              </w:rPr>
            </w:pPr>
            <w:r>
              <w:rPr>
                <w:rFonts w:hint="eastAsia" w:ascii="宋体" w:hAnsi="宋体" w:cs="宋体"/>
                <w:szCs w:val="21"/>
                <w:highlight w:val="none"/>
              </w:rPr>
              <w:t>6</w:t>
            </w:r>
          </w:p>
        </w:tc>
        <w:tc>
          <w:tcPr>
            <w:tcW w:w="3859" w:type="dxa"/>
            <w:tcBorders>
              <w:top w:val="single" w:color="auto" w:sz="6" w:space="0"/>
              <w:left w:val="single" w:color="auto" w:sz="6" w:space="0"/>
              <w:bottom w:val="single" w:color="auto" w:sz="6" w:space="0"/>
              <w:right w:val="single" w:color="auto" w:sz="6" w:space="0"/>
            </w:tcBorders>
            <w:vAlign w:val="center"/>
          </w:tcPr>
          <w:p>
            <w:pPr>
              <w:ind w:firstLine="100"/>
              <w:rPr>
                <w:rFonts w:ascii="宋体" w:hAnsi="宋体" w:cs="宋体"/>
                <w:szCs w:val="21"/>
                <w:highlight w:val="none"/>
              </w:rPr>
            </w:pPr>
            <w:r>
              <w:rPr>
                <w:rFonts w:hint="eastAsia" w:ascii="宋体" w:hAnsi="宋体" w:cs="宋体"/>
                <w:szCs w:val="21"/>
                <w:highlight w:val="none"/>
              </w:rPr>
              <w:t>注册地</w:t>
            </w:r>
          </w:p>
        </w:tc>
        <w:tc>
          <w:tcPr>
            <w:tcW w:w="4738" w:type="dxa"/>
            <w:tcBorders>
              <w:top w:val="single" w:color="auto" w:sz="6" w:space="0"/>
              <w:left w:val="single" w:color="auto" w:sz="6" w:space="0"/>
              <w:bottom w:val="single" w:color="auto" w:sz="6" w:space="0"/>
              <w:right w:val="single" w:color="auto" w:sz="6" w:space="0"/>
            </w:tcBorders>
            <w:vAlign w:val="center"/>
          </w:tcPr>
          <w:p>
            <w:pPr>
              <w:ind w:firstLine="100"/>
              <w:rPr>
                <w:rFonts w:ascii="宋体" w:hAnsi="宋体" w:cs="宋体"/>
                <w:szCs w:val="21"/>
                <w:highlight w:val="none"/>
              </w:rPr>
            </w:pPr>
            <w:r>
              <w:rPr>
                <w:rFonts w:hint="eastAsia" w:ascii="宋体" w:hAnsi="宋体" w:cs="宋体"/>
                <w:szCs w:val="21"/>
                <w:highlight w:val="none"/>
              </w:rPr>
              <w:t xml:space="preserve">注册年份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s="宋体"/>
                <w:szCs w:val="21"/>
                <w:highlight w:val="none"/>
              </w:rPr>
            </w:pPr>
            <w:r>
              <w:rPr>
                <w:rFonts w:hint="eastAsia" w:ascii="宋体" w:hAnsi="宋体" w:cs="宋体"/>
                <w:szCs w:val="21"/>
                <w:highlight w:val="none"/>
              </w:rPr>
              <w:t>7</w:t>
            </w:r>
          </w:p>
        </w:tc>
        <w:tc>
          <w:tcPr>
            <w:tcW w:w="8597" w:type="dxa"/>
            <w:gridSpan w:val="2"/>
            <w:tcBorders>
              <w:top w:val="single" w:color="auto" w:sz="6" w:space="0"/>
              <w:left w:val="single" w:color="auto" w:sz="6" w:space="0"/>
              <w:bottom w:val="single" w:color="auto" w:sz="6" w:space="0"/>
              <w:right w:val="single" w:color="auto" w:sz="6" w:space="0"/>
            </w:tcBorders>
            <w:vAlign w:val="center"/>
          </w:tcPr>
          <w:p>
            <w:pPr>
              <w:ind w:firstLine="100"/>
              <w:rPr>
                <w:rFonts w:ascii="宋体" w:hAnsi="宋体" w:cs="宋体"/>
                <w:szCs w:val="21"/>
                <w:highlight w:val="none"/>
              </w:rPr>
            </w:pPr>
            <w:r>
              <w:rPr>
                <w:rFonts w:hint="eastAsia" w:ascii="宋体" w:hAnsi="宋体" w:cs="宋体"/>
                <w:szCs w:val="21"/>
                <w:highlight w:val="none"/>
              </w:rPr>
              <w:t>公司资质等级证书号（若有）：</w:t>
            </w:r>
          </w:p>
          <w:p>
            <w:pPr>
              <w:ind w:firstLine="100"/>
              <w:rPr>
                <w:rFonts w:ascii="宋体" w:hAnsi="宋体" w:cs="宋体"/>
                <w:szCs w:val="21"/>
                <w:highlight w:val="none"/>
              </w:rPr>
            </w:pPr>
            <w:r>
              <w:rPr>
                <w:rFonts w:hint="eastAsia" w:ascii="宋体" w:hAnsi="宋体" w:cs="宋体"/>
                <w:szCs w:val="21"/>
                <w:highlight w:val="none"/>
              </w:rPr>
              <w:t xml:space="preserve">质量管理体系证书号 （若有）：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01"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pPr>
              <w:spacing w:line="360" w:lineRule="auto"/>
              <w:jc w:val="center"/>
              <w:rPr>
                <w:rFonts w:ascii="宋体" w:hAnsi="宋体" w:cs="宋体"/>
                <w:szCs w:val="21"/>
                <w:highlight w:val="none"/>
              </w:rPr>
            </w:pPr>
            <w:r>
              <w:rPr>
                <w:rFonts w:hint="eastAsia" w:ascii="宋体" w:hAnsi="宋体" w:cs="宋体"/>
                <w:szCs w:val="21"/>
                <w:highlight w:val="none"/>
              </w:rPr>
              <w:t>8</w:t>
            </w:r>
          </w:p>
        </w:tc>
        <w:tc>
          <w:tcPr>
            <w:tcW w:w="8597" w:type="dxa"/>
            <w:gridSpan w:val="2"/>
            <w:tcBorders>
              <w:top w:val="single" w:color="auto" w:sz="6" w:space="0"/>
              <w:left w:val="single" w:color="auto" w:sz="6" w:space="0"/>
              <w:bottom w:val="single" w:color="auto" w:sz="6" w:space="0"/>
              <w:right w:val="single" w:color="auto" w:sz="6" w:space="0"/>
            </w:tcBorders>
            <w:vAlign w:val="center"/>
          </w:tcPr>
          <w:p>
            <w:pPr>
              <w:spacing w:line="360" w:lineRule="auto"/>
              <w:ind w:firstLine="100"/>
              <w:rPr>
                <w:rFonts w:ascii="宋体" w:hAnsi="宋体" w:cs="宋体"/>
                <w:szCs w:val="21"/>
                <w:highlight w:val="none"/>
              </w:rPr>
            </w:pPr>
            <w:r>
              <w:rPr>
                <w:rFonts w:hint="eastAsia" w:ascii="宋体" w:hAnsi="宋体" w:cs="宋体"/>
                <w:szCs w:val="21"/>
                <w:highlight w:val="none"/>
              </w:rPr>
              <w:t>主营范围：</w:t>
            </w:r>
          </w:p>
          <w:p>
            <w:pPr>
              <w:spacing w:line="360" w:lineRule="auto"/>
              <w:ind w:firstLine="100"/>
              <w:rPr>
                <w:rFonts w:ascii="宋体" w:hAnsi="宋体" w:cs="宋体"/>
                <w:szCs w:val="21"/>
                <w:highlight w:val="none"/>
                <w:u w:val="single"/>
              </w:rPr>
            </w:pPr>
            <w:r>
              <w:rPr>
                <w:rFonts w:hint="eastAsia" w:ascii="宋体" w:hAnsi="宋体" w:cs="宋体"/>
                <w:szCs w:val="21"/>
                <w:highlight w:val="none"/>
              </w:rPr>
              <w:t>1、</w:t>
            </w:r>
            <w:r>
              <w:rPr>
                <w:rFonts w:hint="eastAsia" w:ascii="宋体" w:hAnsi="宋体" w:cs="宋体"/>
                <w:szCs w:val="21"/>
                <w:highlight w:val="none"/>
                <w:u w:val="single"/>
              </w:rPr>
              <w:tab/>
            </w:r>
            <w:r>
              <w:rPr>
                <w:rFonts w:hint="eastAsia" w:ascii="宋体" w:hAnsi="宋体" w:cs="宋体"/>
                <w:szCs w:val="21"/>
                <w:highlight w:val="none"/>
                <w:u w:val="single"/>
              </w:rPr>
              <w:tab/>
            </w:r>
          </w:p>
          <w:p>
            <w:pPr>
              <w:spacing w:line="360" w:lineRule="auto"/>
              <w:ind w:firstLine="100"/>
              <w:rPr>
                <w:rFonts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u w:val="single"/>
              </w:rPr>
              <w:tab/>
            </w:r>
            <w:r>
              <w:rPr>
                <w:rFonts w:hint="eastAsia" w:ascii="宋体" w:hAnsi="宋体" w:cs="宋体"/>
                <w:szCs w:val="21"/>
                <w:highlight w:val="none"/>
                <w:u w:val="single"/>
              </w:rPr>
              <w:tab/>
            </w:r>
          </w:p>
          <w:p>
            <w:pPr>
              <w:spacing w:line="360" w:lineRule="auto"/>
              <w:ind w:firstLine="100"/>
              <w:rPr>
                <w:rFonts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u w:val="single"/>
              </w:rPr>
              <w:tab/>
            </w:r>
            <w:r>
              <w:rPr>
                <w:rFonts w:hint="eastAsia" w:ascii="宋体" w:hAnsi="宋体" w:cs="宋体"/>
                <w:szCs w:val="21"/>
                <w:highlight w:val="none"/>
                <w:u w:val="single"/>
              </w:rPr>
              <w:tab/>
            </w:r>
          </w:p>
          <w:p>
            <w:pPr>
              <w:spacing w:line="360" w:lineRule="auto"/>
              <w:ind w:firstLine="100"/>
              <w:rPr>
                <w:rFonts w:ascii="宋体" w:hAnsi="宋体" w:cs="宋体"/>
                <w:szCs w:val="21"/>
                <w:highlight w:val="none"/>
              </w:rPr>
            </w:pPr>
            <w:r>
              <w:rPr>
                <w:rFonts w:hint="eastAsia" w:ascii="宋体" w:hAnsi="宋体" w:cs="宋体"/>
                <w:szCs w:val="21"/>
                <w:highlight w:val="none"/>
              </w:rPr>
              <w:t>4、</w:t>
            </w:r>
            <w:r>
              <w:rPr>
                <w:rFonts w:hint="eastAsia" w:ascii="宋体" w:hAnsi="宋体" w:cs="宋体"/>
                <w:szCs w:val="21"/>
                <w:highlight w:val="none"/>
                <w:u w:val="single"/>
              </w:rPr>
              <w:tab/>
            </w:r>
            <w:r>
              <w:rPr>
                <w:rFonts w:hint="eastAsia" w:ascii="宋体" w:hAnsi="宋体" w:cs="宋体"/>
                <w:szCs w:val="21"/>
                <w:highlight w:val="none"/>
                <w:u w:val="single"/>
              </w:rPr>
              <w:tab/>
            </w:r>
          </w:p>
          <w:p>
            <w:pPr>
              <w:spacing w:line="360" w:lineRule="auto"/>
              <w:ind w:firstLine="100"/>
              <w:rPr>
                <w:rFonts w:ascii="宋体" w:hAnsi="宋体" w:cs="宋体"/>
                <w:szCs w:val="21"/>
                <w:highlight w:val="none"/>
              </w:rPr>
            </w:pPr>
            <w:r>
              <w:rPr>
                <w:rFonts w:hint="eastAsia" w:ascii="宋体" w:hAnsi="宋体" w:cs="宋体"/>
                <w:szCs w:val="21"/>
                <w:highlight w:val="none"/>
              </w:rPr>
              <w:t>…</w:t>
            </w:r>
          </w:p>
          <w:p>
            <w:pPr>
              <w:spacing w:line="360" w:lineRule="auto"/>
              <w:ind w:firstLine="100"/>
              <w:rPr>
                <w:rFonts w:ascii="宋体" w:hAnsi="宋体" w:cs="宋体"/>
                <w:szCs w:val="21"/>
                <w:highlight w:val="none"/>
              </w:rPr>
            </w:pPr>
            <w:r>
              <w:rPr>
                <w:rFonts w:hint="eastAsia" w:ascii="宋体" w:hAnsi="宋体" w:cs="宋体"/>
                <w:szCs w:val="21"/>
                <w:highlight w:val="none"/>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80"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s="宋体"/>
                <w:szCs w:val="21"/>
                <w:highlight w:val="none"/>
              </w:rPr>
            </w:pPr>
            <w:r>
              <w:rPr>
                <w:rFonts w:hint="eastAsia" w:ascii="宋体" w:hAnsi="宋体" w:cs="宋体"/>
                <w:szCs w:val="21"/>
                <w:highlight w:val="none"/>
              </w:rPr>
              <w:t>9</w:t>
            </w:r>
          </w:p>
        </w:tc>
        <w:tc>
          <w:tcPr>
            <w:tcW w:w="8597" w:type="dxa"/>
            <w:gridSpan w:val="2"/>
            <w:tcBorders>
              <w:top w:val="single" w:color="auto" w:sz="6" w:space="0"/>
              <w:left w:val="single" w:color="auto" w:sz="6" w:space="0"/>
              <w:bottom w:val="single" w:color="auto" w:sz="6" w:space="0"/>
              <w:right w:val="single" w:color="auto" w:sz="6" w:space="0"/>
            </w:tcBorders>
            <w:vAlign w:val="center"/>
          </w:tcPr>
          <w:p>
            <w:pPr>
              <w:spacing w:line="360" w:lineRule="auto"/>
              <w:ind w:firstLine="100"/>
              <w:rPr>
                <w:rFonts w:ascii="宋体" w:hAnsi="宋体" w:cs="宋体"/>
                <w:szCs w:val="21"/>
                <w:highlight w:val="none"/>
              </w:rPr>
            </w:pPr>
            <w:r>
              <w:rPr>
                <w:rFonts w:hint="eastAsia" w:ascii="宋体" w:hAnsi="宋体" w:cs="宋体"/>
                <w:szCs w:val="21"/>
                <w:highlight w:val="none"/>
              </w:rPr>
              <w:t>其他需要说明的情况</w:t>
            </w:r>
          </w:p>
        </w:tc>
      </w:tr>
    </w:tbl>
    <w:p>
      <w:pPr>
        <w:pStyle w:val="27"/>
        <w:rPr>
          <w:rFonts w:ascii="宋体" w:hAnsi="宋体" w:cs="宋体"/>
          <w:highlight w:val="none"/>
        </w:rPr>
      </w:pPr>
    </w:p>
    <w:p>
      <w:pPr>
        <w:pStyle w:val="27"/>
        <w:rPr>
          <w:rFonts w:ascii="宋体" w:hAnsi="宋体" w:cs="宋体"/>
          <w:szCs w:val="21"/>
          <w:highlight w:val="none"/>
        </w:rPr>
      </w:pPr>
    </w:p>
    <w:p>
      <w:pPr>
        <w:pStyle w:val="27"/>
        <w:ind w:left="0" w:leftChars="0" w:firstLine="0" w:firstLineChars="0"/>
        <w:rPr>
          <w:rFonts w:ascii="宋体" w:hAnsi="宋体" w:cs="宋体"/>
          <w:sz w:val="24"/>
          <w:highlight w:val="none"/>
        </w:rPr>
      </w:pPr>
    </w:p>
    <w:p>
      <w:pPr>
        <w:rPr>
          <w:rFonts w:ascii="宋体" w:hAnsi="宋体" w:cs="宋体"/>
          <w:highlight w:val="none"/>
        </w:rPr>
      </w:pPr>
      <w:bookmarkStart w:id="207" w:name="_Toc16072"/>
      <w:bookmarkStart w:id="208" w:name="_Toc520749009"/>
      <w:r>
        <w:rPr>
          <w:rFonts w:hint="eastAsia" w:ascii="宋体" w:hAnsi="宋体" w:cs="宋体"/>
          <w:highlight w:val="none"/>
        </w:rPr>
        <w:br w:type="page"/>
      </w:r>
    </w:p>
    <w:p>
      <w:pPr>
        <w:rPr>
          <w:rFonts w:ascii="宋体" w:hAnsi="宋体" w:cs="宋体"/>
          <w:highlight w:val="none"/>
        </w:rPr>
      </w:pPr>
    </w:p>
    <w:p>
      <w:pPr>
        <w:pStyle w:val="5"/>
        <w:jc w:val="center"/>
        <w:rPr>
          <w:rFonts w:ascii="宋体" w:hAnsi="宋体" w:cs="宋体"/>
          <w:b/>
          <w:bCs/>
          <w:sz w:val="32"/>
          <w:szCs w:val="32"/>
          <w:highlight w:val="none"/>
        </w:rPr>
      </w:pPr>
      <w:r>
        <w:rPr>
          <w:rFonts w:hint="eastAsia" w:ascii="宋体" w:hAnsi="宋体" w:cs="宋体"/>
          <w:b/>
          <w:bCs/>
          <w:sz w:val="32"/>
          <w:szCs w:val="32"/>
          <w:highlight w:val="none"/>
        </w:rPr>
        <w:t>（二）</w:t>
      </w:r>
      <w:bookmarkEnd w:id="207"/>
      <w:bookmarkEnd w:id="208"/>
      <w:r>
        <w:rPr>
          <w:rFonts w:hint="eastAsia" w:ascii="宋体" w:hAnsi="宋体" w:cs="宋体"/>
          <w:b/>
          <w:bCs/>
          <w:sz w:val="32"/>
          <w:szCs w:val="32"/>
          <w:highlight w:val="none"/>
        </w:rPr>
        <w:t>商业信誉和会计制度</w:t>
      </w:r>
    </w:p>
    <w:p>
      <w:pPr>
        <w:spacing w:line="360" w:lineRule="auto"/>
        <w:ind w:firstLine="472" w:firstLineChars="225"/>
        <w:rPr>
          <w:rFonts w:ascii="宋体" w:hAnsi="宋体" w:cs="宋体"/>
          <w:szCs w:val="21"/>
          <w:highlight w:val="none"/>
        </w:rPr>
      </w:pPr>
      <w:bookmarkStart w:id="209" w:name="_Toc520749010"/>
      <w:r>
        <w:rPr>
          <w:rFonts w:hint="eastAsia" w:ascii="宋体" w:hAnsi="宋体" w:cs="宋体"/>
          <w:szCs w:val="21"/>
          <w:highlight w:val="none"/>
        </w:rPr>
        <w:t>投标人具有良好的商业信誉和健全的财务会计制度，</w:t>
      </w:r>
      <w:r>
        <w:rPr>
          <w:rFonts w:hint="eastAsia" w:ascii="宋体" w:hAnsi="宋体" w:cs="宋体"/>
          <w:kern w:val="0"/>
          <w:szCs w:val="21"/>
          <w:highlight w:val="none"/>
        </w:rPr>
        <w:t>提供2020年度至2022年度中任意一年度经第三方审计的财务报告及报表（包括资产负债表、现金流量表、利润表）</w:t>
      </w:r>
      <w:r>
        <w:rPr>
          <w:rFonts w:hint="eastAsia" w:ascii="宋体" w:hAnsi="宋体" w:cs="宋体"/>
          <w:bCs/>
          <w:highlight w:val="none"/>
        </w:rPr>
        <w:t>，若为新成立不足一年的企业可提供情况说明。</w:t>
      </w:r>
      <w:r>
        <w:rPr>
          <w:rFonts w:hint="eastAsia" w:ascii="宋体" w:hAnsi="宋体" w:cs="宋体"/>
          <w:szCs w:val="21"/>
          <w:highlight w:val="none"/>
        </w:rPr>
        <w:t>（提供原件扫描件）</w:t>
      </w: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rPr>
          <w:rFonts w:ascii="宋体" w:hAnsi="宋体" w:eastAsia="宋体" w:cs="宋体"/>
          <w:highlight w:val="none"/>
        </w:rPr>
      </w:pPr>
      <w:bookmarkStart w:id="210" w:name="_Toc12995"/>
      <w:r>
        <w:rPr>
          <w:rFonts w:hint="eastAsia" w:ascii="宋体" w:hAnsi="宋体" w:eastAsia="宋体" w:cs="宋体"/>
          <w:highlight w:val="none"/>
        </w:rPr>
        <w:br w:type="page"/>
      </w:r>
    </w:p>
    <w:p>
      <w:pPr>
        <w:pStyle w:val="5"/>
        <w:jc w:val="center"/>
        <w:rPr>
          <w:rFonts w:ascii="宋体" w:hAnsi="宋体" w:cs="宋体"/>
          <w:b/>
          <w:bCs/>
          <w:sz w:val="32"/>
          <w:szCs w:val="32"/>
          <w:highlight w:val="none"/>
        </w:rPr>
      </w:pPr>
      <w:r>
        <w:rPr>
          <w:rFonts w:hint="eastAsia" w:ascii="宋体" w:hAnsi="宋体" w:cs="宋体"/>
          <w:b/>
          <w:bCs/>
          <w:sz w:val="32"/>
          <w:szCs w:val="32"/>
          <w:highlight w:val="none"/>
        </w:rPr>
        <w:t>（三）履行合同所必需的设备和专业技术能力证明</w:t>
      </w:r>
      <w:bookmarkEnd w:id="210"/>
    </w:p>
    <w:p>
      <w:pPr>
        <w:pStyle w:val="27"/>
        <w:rPr>
          <w:rFonts w:ascii="宋体" w:hAnsi="宋体" w:cs="宋体"/>
          <w:szCs w:val="21"/>
          <w:highlight w:val="none"/>
        </w:rPr>
      </w:pPr>
      <w:r>
        <w:rPr>
          <w:rFonts w:hint="eastAsia" w:ascii="宋体" w:hAnsi="宋体" w:cs="宋体"/>
          <w:szCs w:val="21"/>
          <w:highlight w:val="none"/>
        </w:rPr>
        <w:t>投标人具有履行合同所必需的设备和专业技术能力，提供书面声明（提供书面声明，自拟格式）</w:t>
      </w: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rPr>
          <w:rFonts w:ascii="宋体" w:hAnsi="宋体" w:eastAsia="宋体" w:cs="宋体"/>
          <w:highlight w:val="none"/>
        </w:rPr>
      </w:pPr>
      <w:bookmarkStart w:id="211" w:name="_Toc8811"/>
      <w:r>
        <w:rPr>
          <w:rFonts w:hint="eastAsia" w:ascii="宋体" w:hAnsi="宋体" w:eastAsia="宋体" w:cs="宋体"/>
          <w:highlight w:val="none"/>
        </w:rPr>
        <w:br w:type="page"/>
      </w:r>
    </w:p>
    <w:p>
      <w:pPr>
        <w:pStyle w:val="5"/>
        <w:jc w:val="center"/>
        <w:rPr>
          <w:rFonts w:ascii="宋体" w:hAnsi="宋体" w:cs="宋体"/>
          <w:b/>
          <w:bCs/>
          <w:sz w:val="32"/>
          <w:szCs w:val="32"/>
          <w:highlight w:val="none"/>
        </w:rPr>
      </w:pPr>
      <w:r>
        <w:rPr>
          <w:rFonts w:hint="eastAsia" w:ascii="宋体" w:hAnsi="宋体" w:cs="宋体"/>
          <w:b/>
          <w:bCs/>
          <w:sz w:val="32"/>
          <w:szCs w:val="32"/>
          <w:highlight w:val="none"/>
        </w:rPr>
        <w:t>（四）缴纳税收和社会保障资金记录</w:t>
      </w:r>
      <w:bookmarkEnd w:id="211"/>
    </w:p>
    <w:p>
      <w:pPr>
        <w:spacing w:line="360" w:lineRule="auto"/>
        <w:ind w:firstLine="472" w:firstLineChars="225"/>
        <w:rPr>
          <w:rFonts w:ascii="宋体" w:hAnsi="宋体" w:cs="宋体"/>
          <w:szCs w:val="21"/>
          <w:highlight w:val="none"/>
        </w:rPr>
      </w:pPr>
      <w:r>
        <w:rPr>
          <w:rFonts w:hint="eastAsia" w:ascii="宋体" w:hAnsi="宋体" w:cs="宋体"/>
          <w:szCs w:val="21"/>
          <w:highlight w:val="none"/>
        </w:rPr>
        <w:t>投标人具有依法缴纳税收和社会保障资金的良好记录（</w:t>
      </w:r>
      <w:r>
        <w:rPr>
          <w:rFonts w:hint="eastAsia" w:ascii="宋体" w:hAnsi="宋体" w:cs="宋体"/>
          <w:snapToGrid w:val="0"/>
          <w:kern w:val="0"/>
          <w:highlight w:val="none"/>
        </w:rPr>
        <w:t>提供缴费所属时期在2023年01月至本项目投标文件提交截止时间前任意连续3个月的税收缴纳凭证和社保资金缴纳凭证（成立未满3个月的新企业提供成立以来税收和社会保障资金缴纳凭证或相关情况说明，依法不需要缴纳税收和社保的应提供相应的证明材料或情况说明）</w:t>
      </w:r>
      <w:r>
        <w:rPr>
          <w:rFonts w:hint="eastAsia" w:ascii="宋体" w:hAnsi="宋体" w:cs="宋体"/>
          <w:szCs w:val="21"/>
          <w:highlight w:val="none"/>
        </w:rPr>
        <w:t>）（提供原件扫描件）</w:t>
      </w:r>
    </w:p>
    <w:p>
      <w:pPr>
        <w:pStyle w:val="27"/>
        <w:ind w:firstLine="480"/>
        <w:rPr>
          <w:rFonts w:ascii="宋体" w:hAnsi="宋体" w:cs="宋体"/>
          <w:sz w:val="24"/>
          <w:highlight w:val="none"/>
        </w:rPr>
      </w:pPr>
    </w:p>
    <w:p>
      <w:pPr>
        <w:pStyle w:val="27"/>
        <w:ind w:firstLine="480"/>
        <w:rPr>
          <w:rFonts w:ascii="宋体" w:hAnsi="宋体" w:cs="宋体"/>
          <w:sz w:val="24"/>
          <w:highlight w:val="none"/>
        </w:rPr>
      </w:pPr>
    </w:p>
    <w:p>
      <w:pPr>
        <w:rPr>
          <w:rFonts w:ascii="宋体" w:hAnsi="宋体" w:cs="宋体"/>
          <w:highlight w:val="none"/>
        </w:rPr>
      </w:pPr>
    </w:p>
    <w:p>
      <w:pPr>
        <w:rPr>
          <w:rFonts w:ascii="宋体" w:hAnsi="宋体" w:cs="宋体"/>
          <w:highlight w:val="none"/>
        </w:rPr>
      </w:pPr>
      <w:bookmarkStart w:id="212" w:name="_Toc30425"/>
    </w:p>
    <w:p>
      <w:pPr>
        <w:rPr>
          <w:rFonts w:ascii="宋体" w:hAnsi="宋体" w:cs="宋体"/>
          <w:highlight w:val="none"/>
        </w:rPr>
      </w:pPr>
    </w:p>
    <w:p>
      <w:pPr>
        <w:rPr>
          <w:rFonts w:ascii="宋体" w:hAnsi="宋体" w:eastAsia="宋体" w:cs="宋体"/>
          <w:highlight w:val="none"/>
        </w:rPr>
      </w:pPr>
      <w:r>
        <w:rPr>
          <w:rFonts w:hint="eastAsia" w:ascii="宋体" w:hAnsi="宋体" w:eastAsia="宋体" w:cs="宋体"/>
          <w:highlight w:val="none"/>
        </w:rPr>
        <w:br w:type="page"/>
      </w:r>
    </w:p>
    <w:p>
      <w:pPr>
        <w:pStyle w:val="5"/>
        <w:jc w:val="center"/>
        <w:rPr>
          <w:rFonts w:ascii="宋体" w:hAnsi="宋体" w:cs="宋体"/>
          <w:b/>
          <w:bCs/>
          <w:sz w:val="32"/>
          <w:szCs w:val="32"/>
          <w:highlight w:val="none"/>
        </w:rPr>
      </w:pPr>
      <w:r>
        <w:rPr>
          <w:rFonts w:hint="eastAsia" w:ascii="宋体" w:hAnsi="宋体" w:cs="宋体"/>
          <w:b/>
          <w:bCs/>
          <w:sz w:val="32"/>
          <w:szCs w:val="32"/>
          <w:highlight w:val="none"/>
        </w:rPr>
        <w:t>（五）无重大违法记录</w:t>
      </w:r>
      <w:bookmarkEnd w:id="209"/>
      <w:r>
        <w:rPr>
          <w:rFonts w:hint="eastAsia" w:ascii="宋体" w:hAnsi="宋体" w:cs="宋体"/>
          <w:b/>
          <w:bCs/>
          <w:sz w:val="32"/>
          <w:szCs w:val="32"/>
          <w:highlight w:val="none"/>
        </w:rPr>
        <w:t>声明</w:t>
      </w:r>
      <w:bookmarkEnd w:id="212"/>
    </w:p>
    <w:p>
      <w:pPr>
        <w:spacing w:line="360" w:lineRule="auto"/>
        <w:ind w:firstLine="472" w:firstLineChars="225"/>
        <w:rPr>
          <w:rFonts w:ascii="宋体" w:hAnsi="宋体" w:cs="宋体"/>
          <w:szCs w:val="21"/>
          <w:highlight w:val="none"/>
        </w:rPr>
      </w:pPr>
      <w:r>
        <w:rPr>
          <w:rFonts w:hint="eastAsia" w:ascii="宋体" w:hAnsi="宋体" w:cs="宋体"/>
          <w:szCs w:val="21"/>
          <w:highlight w:val="none"/>
        </w:rPr>
        <w:t>投标人参加政府采购活动前三年内，在经营活动中没有重大违法记录（重大违法记录，是指投标人因违法经营受到刑事处罚或者责令停产停业、吊销许可证或者执照、较大数额罚款等行政处罚）的书面声明。（提供书面声明，自拟格式）</w:t>
      </w:r>
    </w:p>
    <w:p>
      <w:pPr>
        <w:rPr>
          <w:rFonts w:ascii="宋体" w:hAnsi="宋体" w:cs="宋体"/>
          <w:szCs w:val="21"/>
          <w:highlight w:val="none"/>
        </w:rPr>
      </w:pPr>
      <w:r>
        <w:rPr>
          <w:rFonts w:hint="eastAsia" w:ascii="宋体" w:hAnsi="宋体" w:cs="宋体"/>
          <w:szCs w:val="21"/>
          <w:highlight w:val="none"/>
        </w:rPr>
        <w:br w:type="page"/>
      </w:r>
    </w:p>
    <w:p>
      <w:pPr>
        <w:spacing w:line="360" w:lineRule="auto"/>
        <w:ind w:firstLine="472" w:firstLineChars="225"/>
        <w:rPr>
          <w:rFonts w:ascii="宋体" w:hAnsi="宋体" w:cs="宋体"/>
          <w:szCs w:val="21"/>
          <w:highlight w:val="none"/>
        </w:rPr>
      </w:pPr>
    </w:p>
    <w:p>
      <w:pPr>
        <w:pStyle w:val="27"/>
        <w:rPr>
          <w:rFonts w:ascii="宋体" w:hAnsi="宋体" w:cs="宋体"/>
          <w:highlight w:val="none"/>
        </w:rPr>
      </w:pPr>
    </w:p>
    <w:p>
      <w:pPr>
        <w:pStyle w:val="5"/>
        <w:jc w:val="center"/>
        <w:rPr>
          <w:rFonts w:ascii="宋体" w:hAnsi="宋体" w:cs="宋体"/>
          <w:b/>
          <w:bCs/>
          <w:sz w:val="32"/>
          <w:szCs w:val="32"/>
          <w:highlight w:val="none"/>
        </w:rPr>
      </w:pPr>
      <w:r>
        <w:rPr>
          <w:rFonts w:hint="eastAsia" w:ascii="宋体" w:hAnsi="宋体" w:cs="宋体"/>
          <w:b/>
          <w:bCs/>
          <w:sz w:val="32"/>
          <w:szCs w:val="32"/>
          <w:highlight w:val="none"/>
        </w:rPr>
        <w:t>（六）法律、行政法规规定的其他条件</w:t>
      </w:r>
    </w:p>
    <w:p>
      <w:pPr>
        <w:spacing w:line="360" w:lineRule="auto"/>
        <w:ind w:firstLine="420" w:firstLineChars="200"/>
        <w:rPr>
          <w:rFonts w:ascii="宋体" w:hAnsi="宋体" w:cs="宋体"/>
          <w:bCs/>
          <w:highlight w:val="none"/>
        </w:rPr>
      </w:pPr>
      <w:r>
        <w:rPr>
          <w:rFonts w:hint="eastAsia" w:ascii="宋体" w:hAnsi="宋体" w:cs="宋体"/>
          <w:szCs w:val="21"/>
          <w:highlight w:val="none"/>
        </w:rPr>
        <w:t>投标人</w:t>
      </w:r>
      <w:r>
        <w:rPr>
          <w:rFonts w:hint="eastAsia" w:ascii="宋体" w:hAnsi="宋体" w:cs="宋体"/>
          <w:bCs/>
          <w:highlight w:val="none"/>
        </w:rPr>
        <w:t>不得为“信用中国”网站（www.creditchina.gov.cn）中列入失信被执行人、重大税收违法案件当事人和政府采购严重违法失信名单的供应商；供应商不得为中国政府采购网（www.ccgp.gov.cn）政府采购严重违法失信行为记录名单中被财政部门禁止参加政府采购活动的供应商并且处罚期限未满的投标人。</w:t>
      </w:r>
      <w:r>
        <w:rPr>
          <w:rFonts w:hint="eastAsia" w:ascii="宋体" w:hAnsi="宋体" w:cs="宋体"/>
          <w:szCs w:val="21"/>
          <w:highlight w:val="none"/>
        </w:rPr>
        <w:t>（提供书面声明，自拟格式）</w:t>
      </w:r>
    </w:p>
    <w:p>
      <w:pPr>
        <w:pStyle w:val="7"/>
        <w:spacing w:line="360" w:lineRule="auto"/>
        <w:ind w:firstLine="0" w:firstLineChars="0"/>
        <w:rPr>
          <w:rFonts w:ascii="宋体" w:hAnsi="宋体"/>
          <w:sz w:val="24"/>
          <w:szCs w:val="24"/>
          <w:highlight w:val="none"/>
        </w:rPr>
      </w:pPr>
      <w:r>
        <w:rPr>
          <w:rFonts w:hint="eastAsia" w:ascii="宋体" w:hAnsi="宋体" w:cs="宋体"/>
          <w:bCs/>
          <w:highlight w:val="none"/>
        </w:rPr>
        <w:t>（评标时由招标代理机构在“信用中国”网“失信被执行人”、“重大税收违法案件”及“政府采购严重违法失信名单”查询；评标时由招标代理机构在“中国政府采购网”政府采购严重违法失信行为记录查询。）</w:t>
      </w:r>
    </w:p>
    <w:p>
      <w:pPr>
        <w:pStyle w:val="7"/>
        <w:spacing w:line="360" w:lineRule="auto"/>
        <w:ind w:firstLine="0" w:firstLineChars="0"/>
        <w:rPr>
          <w:rFonts w:ascii="宋体" w:hAnsi="宋体"/>
          <w:sz w:val="24"/>
          <w:szCs w:val="24"/>
          <w:highlight w:val="none"/>
        </w:rPr>
      </w:pPr>
      <w:r>
        <w:rPr>
          <w:rFonts w:ascii="宋体" w:hAnsi="宋体"/>
          <w:sz w:val="24"/>
          <w:szCs w:val="24"/>
          <w:highlight w:val="none"/>
        </w:rPr>
        <w:t>……</w:t>
      </w:r>
    </w:p>
    <w:p>
      <w:pPr>
        <w:rPr>
          <w:rFonts w:ascii="宋体" w:hAnsi="宋体"/>
          <w:sz w:val="24"/>
          <w:highlight w:val="none"/>
        </w:rPr>
      </w:pPr>
      <w:r>
        <w:rPr>
          <w:rFonts w:ascii="宋体" w:hAnsi="宋体"/>
          <w:sz w:val="24"/>
          <w:highlight w:val="none"/>
        </w:rPr>
        <w:br w:type="page"/>
      </w:r>
    </w:p>
    <w:p>
      <w:pPr>
        <w:pStyle w:val="5"/>
        <w:jc w:val="center"/>
        <w:rPr>
          <w:rFonts w:ascii="宋体" w:hAnsi="宋体" w:cs="宋体"/>
          <w:b/>
          <w:bCs/>
          <w:sz w:val="32"/>
          <w:szCs w:val="32"/>
          <w:highlight w:val="none"/>
        </w:rPr>
      </w:pPr>
      <w:r>
        <w:rPr>
          <w:rFonts w:hint="eastAsia" w:ascii="宋体" w:hAnsi="宋体" w:cs="宋体"/>
          <w:b/>
          <w:bCs/>
          <w:sz w:val="32"/>
          <w:szCs w:val="32"/>
          <w:highlight w:val="none"/>
        </w:rPr>
        <w:t>（七）构成投标文件资格部分的其他资料</w:t>
      </w:r>
    </w:p>
    <w:p>
      <w:pPr>
        <w:spacing w:line="360" w:lineRule="auto"/>
        <w:rPr>
          <w:highlight w:val="none"/>
        </w:rPr>
      </w:pPr>
    </w:p>
    <w:p>
      <w:pPr>
        <w:pStyle w:val="3"/>
        <w:numPr>
          <w:ilvl w:val="0"/>
          <w:numId w:val="0"/>
        </w:numPr>
        <w:jc w:val="center"/>
        <w:rPr>
          <w:rFonts w:ascii="宋体" w:hAnsi="宋体" w:eastAsia="宋体"/>
          <w:sz w:val="30"/>
          <w:szCs w:val="30"/>
          <w:highlight w:val="none"/>
        </w:rPr>
      </w:pPr>
      <w:r>
        <w:rPr>
          <w:rFonts w:ascii="宋体" w:hAnsi="宋体" w:eastAsia="宋体"/>
          <w:sz w:val="30"/>
          <w:szCs w:val="30"/>
          <w:highlight w:val="none"/>
        </w:rPr>
        <w:br w:type="page"/>
      </w:r>
      <w:bookmarkStart w:id="213" w:name="_Toc26570"/>
      <w:bookmarkStart w:id="214" w:name="_Toc855"/>
      <w:bookmarkStart w:id="215" w:name="_Toc496122202"/>
      <w:bookmarkStart w:id="216" w:name="_Toc168573769"/>
      <w:bookmarkStart w:id="217" w:name="_Toc29223"/>
      <w:bookmarkStart w:id="218" w:name="_Toc2398"/>
      <w:bookmarkStart w:id="219" w:name="_Toc16741"/>
      <w:r>
        <w:rPr>
          <w:rFonts w:ascii="宋体" w:hAnsi="宋体" w:eastAsia="宋体"/>
          <w:sz w:val="30"/>
          <w:szCs w:val="30"/>
          <w:highlight w:val="none"/>
        </w:rPr>
        <w:t>二、</w:t>
      </w:r>
      <w:r>
        <w:rPr>
          <w:rFonts w:hint="eastAsia" w:ascii="宋体" w:hAnsi="宋体" w:eastAsia="宋体"/>
          <w:sz w:val="30"/>
          <w:szCs w:val="30"/>
          <w:highlight w:val="none"/>
        </w:rPr>
        <w:t>商务</w:t>
      </w:r>
      <w:r>
        <w:rPr>
          <w:rFonts w:ascii="宋体" w:hAnsi="宋体" w:eastAsia="宋体"/>
          <w:sz w:val="30"/>
          <w:szCs w:val="30"/>
          <w:highlight w:val="none"/>
        </w:rPr>
        <w:t>部分</w:t>
      </w:r>
      <w:bookmarkEnd w:id="213"/>
      <w:bookmarkEnd w:id="214"/>
      <w:bookmarkEnd w:id="215"/>
      <w:bookmarkEnd w:id="216"/>
      <w:bookmarkEnd w:id="217"/>
      <w:bookmarkEnd w:id="218"/>
      <w:bookmarkEnd w:id="219"/>
    </w:p>
    <w:p>
      <w:pPr>
        <w:pStyle w:val="4"/>
        <w:numPr>
          <w:ilvl w:val="0"/>
          <w:numId w:val="0"/>
        </w:numPr>
        <w:jc w:val="center"/>
        <w:rPr>
          <w:rFonts w:ascii="宋体" w:hAnsi="宋体" w:eastAsia="宋体"/>
          <w:sz w:val="32"/>
          <w:szCs w:val="32"/>
          <w:highlight w:val="none"/>
        </w:rPr>
      </w:pPr>
      <w:bookmarkStart w:id="220" w:name="_Toc496122203"/>
      <w:r>
        <w:rPr>
          <w:rFonts w:hint="eastAsia" w:hAnsi="宋体" w:eastAsia="宋体"/>
          <w:szCs w:val="28"/>
          <w:highlight w:val="none"/>
        </w:rPr>
        <w:t>（一）</w:t>
      </w:r>
      <w:r>
        <w:rPr>
          <w:rFonts w:hint="eastAsia" w:ascii="宋体" w:hAnsi="宋体" w:eastAsia="宋体"/>
          <w:sz w:val="32"/>
          <w:szCs w:val="32"/>
          <w:highlight w:val="none"/>
        </w:rPr>
        <w:t>投 标 函</w:t>
      </w:r>
      <w:bookmarkEnd w:id="220"/>
    </w:p>
    <w:p>
      <w:pPr>
        <w:spacing w:line="360" w:lineRule="auto"/>
        <w:rPr>
          <w:rFonts w:ascii="宋体" w:hAnsi="宋体"/>
          <w:szCs w:val="21"/>
          <w:highlight w:val="none"/>
        </w:rPr>
      </w:pPr>
      <w:r>
        <w:rPr>
          <w:rFonts w:hint="eastAsia" w:ascii="宋体" w:hAnsi="宋体"/>
          <w:szCs w:val="21"/>
          <w:highlight w:val="none"/>
        </w:rPr>
        <w:t>致：</w:t>
      </w:r>
      <w:r>
        <w:rPr>
          <w:rFonts w:hint="eastAsia" w:ascii="宋体" w:hAnsi="宋体"/>
          <w:szCs w:val="21"/>
          <w:highlight w:val="none"/>
          <w:u w:val="single"/>
        </w:rPr>
        <w:t>（</w:t>
      </w:r>
      <w:r>
        <w:rPr>
          <w:rFonts w:ascii="宋体" w:hAnsi="宋体"/>
          <w:szCs w:val="21"/>
          <w:highlight w:val="none"/>
          <w:u w:val="single"/>
        </w:rPr>
        <w:t xml:space="preserve">采购人名称）   </w:t>
      </w:r>
    </w:p>
    <w:p>
      <w:pPr>
        <w:spacing w:line="360" w:lineRule="auto"/>
        <w:ind w:firstLine="482"/>
        <w:rPr>
          <w:rFonts w:ascii="宋体" w:hAnsi="宋体"/>
          <w:szCs w:val="21"/>
          <w:highlight w:val="none"/>
        </w:rPr>
      </w:pPr>
      <w:r>
        <w:rPr>
          <w:rFonts w:hint="eastAsia" w:ascii="宋体" w:hAnsi="宋体"/>
          <w:szCs w:val="21"/>
          <w:highlight w:val="none"/>
        </w:rPr>
        <w:t>我方仔细研究了</w:t>
      </w:r>
      <w:r>
        <w:rPr>
          <w:rFonts w:hint="eastAsia" w:ascii="宋体" w:hAnsi="宋体"/>
          <w:szCs w:val="21"/>
          <w:highlight w:val="none"/>
          <w:u w:val="single"/>
        </w:rPr>
        <w:t xml:space="preserve">（采购项目名称）   </w:t>
      </w:r>
      <w:r>
        <w:rPr>
          <w:rFonts w:hint="eastAsia" w:ascii="宋体" w:hAnsi="宋体"/>
          <w:szCs w:val="21"/>
          <w:highlight w:val="none"/>
        </w:rPr>
        <w:t>（</w:t>
      </w:r>
      <w:r>
        <w:rPr>
          <w:rFonts w:hint="eastAsia" w:ascii="宋体" w:hAnsi="宋体"/>
          <w:szCs w:val="21"/>
          <w:highlight w:val="none"/>
          <w:u w:val="single"/>
        </w:rPr>
        <w:t xml:space="preserve">招标编号：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r>
        <w:rPr>
          <w:rFonts w:hint="eastAsia" w:ascii="宋体" w:hAnsi="宋体"/>
          <w:szCs w:val="21"/>
          <w:highlight w:val="none"/>
          <w:u w:val="single"/>
        </w:rPr>
        <w:t xml:space="preserve">   标包 </w:t>
      </w:r>
      <w:r>
        <w:rPr>
          <w:rFonts w:hint="eastAsia" w:ascii="宋体" w:hAnsi="宋体"/>
          <w:szCs w:val="21"/>
          <w:highlight w:val="none"/>
        </w:rPr>
        <w:t>）</w:t>
      </w:r>
      <w:r>
        <w:rPr>
          <w:rFonts w:ascii="宋体" w:hAnsi="宋体"/>
          <w:szCs w:val="21"/>
          <w:highlight w:val="none"/>
        </w:rPr>
        <w:t>项目招标</w:t>
      </w:r>
      <w:r>
        <w:rPr>
          <w:rFonts w:hint="eastAsia" w:ascii="宋体" w:hAnsi="宋体"/>
          <w:szCs w:val="21"/>
          <w:highlight w:val="none"/>
        </w:rPr>
        <w:t>文件的全部内容，正式授权下述人员</w:t>
      </w:r>
      <w:r>
        <w:rPr>
          <w:rFonts w:hint="eastAsia" w:ascii="宋体" w:hAnsi="宋体"/>
          <w:szCs w:val="21"/>
          <w:highlight w:val="none"/>
          <w:u w:val="single"/>
        </w:rPr>
        <w:t xml:space="preserve">   （姓名和职务）     </w:t>
      </w:r>
      <w:r>
        <w:rPr>
          <w:rFonts w:hint="eastAsia" w:ascii="宋体" w:hAnsi="宋体"/>
          <w:szCs w:val="21"/>
          <w:highlight w:val="none"/>
        </w:rPr>
        <w:t>全权代表投标人</w:t>
      </w:r>
      <w:r>
        <w:rPr>
          <w:rFonts w:hint="eastAsia" w:ascii="宋体" w:hAnsi="宋体"/>
          <w:szCs w:val="21"/>
          <w:highlight w:val="none"/>
          <w:u w:val="single"/>
        </w:rPr>
        <w:t xml:space="preserve">  （投标人全称）   </w:t>
      </w:r>
      <w:r>
        <w:rPr>
          <w:rFonts w:ascii="宋体" w:hAnsi="宋体"/>
          <w:szCs w:val="21"/>
          <w:highlight w:val="none"/>
        </w:rPr>
        <w:t>参加投标，并</w:t>
      </w:r>
      <w:r>
        <w:rPr>
          <w:rFonts w:hint="eastAsia" w:ascii="宋体" w:hAnsi="宋体"/>
          <w:szCs w:val="21"/>
          <w:highlight w:val="none"/>
        </w:rPr>
        <w:t>提交电子</w:t>
      </w:r>
      <w:r>
        <w:rPr>
          <w:rFonts w:ascii="宋体" w:hAnsi="宋体"/>
          <w:szCs w:val="21"/>
          <w:highlight w:val="none"/>
        </w:rPr>
        <w:t>投标</w:t>
      </w:r>
      <w:r>
        <w:rPr>
          <w:rFonts w:hint="eastAsia" w:ascii="宋体" w:hAnsi="宋体"/>
          <w:szCs w:val="21"/>
          <w:highlight w:val="none"/>
        </w:rPr>
        <w:t>文件</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份</w:t>
      </w:r>
      <w:r>
        <w:rPr>
          <w:rFonts w:ascii="宋体" w:hAnsi="宋体"/>
          <w:szCs w:val="21"/>
          <w:highlight w:val="none"/>
        </w:rPr>
        <w:t>。</w:t>
      </w:r>
    </w:p>
    <w:p>
      <w:pPr>
        <w:spacing w:line="360" w:lineRule="auto"/>
        <w:ind w:firstLine="420"/>
        <w:rPr>
          <w:rFonts w:ascii="宋体" w:hAnsi="宋体"/>
          <w:szCs w:val="21"/>
          <w:highlight w:val="none"/>
        </w:rPr>
      </w:pPr>
      <w:r>
        <w:rPr>
          <w:rFonts w:hint="eastAsia" w:ascii="宋体" w:hAnsi="宋体"/>
          <w:szCs w:val="21"/>
          <w:highlight w:val="none"/>
        </w:rPr>
        <w:t>据此函，我单位兹宣布同意如下：</w:t>
      </w:r>
    </w:p>
    <w:p>
      <w:pPr>
        <w:spacing w:line="360" w:lineRule="auto"/>
        <w:ind w:firstLine="420" w:firstLineChars="200"/>
        <w:rPr>
          <w:rFonts w:ascii="宋体" w:hAnsi="宋体"/>
          <w:szCs w:val="21"/>
          <w:highlight w:val="none"/>
        </w:rPr>
      </w:pPr>
      <w:r>
        <w:rPr>
          <w:rFonts w:hint="eastAsia" w:ascii="宋体" w:hAnsi="宋体"/>
          <w:szCs w:val="21"/>
          <w:highlight w:val="none"/>
        </w:rPr>
        <w:t>1、按招标文件货物需求及技术要求和投标报价汇总表，投标总报价（大写）</w:t>
      </w:r>
      <w:r>
        <w:rPr>
          <w:rFonts w:hint="eastAsia" w:ascii="宋体" w:hAnsi="宋体"/>
          <w:szCs w:val="21"/>
          <w:highlight w:val="none"/>
          <w:u w:val="single"/>
        </w:rPr>
        <w:t xml:space="preserve">     </w:t>
      </w:r>
      <w:r>
        <w:rPr>
          <w:rFonts w:hint="eastAsia" w:ascii="宋体" w:hAnsi="宋体"/>
          <w:szCs w:val="21"/>
          <w:highlight w:val="none"/>
        </w:rPr>
        <w:t>元，人民币(￥： )，在</w:t>
      </w:r>
      <w:r>
        <w:rPr>
          <w:rFonts w:hint="eastAsia" w:ascii="宋体" w:hAnsi="宋体"/>
          <w:szCs w:val="21"/>
          <w:highlight w:val="none"/>
          <w:u w:val="single"/>
        </w:rPr>
        <w:t xml:space="preserve">  （交货期）   </w:t>
      </w:r>
      <w:r>
        <w:rPr>
          <w:rFonts w:hint="eastAsia" w:ascii="宋体" w:hAnsi="宋体"/>
          <w:szCs w:val="21"/>
          <w:highlight w:val="none"/>
        </w:rPr>
        <w:t>内的指定交货地点完成交货。</w:t>
      </w:r>
    </w:p>
    <w:p>
      <w:pPr>
        <w:spacing w:line="360" w:lineRule="auto"/>
        <w:ind w:firstLine="420"/>
        <w:rPr>
          <w:rFonts w:ascii="宋体" w:hAnsi="宋体"/>
          <w:spacing w:val="-10"/>
          <w:szCs w:val="21"/>
          <w:highlight w:val="none"/>
        </w:rPr>
      </w:pPr>
      <w:r>
        <w:rPr>
          <w:rFonts w:hint="eastAsia" w:ascii="宋体" w:hAnsi="宋体"/>
          <w:szCs w:val="21"/>
          <w:highlight w:val="none"/>
        </w:rPr>
        <w:t>2、</w:t>
      </w:r>
      <w:r>
        <w:rPr>
          <w:rFonts w:hint="eastAsia" w:ascii="宋体" w:hAnsi="宋体"/>
          <w:spacing w:val="-10"/>
          <w:szCs w:val="21"/>
          <w:highlight w:val="none"/>
        </w:rPr>
        <w:t>我方已详细审查全部招标文件，包括</w:t>
      </w:r>
      <w:r>
        <w:rPr>
          <w:rFonts w:hint="eastAsia" w:ascii="宋体" w:hAnsi="宋体"/>
          <w:spacing w:val="-10"/>
          <w:szCs w:val="21"/>
          <w:highlight w:val="none"/>
          <w:u w:val="single"/>
        </w:rPr>
        <w:t>（澄清文件）(如果有的话)</w:t>
      </w:r>
      <w:r>
        <w:rPr>
          <w:rFonts w:hint="eastAsia" w:ascii="宋体" w:hAnsi="宋体"/>
          <w:spacing w:val="-10"/>
          <w:szCs w:val="21"/>
          <w:highlight w:val="none"/>
        </w:rPr>
        <w:t>。我们完全理解并同意放弃对这方面有不明及误解的权力。</w:t>
      </w:r>
    </w:p>
    <w:p>
      <w:pPr>
        <w:spacing w:line="360" w:lineRule="auto"/>
        <w:ind w:firstLine="420"/>
        <w:rPr>
          <w:rFonts w:ascii="宋体" w:hAnsi="宋体"/>
          <w:szCs w:val="21"/>
          <w:highlight w:val="none"/>
        </w:rPr>
      </w:pPr>
      <w:r>
        <w:rPr>
          <w:rFonts w:hint="eastAsia" w:ascii="宋体" w:hAnsi="宋体"/>
          <w:szCs w:val="21"/>
          <w:highlight w:val="none"/>
        </w:rPr>
        <w:t>3、在投标人须知规定的开标日期起遵循本投标文件，并在投标人须知第15条规定的投标文件有效期满之前均具有约束力。</w:t>
      </w:r>
    </w:p>
    <w:p>
      <w:pPr>
        <w:spacing w:line="360" w:lineRule="auto"/>
        <w:ind w:firstLine="420"/>
        <w:rPr>
          <w:rFonts w:ascii="宋体" w:hAnsi="宋体"/>
          <w:szCs w:val="21"/>
          <w:highlight w:val="none"/>
        </w:rPr>
      </w:pPr>
      <w:r>
        <w:rPr>
          <w:rFonts w:hint="eastAsia" w:ascii="宋体" w:hAnsi="宋体"/>
          <w:szCs w:val="21"/>
          <w:highlight w:val="none"/>
        </w:rPr>
        <w:t>4、同意投标人须知中关于没收投标保证金的规定。</w:t>
      </w:r>
    </w:p>
    <w:p>
      <w:pPr>
        <w:spacing w:line="360" w:lineRule="auto"/>
        <w:ind w:firstLine="420"/>
        <w:rPr>
          <w:rFonts w:ascii="宋体" w:hAnsi="宋体"/>
          <w:szCs w:val="21"/>
          <w:highlight w:val="none"/>
        </w:rPr>
      </w:pPr>
      <w:r>
        <w:rPr>
          <w:rFonts w:hint="eastAsia" w:ascii="宋体" w:hAnsi="宋体"/>
          <w:szCs w:val="21"/>
          <w:highlight w:val="none"/>
        </w:rPr>
        <w:t>5、同意应贵方要求提供与本投标有关的任何数据或资料，并保证数据和资料的完整性和真实性。</w:t>
      </w:r>
    </w:p>
    <w:p>
      <w:pPr>
        <w:spacing w:line="360" w:lineRule="auto"/>
        <w:ind w:firstLine="420"/>
        <w:rPr>
          <w:rFonts w:ascii="宋体" w:hAnsi="宋体"/>
          <w:szCs w:val="21"/>
          <w:highlight w:val="none"/>
        </w:rPr>
      </w:pPr>
      <w:r>
        <w:rPr>
          <w:rFonts w:hint="eastAsia" w:ascii="宋体" w:hAnsi="宋体"/>
          <w:szCs w:val="21"/>
          <w:highlight w:val="none"/>
        </w:rPr>
        <w:t>6、完全理解贵方不一定要接受最低报价的投标人为中标人的行为。</w:t>
      </w:r>
    </w:p>
    <w:p>
      <w:pPr>
        <w:spacing w:line="360" w:lineRule="auto"/>
        <w:ind w:firstLine="420"/>
        <w:rPr>
          <w:rFonts w:ascii="宋体" w:hAnsi="宋体"/>
          <w:szCs w:val="21"/>
          <w:highlight w:val="none"/>
        </w:rPr>
      </w:pPr>
      <w:r>
        <w:rPr>
          <w:rFonts w:hint="eastAsia" w:ascii="宋体" w:hAnsi="宋体"/>
          <w:szCs w:val="21"/>
          <w:highlight w:val="none"/>
        </w:rPr>
        <w:t>7．如我方中标：</w:t>
      </w:r>
    </w:p>
    <w:p>
      <w:pPr>
        <w:spacing w:line="360" w:lineRule="auto"/>
        <w:ind w:firstLine="420"/>
        <w:rPr>
          <w:rFonts w:ascii="宋体" w:hAnsi="宋体"/>
          <w:szCs w:val="21"/>
          <w:highlight w:val="none"/>
        </w:rPr>
      </w:pPr>
      <w:r>
        <w:rPr>
          <w:rFonts w:hint="eastAsia" w:ascii="宋体" w:hAnsi="宋体"/>
          <w:szCs w:val="21"/>
          <w:highlight w:val="none"/>
        </w:rPr>
        <w:t>（1）我方承诺在收到中标通知书后，在中标通知书规定的期限内与你方签订合同，并履行相应的合同责任和义务。</w:t>
      </w:r>
    </w:p>
    <w:p>
      <w:pPr>
        <w:spacing w:line="360" w:lineRule="auto"/>
        <w:ind w:firstLine="420"/>
        <w:rPr>
          <w:rFonts w:ascii="宋体" w:hAnsi="宋体"/>
          <w:szCs w:val="21"/>
          <w:highlight w:val="none"/>
        </w:rPr>
      </w:pPr>
      <w:r>
        <w:rPr>
          <w:rFonts w:hint="eastAsia" w:ascii="宋体" w:hAnsi="宋体"/>
          <w:szCs w:val="21"/>
          <w:highlight w:val="none"/>
        </w:rPr>
        <w:t>（2）我方承诺按照招标文件规定向你方递交履约担保（要求时）。</w:t>
      </w:r>
    </w:p>
    <w:p>
      <w:pPr>
        <w:spacing w:line="360" w:lineRule="auto"/>
        <w:ind w:firstLine="420"/>
        <w:rPr>
          <w:rFonts w:ascii="宋体" w:hAnsi="宋体"/>
          <w:szCs w:val="21"/>
          <w:highlight w:val="none"/>
        </w:rPr>
      </w:pPr>
      <w:r>
        <w:rPr>
          <w:rFonts w:hint="eastAsia" w:ascii="宋体" w:hAnsi="宋体"/>
          <w:szCs w:val="21"/>
          <w:highlight w:val="none"/>
        </w:rPr>
        <w:t>（3）我方承诺将承担售后服务及保修责任。</w:t>
      </w:r>
    </w:p>
    <w:p>
      <w:pPr>
        <w:spacing w:line="360" w:lineRule="auto"/>
        <w:ind w:firstLine="420"/>
        <w:rPr>
          <w:rFonts w:ascii="宋体" w:hAnsi="宋体"/>
          <w:szCs w:val="21"/>
          <w:highlight w:val="none"/>
        </w:rPr>
      </w:pPr>
      <w:r>
        <w:rPr>
          <w:rFonts w:hint="eastAsia" w:ascii="宋体" w:hAnsi="宋体"/>
          <w:szCs w:val="21"/>
          <w:highlight w:val="none"/>
        </w:rPr>
        <w:t>8．我方在此声明，所递交的投标文件及有关资料内容完整、真实和准确。</w:t>
      </w:r>
    </w:p>
    <w:p>
      <w:pPr>
        <w:pStyle w:val="14"/>
        <w:spacing w:line="360" w:lineRule="auto"/>
        <w:ind w:firstLine="420"/>
        <w:rPr>
          <w:rFonts w:hAnsi="宋体"/>
          <w:sz w:val="24"/>
          <w:szCs w:val="24"/>
          <w:highlight w:val="none"/>
        </w:rPr>
      </w:pPr>
      <w:r>
        <w:rPr>
          <w:rFonts w:hint="eastAsia" w:ascii="Times New Roman" w:hAnsi="宋体"/>
          <w:szCs w:val="21"/>
          <w:highlight w:val="none"/>
        </w:rPr>
        <w:t>9．（其他补充说明）。</w:t>
      </w:r>
    </w:p>
    <w:p>
      <w:pPr>
        <w:spacing w:line="360" w:lineRule="auto"/>
        <w:ind w:firstLine="422" w:firstLineChars="200"/>
        <w:rPr>
          <w:rFonts w:ascii="宋体" w:hAnsi="宋体"/>
          <w:b/>
          <w:szCs w:val="21"/>
          <w:highlight w:val="none"/>
        </w:rPr>
      </w:pPr>
      <w:r>
        <w:rPr>
          <w:rFonts w:hint="eastAsia" w:ascii="宋体" w:hAnsi="宋体"/>
          <w:b/>
          <w:szCs w:val="21"/>
          <w:highlight w:val="none"/>
        </w:rPr>
        <w:t>投标人（加盖电子公章）：</w:t>
      </w:r>
    </w:p>
    <w:p>
      <w:pPr>
        <w:pStyle w:val="14"/>
        <w:spacing w:line="360" w:lineRule="auto"/>
        <w:ind w:firstLine="420"/>
        <w:rPr>
          <w:rFonts w:hAnsi="宋体"/>
          <w:b/>
          <w:szCs w:val="21"/>
          <w:highlight w:val="none"/>
        </w:rPr>
      </w:pPr>
      <w:r>
        <w:rPr>
          <w:rFonts w:hint="eastAsia" w:ascii="Times New Roman" w:hAnsi="宋体"/>
          <w:b/>
          <w:szCs w:val="21"/>
          <w:highlight w:val="none"/>
        </w:rPr>
        <w:t>法定代表人或其委托代理人（签名或电子签章）：</w:t>
      </w:r>
    </w:p>
    <w:p>
      <w:pPr>
        <w:pStyle w:val="14"/>
        <w:spacing w:line="360" w:lineRule="auto"/>
        <w:ind w:firstLine="420"/>
        <w:rPr>
          <w:rFonts w:ascii="Times New Roman" w:hAnsi="宋体"/>
          <w:b/>
          <w:szCs w:val="21"/>
          <w:highlight w:val="none"/>
        </w:rPr>
      </w:pPr>
      <w:r>
        <w:rPr>
          <w:rFonts w:hint="eastAsia" w:ascii="Times New Roman" w:hAnsi="宋体"/>
          <w:b/>
          <w:szCs w:val="21"/>
          <w:highlight w:val="none"/>
        </w:rPr>
        <w:t>投标日期：</w:t>
      </w:r>
      <w:r>
        <w:rPr>
          <w:rFonts w:ascii="Times New Roman" w:hAnsi="宋体"/>
          <w:b/>
          <w:szCs w:val="21"/>
          <w:highlight w:val="none"/>
        </w:rPr>
        <w:t>年</w:t>
      </w:r>
      <w:r>
        <w:rPr>
          <w:rFonts w:hint="eastAsia" w:ascii="Times New Roman" w:hAnsi="宋体"/>
          <w:b/>
          <w:szCs w:val="21"/>
          <w:highlight w:val="none"/>
        </w:rPr>
        <w:t xml:space="preserve">  </w:t>
      </w:r>
      <w:r>
        <w:rPr>
          <w:rFonts w:ascii="Times New Roman" w:hAnsi="宋体"/>
          <w:b/>
          <w:szCs w:val="21"/>
          <w:highlight w:val="none"/>
        </w:rPr>
        <w:t>月</w:t>
      </w:r>
      <w:r>
        <w:rPr>
          <w:rFonts w:hint="eastAsia" w:ascii="Times New Roman" w:hAnsi="宋体"/>
          <w:b/>
          <w:szCs w:val="21"/>
          <w:highlight w:val="none"/>
        </w:rPr>
        <w:t xml:space="preserve">  </w:t>
      </w:r>
      <w:r>
        <w:rPr>
          <w:rFonts w:ascii="Times New Roman" w:hAnsi="宋体"/>
          <w:b/>
          <w:szCs w:val="21"/>
          <w:highlight w:val="none"/>
        </w:rPr>
        <w:t>日</w:t>
      </w:r>
    </w:p>
    <w:p>
      <w:pPr>
        <w:rPr>
          <w:rFonts w:ascii="Times New Roman" w:hAnsi="宋体"/>
          <w:b/>
          <w:sz w:val="24"/>
          <w:highlight w:val="none"/>
        </w:rPr>
      </w:pPr>
      <w:r>
        <w:rPr>
          <w:rFonts w:ascii="Times New Roman" w:hAnsi="宋体"/>
          <w:b/>
          <w:sz w:val="24"/>
          <w:highlight w:val="none"/>
        </w:rPr>
        <w:br w:type="page"/>
      </w:r>
    </w:p>
    <w:p>
      <w:pPr>
        <w:keepNext/>
        <w:adjustRightInd w:val="0"/>
        <w:spacing w:before="120" w:line="360" w:lineRule="auto"/>
        <w:jc w:val="center"/>
        <w:textAlignment w:val="baseline"/>
        <w:outlineLvl w:val="2"/>
        <w:rPr>
          <w:rFonts w:ascii="宋体" w:hAnsi="宋体" w:eastAsia="宋体"/>
          <w:b/>
          <w:kern w:val="0"/>
          <w:sz w:val="32"/>
          <w:szCs w:val="32"/>
          <w:highlight w:val="none"/>
        </w:rPr>
      </w:pPr>
      <w:r>
        <w:rPr>
          <w:rFonts w:hint="eastAsia" w:ascii="宋体" w:hAnsi="宋体" w:eastAsia="宋体"/>
          <w:b/>
          <w:kern w:val="0"/>
          <w:sz w:val="32"/>
          <w:szCs w:val="32"/>
          <w:highlight w:val="none"/>
        </w:rPr>
        <w:t>（二）开标一览表</w:t>
      </w:r>
    </w:p>
    <w:p>
      <w:pPr>
        <w:spacing w:line="360" w:lineRule="auto"/>
        <w:ind w:left="1050" w:hanging="1050" w:hangingChars="500"/>
        <w:rPr>
          <w:rFonts w:ascii="宋体" w:cs="宋体"/>
          <w:szCs w:val="21"/>
          <w:highlight w:val="none"/>
          <w:u w:val="single"/>
        </w:rPr>
      </w:pPr>
      <w:r>
        <w:rPr>
          <w:rFonts w:hint="eastAsia" w:ascii="宋体" w:cs="宋体"/>
          <w:szCs w:val="21"/>
          <w:highlight w:val="none"/>
        </w:rPr>
        <w:t>项目名称：</w:t>
      </w:r>
      <w:r>
        <w:rPr>
          <w:rFonts w:hint="eastAsia" w:ascii="宋体" w:cs="宋体"/>
          <w:szCs w:val="21"/>
          <w:highlight w:val="none"/>
          <w:u w:val="single"/>
        </w:rPr>
        <w:t xml:space="preserve">                                                </w:t>
      </w:r>
    </w:p>
    <w:p>
      <w:pPr>
        <w:spacing w:line="360" w:lineRule="auto"/>
        <w:rPr>
          <w:rFonts w:ascii="宋体" w:cs="宋体"/>
          <w:szCs w:val="21"/>
          <w:highlight w:val="none"/>
        </w:rPr>
      </w:pPr>
      <w:r>
        <w:rPr>
          <w:rFonts w:hint="eastAsia" w:ascii="宋体" w:cs="宋体"/>
          <w:szCs w:val="21"/>
          <w:highlight w:val="none"/>
        </w:rPr>
        <w:t>项目编号：</w:t>
      </w:r>
      <w:r>
        <w:rPr>
          <w:rFonts w:hint="eastAsia" w:ascii="宋体" w:cs="宋体"/>
          <w:szCs w:val="21"/>
          <w:highlight w:val="none"/>
          <w:u w:val="single"/>
        </w:rPr>
        <w:t xml:space="preserve">                                                </w:t>
      </w:r>
      <w:r>
        <w:rPr>
          <w:rFonts w:hint="eastAsia" w:ascii="宋体" w:cs="宋体"/>
          <w:szCs w:val="21"/>
          <w:highlight w:val="none"/>
        </w:rPr>
        <w:t xml:space="preserve"> </w:t>
      </w:r>
    </w:p>
    <w:p>
      <w:pPr>
        <w:spacing w:line="360" w:lineRule="auto"/>
        <w:rPr>
          <w:rFonts w:ascii="宋体" w:cs="宋体"/>
          <w:szCs w:val="21"/>
          <w:highlight w:val="none"/>
        </w:rPr>
      </w:pPr>
      <w:r>
        <w:rPr>
          <w:rFonts w:hint="eastAsia" w:ascii="宋体" w:cs="宋体"/>
          <w:szCs w:val="21"/>
          <w:highlight w:val="none"/>
        </w:rPr>
        <w:t>标包号：</w:t>
      </w:r>
      <w:r>
        <w:rPr>
          <w:rFonts w:hint="eastAsia" w:ascii="宋体" w:cs="宋体"/>
          <w:szCs w:val="21"/>
          <w:highlight w:val="none"/>
          <w:u w:val="single"/>
        </w:rPr>
        <w:t xml:space="preserve">        </w:t>
      </w:r>
      <w:r>
        <w:rPr>
          <w:rFonts w:hint="eastAsia" w:ascii="宋体" w:cs="宋体"/>
          <w:szCs w:val="21"/>
          <w:highlight w:val="none"/>
        </w:rPr>
        <w:t xml:space="preserve">                 </w:t>
      </w:r>
    </w:p>
    <w:tbl>
      <w:tblPr>
        <w:tblStyle w:val="28"/>
        <w:tblW w:w="10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7"/>
        <w:gridCol w:w="7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2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zCs w:val="21"/>
                <w:highlight w:val="none"/>
              </w:rPr>
            </w:pPr>
            <w:r>
              <w:rPr>
                <w:rFonts w:hint="eastAsia" w:ascii="宋体" w:cs="宋体"/>
                <w:szCs w:val="21"/>
                <w:highlight w:val="none"/>
              </w:rPr>
              <w:t>投标人名称</w:t>
            </w:r>
          </w:p>
        </w:tc>
        <w:tc>
          <w:tcPr>
            <w:tcW w:w="75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273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cs="宋体"/>
                <w:szCs w:val="21"/>
                <w:highlight w:val="none"/>
              </w:rPr>
            </w:pPr>
            <w:r>
              <w:rPr>
                <w:rFonts w:hint="eastAsia" w:cs="宋体"/>
                <w:szCs w:val="21"/>
                <w:highlight w:val="none"/>
              </w:rPr>
              <w:t>投标总报价（万元）</w:t>
            </w:r>
          </w:p>
        </w:tc>
        <w:tc>
          <w:tcPr>
            <w:tcW w:w="750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2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zCs w:val="21"/>
                <w:highlight w:val="none"/>
              </w:rPr>
            </w:pPr>
            <w:r>
              <w:rPr>
                <w:rFonts w:hint="eastAsia" w:ascii="宋体" w:cs="宋体"/>
                <w:szCs w:val="21"/>
                <w:highlight w:val="none"/>
              </w:rPr>
              <w:t>交货期</w:t>
            </w:r>
          </w:p>
        </w:tc>
        <w:tc>
          <w:tcPr>
            <w:tcW w:w="750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2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zCs w:val="21"/>
                <w:highlight w:val="none"/>
              </w:rPr>
            </w:pPr>
            <w:r>
              <w:rPr>
                <w:rFonts w:hint="eastAsia" w:ascii="宋体" w:cs="宋体"/>
                <w:szCs w:val="21"/>
                <w:highlight w:val="none"/>
              </w:rPr>
              <w:t>交货地点</w:t>
            </w:r>
          </w:p>
        </w:tc>
        <w:tc>
          <w:tcPr>
            <w:tcW w:w="750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27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s="宋体"/>
                <w:szCs w:val="21"/>
                <w:highlight w:val="none"/>
              </w:rPr>
            </w:pPr>
            <w:r>
              <w:rPr>
                <w:rFonts w:hint="eastAsia" w:ascii="宋体" w:cs="宋体"/>
                <w:szCs w:val="21"/>
                <w:highlight w:val="none"/>
              </w:rPr>
              <w:t>质保期</w:t>
            </w:r>
          </w:p>
        </w:tc>
        <w:tc>
          <w:tcPr>
            <w:tcW w:w="750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024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s="宋体"/>
                <w:szCs w:val="21"/>
                <w:highlight w:val="none"/>
                <w:u w:val="single"/>
              </w:rPr>
            </w:pPr>
            <w:r>
              <w:rPr>
                <w:rFonts w:hint="eastAsia" w:ascii="宋体" w:cs="宋体"/>
                <w:szCs w:val="21"/>
                <w:highlight w:val="none"/>
              </w:rPr>
              <w:t>备注：以上费用为包干价（包含完成本项目的一切费用）</w:t>
            </w:r>
          </w:p>
        </w:tc>
      </w:tr>
    </w:tbl>
    <w:p>
      <w:pPr>
        <w:spacing w:line="360" w:lineRule="auto"/>
        <w:ind w:right="-309" w:rightChars="-147"/>
        <w:rPr>
          <w:rFonts w:ascii="宋体" w:cs="宋体"/>
          <w:b/>
          <w:szCs w:val="21"/>
          <w:highlight w:val="none"/>
        </w:rPr>
      </w:pPr>
      <w:r>
        <w:rPr>
          <w:rFonts w:hint="eastAsia" w:ascii="宋体" w:cs="宋体"/>
          <w:szCs w:val="21"/>
          <w:highlight w:val="none"/>
        </w:rPr>
        <w:t xml:space="preserve"> </w:t>
      </w:r>
      <w:r>
        <w:rPr>
          <w:rFonts w:hint="eastAsia" w:ascii="宋体" w:cs="宋体"/>
          <w:b/>
          <w:szCs w:val="21"/>
          <w:highlight w:val="none"/>
        </w:rPr>
        <w:t>注：</w:t>
      </w:r>
    </w:p>
    <w:p>
      <w:pPr>
        <w:spacing w:line="360" w:lineRule="auto"/>
        <w:ind w:right="-309" w:rightChars="-147" w:firstLine="422" w:firstLineChars="200"/>
        <w:rPr>
          <w:rFonts w:ascii="宋体" w:cs="宋体"/>
          <w:b/>
          <w:szCs w:val="21"/>
          <w:highlight w:val="none"/>
        </w:rPr>
      </w:pPr>
      <w:r>
        <w:rPr>
          <w:rFonts w:hint="eastAsia" w:ascii="宋体" w:cs="宋体"/>
          <w:b/>
          <w:szCs w:val="21"/>
          <w:highlight w:val="none"/>
        </w:rPr>
        <w:t>1.</w:t>
      </w:r>
      <w:r>
        <w:rPr>
          <w:rFonts w:hint="eastAsia" w:hAnsi="宋体"/>
          <w:b/>
          <w:szCs w:val="21"/>
          <w:highlight w:val="none"/>
        </w:rPr>
        <w:t>表中“投标总报价”应与商务部分“投标函”中“投标总</w:t>
      </w:r>
      <w:r>
        <w:rPr>
          <w:rFonts w:hAnsi="宋体"/>
          <w:b/>
          <w:szCs w:val="21"/>
          <w:highlight w:val="none"/>
        </w:rPr>
        <w:t>报</w:t>
      </w:r>
      <w:r>
        <w:rPr>
          <w:rFonts w:hint="eastAsia" w:hAnsi="宋体"/>
          <w:b/>
          <w:szCs w:val="21"/>
          <w:highlight w:val="none"/>
        </w:rPr>
        <w:t>价”一致</w:t>
      </w:r>
      <w:r>
        <w:rPr>
          <w:rFonts w:hint="eastAsia" w:ascii="宋体" w:cs="宋体"/>
          <w:b/>
          <w:szCs w:val="21"/>
          <w:highlight w:val="none"/>
        </w:rPr>
        <w:t>。</w:t>
      </w:r>
    </w:p>
    <w:p>
      <w:pPr>
        <w:pStyle w:val="7"/>
        <w:ind w:firstLine="422"/>
        <w:rPr>
          <w:b/>
          <w:szCs w:val="21"/>
          <w:highlight w:val="none"/>
        </w:rPr>
      </w:pPr>
      <w:r>
        <w:rPr>
          <w:rFonts w:hint="eastAsia"/>
          <w:b/>
          <w:szCs w:val="21"/>
          <w:highlight w:val="none"/>
        </w:rPr>
        <w:t>2. 本表应盖单位电子公章，法定代表人应法定代表人电子签名或电子签章。</w:t>
      </w:r>
    </w:p>
    <w:p>
      <w:pPr>
        <w:pStyle w:val="7"/>
        <w:rPr>
          <w:szCs w:val="21"/>
          <w:highlight w:val="none"/>
        </w:rPr>
      </w:pPr>
    </w:p>
    <w:p>
      <w:pPr>
        <w:spacing w:line="360" w:lineRule="auto"/>
        <w:ind w:firstLine="2" w:firstLineChars="1"/>
        <w:rPr>
          <w:rFonts w:ascii="宋体" w:hAnsi="宋体"/>
          <w:szCs w:val="21"/>
          <w:highlight w:val="none"/>
        </w:rPr>
      </w:pPr>
    </w:p>
    <w:p>
      <w:pPr>
        <w:spacing w:line="360" w:lineRule="auto"/>
        <w:ind w:firstLine="2" w:firstLineChars="1"/>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ascii="宋体" w:hAnsi="宋体"/>
          <w:b/>
          <w:szCs w:val="21"/>
          <w:highlight w:val="none"/>
        </w:rPr>
        <w:t>加</w:t>
      </w:r>
      <w:r>
        <w:rPr>
          <w:rFonts w:ascii="宋体" w:hAnsi="宋体"/>
          <w:b/>
          <w:szCs w:val="21"/>
          <w:highlight w:val="none"/>
        </w:rPr>
        <w:t>盖</w:t>
      </w:r>
      <w:r>
        <w:rPr>
          <w:rFonts w:hint="eastAsia" w:ascii="宋体" w:hAnsi="宋体"/>
          <w:b/>
          <w:szCs w:val="21"/>
          <w:highlight w:val="none"/>
        </w:rPr>
        <w:t>电子公章</w:t>
      </w:r>
      <w:r>
        <w:rPr>
          <w:rFonts w:ascii="宋体" w:hAnsi="宋体"/>
          <w:b/>
          <w:szCs w:val="21"/>
          <w:highlight w:val="none"/>
        </w:rPr>
        <w:t>）</w:t>
      </w:r>
    </w:p>
    <w:p>
      <w:pPr>
        <w:spacing w:line="360" w:lineRule="auto"/>
        <w:rPr>
          <w:rFonts w:ascii="宋体" w:hAnsi="宋体"/>
          <w:b/>
          <w:szCs w:val="21"/>
          <w:highlight w:val="none"/>
        </w:rPr>
      </w:pPr>
      <w:r>
        <w:rPr>
          <w:rFonts w:hint="eastAsia" w:ascii="宋体" w:hAnsi="宋体"/>
          <w:b/>
          <w:szCs w:val="21"/>
          <w:highlight w:val="none"/>
        </w:rPr>
        <w:t>法定代表人或其委托代理人（签名或电子签章）：</w:t>
      </w:r>
    </w:p>
    <w:p>
      <w:pPr>
        <w:pStyle w:val="14"/>
        <w:spacing w:line="360" w:lineRule="auto"/>
        <w:rPr>
          <w:rFonts w:ascii="Times New Roman" w:hAnsi="宋体"/>
          <w:b/>
          <w:sz w:val="24"/>
          <w:szCs w:val="24"/>
          <w:highlight w:val="none"/>
        </w:rPr>
      </w:pPr>
      <w:r>
        <w:rPr>
          <w:rFonts w:hAnsi="宋体"/>
          <w:b/>
          <w:sz w:val="24"/>
          <w:highlight w:val="none"/>
        </w:rPr>
        <w:t>年</w:t>
      </w:r>
      <w:r>
        <w:rPr>
          <w:rFonts w:hint="eastAsia" w:hAnsi="宋体"/>
          <w:b/>
          <w:sz w:val="24"/>
          <w:highlight w:val="none"/>
        </w:rPr>
        <w:t xml:space="preserve"> </w:t>
      </w:r>
      <w:r>
        <w:rPr>
          <w:rFonts w:hAnsi="宋体"/>
          <w:b/>
          <w:sz w:val="24"/>
          <w:highlight w:val="none"/>
        </w:rPr>
        <w:t>月</w:t>
      </w:r>
      <w:r>
        <w:rPr>
          <w:rFonts w:hint="eastAsia" w:hAnsi="宋体"/>
          <w:b/>
          <w:sz w:val="24"/>
          <w:highlight w:val="none"/>
        </w:rPr>
        <w:t xml:space="preserve"> </w:t>
      </w:r>
      <w:r>
        <w:rPr>
          <w:rFonts w:hAnsi="宋体"/>
          <w:b/>
          <w:sz w:val="24"/>
          <w:highlight w:val="none"/>
        </w:rPr>
        <w:t>日</w:t>
      </w:r>
    </w:p>
    <w:p>
      <w:pPr>
        <w:rPr>
          <w:rFonts w:ascii="Times New Roman" w:hAnsi="宋体"/>
          <w:sz w:val="24"/>
          <w:highlight w:val="none"/>
        </w:rPr>
      </w:pPr>
      <w:r>
        <w:rPr>
          <w:rFonts w:ascii="Times New Roman" w:hAnsi="宋体"/>
          <w:sz w:val="24"/>
          <w:highlight w:val="none"/>
        </w:rPr>
        <w:br w:type="page"/>
      </w:r>
    </w:p>
    <w:p>
      <w:pPr>
        <w:rPr>
          <w:rFonts w:ascii="Times New Roman" w:hAnsi="宋体"/>
          <w:sz w:val="24"/>
          <w:highlight w:val="none"/>
        </w:rPr>
        <w:sectPr>
          <w:headerReference r:id="rId7" w:type="default"/>
          <w:footerReference r:id="rId8" w:type="default"/>
          <w:pgSz w:w="11906" w:h="16838"/>
          <w:pgMar w:top="794" w:right="746" w:bottom="680" w:left="1134" w:header="720" w:footer="720" w:gutter="0"/>
          <w:cols w:space="720" w:num="1"/>
          <w:titlePg/>
          <w:docGrid w:type="lines" w:linePitch="331" w:charSpace="0"/>
        </w:sectPr>
      </w:pPr>
    </w:p>
    <w:p>
      <w:pPr>
        <w:pStyle w:val="4"/>
        <w:numPr>
          <w:ilvl w:val="0"/>
          <w:numId w:val="0"/>
        </w:numPr>
        <w:ind w:left="851"/>
        <w:jc w:val="center"/>
        <w:rPr>
          <w:rFonts w:ascii="宋体" w:hAnsi="宋体" w:eastAsia="宋体"/>
          <w:sz w:val="32"/>
          <w:szCs w:val="32"/>
          <w:highlight w:val="none"/>
        </w:rPr>
      </w:pPr>
      <w:r>
        <w:rPr>
          <w:rFonts w:hint="eastAsia" w:hAnsi="宋体" w:eastAsia="宋体"/>
          <w:sz w:val="32"/>
          <w:szCs w:val="32"/>
          <w:highlight w:val="none"/>
        </w:rPr>
        <w:t>（三）</w:t>
      </w:r>
      <w:r>
        <w:rPr>
          <w:rStyle w:val="68"/>
          <w:rFonts w:hint="eastAsia"/>
          <w:b w:val="0"/>
          <w:sz w:val="32"/>
          <w:szCs w:val="32"/>
          <w:highlight w:val="none"/>
        </w:rPr>
        <w:t>分项报价明细表</w:t>
      </w:r>
    </w:p>
    <w:p>
      <w:pPr>
        <w:pStyle w:val="14"/>
        <w:spacing w:line="360" w:lineRule="auto"/>
        <w:rPr>
          <w:rFonts w:hAnsi="宋体"/>
          <w:b/>
          <w:sz w:val="24"/>
          <w:szCs w:val="24"/>
          <w:highlight w:val="none"/>
        </w:rPr>
      </w:pPr>
      <w:r>
        <w:rPr>
          <w:rFonts w:hint="eastAsia" w:hAnsi="宋体"/>
          <w:b/>
          <w:sz w:val="24"/>
          <w:szCs w:val="24"/>
          <w:highlight w:val="none"/>
        </w:rPr>
        <w:t xml:space="preserve">项目名称：               </w:t>
      </w:r>
      <w:r>
        <w:rPr>
          <w:rFonts w:hAnsi="宋体"/>
          <w:b/>
          <w:sz w:val="24"/>
          <w:szCs w:val="24"/>
          <w:highlight w:val="none"/>
        </w:rPr>
        <w:t xml:space="preserve">                  </w:t>
      </w:r>
      <w:r>
        <w:rPr>
          <w:rFonts w:hint="eastAsia" w:hAnsi="宋体"/>
          <w:b/>
          <w:sz w:val="24"/>
          <w:szCs w:val="24"/>
          <w:highlight w:val="none"/>
        </w:rPr>
        <w:t xml:space="preserve">招标编号： </w:t>
      </w:r>
      <w:r>
        <w:rPr>
          <w:rFonts w:hAnsi="宋体"/>
          <w:b/>
          <w:sz w:val="24"/>
          <w:szCs w:val="24"/>
          <w:highlight w:val="none"/>
        </w:rPr>
        <w:t xml:space="preserve">       </w:t>
      </w:r>
      <w:r>
        <w:rPr>
          <w:rFonts w:hint="eastAsia" w:hAnsi="宋体"/>
          <w:b/>
          <w:sz w:val="24"/>
          <w:szCs w:val="24"/>
          <w:highlight w:val="none"/>
        </w:rPr>
        <w:t xml:space="preserve">     </w:t>
      </w:r>
      <w:r>
        <w:rPr>
          <w:rFonts w:hAnsi="宋体"/>
          <w:b/>
          <w:sz w:val="24"/>
          <w:szCs w:val="24"/>
          <w:highlight w:val="none"/>
        </w:rPr>
        <w:t xml:space="preserve"> </w:t>
      </w:r>
      <w:r>
        <w:rPr>
          <w:rFonts w:hint="eastAsia" w:hAnsi="宋体"/>
          <w:b/>
          <w:sz w:val="24"/>
          <w:szCs w:val="24"/>
          <w:highlight w:val="none"/>
        </w:rPr>
        <w:t>标包号：</w:t>
      </w:r>
    </w:p>
    <w:tbl>
      <w:tblPr>
        <w:tblStyle w:val="28"/>
        <w:tblW w:w="10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134"/>
        <w:gridCol w:w="1276"/>
        <w:gridCol w:w="1276"/>
        <w:gridCol w:w="1275"/>
        <w:gridCol w:w="851"/>
        <w:gridCol w:w="1134"/>
        <w:gridCol w:w="1276"/>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kern w:val="0"/>
                <w:szCs w:val="21"/>
                <w:highlight w:val="none"/>
              </w:rPr>
            </w:pPr>
            <w:r>
              <w:rPr>
                <w:rFonts w:ascii="宋体" w:hAnsi="宋体" w:eastAsia="宋体" w:cs="Times New Roman"/>
                <w:kern w:val="0"/>
                <w:szCs w:val="21"/>
                <w:highlight w:val="none"/>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kern w:val="0"/>
                <w:szCs w:val="21"/>
                <w:highlight w:val="none"/>
              </w:rPr>
            </w:pPr>
            <w:r>
              <w:rPr>
                <w:rFonts w:ascii="宋体" w:hAnsi="宋体" w:eastAsia="宋体" w:cs="Times New Roman"/>
                <w:kern w:val="0"/>
                <w:szCs w:val="21"/>
                <w:highlight w:val="none"/>
              </w:rPr>
              <w:t>货物名称</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kern w:val="0"/>
                <w:szCs w:val="21"/>
                <w:highlight w:val="none"/>
              </w:rPr>
            </w:pPr>
            <w:r>
              <w:rPr>
                <w:rFonts w:ascii="宋体" w:hAnsi="宋体" w:eastAsia="宋体" w:cs="Times New Roman"/>
                <w:kern w:val="0"/>
                <w:szCs w:val="21"/>
                <w:highlight w:val="none"/>
              </w:rPr>
              <w:t>品牌</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kern w:val="0"/>
                <w:szCs w:val="21"/>
                <w:highlight w:val="none"/>
              </w:rPr>
            </w:pPr>
            <w:r>
              <w:rPr>
                <w:rFonts w:ascii="宋体" w:hAnsi="宋体" w:eastAsia="宋体" w:cs="Times New Roman"/>
                <w:kern w:val="0"/>
                <w:szCs w:val="21"/>
                <w:highlight w:val="none"/>
              </w:rPr>
              <w:t>型号</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kern w:val="0"/>
                <w:szCs w:val="21"/>
                <w:highlight w:val="none"/>
              </w:rPr>
            </w:pPr>
            <w:r>
              <w:rPr>
                <w:rFonts w:hint="eastAsia" w:ascii="宋体" w:hAnsi="宋体" w:eastAsia="宋体" w:cs="Times New Roman"/>
                <w:kern w:val="0"/>
                <w:szCs w:val="21"/>
                <w:highlight w:val="none"/>
              </w:rPr>
              <w:t>货物参数</w:t>
            </w:r>
          </w:p>
        </w:tc>
        <w:tc>
          <w:tcPr>
            <w:tcW w:w="85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kern w:val="0"/>
                <w:szCs w:val="21"/>
                <w:highlight w:val="none"/>
              </w:rPr>
            </w:pPr>
            <w:r>
              <w:rPr>
                <w:rFonts w:ascii="宋体" w:hAnsi="宋体" w:eastAsia="宋体" w:cs="Times New Roman"/>
                <w:kern w:val="0"/>
                <w:szCs w:val="21"/>
                <w:highlight w:val="none"/>
              </w:rPr>
              <w:t>数量</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kern w:val="0"/>
                <w:szCs w:val="21"/>
                <w:highlight w:val="none"/>
              </w:rPr>
            </w:pPr>
            <w:r>
              <w:rPr>
                <w:rFonts w:ascii="宋体" w:hAnsi="宋体" w:eastAsia="宋体" w:cs="Times New Roman"/>
                <w:kern w:val="0"/>
                <w:szCs w:val="21"/>
                <w:highlight w:val="none"/>
              </w:rPr>
              <w:t>单位</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kern w:val="0"/>
                <w:szCs w:val="21"/>
                <w:highlight w:val="none"/>
              </w:rPr>
            </w:pPr>
            <w:r>
              <w:rPr>
                <w:rFonts w:ascii="宋体" w:hAnsi="宋体" w:eastAsia="宋体" w:cs="Times New Roman"/>
                <w:kern w:val="0"/>
                <w:szCs w:val="21"/>
                <w:highlight w:val="none"/>
              </w:rPr>
              <w:t>单价（</w:t>
            </w:r>
            <w:r>
              <w:rPr>
                <w:rFonts w:hint="eastAsia" w:ascii="宋体" w:hAnsi="宋体" w:eastAsia="宋体" w:cs="Times New Roman"/>
                <w:kern w:val="0"/>
                <w:szCs w:val="21"/>
                <w:highlight w:val="none"/>
              </w:rPr>
              <w:t>万</w:t>
            </w:r>
            <w:r>
              <w:rPr>
                <w:rFonts w:ascii="宋体" w:hAnsi="宋体" w:eastAsia="宋体" w:cs="Times New Roman"/>
                <w:kern w:val="0"/>
                <w:szCs w:val="21"/>
                <w:highlight w:val="none"/>
              </w:rPr>
              <w:t>元）</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kern w:val="0"/>
                <w:szCs w:val="21"/>
                <w:highlight w:val="none"/>
              </w:rPr>
            </w:pPr>
            <w:r>
              <w:rPr>
                <w:rFonts w:ascii="宋体" w:hAnsi="宋体" w:eastAsia="宋体" w:cs="Times New Roman"/>
                <w:kern w:val="0"/>
                <w:szCs w:val="21"/>
                <w:highlight w:val="none"/>
              </w:rPr>
              <w:t>合价（</w:t>
            </w:r>
            <w:r>
              <w:rPr>
                <w:rFonts w:hint="eastAsia" w:ascii="宋体" w:hAnsi="宋体" w:eastAsia="宋体" w:cs="Times New Roman"/>
                <w:kern w:val="0"/>
                <w:szCs w:val="21"/>
                <w:highlight w:val="none"/>
              </w:rPr>
              <w:t>万元</w:t>
            </w:r>
            <w:r>
              <w:rPr>
                <w:rFonts w:ascii="宋体" w:hAnsi="宋体" w:eastAsia="宋体" w:cs="Times New Roman"/>
                <w:kern w:val="0"/>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r>
              <w:rPr>
                <w:rFonts w:ascii="宋体" w:hAnsi="宋体" w:eastAsia="宋体" w:cs="Times New Roman"/>
                <w:kern w:val="0"/>
                <w:szCs w:val="21"/>
                <w:highlight w:val="none"/>
              </w:rPr>
              <w:t>1</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r>
              <w:rPr>
                <w:rFonts w:ascii="宋体" w:hAnsi="宋体" w:eastAsia="宋体" w:cs="Times New Roman"/>
                <w:kern w:val="0"/>
                <w:szCs w:val="21"/>
                <w:highlight w:val="none"/>
              </w:rPr>
              <w:t>2</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r>
              <w:rPr>
                <w:rFonts w:ascii="宋体" w:hAnsi="宋体" w:eastAsia="宋体" w:cs="Times New Roman"/>
                <w:kern w:val="0"/>
                <w:szCs w:val="21"/>
                <w:highlight w:val="none"/>
              </w:rPr>
              <w:t>3</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r>
              <w:rPr>
                <w:rFonts w:ascii="宋体" w:hAnsi="宋体" w:eastAsia="宋体" w:cs="Times New Roman"/>
                <w:kern w:val="0"/>
                <w:szCs w:val="21"/>
                <w:highlight w:val="none"/>
              </w:rPr>
              <w:t>4</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r>
              <w:rPr>
                <w:rFonts w:ascii="宋体" w:hAnsi="宋体" w:eastAsia="宋体" w:cs="Times New Roman"/>
                <w:kern w:val="0"/>
                <w:szCs w:val="21"/>
                <w:highlight w:val="none"/>
              </w:rPr>
              <w:t>5</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r>
              <w:rPr>
                <w:rFonts w:ascii="宋体" w:hAnsi="宋体" w:eastAsia="宋体" w:cs="Times New Roman"/>
                <w:kern w:val="0"/>
                <w:szCs w:val="21"/>
                <w:highlight w:val="none"/>
              </w:rPr>
              <w:t>6</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r>
              <w:rPr>
                <w:rFonts w:ascii="宋体" w:hAnsi="宋体" w:eastAsia="宋体" w:cs="Times New Roman"/>
                <w:kern w:val="0"/>
                <w:szCs w:val="21"/>
                <w:highlight w:val="none"/>
              </w:rPr>
              <w:t>7</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r>
              <w:rPr>
                <w:rFonts w:ascii="宋体" w:hAnsi="宋体" w:eastAsia="宋体" w:cs="Times New Roman"/>
                <w:kern w:val="0"/>
                <w:szCs w:val="21"/>
                <w:highlight w:val="none"/>
              </w:rPr>
              <w:t>8</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4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r>
              <w:rPr>
                <w:rFonts w:hint="eastAsia" w:ascii="宋体" w:hAnsi="宋体" w:eastAsia="宋体" w:cs="Times New Roman"/>
                <w:kern w:val="0"/>
                <w:szCs w:val="21"/>
                <w:highlight w:val="none"/>
              </w:rPr>
              <w:t>...</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Times New Roman"/>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c>
          <w:tcPr>
            <w:tcW w:w="1275" w:type="dxa"/>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7688" w:type="dxa"/>
            <w:gridSpan w:val="7"/>
            <w:tcBorders>
              <w:top w:val="single" w:color="auto" w:sz="4" w:space="0"/>
              <w:left w:val="single" w:color="auto" w:sz="4" w:space="0"/>
              <w:bottom w:val="single" w:color="auto" w:sz="4" w:space="0"/>
              <w:right w:val="single" w:color="auto" w:sz="4" w:space="0"/>
            </w:tcBorders>
          </w:tcPr>
          <w:p>
            <w:pPr>
              <w:widowControl/>
              <w:spacing w:line="360" w:lineRule="auto"/>
              <w:jc w:val="center"/>
              <w:rPr>
                <w:rFonts w:ascii="宋体" w:hAnsi="宋体" w:eastAsia="宋体" w:cs="Times New Roman"/>
                <w:kern w:val="0"/>
                <w:szCs w:val="21"/>
                <w:highlight w:val="none"/>
              </w:rPr>
            </w:pPr>
            <w:r>
              <w:rPr>
                <w:rFonts w:ascii="宋体" w:hAnsi="宋体" w:eastAsia="宋体" w:cs="Times New Roman"/>
                <w:kern w:val="0"/>
                <w:szCs w:val="21"/>
                <w:highlight w:val="none"/>
              </w:rPr>
              <w:t>总价</w:t>
            </w:r>
          </w:p>
        </w:tc>
        <w:tc>
          <w:tcPr>
            <w:tcW w:w="2551" w:type="dxa"/>
            <w:gridSpan w:val="2"/>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宋体" w:hAnsi="宋体" w:eastAsia="宋体" w:cs="Times New Roman"/>
                <w:kern w:val="0"/>
                <w:szCs w:val="21"/>
                <w:highlight w:val="none"/>
              </w:rPr>
            </w:pPr>
          </w:p>
        </w:tc>
      </w:tr>
    </w:tbl>
    <w:p>
      <w:pPr>
        <w:spacing w:line="360" w:lineRule="auto"/>
        <w:rPr>
          <w:rFonts w:ascii="宋体" w:hAnsi="宋体"/>
          <w:szCs w:val="21"/>
          <w:highlight w:val="none"/>
        </w:rPr>
      </w:pPr>
      <w:r>
        <w:rPr>
          <w:rFonts w:hint="eastAsia" w:ascii="宋体" w:hAnsi="宋体"/>
          <w:szCs w:val="21"/>
          <w:highlight w:val="none"/>
        </w:rPr>
        <w:t>注：“总价”</w:t>
      </w:r>
      <w:r>
        <w:rPr>
          <w:rFonts w:ascii="宋体" w:hAnsi="宋体"/>
          <w:szCs w:val="21"/>
          <w:highlight w:val="none"/>
        </w:rPr>
        <w:t>项价格应与</w:t>
      </w:r>
      <w:r>
        <w:rPr>
          <w:rFonts w:hint="eastAsia" w:ascii="宋体" w:hAnsi="宋体"/>
          <w:szCs w:val="21"/>
          <w:highlight w:val="none"/>
        </w:rPr>
        <w:t>开标一览表、投标函中投标总价一致</w:t>
      </w:r>
      <w:r>
        <w:rPr>
          <w:rFonts w:ascii="宋体" w:hAnsi="宋体"/>
          <w:szCs w:val="21"/>
          <w:highlight w:val="none"/>
        </w:rPr>
        <w:t>。</w:t>
      </w:r>
    </w:p>
    <w:p>
      <w:pPr>
        <w:spacing w:line="360" w:lineRule="auto"/>
        <w:ind w:firstLine="1859" w:firstLineChars="882"/>
        <w:rPr>
          <w:rFonts w:ascii="宋体" w:hAnsi="宋体"/>
          <w:b/>
          <w:szCs w:val="21"/>
          <w:highlight w:val="none"/>
        </w:rPr>
      </w:pPr>
    </w:p>
    <w:p>
      <w:pPr>
        <w:spacing w:line="360" w:lineRule="auto"/>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ascii="宋体" w:hAnsi="宋体"/>
          <w:b/>
          <w:szCs w:val="21"/>
          <w:highlight w:val="none"/>
        </w:rPr>
        <w:t>加</w:t>
      </w:r>
      <w:r>
        <w:rPr>
          <w:rFonts w:ascii="宋体" w:hAnsi="宋体"/>
          <w:b/>
          <w:szCs w:val="21"/>
          <w:highlight w:val="none"/>
        </w:rPr>
        <w:t>盖</w:t>
      </w:r>
      <w:r>
        <w:rPr>
          <w:rFonts w:hint="eastAsia" w:ascii="宋体" w:hAnsi="宋体"/>
          <w:b/>
          <w:szCs w:val="21"/>
          <w:highlight w:val="none"/>
        </w:rPr>
        <w:t>电子公章</w:t>
      </w:r>
      <w:r>
        <w:rPr>
          <w:rFonts w:ascii="宋体" w:hAnsi="宋体"/>
          <w:b/>
          <w:szCs w:val="21"/>
          <w:highlight w:val="none"/>
        </w:rPr>
        <w:t>）</w:t>
      </w:r>
    </w:p>
    <w:p>
      <w:pPr>
        <w:spacing w:line="360" w:lineRule="auto"/>
        <w:rPr>
          <w:rFonts w:ascii="宋体" w:hAnsi="宋体"/>
          <w:b/>
          <w:szCs w:val="21"/>
          <w:highlight w:val="none"/>
        </w:rPr>
      </w:pPr>
      <w:r>
        <w:rPr>
          <w:rFonts w:hint="eastAsia" w:ascii="宋体" w:hAnsi="宋体"/>
          <w:b/>
          <w:szCs w:val="21"/>
          <w:highlight w:val="none"/>
        </w:rPr>
        <w:t>法定代表人或其委托代理人（签名或电子签章）：</w:t>
      </w:r>
    </w:p>
    <w:p>
      <w:pPr>
        <w:pStyle w:val="14"/>
        <w:spacing w:line="360" w:lineRule="auto"/>
        <w:rPr>
          <w:rFonts w:hAnsi="宋体"/>
          <w:highlight w:val="none"/>
        </w:rPr>
        <w:sectPr>
          <w:pgSz w:w="11906" w:h="16838"/>
          <w:pgMar w:top="1134" w:right="851" w:bottom="1304" w:left="1134" w:header="680" w:footer="680" w:gutter="0"/>
          <w:cols w:space="720" w:num="1"/>
          <w:titlePg/>
          <w:docGrid w:type="lines" w:linePitch="331" w:charSpace="0"/>
        </w:sectPr>
      </w:pPr>
      <w:r>
        <w:rPr>
          <w:rFonts w:hAnsi="宋体"/>
          <w:b/>
          <w:szCs w:val="21"/>
          <w:highlight w:val="none"/>
        </w:rPr>
        <w:t>年</w:t>
      </w:r>
      <w:r>
        <w:rPr>
          <w:rFonts w:hint="eastAsia" w:hAnsi="宋体"/>
          <w:b/>
          <w:szCs w:val="21"/>
          <w:highlight w:val="none"/>
        </w:rPr>
        <w:t xml:space="preserve"> </w:t>
      </w:r>
      <w:r>
        <w:rPr>
          <w:rFonts w:hAnsi="宋体"/>
          <w:b/>
          <w:szCs w:val="21"/>
          <w:highlight w:val="none"/>
        </w:rPr>
        <w:t>月</w:t>
      </w:r>
      <w:r>
        <w:rPr>
          <w:rFonts w:hint="eastAsia" w:hAnsi="宋体"/>
          <w:b/>
          <w:szCs w:val="21"/>
          <w:highlight w:val="none"/>
        </w:rPr>
        <w:t xml:space="preserve"> </w:t>
      </w:r>
      <w:r>
        <w:rPr>
          <w:rFonts w:hAnsi="宋体"/>
          <w:b/>
          <w:szCs w:val="21"/>
          <w:highlight w:val="none"/>
        </w:rPr>
        <w:t>日</w:t>
      </w:r>
      <w:bookmarkEnd w:id="206"/>
    </w:p>
    <w:p>
      <w:pPr>
        <w:spacing w:line="360" w:lineRule="auto"/>
        <w:jc w:val="center"/>
        <w:outlineLvl w:val="2"/>
        <w:rPr>
          <w:sz w:val="32"/>
          <w:szCs w:val="40"/>
          <w:highlight w:val="none"/>
        </w:rPr>
      </w:pPr>
      <w:r>
        <w:rPr>
          <w:rFonts w:hint="eastAsia" w:ascii="宋体"/>
          <w:b/>
          <w:kern w:val="0"/>
          <w:sz w:val="32"/>
          <w:szCs w:val="32"/>
          <w:highlight w:val="none"/>
        </w:rPr>
        <w:t>（四）</w:t>
      </w:r>
      <w:r>
        <w:rPr>
          <w:rFonts w:hint="eastAsia" w:ascii="宋体" w:hAnsi="宋体"/>
          <w:b/>
          <w:spacing w:val="6"/>
          <w:sz w:val="32"/>
          <w:szCs w:val="32"/>
          <w:highlight w:val="none"/>
        </w:rPr>
        <w:t>中小企业声明函</w:t>
      </w:r>
      <w:r>
        <w:rPr>
          <w:rFonts w:hint="eastAsia"/>
          <w:sz w:val="30"/>
          <w:szCs w:val="30"/>
          <w:highlight w:val="none"/>
        </w:rPr>
        <w:t>（若适用）</w:t>
      </w:r>
    </w:p>
    <w:p>
      <w:pPr>
        <w:snapToGrid w:val="0"/>
        <w:spacing w:before="55" w:line="360" w:lineRule="auto"/>
        <w:ind w:right="415" w:firstLine="480" w:firstLineChars="200"/>
        <w:rPr>
          <w:rFonts w:ascii="宋体" w:hAnsi="宋体" w:cs="宋体"/>
          <w:sz w:val="24"/>
          <w:highlight w:val="none"/>
          <w:lang w:val="zh-CN" w:bidi="zh-CN"/>
        </w:rPr>
      </w:pPr>
    </w:p>
    <w:p>
      <w:pPr>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本公司</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郑重声明，根据《政府采购促进中小企业发展管理办法》（财库﹝2020﹞46 号）的规定，本公司</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参加</w:t>
      </w:r>
      <w:r>
        <w:rPr>
          <w:rFonts w:hint="eastAsia" w:ascii="宋体" w:hAnsi="宋体" w:eastAsia="宋体" w:cs="宋体"/>
          <w:bCs/>
          <w:szCs w:val="21"/>
          <w:highlight w:val="none"/>
          <w:u w:val="single"/>
        </w:rPr>
        <w:t>（单位名称）</w:t>
      </w:r>
      <w:r>
        <w:rPr>
          <w:rFonts w:hint="eastAsia" w:ascii="宋体" w:hAnsi="宋体" w:eastAsia="宋体" w:cs="宋体"/>
          <w:bCs/>
          <w:szCs w:val="21"/>
          <w:highlight w:val="none"/>
        </w:rPr>
        <w:t>的</w:t>
      </w:r>
      <w:r>
        <w:rPr>
          <w:rFonts w:hint="eastAsia" w:ascii="宋体" w:hAnsi="宋体" w:eastAsia="宋体" w:cs="宋体"/>
          <w:bCs/>
          <w:szCs w:val="21"/>
          <w:highlight w:val="none"/>
          <w:u w:val="single"/>
        </w:rPr>
        <w:t>（项目名称）（标包）</w:t>
      </w:r>
      <w:r>
        <w:rPr>
          <w:rFonts w:hint="eastAsia" w:ascii="宋体" w:hAnsi="宋体" w:eastAsia="宋体" w:cs="宋体"/>
          <w:bCs/>
          <w:szCs w:val="21"/>
          <w:highlight w:val="none"/>
        </w:rPr>
        <w:t>采购活动，提供的货物全部由符合政策要求的中小企业制造。相关企业（含联合体中的中小企业、签订分包意向协议的中小企业）的具体情况如下：</w:t>
      </w:r>
    </w:p>
    <w:p>
      <w:pPr>
        <w:numPr>
          <w:ilvl w:val="0"/>
          <w:numId w:val="12"/>
        </w:numPr>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u w:val="single"/>
        </w:rPr>
        <w:t xml:space="preserve">（标的名称） </w:t>
      </w:r>
      <w:r>
        <w:rPr>
          <w:rFonts w:hint="eastAsia" w:ascii="宋体" w:hAnsi="宋体" w:eastAsia="宋体" w:cs="宋体"/>
          <w:bCs/>
          <w:szCs w:val="21"/>
          <w:highlight w:val="none"/>
        </w:rPr>
        <w:t>，属于</w:t>
      </w:r>
      <w:r>
        <w:rPr>
          <w:rFonts w:hint="eastAsia" w:ascii="宋体" w:hAnsi="宋体" w:eastAsia="宋体" w:cs="宋体"/>
          <w:bCs/>
          <w:szCs w:val="21"/>
          <w:highlight w:val="none"/>
          <w:u w:val="single"/>
        </w:rPr>
        <w:t>（采购文件中明确的所属行业）</w:t>
      </w:r>
      <w:r>
        <w:rPr>
          <w:rFonts w:hint="eastAsia" w:ascii="宋体" w:hAnsi="宋体" w:eastAsia="宋体" w:cs="宋体"/>
          <w:bCs/>
          <w:szCs w:val="21"/>
          <w:highlight w:val="none"/>
        </w:rPr>
        <w:t>行业；制造商为</w:t>
      </w:r>
      <w:r>
        <w:rPr>
          <w:rFonts w:hint="eastAsia" w:ascii="宋体" w:hAnsi="宋体" w:eastAsia="宋体" w:cs="宋体"/>
          <w:bCs/>
          <w:szCs w:val="21"/>
          <w:highlight w:val="none"/>
          <w:u w:val="single"/>
        </w:rPr>
        <w:t>（企业名称）</w:t>
      </w:r>
      <w:r>
        <w:rPr>
          <w:rFonts w:hint="eastAsia" w:ascii="宋体" w:hAnsi="宋体" w:eastAsia="宋体" w:cs="宋体"/>
          <w:bCs/>
          <w:szCs w:val="21"/>
          <w:highlight w:val="none"/>
        </w:rPr>
        <w:t>，从业人员</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人，营业收入为</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万元，资产总额为</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万元，属于（中型企业、小型企业、微型企业）；</w:t>
      </w:r>
    </w:p>
    <w:p>
      <w:pPr>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2.</w:t>
      </w:r>
      <w:r>
        <w:rPr>
          <w:rFonts w:hint="eastAsia" w:ascii="宋体" w:hAnsi="宋体" w:eastAsia="宋体" w:cs="宋体"/>
          <w:bCs/>
          <w:szCs w:val="21"/>
          <w:highlight w:val="none"/>
          <w:u w:val="single"/>
        </w:rPr>
        <w:t xml:space="preserve"> （标的名称） </w:t>
      </w:r>
      <w:r>
        <w:rPr>
          <w:rFonts w:hint="eastAsia" w:ascii="宋体" w:hAnsi="宋体" w:eastAsia="宋体" w:cs="宋体"/>
          <w:bCs/>
          <w:szCs w:val="21"/>
          <w:highlight w:val="none"/>
        </w:rPr>
        <w:t>，属于</w:t>
      </w:r>
      <w:r>
        <w:rPr>
          <w:rFonts w:hint="eastAsia" w:ascii="宋体" w:hAnsi="宋体" w:eastAsia="宋体" w:cs="宋体"/>
          <w:bCs/>
          <w:szCs w:val="21"/>
          <w:highlight w:val="none"/>
          <w:u w:val="single"/>
        </w:rPr>
        <w:t>（采购文件中明确的所属行业）</w:t>
      </w:r>
      <w:r>
        <w:rPr>
          <w:rFonts w:hint="eastAsia" w:ascii="宋体" w:hAnsi="宋体" w:eastAsia="宋体" w:cs="宋体"/>
          <w:bCs/>
          <w:szCs w:val="21"/>
          <w:highlight w:val="none"/>
        </w:rPr>
        <w:t>行业；制造商为</w:t>
      </w:r>
      <w:r>
        <w:rPr>
          <w:rFonts w:hint="eastAsia" w:ascii="宋体" w:hAnsi="宋体" w:eastAsia="宋体" w:cs="宋体"/>
          <w:bCs/>
          <w:szCs w:val="21"/>
          <w:highlight w:val="none"/>
          <w:u w:val="single"/>
        </w:rPr>
        <w:t>（企业名称）</w:t>
      </w:r>
      <w:r>
        <w:rPr>
          <w:rFonts w:hint="eastAsia" w:ascii="宋体" w:hAnsi="宋体" w:eastAsia="宋体" w:cs="宋体"/>
          <w:bCs/>
          <w:szCs w:val="21"/>
          <w:highlight w:val="none"/>
        </w:rPr>
        <w:t>，从业人员</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人，营业收入为</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万元，资产总额为</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万元，属于（中型企业、小型企业、微型企业）；</w:t>
      </w:r>
    </w:p>
    <w:p>
      <w:pPr>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w:t>
      </w:r>
    </w:p>
    <w:p>
      <w:pPr>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以上企业，不属于大企业的分支机构，不存在控股股东为大企业的情形，也不存在与大企业的负责人为同一人的情形。</w:t>
      </w:r>
    </w:p>
    <w:p>
      <w:pPr>
        <w:snapToGrid w:val="0"/>
        <w:spacing w:line="360" w:lineRule="auto"/>
        <w:ind w:right="375" w:firstLine="420" w:firstLineChars="200"/>
        <w:rPr>
          <w:rFonts w:ascii="宋体" w:hAnsi="宋体" w:eastAsia="宋体" w:cs="宋体"/>
          <w:sz w:val="24"/>
          <w:highlight w:val="none"/>
          <w:lang w:val="zh-CN" w:bidi="zh-CN"/>
        </w:rPr>
      </w:pPr>
      <w:r>
        <w:rPr>
          <w:rFonts w:hint="eastAsia" w:ascii="宋体" w:hAnsi="宋体" w:eastAsia="宋体" w:cs="宋体"/>
          <w:bCs/>
          <w:szCs w:val="21"/>
          <w:highlight w:val="none"/>
        </w:rPr>
        <w:t>本企业对上述声明内容的真实性负责。如有虚假，将依法承担相应责任。</w:t>
      </w:r>
    </w:p>
    <w:p>
      <w:pPr>
        <w:spacing w:before="35" w:line="360" w:lineRule="auto"/>
        <w:ind w:left="220" w:right="2166"/>
        <w:rPr>
          <w:rFonts w:ascii="宋体" w:hAnsi="宋体" w:eastAsia="宋体" w:cs="宋体"/>
          <w:sz w:val="24"/>
          <w:highlight w:val="none"/>
          <w:lang w:val="zh-CN" w:bidi="zh-CN"/>
        </w:rPr>
      </w:pPr>
    </w:p>
    <w:p>
      <w:pPr>
        <w:spacing w:line="360" w:lineRule="auto"/>
        <w:ind w:firstLine="211" w:firstLineChars="100"/>
        <w:rPr>
          <w:rFonts w:ascii="宋体" w:hAnsi="宋体" w:eastAsia="宋体" w:cs="宋体"/>
          <w:b/>
          <w:bCs/>
          <w:szCs w:val="21"/>
          <w:highlight w:val="none"/>
          <w:lang w:bidi="zh-CN"/>
        </w:rPr>
      </w:pPr>
      <w:r>
        <w:rPr>
          <w:rFonts w:hint="eastAsia" w:ascii="宋体" w:hAnsi="宋体" w:eastAsia="宋体" w:cs="宋体"/>
          <w:b/>
          <w:bCs/>
          <w:szCs w:val="21"/>
          <w:highlight w:val="none"/>
          <w:lang w:bidi="zh-CN"/>
        </w:rPr>
        <w:t>投标人：（加盖电子公章）</w:t>
      </w:r>
    </w:p>
    <w:p>
      <w:pPr>
        <w:spacing w:line="360" w:lineRule="auto"/>
        <w:ind w:firstLine="211" w:firstLineChars="100"/>
        <w:rPr>
          <w:rFonts w:ascii="宋体" w:hAnsi="宋体" w:eastAsia="宋体" w:cs="宋体"/>
          <w:b/>
          <w:bCs/>
          <w:szCs w:val="21"/>
          <w:highlight w:val="none"/>
          <w:lang w:bidi="zh-CN"/>
        </w:rPr>
      </w:pPr>
      <w:r>
        <w:rPr>
          <w:rFonts w:hint="eastAsia" w:ascii="宋体" w:hAnsi="宋体" w:eastAsia="宋体" w:cs="宋体"/>
          <w:b/>
          <w:bCs/>
          <w:szCs w:val="21"/>
          <w:highlight w:val="none"/>
          <w:lang w:bidi="zh-CN"/>
        </w:rPr>
        <w:t>法定代表人或其委托代理人（签名或电子签章）：</w:t>
      </w:r>
    </w:p>
    <w:p>
      <w:pPr>
        <w:spacing w:line="360" w:lineRule="auto"/>
        <w:ind w:firstLine="211" w:firstLineChars="100"/>
        <w:rPr>
          <w:rFonts w:ascii="宋体" w:hAnsi="宋体" w:eastAsia="宋体" w:cs="宋体"/>
          <w:b/>
          <w:bCs/>
          <w:szCs w:val="21"/>
          <w:highlight w:val="none"/>
          <w:lang w:bidi="zh-CN"/>
        </w:rPr>
      </w:pPr>
      <w:r>
        <w:rPr>
          <w:rFonts w:hint="eastAsia" w:ascii="宋体" w:hAnsi="宋体" w:eastAsia="宋体" w:cs="宋体"/>
          <w:b/>
          <w:bCs/>
          <w:szCs w:val="21"/>
          <w:highlight w:val="none"/>
          <w:lang w:bidi="zh-CN"/>
        </w:rPr>
        <w:t>年 月 日</w:t>
      </w:r>
    </w:p>
    <w:p>
      <w:pPr>
        <w:spacing w:line="360" w:lineRule="auto"/>
        <w:rPr>
          <w:rFonts w:ascii="宋体" w:hAnsi="宋体" w:eastAsia="宋体" w:cs="宋体"/>
          <w:sz w:val="24"/>
          <w:highlight w:val="none"/>
        </w:rPr>
      </w:pPr>
    </w:p>
    <w:p>
      <w:pPr>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注：1.若投标产品出自符合国家规定的小型、微型企业，投标人必须提供对应货物/服务的报价，否则在评审时评标委员将不考虑对该小、微企业的相关优惠，由此产生的评标风险，由投标人承担。投标人应对提交的中小企业声明函的真实性负责。投标人若为大型企业，则不需提供本声明函，但须承诺本公司为非中小企业，格式自拟并盖章确认。</w:t>
      </w:r>
    </w:p>
    <w:p>
      <w:pPr>
        <w:spacing w:line="360" w:lineRule="auto"/>
        <w:ind w:firstLine="411" w:firstLineChars="196"/>
        <w:rPr>
          <w:rFonts w:ascii="宋体" w:hAnsi="宋体" w:eastAsia="宋体" w:cs="宋体"/>
          <w:bCs/>
          <w:szCs w:val="21"/>
          <w:highlight w:val="none"/>
        </w:rPr>
      </w:pPr>
      <w:r>
        <w:rPr>
          <w:rFonts w:hint="eastAsia" w:ascii="宋体" w:hAnsi="宋体" w:eastAsia="宋体" w:cs="宋体"/>
          <w:bCs/>
          <w:szCs w:val="21"/>
          <w:highlight w:val="none"/>
        </w:rPr>
        <w:t>2.根据《政府采购促进中小企业发展管理办法》（财库﹝2020﹞46 号）的规定，享受价格扣除政策的小型、微型企业必须同时满足以下两个条件：</w:t>
      </w:r>
    </w:p>
    <w:p>
      <w:pPr>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（1）符合小型、微型企业划分标准（按照“关于印发中小企业划型标准规定的通知”（工信部联企业【2020】46号）的规定划分）。</w:t>
      </w:r>
    </w:p>
    <w:p>
      <w:pPr>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（2）提供本企业制造的货物、承担的工程或者服务，或者提供其他小型、微型企业制造的货物。</w:t>
      </w:r>
    </w:p>
    <w:p>
      <w:pPr>
        <w:spacing w:line="360" w:lineRule="auto"/>
        <w:ind w:firstLine="422" w:firstLineChars="200"/>
        <w:rPr>
          <w:rFonts w:ascii="宋体" w:hAnsi="宋体" w:eastAsia="宋体" w:cs="宋体"/>
          <w:b/>
          <w:szCs w:val="21"/>
          <w:highlight w:val="none"/>
        </w:rPr>
      </w:pPr>
      <w:r>
        <w:rPr>
          <w:rFonts w:hint="eastAsia" w:ascii="宋体" w:hAnsi="宋体" w:eastAsia="宋体" w:cs="宋体"/>
          <w:b/>
          <w:szCs w:val="21"/>
          <w:highlight w:val="none"/>
        </w:rPr>
        <w:t>3.本采购项目所属行业为《工信部联企业〔2011〕300号》所列的</w:t>
      </w:r>
      <w:r>
        <w:rPr>
          <w:rFonts w:hint="eastAsia" w:ascii="宋体" w:hAnsi="宋体" w:eastAsia="宋体" w:cs="宋体"/>
          <w:b/>
          <w:szCs w:val="21"/>
          <w:highlight w:val="none"/>
          <w:u w:val="single"/>
        </w:rPr>
        <w:t>工业行业</w:t>
      </w:r>
      <w:r>
        <w:rPr>
          <w:rFonts w:hint="eastAsia" w:ascii="宋体" w:hAnsi="宋体" w:eastAsia="宋体" w:cs="宋体"/>
          <w:b/>
          <w:szCs w:val="21"/>
          <w:highlight w:val="none"/>
        </w:rPr>
        <w:t>。</w:t>
      </w:r>
    </w:p>
    <w:p>
      <w:pPr>
        <w:jc w:val="center"/>
        <w:rPr>
          <w:rFonts w:ascii="仿宋_GB2312" w:eastAsia="仿宋_GB2312"/>
          <w:spacing w:val="6"/>
          <w:sz w:val="30"/>
          <w:szCs w:val="30"/>
          <w:highlight w:val="none"/>
        </w:rPr>
      </w:pPr>
      <w:r>
        <w:rPr>
          <w:rFonts w:hint="eastAsia" w:ascii="宋体" w:hAnsi="宋体" w:eastAsia="宋体" w:cs="宋体"/>
          <w:b/>
          <w:szCs w:val="21"/>
          <w:highlight w:val="none"/>
        </w:rPr>
        <w:br w:type="page"/>
      </w:r>
      <w:r>
        <w:rPr>
          <w:rFonts w:hint="eastAsia" w:ascii="宋体" w:hAnsi="宋体"/>
          <w:b/>
          <w:spacing w:val="6"/>
          <w:sz w:val="32"/>
          <w:szCs w:val="32"/>
          <w:highlight w:val="none"/>
        </w:rPr>
        <w:t>（五）残疾人福利性单位声明函</w:t>
      </w:r>
      <w:r>
        <w:rPr>
          <w:rFonts w:hint="eastAsia" w:ascii="宋体" w:hAnsi="宋体" w:cs="宋体"/>
          <w:spacing w:val="6"/>
          <w:sz w:val="30"/>
          <w:szCs w:val="30"/>
          <w:highlight w:val="none"/>
        </w:rPr>
        <w:t>（若适用）</w:t>
      </w:r>
    </w:p>
    <w:p>
      <w:pPr>
        <w:spacing w:line="360" w:lineRule="auto"/>
        <w:ind w:firstLine="444" w:firstLineChars="200"/>
        <w:rPr>
          <w:rFonts w:ascii="宋体" w:hAnsi="宋体"/>
          <w:spacing w:val="6"/>
          <w:szCs w:val="21"/>
          <w:highlight w:val="none"/>
        </w:rPr>
      </w:pPr>
      <w:r>
        <w:rPr>
          <w:rFonts w:hint="eastAsia" w:ascii="宋体" w:hAnsi="宋体"/>
          <w:spacing w:val="6"/>
          <w:szCs w:val="21"/>
          <w:highlight w:val="none"/>
        </w:rPr>
        <w:t>本单位郑重声明，根据《财政部 民政部 中国残疾人联合会关于促进残疾人就业政府采购政策的通知》（财库</w:t>
      </w:r>
      <w:r>
        <w:rPr>
          <w:rFonts w:hint="eastAsia" w:ascii="宋体" w:hAnsi="宋体"/>
          <w:szCs w:val="21"/>
          <w:highlight w:val="none"/>
        </w:rPr>
        <w:t>〔2017〕 141</w:t>
      </w:r>
      <w:r>
        <w:rPr>
          <w:rFonts w:hint="eastAsia" w:ascii="宋体" w:hAnsi="宋体"/>
          <w:spacing w:val="6"/>
          <w:szCs w:val="21"/>
          <w:highlight w:val="none"/>
        </w:rPr>
        <w:t>号）的规定，本单位为符合条件的残疾人福利性单位，且本单位参加______单位的______项目（</w:t>
      </w:r>
      <w:r>
        <w:rPr>
          <w:rFonts w:hint="eastAsia" w:ascii="宋体" w:hAnsi="宋体"/>
          <w:spacing w:val="6"/>
          <w:szCs w:val="21"/>
          <w:highlight w:val="none"/>
          <w:u w:val="single"/>
        </w:rPr>
        <w:t xml:space="preserve">  </w:t>
      </w:r>
      <w:r>
        <w:rPr>
          <w:rFonts w:hint="eastAsia" w:ascii="宋体" w:hAnsi="宋体" w:eastAsia="宋体" w:cs="宋体"/>
          <w:bCs/>
          <w:szCs w:val="21"/>
          <w:highlight w:val="none"/>
          <w:u w:val="single"/>
        </w:rPr>
        <w:t>标包</w:t>
      </w:r>
      <w:r>
        <w:rPr>
          <w:rFonts w:hint="eastAsia" w:ascii="宋体" w:hAnsi="宋体"/>
          <w:spacing w:val="6"/>
          <w:szCs w:val="21"/>
          <w:highlight w:val="none"/>
        </w:rPr>
        <w:t>）采购活动提供本单位制造的货物（由本单位承担工程/提供服务），或者提供其他残疾人福利性单位制造的货物（不包括使用非残疾人福利性单位注册商标的货物）。</w:t>
      </w:r>
    </w:p>
    <w:p>
      <w:pPr>
        <w:spacing w:line="360" w:lineRule="auto"/>
        <w:ind w:firstLine="444" w:firstLineChars="200"/>
        <w:rPr>
          <w:rFonts w:ascii="宋体" w:hAnsi="宋体"/>
          <w:spacing w:val="6"/>
          <w:szCs w:val="21"/>
          <w:highlight w:val="none"/>
        </w:rPr>
      </w:pPr>
      <w:r>
        <w:rPr>
          <w:rFonts w:hint="eastAsia" w:ascii="宋体" w:hAnsi="宋体"/>
          <w:spacing w:val="6"/>
          <w:szCs w:val="21"/>
          <w:highlight w:val="none"/>
        </w:rPr>
        <w:t>本单位对上述声明的真实性负责。如有虚假，将依法承担相应责任。</w:t>
      </w:r>
    </w:p>
    <w:p>
      <w:pPr>
        <w:spacing w:line="360" w:lineRule="auto"/>
        <w:ind w:firstLine="444" w:firstLineChars="200"/>
        <w:rPr>
          <w:rFonts w:ascii="宋体" w:hAnsi="宋体"/>
          <w:spacing w:val="6"/>
          <w:szCs w:val="21"/>
          <w:highlight w:val="none"/>
        </w:rPr>
      </w:pPr>
    </w:p>
    <w:p>
      <w:pPr>
        <w:spacing w:line="360" w:lineRule="auto"/>
        <w:ind w:firstLine="422" w:firstLineChars="200"/>
        <w:rPr>
          <w:rFonts w:ascii="宋体" w:hAnsi="宋体"/>
          <w:spacing w:val="6"/>
          <w:szCs w:val="21"/>
          <w:highlight w:val="none"/>
        </w:rPr>
      </w:pPr>
      <w:r>
        <w:rPr>
          <w:rFonts w:ascii="宋体" w:hAnsi="宋体"/>
          <w:b/>
          <w:szCs w:val="21"/>
          <w:highlight w:val="none"/>
        </w:rPr>
        <w:t>注</w:t>
      </w:r>
      <w:r>
        <w:rPr>
          <w:rFonts w:hint="eastAsia" w:ascii="宋体" w:hAnsi="宋体"/>
          <w:b/>
          <w:szCs w:val="21"/>
          <w:highlight w:val="none"/>
        </w:rPr>
        <w:t>：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pPr>
        <w:spacing w:line="360" w:lineRule="auto"/>
        <w:ind w:firstLine="211" w:firstLineChars="100"/>
        <w:rPr>
          <w:rFonts w:ascii="宋体" w:hAnsi="宋体" w:eastAsia="宋体" w:cs="宋体"/>
          <w:b/>
          <w:bCs/>
          <w:szCs w:val="21"/>
          <w:highlight w:val="none"/>
          <w:lang w:bidi="zh-CN"/>
        </w:rPr>
      </w:pPr>
    </w:p>
    <w:p>
      <w:pPr>
        <w:spacing w:line="360" w:lineRule="auto"/>
        <w:ind w:firstLine="211" w:firstLineChars="100"/>
        <w:rPr>
          <w:rFonts w:ascii="宋体" w:hAnsi="宋体" w:eastAsia="宋体" w:cs="宋体"/>
          <w:b/>
          <w:bCs/>
          <w:szCs w:val="21"/>
          <w:highlight w:val="none"/>
          <w:lang w:bidi="zh-CN"/>
        </w:rPr>
      </w:pPr>
    </w:p>
    <w:p>
      <w:pPr>
        <w:spacing w:line="360" w:lineRule="auto"/>
        <w:ind w:firstLine="211" w:firstLineChars="100"/>
        <w:rPr>
          <w:rFonts w:ascii="宋体" w:hAnsi="宋体" w:eastAsia="宋体" w:cs="宋体"/>
          <w:b/>
          <w:bCs/>
          <w:szCs w:val="21"/>
          <w:highlight w:val="none"/>
          <w:lang w:bidi="zh-CN"/>
        </w:rPr>
      </w:pPr>
      <w:r>
        <w:rPr>
          <w:rFonts w:hint="eastAsia" w:ascii="宋体" w:hAnsi="宋体" w:eastAsia="宋体" w:cs="宋体"/>
          <w:b/>
          <w:bCs/>
          <w:szCs w:val="21"/>
          <w:highlight w:val="none"/>
          <w:lang w:bidi="zh-CN"/>
        </w:rPr>
        <w:t>投标人：（加盖电子公章）</w:t>
      </w:r>
    </w:p>
    <w:p>
      <w:pPr>
        <w:spacing w:line="360" w:lineRule="auto"/>
        <w:ind w:firstLine="211" w:firstLineChars="100"/>
        <w:rPr>
          <w:rFonts w:ascii="宋体" w:hAnsi="宋体" w:eastAsia="宋体" w:cs="宋体"/>
          <w:b/>
          <w:bCs/>
          <w:szCs w:val="21"/>
          <w:highlight w:val="none"/>
          <w:lang w:bidi="zh-CN"/>
        </w:rPr>
      </w:pPr>
      <w:r>
        <w:rPr>
          <w:rFonts w:hint="eastAsia" w:ascii="宋体" w:hAnsi="宋体" w:eastAsia="宋体" w:cs="宋体"/>
          <w:b/>
          <w:bCs/>
          <w:szCs w:val="21"/>
          <w:highlight w:val="none"/>
          <w:lang w:bidi="zh-CN"/>
        </w:rPr>
        <w:t>法定代表人或其委托代理人（签名或电子签章）：</w:t>
      </w:r>
    </w:p>
    <w:p>
      <w:pPr>
        <w:tabs>
          <w:tab w:val="left" w:pos="4860"/>
        </w:tabs>
        <w:spacing w:line="360" w:lineRule="auto"/>
        <w:ind w:right="1560" w:firstLine="211" w:firstLineChars="100"/>
        <w:rPr>
          <w:rFonts w:ascii="仿宋_GB2312" w:eastAsia="仿宋_GB2312"/>
          <w:spacing w:val="6"/>
          <w:szCs w:val="21"/>
          <w:highlight w:val="none"/>
        </w:rPr>
      </w:pPr>
      <w:r>
        <w:rPr>
          <w:rFonts w:hint="eastAsia" w:ascii="宋体" w:hAnsi="宋体" w:eastAsia="宋体" w:cs="宋体"/>
          <w:b/>
          <w:bCs/>
          <w:szCs w:val="21"/>
          <w:highlight w:val="none"/>
          <w:lang w:bidi="zh-CN"/>
        </w:rPr>
        <w:t>年 月 日</w:t>
      </w:r>
    </w:p>
    <w:p>
      <w:pPr>
        <w:spacing w:line="360" w:lineRule="auto"/>
        <w:rPr>
          <w:highlight w:val="none"/>
        </w:rPr>
      </w:pPr>
    </w:p>
    <w:p>
      <w:pPr>
        <w:spacing w:line="360" w:lineRule="auto"/>
        <w:rPr>
          <w:highlight w:val="none"/>
        </w:rPr>
      </w:pPr>
    </w:p>
    <w:p>
      <w:pPr>
        <w:widowControl/>
        <w:spacing w:line="360" w:lineRule="auto"/>
        <w:rPr>
          <w:rFonts w:ascii="宋体" w:hAnsi="宋体"/>
          <w:b/>
          <w:sz w:val="24"/>
          <w:highlight w:val="none"/>
        </w:rPr>
      </w:pPr>
      <w:r>
        <w:rPr>
          <w:rFonts w:ascii="宋体" w:hAnsi="宋体"/>
          <w:b/>
          <w:sz w:val="24"/>
          <w:highlight w:val="none"/>
        </w:rPr>
        <w:br w:type="page"/>
      </w:r>
    </w:p>
    <w:p>
      <w:pPr>
        <w:pStyle w:val="4"/>
        <w:numPr>
          <w:ilvl w:val="2"/>
          <w:numId w:val="0"/>
        </w:numPr>
        <w:jc w:val="center"/>
        <w:rPr>
          <w:rFonts w:ascii="Times New Roman" w:hAnsi="Times New Roman" w:eastAsia="宋体" w:cs="Times New Roman"/>
          <w:kern w:val="2"/>
          <w:sz w:val="32"/>
          <w:szCs w:val="32"/>
          <w:highlight w:val="none"/>
        </w:rPr>
      </w:pPr>
      <w:r>
        <w:rPr>
          <w:rFonts w:hint="eastAsia" w:ascii="Times New Roman" w:hAnsi="Times New Roman" w:eastAsia="宋体" w:cs="Times New Roman"/>
          <w:kern w:val="2"/>
          <w:sz w:val="32"/>
          <w:szCs w:val="32"/>
          <w:highlight w:val="none"/>
        </w:rPr>
        <w:t>（六）省级以上监狱管理局、戒毒管理局（含新疆生产建设兵团）出具的属于监狱企业的证明文件（若适用）</w:t>
      </w:r>
    </w:p>
    <w:p>
      <w:pPr>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监狱企业参加政府采购活动时，应当提供由省级以上监狱管理局、戒毒管理局（含新疆生产建设兵团）出具的属于监狱企业的证明文件。</w:t>
      </w:r>
    </w:p>
    <w:p>
      <w:pPr>
        <w:spacing w:line="360" w:lineRule="auto"/>
        <w:ind w:firstLine="420" w:firstLineChars="200"/>
        <w:rPr>
          <w:rFonts w:ascii="宋体" w:hAnsi="宋体" w:eastAsia="宋体" w:cs="宋体"/>
          <w:bCs/>
          <w:szCs w:val="21"/>
          <w:highlight w:val="none"/>
        </w:rPr>
      </w:pPr>
    </w:p>
    <w:p>
      <w:pPr>
        <w:spacing w:line="360" w:lineRule="auto"/>
        <w:ind w:firstLine="420" w:firstLineChars="200"/>
        <w:rPr>
          <w:rFonts w:ascii="宋体" w:hAnsi="宋体"/>
          <w:szCs w:val="21"/>
          <w:highlight w:val="none"/>
        </w:rPr>
      </w:pPr>
      <w:r>
        <w:rPr>
          <w:rFonts w:hint="eastAsia" w:ascii="宋体" w:hAnsi="宋体" w:eastAsia="宋体" w:cs="宋体"/>
          <w:bCs/>
          <w:szCs w:val="21"/>
          <w:highlight w:val="none"/>
        </w:rPr>
        <w:t>注：1、符合《财政部 司法部关于政府采购支持监狱企业发展有关问题的通知》（财库[2014]68号）价格扣减条件的供应商须提交，符合条件的监狱企业在参加政府采购活动时，应当按《财政部 司法部关于政府采购支持监狱企业发展有关问题的通知》（财库[2014]68号）提供规定的《监狱企业证明文件》，并对证明文件的真实性负责。</w:t>
      </w:r>
    </w:p>
    <w:p>
      <w:pPr>
        <w:spacing w:line="360" w:lineRule="auto"/>
        <w:ind w:firstLine="211" w:firstLineChars="100"/>
        <w:rPr>
          <w:rFonts w:ascii="宋体" w:hAnsi="宋体" w:eastAsia="宋体" w:cs="宋体"/>
          <w:b/>
          <w:bCs/>
          <w:szCs w:val="21"/>
          <w:highlight w:val="none"/>
          <w:lang w:bidi="zh-CN"/>
        </w:rPr>
      </w:pPr>
    </w:p>
    <w:p>
      <w:pPr>
        <w:spacing w:line="360" w:lineRule="auto"/>
        <w:ind w:firstLine="211" w:firstLineChars="100"/>
        <w:rPr>
          <w:rFonts w:ascii="宋体" w:hAnsi="宋体" w:eastAsia="宋体" w:cs="宋体"/>
          <w:b/>
          <w:bCs/>
          <w:szCs w:val="21"/>
          <w:highlight w:val="none"/>
          <w:lang w:bidi="zh-CN"/>
        </w:rPr>
      </w:pPr>
      <w:r>
        <w:rPr>
          <w:rFonts w:hint="eastAsia" w:ascii="宋体" w:hAnsi="宋体" w:eastAsia="宋体" w:cs="宋体"/>
          <w:b/>
          <w:bCs/>
          <w:szCs w:val="21"/>
          <w:highlight w:val="none"/>
          <w:lang w:bidi="zh-CN"/>
        </w:rPr>
        <w:t>投标人：（加盖电子公章）</w:t>
      </w:r>
    </w:p>
    <w:p>
      <w:pPr>
        <w:spacing w:line="360" w:lineRule="auto"/>
        <w:ind w:firstLine="211" w:firstLineChars="100"/>
        <w:rPr>
          <w:rFonts w:ascii="宋体" w:hAnsi="宋体" w:eastAsia="宋体" w:cs="宋体"/>
          <w:b/>
          <w:bCs/>
          <w:szCs w:val="21"/>
          <w:highlight w:val="none"/>
          <w:lang w:bidi="zh-CN"/>
        </w:rPr>
      </w:pPr>
      <w:r>
        <w:rPr>
          <w:rFonts w:hint="eastAsia" w:ascii="宋体" w:hAnsi="宋体" w:eastAsia="宋体" w:cs="宋体"/>
          <w:b/>
          <w:bCs/>
          <w:szCs w:val="21"/>
          <w:highlight w:val="none"/>
          <w:lang w:bidi="zh-CN"/>
        </w:rPr>
        <w:t>法定代表人或其委托代理人（签名或电子签章）：</w:t>
      </w:r>
    </w:p>
    <w:p>
      <w:pPr>
        <w:widowControl/>
        <w:spacing w:line="360" w:lineRule="auto"/>
        <w:ind w:firstLine="211" w:firstLineChars="100"/>
        <w:jc w:val="left"/>
        <w:rPr>
          <w:rFonts w:ascii="宋体" w:hAnsi="宋体"/>
          <w:b/>
          <w:sz w:val="28"/>
          <w:szCs w:val="28"/>
          <w:highlight w:val="none"/>
        </w:rPr>
      </w:pPr>
      <w:r>
        <w:rPr>
          <w:rFonts w:hint="eastAsia" w:ascii="宋体" w:hAnsi="宋体" w:eastAsia="宋体" w:cs="宋体"/>
          <w:b/>
          <w:bCs/>
          <w:szCs w:val="21"/>
          <w:highlight w:val="none"/>
          <w:lang w:bidi="zh-CN"/>
        </w:rPr>
        <w:t>年 月 日</w:t>
      </w:r>
    </w:p>
    <w:p>
      <w:pPr>
        <w:rPr>
          <w:rFonts w:ascii="宋体" w:hAnsi="宋体"/>
          <w:b/>
          <w:sz w:val="28"/>
          <w:szCs w:val="28"/>
          <w:highlight w:val="none"/>
        </w:rPr>
      </w:pPr>
      <w:r>
        <w:rPr>
          <w:rFonts w:ascii="宋体" w:hAnsi="宋体"/>
          <w:b/>
          <w:sz w:val="28"/>
          <w:szCs w:val="28"/>
          <w:highlight w:val="none"/>
        </w:rPr>
        <w:br w:type="page"/>
      </w:r>
    </w:p>
    <w:p>
      <w:pPr>
        <w:pStyle w:val="4"/>
        <w:numPr>
          <w:ilvl w:val="2"/>
          <w:numId w:val="0"/>
        </w:numPr>
        <w:tabs>
          <w:tab w:val="clear" w:pos="1588"/>
        </w:tabs>
        <w:jc w:val="center"/>
        <w:rPr>
          <w:rFonts w:ascii="宋体" w:hAnsi="宋体" w:eastAsia="宋体" w:cs="宋体"/>
          <w:bCs/>
          <w:sz w:val="32"/>
          <w:szCs w:val="32"/>
          <w:highlight w:val="none"/>
        </w:rPr>
      </w:pPr>
      <w:r>
        <w:rPr>
          <w:rFonts w:hint="eastAsia" w:ascii="宋体" w:hAnsi="宋体" w:eastAsia="宋体" w:cs="宋体"/>
          <w:bCs/>
          <w:sz w:val="32"/>
          <w:szCs w:val="32"/>
          <w:highlight w:val="none"/>
        </w:rPr>
        <w:t>（</w:t>
      </w:r>
      <w:r>
        <w:rPr>
          <w:rFonts w:hint="eastAsia" w:ascii="宋体" w:hAnsi="宋体" w:cs="宋体"/>
          <w:bCs/>
          <w:sz w:val="32"/>
          <w:szCs w:val="32"/>
          <w:highlight w:val="none"/>
        </w:rPr>
        <w:t>七</w:t>
      </w:r>
      <w:r>
        <w:rPr>
          <w:rFonts w:hint="eastAsia" w:ascii="宋体" w:hAnsi="宋体" w:eastAsia="宋体" w:cs="宋体"/>
          <w:bCs/>
          <w:sz w:val="32"/>
          <w:szCs w:val="32"/>
          <w:highlight w:val="none"/>
        </w:rPr>
        <w:t>）构成投标文件</w:t>
      </w:r>
      <w:r>
        <w:rPr>
          <w:rFonts w:hint="eastAsia" w:ascii="宋体" w:hAnsi="宋体" w:cs="宋体"/>
          <w:bCs/>
          <w:sz w:val="32"/>
          <w:szCs w:val="32"/>
          <w:highlight w:val="none"/>
        </w:rPr>
        <w:t>商务</w:t>
      </w:r>
      <w:r>
        <w:rPr>
          <w:rFonts w:hint="eastAsia" w:ascii="宋体" w:hAnsi="宋体" w:eastAsia="宋体" w:cs="宋体"/>
          <w:bCs/>
          <w:sz w:val="32"/>
          <w:szCs w:val="32"/>
          <w:highlight w:val="none"/>
        </w:rPr>
        <w:t>部分的其他资料</w:t>
      </w:r>
    </w:p>
    <w:p>
      <w:pPr>
        <w:widowControl/>
        <w:spacing w:line="360" w:lineRule="auto"/>
        <w:jc w:val="left"/>
        <w:rPr>
          <w:rFonts w:ascii="宋体" w:hAnsi="宋体"/>
          <w:b/>
          <w:sz w:val="28"/>
          <w:szCs w:val="28"/>
          <w:highlight w:val="none"/>
        </w:rPr>
      </w:pPr>
      <w:r>
        <w:rPr>
          <w:rFonts w:ascii="宋体" w:hAnsi="宋体"/>
          <w:b/>
          <w:sz w:val="28"/>
          <w:szCs w:val="28"/>
          <w:highlight w:val="none"/>
        </w:rPr>
        <w:br w:type="page"/>
      </w:r>
    </w:p>
    <w:p>
      <w:pPr>
        <w:pStyle w:val="3"/>
        <w:numPr>
          <w:ilvl w:val="0"/>
          <w:numId w:val="0"/>
        </w:numPr>
        <w:jc w:val="center"/>
        <w:rPr>
          <w:rFonts w:ascii="宋体" w:hAnsi="宋体" w:eastAsia="宋体"/>
          <w:sz w:val="32"/>
          <w:szCs w:val="32"/>
          <w:highlight w:val="none"/>
        </w:rPr>
      </w:pPr>
      <w:bookmarkStart w:id="221" w:name="_Toc1470"/>
      <w:bookmarkStart w:id="222" w:name="_Toc9000"/>
      <w:bookmarkStart w:id="223" w:name="_Toc496122212"/>
      <w:bookmarkStart w:id="224" w:name="_Toc32092"/>
      <w:bookmarkStart w:id="225" w:name="_Toc168573770"/>
      <w:bookmarkStart w:id="226" w:name="_Toc17112"/>
      <w:bookmarkStart w:id="227" w:name="_Toc12366"/>
      <w:r>
        <w:rPr>
          <w:rFonts w:hint="eastAsia" w:ascii="宋体" w:hAnsi="宋体" w:eastAsia="宋体"/>
          <w:sz w:val="32"/>
          <w:szCs w:val="32"/>
          <w:highlight w:val="none"/>
        </w:rPr>
        <w:t>三、技术部分</w:t>
      </w:r>
      <w:bookmarkEnd w:id="221"/>
      <w:bookmarkEnd w:id="222"/>
      <w:bookmarkEnd w:id="223"/>
      <w:bookmarkEnd w:id="224"/>
      <w:bookmarkEnd w:id="225"/>
      <w:bookmarkEnd w:id="226"/>
      <w:bookmarkEnd w:id="227"/>
    </w:p>
    <w:p>
      <w:pPr>
        <w:pStyle w:val="14"/>
        <w:spacing w:line="360" w:lineRule="auto"/>
        <w:jc w:val="center"/>
        <w:outlineLvl w:val="2"/>
        <w:rPr>
          <w:rFonts w:hAnsi="宋体" w:eastAsia="宋体"/>
          <w:sz w:val="32"/>
          <w:szCs w:val="32"/>
          <w:highlight w:val="none"/>
        </w:rPr>
      </w:pPr>
      <w:bookmarkStart w:id="228" w:name="_Toc496122213"/>
      <w:bookmarkStart w:id="229" w:name="_Toc213141099"/>
      <w:r>
        <w:rPr>
          <w:rFonts w:hint="eastAsia" w:hAnsi="宋体" w:eastAsia="宋体"/>
          <w:sz w:val="32"/>
          <w:szCs w:val="32"/>
          <w:highlight w:val="none"/>
        </w:rPr>
        <w:t>（一）技术规格偏离表</w:t>
      </w:r>
      <w:bookmarkEnd w:id="228"/>
      <w:bookmarkEnd w:id="229"/>
    </w:p>
    <w:p>
      <w:pPr>
        <w:spacing w:line="360" w:lineRule="auto"/>
        <w:ind w:firstLine="240" w:firstLineChars="100"/>
        <w:rPr>
          <w:rFonts w:ascii="宋体" w:hAnsi="宋体"/>
          <w:sz w:val="24"/>
          <w:highlight w:val="none"/>
        </w:rPr>
      </w:pPr>
      <w:r>
        <w:rPr>
          <w:rFonts w:hint="eastAsia" w:ascii="宋体" w:hAnsi="宋体"/>
          <w:sz w:val="24"/>
          <w:highlight w:val="none"/>
        </w:rPr>
        <w:t>请按投标产品的实际技术参数，逐条对应招标文件的“</w:t>
      </w:r>
      <w:r>
        <w:rPr>
          <w:rFonts w:hint="eastAsia" w:ascii="宋体" w:hAnsi="宋体"/>
          <w:b/>
          <w:bCs/>
          <w:sz w:val="24"/>
          <w:highlight w:val="none"/>
        </w:rPr>
        <w:t>项目需求及技术要求</w:t>
      </w:r>
      <w:r>
        <w:rPr>
          <w:rFonts w:hint="eastAsia" w:ascii="宋体" w:hAnsi="宋体"/>
          <w:sz w:val="24"/>
          <w:highlight w:val="none"/>
        </w:rPr>
        <w:t>”中要求的技术规范认真填写该表，该表不能作为投标产品的技术文件。</w:t>
      </w:r>
    </w:p>
    <w:p>
      <w:pPr>
        <w:spacing w:line="360" w:lineRule="auto"/>
        <w:ind w:firstLine="210" w:firstLineChars="100"/>
        <w:rPr>
          <w:rFonts w:ascii="宋体" w:hAnsi="宋体"/>
          <w:szCs w:val="20"/>
          <w:highlight w:val="none"/>
        </w:rPr>
      </w:pPr>
    </w:p>
    <w:p>
      <w:pPr>
        <w:spacing w:line="360" w:lineRule="auto"/>
        <w:rPr>
          <w:rFonts w:ascii="宋体" w:hAnsi="宋体"/>
          <w:b/>
          <w:sz w:val="24"/>
          <w:highlight w:val="none"/>
        </w:rPr>
      </w:pPr>
      <w:r>
        <w:rPr>
          <w:rFonts w:hint="eastAsia" w:ascii="宋体" w:hAnsi="宋体"/>
          <w:b/>
          <w:sz w:val="24"/>
          <w:highlight w:val="none"/>
        </w:rPr>
        <w:t xml:space="preserve">项目名称：           </w:t>
      </w:r>
      <w:r>
        <w:rPr>
          <w:rFonts w:ascii="宋体" w:hAnsi="宋体"/>
          <w:b/>
          <w:sz w:val="24"/>
          <w:highlight w:val="none"/>
        </w:rPr>
        <w:t xml:space="preserve">                                   </w:t>
      </w:r>
      <w:r>
        <w:rPr>
          <w:rFonts w:hint="eastAsia" w:ascii="宋体" w:hAnsi="宋体"/>
          <w:b/>
          <w:sz w:val="24"/>
          <w:highlight w:val="none"/>
        </w:rPr>
        <w:t xml:space="preserve">招标编号： </w:t>
      </w:r>
      <w:r>
        <w:rPr>
          <w:rFonts w:ascii="宋体" w:hAnsi="宋体"/>
          <w:b/>
          <w:sz w:val="24"/>
          <w:highlight w:val="none"/>
        </w:rPr>
        <w:t xml:space="preserve">     </w:t>
      </w:r>
      <w:r>
        <w:rPr>
          <w:rFonts w:hint="eastAsia" w:ascii="宋体" w:hAnsi="宋体"/>
          <w:b/>
          <w:sz w:val="24"/>
          <w:highlight w:val="none"/>
        </w:rPr>
        <w:t>标包号：</w:t>
      </w:r>
    </w:p>
    <w:tbl>
      <w:tblPr>
        <w:tblStyle w:val="28"/>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899"/>
        <w:gridCol w:w="2131"/>
        <w:gridCol w:w="1906"/>
        <w:gridCol w:w="1136"/>
        <w:gridCol w:w="1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1008" w:type="dxa"/>
            <w:vAlign w:val="center"/>
          </w:tcPr>
          <w:p>
            <w:pPr>
              <w:widowControl/>
              <w:spacing w:line="276" w:lineRule="auto"/>
              <w:jc w:val="center"/>
              <w:rPr>
                <w:rFonts w:ascii="宋体" w:hAnsi="宋体" w:eastAsia="宋体" w:cs="Times New Roman"/>
                <w:b/>
                <w:kern w:val="0"/>
                <w:sz w:val="20"/>
                <w:szCs w:val="21"/>
                <w:highlight w:val="none"/>
              </w:rPr>
            </w:pPr>
            <w:r>
              <w:rPr>
                <w:rFonts w:hint="eastAsia" w:ascii="宋体" w:hAnsi="宋体" w:eastAsia="宋体" w:cs="Times New Roman"/>
                <w:b/>
                <w:kern w:val="0"/>
                <w:sz w:val="20"/>
                <w:szCs w:val="21"/>
                <w:highlight w:val="none"/>
              </w:rPr>
              <w:t>序号</w:t>
            </w:r>
          </w:p>
        </w:tc>
        <w:tc>
          <w:tcPr>
            <w:tcW w:w="1899" w:type="dxa"/>
            <w:vAlign w:val="center"/>
          </w:tcPr>
          <w:p>
            <w:pPr>
              <w:widowControl/>
              <w:spacing w:line="276" w:lineRule="auto"/>
              <w:jc w:val="center"/>
              <w:rPr>
                <w:rFonts w:ascii="宋体" w:hAnsi="宋体" w:eastAsia="宋体" w:cs="Times New Roman"/>
                <w:b/>
                <w:kern w:val="0"/>
                <w:sz w:val="20"/>
                <w:szCs w:val="21"/>
                <w:highlight w:val="none"/>
              </w:rPr>
            </w:pPr>
            <w:r>
              <w:rPr>
                <w:rFonts w:hint="eastAsia" w:ascii="宋体" w:hAnsi="宋体" w:eastAsia="宋体" w:cs="Times New Roman"/>
                <w:b/>
                <w:kern w:val="0"/>
                <w:sz w:val="20"/>
                <w:szCs w:val="21"/>
                <w:highlight w:val="none"/>
              </w:rPr>
              <w:t>技术参数名称</w:t>
            </w:r>
          </w:p>
        </w:tc>
        <w:tc>
          <w:tcPr>
            <w:tcW w:w="2131" w:type="dxa"/>
            <w:vAlign w:val="center"/>
          </w:tcPr>
          <w:p>
            <w:pPr>
              <w:widowControl/>
              <w:spacing w:line="276" w:lineRule="auto"/>
              <w:jc w:val="center"/>
              <w:rPr>
                <w:rFonts w:ascii="宋体" w:hAnsi="宋体" w:eastAsia="宋体" w:cs="Times New Roman"/>
                <w:b/>
                <w:kern w:val="0"/>
                <w:sz w:val="20"/>
                <w:szCs w:val="21"/>
                <w:highlight w:val="none"/>
              </w:rPr>
            </w:pPr>
            <w:r>
              <w:rPr>
                <w:rFonts w:hint="eastAsia" w:ascii="宋体" w:hAnsi="宋体" w:eastAsia="宋体" w:cs="Times New Roman"/>
                <w:b/>
                <w:kern w:val="0"/>
                <w:sz w:val="20"/>
                <w:szCs w:val="21"/>
                <w:highlight w:val="none"/>
              </w:rPr>
              <w:t>招标文件产品</w:t>
            </w:r>
            <w:r>
              <w:rPr>
                <w:rFonts w:hint="eastAsia" w:ascii="宋体" w:hAnsi="宋体" w:eastAsia="宋体" w:cs="Times New Roman"/>
                <w:b/>
                <w:bCs/>
                <w:kern w:val="0"/>
                <w:sz w:val="20"/>
                <w:szCs w:val="21"/>
                <w:highlight w:val="none"/>
              </w:rPr>
              <w:t>配置、规格或详细性能要求</w:t>
            </w:r>
          </w:p>
        </w:tc>
        <w:tc>
          <w:tcPr>
            <w:tcW w:w="1906" w:type="dxa"/>
            <w:vAlign w:val="center"/>
          </w:tcPr>
          <w:p>
            <w:pPr>
              <w:widowControl/>
              <w:spacing w:line="276" w:lineRule="auto"/>
              <w:jc w:val="center"/>
              <w:rPr>
                <w:rFonts w:ascii="宋体" w:hAnsi="宋体" w:eastAsia="宋体" w:cs="Times New Roman"/>
                <w:b/>
                <w:kern w:val="0"/>
                <w:sz w:val="20"/>
                <w:szCs w:val="21"/>
                <w:highlight w:val="none"/>
              </w:rPr>
            </w:pPr>
            <w:r>
              <w:rPr>
                <w:rFonts w:ascii="宋体" w:hAnsi="宋体" w:eastAsia="宋体" w:cs="Times New Roman"/>
                <w:b/>
                <w:kern w:val="0"/>
                <w:sz w:val="20"/>
                <w:szCs w:val="21"/>
                <w:highlight w:val="none"/>
              </w:rPr>
              <w:t>投标</w:t>
            </w:r>
            <w:r>
              <w:rPr>
                <w:rFonts w:hint="eastAsia" w:ascii="宋体" w:hAnsi="宋体" w:eastAsia="宋体" w:cs="Times New Roman"/>
                <w:b/>
                <w:kern w:val="0"/>
                <w:sz w:val="20"/>
                <w:szCs w:val="21"/>
                <w:highlight w:val="none"/>
              </w:rPr>
              <w:t>产品</w:t>
            </w:r>
            <w:r>
              <w:rPr>
                <w:rFonts w:hint="eastAsia" w:ascii="宋体" w:hAnsi="宋体" w:eastAsia="宋体" w:cs="宋体"/>
                <w:b/>
                <w:bCs/>
                <w:kern w:val="0"/>
                <w:sz w:val="20"/>
                <w:szCs w:val="21"/>
                <w:highlight w:val="none"/>
              </w:rPr>
              <w:t>配置、规格或详细性能</w:t>
            </w:r>
          </w:p>
        </w:tc>
        <w:tc>
          <w:tcPr>
            <w:tcW w:w="1136" w:type="dxa"/>
            <w:vAlign w:val="center"/>
          </w:tcPr>
          <w:p>
            <w:pPr>
              <w:widowControl/>
              <w:spacing w:line="276" w:lineRule="auto"/>
              <w:jc w:val="center"/>
              <w:rPr>
                <w:rFonts w:ascii="宋体" w:hAnsi="宋体" w:eastAsia="宋体" w:cs="Times New Roman"/>
                <w:b/>
                <w:kern w:val="0"/>
                <w:sz w:val="20"/>
                <w:szCs w:val="21"/>
                <w:highlight w:val="none"/>
              </w:rPr>
            </w:pPr>
            <w:r>
              <w:rPr>
                <w:rFonts w:hint="eastAsia" w:ascii="宋体" w:hAnsi="宋体" w:eastAsia="宋体" w:cs="Times New Roman"/>
                <w:b/>
                <w:kern w:val="0"/>
                <w:sz w:val="20"/>
                <w:szCs w:val="21"/>
                <w:highlight w:val="none"/>
              </w:rPr>
              <w:t>偏离</w:t>
            </w:r>
          </w:p>
        </w:tc>
        <w:tc>
          <w:tcPr>
            <w:tcW w:w="1149" w:type="dxa"/>
            <w:vAlign w:val="center"/>
          </w:tcPr>
          <w:p>
            <w:pPr>
              <w:widowControl/>
              <w:spacing w:line="276" w:lineRule="auto"/>
              <w:ind w:right="71" w:rightChars="34"/>
              <w:jc w:val="center"/>
              <w:rPr>
                <w:rFonts w:ascii="宋体" w:hAnsi="宋体" w:eastAsia="宋体" w:cs="Times New Roman"/>
                <w:b/>
                <w:kern w:val="0"/>
                <w:sz w:val="20"/>
                <w:szCs w:val="21"/>
                <w:highlight w:val="none"/>
              </w:rPr>
            </w:pPr>
            <w:r>
              <w:rPr>
                <w:rFonts w:hint="eastAsia" w:ascii="宋体" w:hAnsi="宋体" w:eastAsia="宋体" w:cs="Times New Roman"/>
                <w:b/>
                <w:bCs/>
                <w:kern w:val="0"/>
                <w:sz w:val="20"/>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008" w:type="dxa"/>
            <w:vAlign w:val="center"/>
          </w:tcPr>
          <w:p>
            <w:pPr>
              <w:widowControl/>
              <w:jc w:val="center"/>
              <w:rPr>
                <w:rFonts w:ascii="宋体" w:hAnsi="宋体" w:eastAsia="宋体" w:cs="Times New Roman"/>
                <w:b/>
                <w:kern w:val="0"/>
                <w:sz w:val="20"/>
                <w:szCs w:val="21"/>
                <w:highlight w:val="none"/>
              </w:rPr>
            </w:pPr>
          </w:p>
        </w:tc>
        <w:tc>
          <w:tcPr>
            <w:tcW w:w="1899" w:type="dxa"/>
            <w:vAlign w:val="center"/>
          </w:tcPr>
          <w:p>
            <w:pPr>
              <w:widowControl/>
              <w:jc w:val="center"/>
              <w:rPr>
                <w:rFonts w:ascii="宋体" w:hAnsi="宋体" w:eastAsia="宋体" w:cs="Times New Roman"/>
                <w:b/>
                <w:kern w:val="0"/>
                <w:sz w:val="20"/>
                <w:szCs w:val="21"/>
                <w:highlight w:val="none"/>
              </w:rPr>
            </w:pPr>
          </w:p>
        </w:tc>
        <w:tc>
          <w:tcPr>
            <w:tcW w:w="2131" w:type="dxa"/>
            <w:vAlign w:val="center"/>
          </w:tcPr>
          <w:p>
            <w:pPr>
              <w:widowControl/>
              <w:jc w:val="center"/>
              <w:rPr>
                <w:rFonts w:ascii="宋体" w:hAnsi="宋体" w:eastAsia="宋体" w:cs="Times New Roman"/>
                <w:b/>
                <w:kern w:val="0"/>
                <w:sz w:val="20"/>
                <w:szCs w:val="21"/>
                <w:highlight w:val="none"/>
              </w:rPr>
            </w:pPr>
          </w:p>
        </w:tc>
        <w:tc>
          <w:tcPr>
            <w:tcW w:w="1906" w:type="dxa"/>
            <w:vAlign w:val="center"/>
          </w:tcPr>
          <w:p>
            <w:pPr>
              <w:widowControl/>
              <w:jc w:val="center"/>
              <w:rPr>
                <w:rFonts w:ascii="宋体" w:hAnsi="宋体" w:eastAsia="宋体" w:cs="Times New Roman"/>
                <w:b/>
                <w:kern w:val="0"/>
                <w:sz w:val="20"/>
                <w:szCs w:val="21"/>
                <w:highlight w:val="none"/>
              </w:rPr>
            </w:pPr>
          </w:p>
        </w:tc>
        <w:tc>
          <w:tcPr>
            <w:tcW w:w="1136" w:type="dxa"/>
            <w:vAlign w:val="center"/>
          </w:tcPr>
          <w:p>
            <w:pPr>
              <w:widowControl/>
              <w:jc w:val="center"/>
              <w:rPr>
                <w:rFonts w:ascii="宋体" w:hAnsi="宋体" w:eastAsia="宋体" w:cs="Times New Roman"/>
                <w:b/>
                <w:kern w:val="0"/>
                <w:sz w:val="20"/>
                <w:szCs w:val="21"/>
                <w:highlight w:val="none"/>
              </w:rPr>
            </w:pPr>
          </w:p>
        </w:tc>
        <w:tc>
          <w:tcPr>
            <w:tcW w:w="1149" w:type="dxa"/>
            <w:vAlign w:val="center"/>
          </w:tcPr>
          <w:p>
            <w:pPr>
              <w:widowControl/>
              <w:ind w:right="71" w:rightChars="34"/>
              <w:jc w:val="center"/>
              <w:rPr>
                <w:rFonts w:ascii="宋体" w:hAnsi="宋体" w:eastAsia="宋体" w:cs="Times New Roman"/>
                <w:b/>
                <w:bCs/>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008" w:type="dxa"/>
            <w:vAlign w:val="center"/>
          </w:tcPr>
          <w:p>
            <w:pPr>
              <w:widowControl/>
              <w:jc w:val="center"/>
              <w:rPr>
                <w:rFonts w:ascii="宋体" w:hAnsi="宋体" w:eastAsia="宋体" w:cs="Times New Roman"/>
                <w:b/>
                <w:kern w:val="0"/>
                <w:sz w:val="20"/>
                <w:szCs w:val="21"/>
                <w:highlight w:val="none"/>
              </w:rPr>
            </w:pPr>
          </w:p>
        </w:tc>
        <w:tc>
          <w:tcPr>
            <w:tcW w:w="1899" w:type="dxa"/>
            <w:vAlign w:val="center"/>
          </w:tcPr>
          <w:p>
            <w:pPr>
              <w:widowControl/>
              <w:jc w:val="center"/>
              <w:rPr>
                <w:rFonts w:ascii="宋体" w:hAnsi="宋体" w:eastAsia="宋体" w:cs="Times New Roman"/>
                <w:b/>
                <w:kern w:val="0"/>
                <w:sz w:val="20"/>
                <w:szCs w:val="21"/>
                <w:highlight w:val="none"/>
              </w:rPr>
            </w:pPr>
          </w:p>
        </w:tc>
        <w:tc>
          <w:tcPr>
            <w:tcW w:w="2131" w:type="dxa"/>
            <w:vAlign w:val="center"/>
          </w:tcPr>
          <w:p>
            <w:pPr>
              <w:widowControl/>
              <w:jc w:val="center"/>
              <w:rPr>
                <w:rFonts w:ascii="宋体" w:hAnsi="宋体" w:eastAsia="宋体" w:cs="Times New Roman"/>
                <w:b/>
                <w:kern w:val="0"/>
                <w:sz w:val="20"/>
                <w:szCs w:val="21"/>
                <w:highlight w:val="none"/>
              </w:rPr>
            </w:pPr>
          </w:p>
        </w:tc>
        <w:tc>
          <w:tcPr>
            <w:tcW w:w="1906" w:type="dxa"/>
            <w:vAlign w:val="center"/>
          </w:tcPr>
          <w:p>
            <w:pPr>
              <w:widowControl/>
              <w:jc w:val="center"/>
              <w:rPr>
                <w:rFonts w:ascii="宋体" w:hAnsi="宋体" w:eastAsia="宋体" w:cs="Times New Roman"/>
                <w:b/>
                <w:kern w:val="0"/>
                <w:sz w:val="20"/>
                <w:szCs w:val="21"/>
                <w:highlight w:val="none"/>
              </w:rPr>
            </w:pPr>
          </w:p>
        </w:tc>
        <w:tc>
          <w:tcPr>
            <w:tcW w:w="1136" w:type="dxa"/>
            <w:vAlign w:val="center"/>
          </w:tcPr>
          <w:p>
            <w:pPr>
              <w:widowControl/>
              <w:jc w:val="center"/>
              <w:rPr>
                <w:rFonts w:ascii="宋体" w:hAnsi="宋体" w:eastAsia="宋体" w:cs="Times New Roman"/>
                <w:b/>
                <w:kern w:val="0"/>
                <w:sz w:val="20"/>
                <w:szCs w:val="21"/>
                <w:highlight w:val="none"/>
              </w:rPr>
            </w:pPr>
          </w:p>
        </w:tc>
        <w:tc>
          <w:tcPr>
            <w:tcW w:w="1149" w:type="dxa"/>
            <w:vAlign w:val="center"/>
          </w:tcPr>
          <w:p>
            <w:pPr>
              <w:widowControl/>
              <w:ind w:right="71" w:rightChars="34"/>
              <w:jc w:val="center"/>
              <w:rPr>
                <w:rFonts w:ascii="宋体" w:hAnsi="宋体" w:eastAsia="宋体" w:cs="Times New Roman"/>
                <w:b/>
                <w:bCs/>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008" w:type="dxa"/>
            <w:vAlign w:val="center"/>
          </w:tcPr>
          <w:p>
            <w:pPr>
              <w:widowControl/>
              <w:jc w:val="center"/>
              <w:rPr>
                <w:rFonts w:ascii="宋体" w:hAnsi="宋体" w:eastAsia="宋体" w:cs="Times New Roman"/>
                <w:b/>
                <w:kern w:val="0"/>
                <w:sz w:val="20"/>
                <w:szCs w:val="21"/>
                <w:highlight w:val="none"/>
              </w:rPr>
            </w:pPr>
          </w:p>
        </w:tc>
        <w:tc>
          <w:tcPr>
            <w:tcW w:w="1899" w:type="dxa"/>
            <w:vAlign w:val="center"/>
          </w:tcPr>
          <w:p>
            <w:pPr>
              <w:widowControl/>
              <w:jc w:val="center"/>
              <w:rPr>
                <w:rFonts w:ascii="宋体" w:hAnsi="宋体" w:eastAsia="宋体" w:cs="Times New Roman"/>
                <w:b/>
                <w:kern w:val="0"/>
                <w:sz w:val="20"/>
                <w:szCs w:val="21"/>
                <w:highlight w:val="none"/>
              </w:rPr>
            </w:pPr>
          </w:p>
        </w:tc>
        <w:tc>
          <w:tcPr>
            <w:tcW w:w="2131" w:type="dxa"/>
            <w:vAlign w:val="center"/>
          </w:tcPr>
          <w:p>
            <w:pPr>
              <w:widowControl/>
              <w:jc w:val="center"/>
              <w:rPr>
                <w:rFonts w:ascii="宋体" w:hAnsi="宋体" w:eastAsia="宋体" w:cs="Times New Roman"/>
                <w:b/>
                <w:kern w:val="0"/>
                <w:sz w:val="20"/>
                <w:szCs w:val="21"/>
                <w:highlight w:val="none"/>
              </w:rPr>
            </w:pPr>
          </w:p>
        </w:tc>
        <w:tc>
          <w:tcPr>
            <w:tcW w:w="1906" w:type="dxa"/>
            <w:vAlign w:val="center"/>
          </w:tcPr>
          <w:p>
            <w:pPr>
              <w:widowControl/>
              <w:jc w:val="center"/>
              <w:rPr>
                <w:rFonts w:ascii="宋体" w:hAnsi="宋体" w:eastAsia="宋体" w:cs="Times New Roman"/>
                <w:b/>
                <w:kern w:val="0"/>
                <w:sz w:val="20"/>
                <w:szCs w:val="21"/>
                <w:highlight w:val="none"/>
              </w:rPr>
            </w:pPr>
          </w:p>
        </w:tc>
        <w:tc>
          <w:tcPr>
            <w:tcW w:w="1136" w:type="dxa"/>
            <w:vAlign w:val="center"/>
          </w:tcPr>
          <w:p>
            <w:pPr>
              <w:widowControl/>
              <w:jc w:val="center"/>
              <w:rPr>
                <w:rFonts w:ascii="宋体" w:hAnsi="宋体" w:eastAsia="宋体" w:cs="Times New Roman"/>
                <w:b/>
                <w:kern w:val="0"/>
                <w:sz w:val="20"/>
                <w:szCs w:val="21"/>
                <w:highlight w:val="none"/>
              </w:rPr>
            </w:pPr>
          </w:p>
        </w:tc>
        <w:tc>
          <w:tcPr>
            <w:tcW w:w="1149" w:type="dxa"/>
            <w:vAlign w:val="center"/>
          </w:tcPr>
          <w:p>
            <w:pPr>
              <w:widowControl/>
              <w:ind w:right="71" w:rightChars="34"/>
              <w:jc w:val="center"/>
              <w:rPr>
                <w:rFonts w:ascii="宋体" w:hAnsi="宋体" w:eastAsia="宋体" w:cs="Times New Roman"/>
                <w:b/>
                <w:bCs/>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008" w:type="dxa"/>
            <w:vAlign w:val="center"/>
          </w:tcPr>
          <w:p>
            <w:pPr>
              <w:widowControl/>
              <w:jc w:val="center"/>
              <w:rPr>
                <w:rFonts w:ascii="宋体" w:hAnsi="宋体" w:eastAsia="宋体" w:cs="Times New Roman"/>
                <w:b/>
                <w:kern w:val="0"/>
                <w:sz w:val="20"/>
                <w:szCs w:val="21"/>
                <w:highlight w:val="none"/>
              </w:rPr>
            </w:pPr>
          </w:p>
        </w:tc>
        <w:tc>
          <w:tcPr>
            <w:tcW w:w="1899" w:type="dxa"/>
            <w:vAlign w:val="center"/>
          </w:tcPr>
          <w:p>
            <w:pPr>
              <w:widowControl/>
              <w:jc w:val="center"/>
              <w:rPr>
                <w:rFonts w:ascii="宋体" w:hAnsi="宋体" w:eastAsia="宋体" w:cs="Times New Roman"/>
                <w:b/>
                <w:kern w:val="0"/>
                <w:sz w:val="20"/>
                <w:szCs w:val="21"/>
                <w:highlight w:val="none"/>
              </w:rPr>
            </w:pPr>
          </w:p>
        </w:tc>
        <w:tc>
          <w:tcPr>
            <w:tcW w:w="2131" w:type="dxa"/>
            <w:vAlign w:val="center"/>
          </w:tcPr>
          <w:p>
            <w:pPr>
              <w:widowControl/>
              <w:jc w:val="center"/>
              <w:rPr>
                <w:rFonts w:ascii="宋体" w:hAnsi="宋体" w:eastAsia="宋体" w:cs="Times New Roman"/>
                <w:b/>
                <w:kern w:val="0"/>
                <w:sz w:val="20"/>
                <w:szCs w:val="21"/>
                <w:highlight w:val="none"/>
              </w:rPr>
            </w:pPr>
          </w:p>
        </w:tc>
        <w:tc>
          <w:tcPr>
            <w:tcW w:w="1906" w:type="dxa"/>
            <w:vAlign w:val="center"/>
          </w:tcPr>
          <w:p>
            <w:pPr>
              <w:widowControl/>
              <w:jc w:val="center"/>
              <w:rPr>
                <w:rFonts w:ascii="宋体" w:hAnsi="宋体" w:eastAsia="宋体" w:cs="Times New Roman"/>
                <w:b/>
                <w:kern w:val="0"/>
                <w:sz w:val="20"/>
                <w:szCs w:val="21"/>
                <w:highlight w:val="none"/>
              </w:rPr>
            </w:pPr>
          </w:p>
        </w:tc>
        <w:tc>
          <w:tcPr>
            <w:tcW w:w="1136" w:type="dxa"/>
            <w:vAlign w:val="center"/>
          </w:tcPr>
          <w:p>
            <w:pPr>
              <w:widowControl/>
              <w:jc w:val="center"/>
              <w:rPr>
                <w:rFonts w:ascii="宋体" w:hAnsi="宋体" w:eastAsia="宋体" w:cs="Times New Roman"/>
                <w:b/>
                <w:kern w:val="0"/>
                <w:sz w:val="20"/>
                <w:szCs w:val="21"/>
                <w:highlight w:val="none"/>
              </w:rPr>
            </w:pPr>
          </w:p>
        </w:tc>
        <w:tc>
          <w:tcPr>
            <w:tcW w:w="1149" w:type="dxa"/>
            <w:vAlign w:val="center"/>
          </w:tcPr>
          <w:p>
            <w:pPr>
              <w:widowControl/>
              <w:ind w:right="71" w:rightChars="34"/>
              <w:jc w:val="center"/>
              <w:rPr>
                <w:rFonts w:ascii="宋体" w:hAnsi="宋体" w:eastAsia="宋体" w:cs="Times New Roman"/>
                <w:b/>
                <w:bCs/>
                <w:kern w:val="0"/>
                <w:sz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1008" w:type="dxa"/>
            <w:vAlign w:val="center"/>
          </w:tcPr>
          <w:p>
            <w:pPr>
              <w:widowControl/>
              <w:spacing w:line="360" w:lineRule="auto"/>
              <w:jc w:val="center"/>
              <w:rPr>
                <w:rFonts w:ascii="宋体" w:hAnsi="宋体" w:eastAsia="宋体" w:cs="Times New Roman"/>
                <w:kern w:val="0"/>
                <w:sz w:val="20"/>
                <w:szCs w:val="21"/>
                <w:highlight w:val="none"/>
              </w:rPr>
            </w:pPr>
            <w:r>
              <w:rPr>
                <w:rFonts w:ascii="宋体" w:hAnsi="宋体" w:eastAsia="宋体" w:cs="Times New Roman"/>
                <w:kern w:val="0"/>
                <w:sz w:val="20"/>
                <w:szCs w:val="21"/>
                <w:highlight w:val="none"/>
              </w:rPr>
              <w:t>…</w:t>
            </w:r>
          </w:p>
        </w:tc>
        <w:tc>
          <w:tcPr>
            <w:tcW w:w="1899" w:type="dxa"/>
            <w:vAlign w:val="center"/>
          </w:tcPr>
          <w:p>
            <w:pPr>
              <w:widowControl/>
              <w:spacing w:line="360" w:lineRule="auto"/>
              <w:jc w:val="center"/>
              <w:rPr>
                <w:rFonts w:ascii="宋体" w:hAnsi="宋体" w:eastAsia="宋体" w:cs="Times New Roman"/>
                <w:kern w:val="0"/>
                <w:sz w:val="20"/>
                <w:szCs w:val="21"/>
                <w:highlight w:val="none"/>
              </w:rPr>
            </w:pPr>
          </w:p>
        </w:tc>
        <w:tc>
          <w:tcPr>
            <w:tcW w:w="2131" w:type="dxa"/>
            <w:vAlign w:val="center"/>
          </w:tcPr>
          <w:p>
            <w:pPr>
              <w:widowControl/>
              <w:spacing w:line="360" w:lineRule="auto"/>
              <w:jc w:val="center"/>
              <w:rPr>
                <w:rFonts w:ascii="宋体" w:hAnsi="宋体" w:eastAsia="宋体" w:cs="Times New Roman"/>
                <w:kern w:val="0"/>
                <w:sz w:val="20"/>
                <w:szCs w:val="21"/>
                <w:highlight w:val="none"/>
              </w:rPr>
            </w:pPr>
          </w:p>
        </w:tc>
        <w:tc>
          <w:tcPr>
            <w:tcW w:w="1906" w:type="dxa"/>
            <w:vAlign w:val="center"/>
          </w:tcPr>
          <w:p>
            <w:pPr>
              <w:widowControl/>
              <w:spacing w:line="360" w:lineRule="auto"/>
              <w:jc w:val="center"/>
              <w:rPr>
                <w:rFonts w:ascii="宋体" w:hAnsi="宋体" w:eastAsia="宋体" w:cs="Times New Roman"/>
                <w:kern w:val="0"/>
                <w:sz w:val="20"/>
                <w:szCs w:val="21"/>
                <w:highlight w:val="none"/>
              </w:rPr>
            </w:pPr>
          </w:p>
        </w:tc>
        <w:tc>
          <w:tcPr>
            <w:tcW w:w="1136" w:type="dxa"/>
          </w:tcPr>
          <w:p>
            <w:pPr>
              <w:widowControl/>
              <w:spacing w:line="360" w:lineRule="auto"/>
              <w:jc w:val="center"/>
              <w:rPr>
                <w:rFonts w:ascii="宋体" w:hAnsi="宋体" w:eastAsia="宋体" w:cs="Times New Roman"/>
                <w:kern w:val="0"/>
                <w:sz w:val="20"/>
                <w:szCs w:val="21"/>
                <w:highlight w:val="none"/>
              </w:rPr>
            </w:pPr>
          </w:p>
        </w:tc>
        <w:tc>
          <w:tcPr>
            <w:tcW w:w="1149" w:type="dxa"/>
            <w:vAlign w:val="center"/>
          </w:tcPr>
          <w:p>
            <w:pPr>
              <w:widowControl/>
              <w:spacing w:line="360" w:lineRule="auto"/>
              <w:jc w:val="center"/>
              <w:rPr>
                <w:rFonts w:ascii="宋体" w:hAnsi="宋体" w:eastAsia="宋体" w:cs="Times New Roman"/>
                <w:kern w:val="0"/>
                <w:sz w:val="20"/>
                <w:szCs w:val="21"/>
                <w:highlight w:val="none"/>
              </w:rPr>
            </w:pPr>
          </w:p>
        </w:tc>
      </w:tr>
    </w:tbl>
    <w:p>
      <w:pPr>
        <w:spacing w:line="360" w:lineRule="auto"/>
        <w:rPr>
          <w:rFonts w:ascii="宋体" w:hAnsi="宋体"/>
          <w:highlight w:val="none"/>
        </w:rPr>
      </w:pPr>
      <w:r>
        <w:rPr>
          <w:rFonts w:hint="eastAsia" w:ascii="宋体" w:hAnsi="宋体"/>
          <w:highlight w:val="none"/>
        </w:rPr>
        <w:t>注：1、表格中“偏离”一列，投标人只能如实填写“正偏离”、“负偏离”或“无偏离”。凡投标内容优于招标文件要求的，按“正偏离”填写；低于招标文件要求的，按“负偏离”填写；满足招标文件要求的，按“无偏离”填写。并在“投标产品配置、规格或详细性能”一列中写明技术参数。</w:t>
      </w:r>
    </w:p>
    <w:p>
      <w:pPr>
        <w:spacing w:line="360" w:lineRule="auto"/>
        <w:ind w:firstLine="420"/>
        <w:rPr>
          <w:rFonts w:ascii="宋体" w:hAnsi="宋体"/>
          <w:highlight w:val="none"/>
        </w:rPr>
      </w:pPr>
      <w:r>
        <w:rPr>
          <w:rFonts w:hint="eastAsia" w:ascii="宋体" w:hAnsi="宋体"/>
          <w:highlight w:val="none"/>
        </w:rPr>
        <w:t>2、“投标参数、采购设备详细配置清单”列由投标人自行填写。</w:t>
      </w:r>
    </w:p>
    <w:p>
      <w:pPr>
        <w:spacing w:line="360" w:lineRule="auto"/>
        <w:ind w:firstLine="420" w:firstLineChars="200"/>
        <w:rPr>
          <w:rFonts w:ascii="宋体" w:hAnsi="宋体"/>
          <w:highlight w:val="none"/>
        </w:rPr>
      </w:pPr>
      <w:r>
        <w:rPr>
          <w:rFonts w:hint="eastAsia" w:ascii="宋体" w:hAnsi="宋体"/>
          <w:highlight w:val="none"/>
        </w:rPr>
        <w:t>3、表格中“投标品牌、型号、技术参数及配置”请投标人根据实际投标情况如实、完整、准确地填写，请勿复制、粘贴招标要求。</w:t>
      </w:r>
    </w:p>
    <w:p>
      <w:pPr>
        <w:pStyle w:val="14"/>
        <w:spacing w:line="360" w:lineRule="auto"/>
        <w:ind w:firstLine="420" w:firstLineChars="200"/>
        <w:rPr>
          <w:rFonts w:hAnsi="宋体" w:eastAsia="宋体" w:cs="Courier New"/>
          <w:szCs w:val="21"/>
          <w:highlight w:val="none"/>
        </w:rPr>
      </w:pPr>
      <w:r>
        <w:rPr>
          <w:rFonts w:hint="eastAsia" w:hAnsi="宋体" w:eastAsia="宋体" w:cs="Courier New"/>
          <w:szCs w:val="21"/>
          <w:highlight w:val="none"/>
        </w:rPr>
        <w:t>4、投标人应对其投标参数及相关证明材料的真实性及准确性负责，不得提供虚假材料、虚构设备参数谋取成交。否则必须承担相应法律责任，已骗取成交的取消成交资格，对招标人造成经济损失的，赔偿相应经济损失。</w:t>
      </w:r>
    </w:p>
    <w:p>
      <w:pPr>
        <w:spacing w:line="360" w:lineRule="auto"/>
        <w:ind w:firstLine="420" w:firstLineChars="200"/>
        <w:rPr>
          <w:rFonts w:ascii="宋体" w:hAnsi="宋体" w:eastAsia="宋体" w:cs="Courier New"/>
          <w:szCs w:val="21"/>
          <w:highlight w:val="none"/>
        </w:rPr>
      </w:pPr>
      <w:r>
        <w:rPr>
          <w:rFonts w:hint="eastAsia" w:ascii="宋体" w:hAnsi="宋体" w:eastAsia="宋体" w:cs="Courier New"/>
          <w:szCs w:val="21"/>
          <w:highlight w:val="none"/>
        </w:rPr>
        <w:t>5、注：（1）招标文件第五章《项目需求及技术要求》技术参数中，标注“▲”的核心技术参数必须提供技术支持资料支持参数技术规格偏离表应答（包括但不限于投标产品的技术白皮书、产品相关鉴定资料、试验报告、检验报告、图纸资料等），若投标文件中检测报告参数与技术条款偏离表应答不符或无检测报告应答，而投标人又未在投标文件中作出说明和解释的，评标委员会在评审时可以视为不响应该条技术条款的规定。</w:t>
      </w:r>
    </w:p>
    <w:p>
      <w:pPr>
        <w:spacing w:line="360" w:lineRule="auto"/>
        <w:ind w:firstLine="420" w:firstLineChars="200"/>
        <w:rPr>
          <w:rFonts w:ascii="宋体" w:hAnsi="宋体" w:eastAsia="宋体" w:cs="Courier New"/>
          <w:szCs w:val="21"/>
          <w:highlight w:val="none"/>
        </w:rPr>
      </w:pPr>
      <w:r>
        <w:rPr>
          <w:rFonts w:hint="eastAsia" w:ascii="宋体" w:hAnsi="宋体" w:eastAsia="宋体" w:cs="Courier New"/>
          <w:szCs w:val="21"/>
          <w:highlight w:val="none"/>
        </w:rPr>
        <w:t>（2）招标文件第五章《项目需求及技术要求》技术参数中，标注“★”号的重要技术参数必须提供国家法定检测机构出具的检测报告支持技术条款偏离表应答，如招标文件第五章《采购需求》有特殊要求，以第五章《采购需求》要求为准，若投标文件中检测报告参数与技术条款偏离表应答不符或无检测报告应答，而投标人又未在投标文件中作出说明和解释的，评标委员会在评审时可以视为不响应该条技术条款的规定。</w:t>
      </w:r>
    </w:p>
    <w:p>
      <w:pPr>
        <w:spacing w:line="360" w:lineRule="auto"/>
        <w:ind w:firstLine="420" w:firstLineChars="200"/>
        <w:rPr>
          <w:rFonts w:ascii="宋体" w:hAnsi="宋体" w:eastAsia="宋体" w:cs="Courier New"/>
          <w:szCs w:val="21"/>
          <w:highlight w:val="none"/>
        </w:rPr>
      </w:pPr>
    </w:p>
    <w:p>
      <w:pPr>
        <w:spacing w:line="360" w:lineRule="auto"/>
        <w:rPr>
          <w:rFonts w:ascii="宋体" w:hAnsi="宋体"/>
          <w:b/>
          <w:sz w:val="24"/>
          <w:highlight w:val="none"/>
        </w:rPr>
      </w:pPr>
    </w:p>
    <w:p>
      <w:pPr>
        <w:spacing w:line="360" w:lineRule="auto"/>
        <w:rPr>
          <w:rFonts w:ascii="宋体" w:hAnsi="宋体"/>
          <w:b/>
          <w:sz w:val="24"/>
          <w:highlight w:val="none"/>
        </w:rPr>
      </w:pPr>
      <w:r>
        <w:rPr>
          <w:rFonts w:hint="eastAsia" w:ascii="宋体" w:hAnsi="宋体"/>
          <w:b/>
          <w:sz w:val="24"/>
          <w:highlight w:val="none"/>
        </w:rPr>
        <w:t>投标人</w:t>
      </w:r>
      <w:r>
        <w:rPr>
          <w:rFonts w:ascii="宋体" w:hAnsi="宋体"/>
          <w:b/>
          <w:sz w:val="24"/>
          <w:highlight w:val="none"/>
        </w:rPr>
        <w:t>：（</w:t>
      </w:r>
      <w:r>
        <w:rPr>
          <w:rFonts w:hint="eastAsia" w:ascii="宋体" w:hAnsi="宋体"/>
          <w:b/>
          <w:sz w:val="24"/>
          <w:highlight w:val="none"/>
        </w:rPr>
        <w:t>加</w:t>
      </w:r>
      <w:r>
        <w:rPr>
          <w:rFonts w:ascii="宋体" w:hAnsi="宋体"/>
          <w:b/>
          <w:sz w:val="24"/>
          <w:highlight w:val="none"/>
        </w:rPr>
        <w:t>盖</w:t>
      </w:r>
      <w:r>
        <w:rPr>
          <w:rFonts w:hint="eastAsia" w:ascii="宋体" w:hAnsi="宋体"/>
          <w:b/>
          <w:sz w:val="24"/>
          <w:highlight w:val="none"/>
        </w:rPr>
        <w:t>电子公章</w:t>
      </w:r>
      <w:r>
        <w:rPr>
          <w:rFonts w:ascii="宋体" w:hAnsi="宋体"/>
          <w:b/>
          <w:sz w:val="24"/>
          <w:highlight w:val="none"/>
        </w:rPr>
        <w:t>）</w:t>
      </w:r>
    </w:p>
    <w:p>
      <w:pPr>
        <w:spacing w:line="360" w:lineRule="auto"/>
        <w:rPr>
          <w:rFonts w:ascii="宋体" w:hAnsi="宋体"/>
          <w:b/>
          <w:sz w:val="24"/>
          <w:highlight w:val="none"/>
        </w:rPr>
      </w:pPr>
      <w:r>
        <w:rPr>
          <w:rFonts w:hint="eastAsia" w:ascii="宋体" w:hAnsi="宋体"/>
          <w:b/>
          <w:sz w:val="24"/>
          <w:highlight w:val="none"/>
        </w:rPr>
        <w:t>法定代表人或其委托代理人（签名或电子签章）：</w:t>
      </w:r>
    </w:p>
    <w:p>
      <w:pPr>
        <w:spacing w:line="360" w:lineRule="auto"/>
        <w:rPr>
          <w:rFonts w:ascii="宋体" w:hAnsi="宋体"/>
          <w:b/>
          <w:sz w:val="24"/>
          <w:highlight w:val="none"/>
        </w:rPr>
      </w:pPr>
      <w:r>
        <w:rPr>
          <w:rFonts w:ascii="宋体" w:hAnsi="宋体"/>
          <w:b/>
          <w:sz w:val="24"/>
          <w:highlight w:val="none"/>
        </w:rPr>
        <w:t>年</w:t>
      </w:r>
      <w:r>
        <w:rPr>
          <w:rFonts w:hint="eastAsia" w:ascii="宋体" w:hAnsi="宋体"/>
          <w:b/>
          <w:sz w:val="24"/>
          <w:highlight w:val="none"/>
        </w:rPr>
        <w:t xml:space="preserve">  </w:t>
      </w:r>
      <w:r>
        <w:rPr>
          <w:rFonts w:ascii="宋体" w:hAnsi="宋体"/>
          <w:b/>
          <w:sz w:val="24"/>
          <w:highlight w:val="none"/>
        </w:rPr>
        <w:t>月</w:t>
      </w:r>
      <w:r>
        <w:rPr>
          <w:rFonts w:hint="eastAsia" w:ascii="宋体" w:hAnsi="宋体"/>
          <w:b/>
          <w:sz w:val="24"/>
          <w:highlight w:val="none"/>
        </w:rPr>
        <w:t xml:space="preserve">  </w:t>
      </w:r>
      <w:r>
        <w:rPr>
          <w:rFonts w:ascii="宋体" w:hAnsi="宋体"/>
          <w:b/>
          <w:sz w:val="24"/>
          <w:highlight w:val="none"/>
        </w:rPr>
        <w:t>日</w:t>
      </w:r>
    </w:p>
    <w:p>
      <w:pPr>
        <w:rPr>
          <w:rFonts w:ascii="宋体" w:hAnsi="宋体" w:eastAsia="宋体"/>
          <w:sz w:val="32"/>
          <w:szCs w:val="32"/>
          <w:highlight w:val="none"/>
        </w:rPr>
      </w:pPr>
      <w:r>
        <w:rPr>
          <w:rFonts w:hint="eastAsia" w:ascii="宋体" w:hAnsi="宋体" w:eastAsia="宋体"/>
          <w:sz w:val="32"/>
          <w:szCs w:val="32"/>
          <w:highlight w:val="none"/>
        </w:rPr>
        <w:br w:type="page"/>
      </w:r>
    </w:p>
    <w:p>
      <w:pPr>
        <w:pStyle w:val="14"/>
        <w:spacing w:line="360" w:lineRule="auto"/>
        <w:jc w:val="center"/>
        <w:outlineLvl w:val="2"/>
        <w:rPr>
          <w:rFonts w:hAnsi="宋体" w:eastAsia="宋体"/>
          <w:sz w:val="32"/>
          <w:szCs w:val="32"/>
          <w:highlight w:val="none"/>
        </w:rPr>
      </w:pPr>
      <w:r>
        <w:rPr>
          <w:rFonts w:hint="eastAsia" w:hAnsi="宋体" w:eastAsia="宋体"/>
          <w:sz w:val="32"/>
          <w:szCs w:val="32"/>
          <w:highlight w:val="none"/>
        </w:rPr>
        <w:t>（二）实施方案</w:t>
      </w:r>
    </w:p>
    <w:p>
      <w:pPr>
        <w:jc w:val="center"/>
        <w:rPr>
          <w:highlight w:val="none"/>
        </w:rPr>
      </w:pPr>
      <w:r>
        <w:rPr>
          <w:rFonts w:hint="eastAsia"/>
          <w:highlight w:val="none"/>
        </w:rPr>
        <w:t>内容格式自拟</w:t>
      </w:r>
    </w:p>
    <w:p>
      <w:pPr>
        <w:pStyle w:val="14"/>
        <w:spacing w:line="360" w:lineRule="auto"/>
        <w:jc w:val="center"/>
        <w:outlineLvl w:val="2"/>
        <w:rPr>
          <w:rFonts w:hAnsi="宋体" w:eastAsia="宋体"/>
          <w:sz w:val="32"/>
          <w:szCs w:val="32"/>
          <w:highlight w:val="none"/>
        </w:rPr>
      </w:pPr>
      <w:r>
        <w:rPr>
          <w:rFonts w:hint="eastAsia" w:hAnsi="宋体" w:eastAsia="宋体"/>
          <w:sz w:val="32"/>
          <w:szCs w:val="32"/>
          <w:highlight w:val="none"/>
        </w:rPr>
        <w:t>（三）售后服务</w:t>
      </w:r>
    </w:p>
    <w:p>
      <w:pPr>
        <w:jc w:val="center"/>
        <w:rPr>
          <w:highlight w:val="none"/>
        </w:rPr>
      </w:pPr>
      <w:r>
        <w:rPr>
          <w:highlight w:val="none"/>
        </w:rPr>
        <w:t>内容格式自拟</w:t>
      </w:r>
    </w:p>
    <w:p>
      <w:pPr>
        <w:pStyle w:val="14"/>
        <w:spacing w:line="360" w:lineRule="auto"/>
        <w:jc w:val="center"/>
        <w:outlineLvl w:val="2"/>
        <w:rPr>
          <w:rFonts w:hAnsi="宋体" w:eastAsia="宋体"/>
          <w:sz w:val="32"/>
          <w:szCs w:val="32"/>
          <w:highlight w:val="none"/>
        </w:rPr>
      </w:pPr>
      <w:r>
        <w:rPr>
          <w:rFonts w:hint="eastAsia" w:hAnsi="宋体" w:eastAsia="宋体"/>
          <w:sz w:val="32"/>
          <w:szCs w:val="32"/>
          <w:highlight w:val="none"/>
        </w:rPr>
        <w:t>（四）质量保障</w:t>
      </w:r>
    </w:p>
    <w:p>
      <w:pPr>
        <w:jc w:val="center"/>
        <w:rPr>
          <w:highlight w:val="none"/>
        </w:rPr>
      </w:pPr>
      <w:r>
        <w:rPr>
          <w:rFonts w:hint="eastAsia"/>
          <w:highlight w:val="none"/>
        </w:rPr>
        <w:t>内容格式自拟</w:t>
      </w:r>
    </w:p>
    <w:p>
      <w:pPr>
        <w:spacing w:line="360" w:lineRule="auto"/>
        <w:jc w:val="center"/>
        <w:outlineLvl w:val="2"/>
        <w:rPr>
          <w:rFonts w:ascii="宋体" w:hAnsi="宋体" w:eastAsia="宋体"/>
          <w:sz w:val="32"/>
          <w:szCs w:val="32"/>
          <w:highlight w:val="none"/>
        </w:rPr>
      </w:pPr>
      <w:r>
        <w:rPr>
          <w:rFonts w:hint="eastAsia" w:ascii="宋体" w:hAnsi="宋体" w:eastAsia="宋体"/>
          <w:sz w:val="32"/>
          <w:szCs w:val="32"/>
          <w:highlight w:val="none"/>
        </w:rPr>
        <w:t>（五）节能环保</w:t>
      </w:r>
    </w:p>
    <w:p>
      <w:pPr>
        <w:spacing w:line="360" w:lineRule="auto"/>
        <w:jc w:val="center"/>
        <w:rPr>
          <w:rFonts w:ascii="宋体" w:hAnsi="宋体"/>
          <w:bCs/>
          <w:szCs w:val="21"/>
          <w:highlight w:val="none"/>
        </w:rPr>
      </w:pPr>
      <w:r>
        <w:rPr>
          <w:rFonts w:hint="eastAsia" w:ascii="宋体" w:hAnsi="宋体"/>
          <w:bCs/>
          <w:szCs w:val="21"/>
          <w:highlight w:val="none"/>
        </w:rPr>
        <w:t>内容格式自拟</w:t>
      </w:r>
    </w:p>
    <w:p>
      <w:pPr>
        <w:jc w:val="center"/>
        <w:rPr>
          <w:rFonts w:ascii="宋体" w:hAnsi="宋体" w:eastAsia="宋体"/>
          <w:sz w:val="32"/>
          <w:szCs w:val="32"/>
          <w:highlight w:val="none"/>
        </w:rPr>
      </w:pPr>
      <w:r>
        <w:rPr>
          <w:rFonts w:hint="eastAsia" w:ascii="宋体" w:hAnsi="宋体" w:eastAsia="宋体"/>
          <w:sz w:val="32"/>
          <w:szCs w:val="32"/>
          <w:highlight w:val="none"/>
        </w:rPr>
        <w:br w:type="page"/>
      </w:r>
    </w:p>
    <w:p>
      <w:pPr>
        <w:pStyle w:val="14"/>
        <w:spacing w:line="360" w:lineRule="auto"/>
        <w:jc w:val="center"/>
        <w:outlineLvl w:val="2"/>
        <w:rPr>
          <w:highlight w:val="none"/>
        </w:rPr>
      </w:pPr>
      <w:r>
        <w:rPr>
          <w:rFonts w:hint="eastAsia" w:hAnsi="宋体" w:eastAsia="宋体"/>
          <w:sz w:val="32"/>
          <w:szCs w:val="32"/>
          <w:highlight w:val="none"/>
        </w:rPr>
        <w:t>（六）同类项目业绩</w:t>
      </w:r>
    </w:p>
    <w:tbl>
      <w:tblPr>
        <w:tblStyle w:val="28"/>
        <w:tblW w:w="10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155"/>
        <w:gridCol w:w="1434"/>
        <w:gridCol w:w="1561"/>
        <w:gridCol w:w="1561"/>
        <w:gridCol w:w="1561"/>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r>
              <w:rPr>
                <w:rFonts w:hint="eastAsia" w:ascii="宋体" w:hAnsi="宋体" w:eastAsia="宋体" w:cs="宋体"/>
                <w:szCs w:val="28"/>
                <w:highlight w:val="none"/>
              </w:rPr>
              <w:t>序号</w:t>
            </w:r>
          </w:p>
        </w:tc>
        <w:tc>
          <w:tcPr>
            <w:tcW w:w="21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r>
              <w:rPr>
                <w:rFonts w:hint="eastAsia" w:ascii="宋体" w:hAnsi="宋体" w:eastAsia="宋体" w:cs="宋体"/>
                <w:szCs w:val="28"/>
                <w:highlight w:val="none"/>
              </w:rPr>
              <w:t>项目名称</w:t>
            </w:r>
          </w:p>
        </w:tc>
        <w:tc>
          <w:tcPr>
            <w:tcW w:w="14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r>
              <w:rPr>
                <w:rFonts w:hint="eastAsia" w:ascii="宋体" w:hAnsi="宋体" w:eastAsia="宋体" w:cs="宋体"/>
                <w:szCs w:val="28"/>
                <w:highlight w:val="none"/>
              </w:rPr>
              <w:t>委托单位</w:t>
            </w: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Cs w:val="28"/>
                <w:highlight w:val="none"/>
              </w:rPr>
            </w:pPr>
            <w:r>
              <w:rPr>
                <w:rFonts w:hint="eastAsia" w:ascii="宋体" w:hAnsi="宋体" w:eastAsia="宋体" w:cs="宋体"/>
                <w:szCs w:val="28"/>
                <w:highlight w:val="none"/>
              </w:rPr>
              <w:t>合同核实联系人及联系电话</w:t>
            </w: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r>
              <w:rPr>
                <w:rFonts w:hint="eastAsia" w:ascii="宋体" w:hAnsi="宋体" w:eastAsia="宋体" w:cs="宋体"/>
                <w:szCs w:val="28"/>
                <w:highlight w:val="none"/>
              </w:rPr>
              <w:t>完成时间</w:t>
            </w: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r>
              <w:rPr>
                <w:rFonts w:hint="eastAsia" w:ascii="宋体" w:hAnsi="宋体" w:eastAsia="宋体" w:cs="宋体"/>
                <w:szCs w:val="28"/>
                <w:highlight w:val="none"/>
              </w:rPr>
              <w:t>履约情况</w:t>
            </w: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r>
              <w:rPr>
                <w:rFonts w:hint="eastAsia" w:ascii="宋体" w:hAnsi="宋体" w:eastAsia="宋体" w:cs="宋体"/>
                <w:szCs w:val="2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p>
        </w:tc>
        <w:tc>
          <w:tcPr>
            <w:tcW w:w="21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p>
        </w:tc>
        <w:tc>
          <w:tcPr>
            <w:tcW w:w="21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p>
        </w:tc>
        <w:tc>
          <w:tcPr>
            <w:tcW w:w="21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p>
        </w:tc>
        <w:tc>
          <w:tcPr>
            <w:tcW w:w="21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p>
        </w:tc>
        <w:tc>
          <w:tcPr>
            <w:tcW w:w="21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p>
        </w:tc>
        <w:tc>
          <w:tcPr>
            <w:tcW w:w="21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p>
        </w:tc>
        <w:tc>
          <w:tcPr>
            <w:tcW w:w="21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p>
        </w:tc>
        <w:tc>
          <w:tcPr>
            <w:tcW w:w="21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rPr>
            </w:pPr>
          </w:p>
        </w:tc>
        <w:tc>
          <w:tcPr>
            <w:tcW w:w="21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56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eastAsia="宋体" w:cs="宋体"/>
                <w:sz w:val="24"/>
                <w:szCs w:val="28"/>
                <w:highlight w:val="none"/>
                <w:u w:val="single"/>
              </w:rPr>
            </w:pPr>
          </w:p>
        </w:tc>
      </w:tr>
    </w:tbl>
    <w:p>
      <w:pPr>
        <w:rPr>
          <w:highlight w:val="none"/>
        </w:rPr>
      </w:pPr>
      <w:r>
        <w:rPr>
          <w:rFonts w:hint="eastAsia"/>
          <w:highlight w:val="none"/>
        </w:rPr>
        <w:t>注：投标文件中须提供业绩证明材料，业绩证明材料为投标人与业主单位签订的合同（合同包括：首页、标的金额所在页及合同电子签名盖章页）或中标（成交）通知书。无证明材料或证明材料不明确、无法体现业绩内容或与投标文件内容不一致的，视为无效业绩，不予认可。</w:t>
      </w:r>
    </w:p>
    <w:p>
      <w:pPr>
        <w:pStyle w:val="14"/>
        <w:spacing w:line="360" w:lineRule="auto"/>
        <w:rPr>
          <w:rFonts w:hAnsi="宋体"/>
          <w:b/>
          <w:sz w:val="28"/>
          <w:szCs w:val="28"/>
          <w:highlight w:val="none"/>
        </w:rPr>
      </w:pPr>
    </w:p>
    <w:p>
      <w:pPr>
        <w:pStyle w:val="14"/>
        <w:spacing w:line="360" w:lineRule="auto"/>
        <w:rPr>
          <w:rFonts w:hAnsi="宋体"/>
          <w:b/>
          <w:sz w:val="28"/>
          <w:szCs w:val="28"/>
          <w:highlight w:val="none"/>
        </w:rPr>
      </w:pPr>
    </w:p>
    <w:p>
      <w:pPr>
        <w:pStyle w:val="14"/>
        <w:spacing w:line="360" w:lineRule="auto"/>
        <w:rPr>
          <w:rFonts w:hAnsi="宋体"/>
          <w:b/>
          <w:sz w:val="28"/>
          <w:szCs w:val="28"/>
          <w:highlight w:val="none"/>
        </w:rPr>
      </w:pPr>
    </w:p>
    <w:p>
      <w:pPr>
        <w:spacing w:line="360" w:lineRule="auto"/>
        <w:rPr>
          <w:rFonts w:ascii="宋体" w:hAnsi="宋体"/>
          <w:b/>
          <w:sz w:val="24"/>
          <w:highlight w:val="none"/>
        </w:rPr>
      </w:pPr>
      <w:r>
        <w:rPr>
          <w:rFonts w:hint="eastAsia" w:ascii="宋体" w:hAnsi="宋体"/>
          <w:b/>
          <w:sz w:val="24"/>
          <w:highlight w:val="none"/>
        </w:rPr>
        <w:t>投标人</w:t>
      </w:r>
      <w:r>
        <w:rPr>
          <w:rFonts w:ascii="宋体" w:hAnsi="宋体"/>
          <w:b/>
          <w:sz w:val="24"/>
          <w:highlight w:val="none"/>
        </w:rPr>
        <w:t>：（</w:t>
      </w:r>
      <w:r>
        <w:rPr>
          <w:rFonts w:hint="eastAsia" w:ascii="宋体" w:hAnsi="宋体"/>
          <w:b/>
          <w:sz w:val="24"/>
          <w:highlight w:val="none"/>
        </w:rPr>
        <w:t>加</w:t>
      </w:r>
      <w:r>
        <w:rPr>
          <w:rFonts w:ascii="宋体" w:hAnsi="宋体"/>
          <w:b/>
          <w:sz w:val="24"/>
          <w:highlight w:val="none"/>
        </w:rPr>
        <w:t>盖</w:t>
      </w:r>
      <w:r>
        <w:rPr>
          <w:rFonts w:hint="eastAsia" w:ascii="宋体" w:hAnsi="宋体"/>
          <w:b/>
          <w:sz w:val="24"/>
          <w:highlight w:val="none"/>
        </w:rPr>
        <w:t>电子公章</w:t>
      </w:r>
      <w:r>
        <w:rPr>
          <w:rFonts w:ascii="宋体" w:hAnsi="宋体"/>
          <w:b/>
          <w:sz w:val="24"/>
          <w:highlight w:val="none"/>
        </w:rPr>
        <w:t>）</w:t>
      </w:r>
    </w:p>
    <w:p>
      <w:pPr>
        <w:spacing w:line="360" w:lineRule="auto"/>
        <w:rPr>
          <w:rFonts w:ascii="宋体" w:hAnsi="宋体"/>
          <w:b/>
          <w:sz w:val="24"/>
          <w:highlight w:val="none"/>
        </w:rPr>
      </w:pPr>
      <w:r>
        <w:rPr>
          <w:rFonts w:hint="eastAsia" w:ascii="宋体" w:hAnsi="宋体"/>
          <w:b/>
          <w:sz w:val="24"/>
          <w:highlight w:val="none"/>
        </w:rPr>
        <w:t>法定代表人或其委托代理人（签名或电子签章）：</w:t>
      </w:r>
    </w:p>
    <w:p>
      <w:pPr>
        <w:pStyle w:val="14"/>
        <w:spacing w:line="360" w:lineRule="auto"/>
        <w:rPr>
          <w:rFonts w:hAnsi="宋体"/>
          <w:b/>
          <w:sz w:val="28"/>
          <w:szCs w:val="28"/>
          <w:highlight w:val="none"/>
        </w:rPr>
      </w:pPr>
      <w:r>
        <w:rPr>
          <w:rFonts w:hAnsi="宋体"/>
          <w:b/>
          <w:sz w:val="24"/>
          <w:highlight w:val="none"/>
        </w:rPr>
        <w:t>年</w:t>
      </w:r>
      <w:r>
        <w:rPr>
          <w:rFonts w:hint="eastAsia" w:hAnsi="宋体"/>
          <w:b/>
          <w:sz w:val="24"/>
          <w:highlight w:val="none"/>
        </w:rPr>
        <w:t xml:space="preserve">  </w:t>
      </w:r>
      <w:r>
        <w:rPr>
          <w:rFonts w:hAnsi="宋体"/>
          <w:b/>
          <w:sz w:val="24"/>
          <w:highlight w:val="none"/>
        </w:rPr>
        <w:t>月</w:t>
      </w:r>
      <w:r>
        <w:rPr>
          <w:rFonts w:hint="eastAsia" w:hAnsi="宋体"/>
          <w:b/>
          <w:sz w:val="24"/>
          <w:highlight w:val="none"/>
        </w:rPr>
        <w:t xml:space="preserve">  </w:t>
      </w:r>
      <w:r>
        <w:rPr>
          <w:rFonts w:hAnsi="宋体"/>
          <w:b/>
          <w:sz w:val="24"/>
          <w:highlight w:val="none"/>
        </w:rPr>
        <w:t>日</w:t>
      </w:r>
    </w:p>
    <w:p>
      <w:pPr>
        <w:numPr>
          <w:ilvl w:val="0"/>
          <w:numId w:val="13"/>
        </w:numPr>
        <w:jc w:val="center"/>
        <w:outlineLvl w:val="2"/>
        <w:rPr>
          <w:rFonts w:hAnsi="宋体" w:eastAsia="宋体"/>
          <w:b/>
          <w:sz w:val="28"/>
          <w:szCs w:val="28"/>
          <w:highlight w:val="none"/>
        </w:rPr>
      </w:pPr>
      <w:bookmarkStart w:id="230" w:name="_Toc496122216"/>
      <w:r>
        <w:rPr>
          <w:rFonts w:hint="eastAsia" w:hAnsi="宋体" w:eastAsia="宋体"/>
          <w:b/>
          <w:sz w:val="28"/>
          <w:szCs w:val="28"/>
          <w:highlight w:val="none"/>
        </w:rPr>
        <w:br w:type="page"/>
      </w:r>
      <w:bookmarkStart w:id="231" w:name="_Toc522782870"/>
      <w:bookmarkStart w:id="232" w:name="_Toc493600035"/>
      <w:bookmarkStart w:id="233" w:name="_Toc213141100"/>
      <w:bookmarkStart w:id="234" w:name="_Toc7521"/>
      <w:bookmarkStart w:id="235" w:name="_Toc496521003"/>
      <w:r>
        <w:rPr>
          <w:rFonts w:hint="eastAsia" w:hAnsi="宋体" w:eastAsia="宋体"/>
          <w:b/>
          <w:sz w:val="28"/>
          <w:szCs w:val="28"/>
          <w:highlight w:val="none"/>
        </w:rPr>
        <w:t>商务条款偏离表</w:t>
      </w:r>
      <w:bookmarkEnd w:id="231"/>
      <w:bookmarkEnd w:id="232"/>
      <w:bookmarkEnd w:id="233"/>
      <w:bookmarkEnd w:id="234"/>
      <w:bookmarkEnd w:id="235"/>
    </w:p>
    <w:p>
      <w:pPr>
        <w:pStyle w:val="14"/>
        <w:spacing w:line="400" w:lineRule="exact"/>
        <w:ind w:firstLine="420" w:firstLineChars="200"/>
        <w:rPr>
          <w:rFonts w:hAnsi="宋体" w:eastAsia="宋体" w:cs="宋体"/>
          <w:szCs w:val="21"/>
          <w:highlight w:val="none"/>
        </w:rPr>
      </w:pPr>
      <w:r>
        <w:rPr>
          <w:rFonts w:hint="eastAsia" w:hAnsi="宋体" w:eastAsia="宋体" w:cs="宋体"/>
          <w:szCs w:val="21"/>
          <w:highlight w:val="none"/>
        </w:rPr>
        <w:t>投标人须逐条对应招标文件中要求的商务条款，认真填写该表。</w:t>
      </w:r>
    </w:p>
    <w:p>
      <w:pPr>
        <w:pStyle w:val="14"/>
        <w:spacing w:line="400" w:lineRule="exact"/>
        <w:ind w:firstLine="420" w:firstLineChars="200"/>
        <w:rPr>
          <w:rFonts w:hAnsi="宋体" w:eastAsia="宋体" w:cs="宋体"/>
          <w:szCs w:val="21"/>
          <w:highlight w:val="none"/>
        </w:rPr>
      </w:pPr>
      <w:r>
        <w:rPr>
          <w:rFonts w:hint="eastAsia" w:hAnsi="宋体" w:eastAsia="宋体" w:cs="宋体"/>
          <w:szCs w:val="21"/>
          <w:highlight w:val="none"/>
        </w:rPr>
        <w:t>商务条款是指：</w:t>
      </w:r>
      <w:bookmarkStart w:id="236" w:name="_Hlk48740792"/>
      <w:r>
        <w:rPr>
          <w:rFonts w:hint="eastAsia" w:hAnsi="宋体" w:eastAsia="宋体" w:cs="宋体"/>
          <w:szCs w:val="21"/>
          <w:highlight w:val="none"/>
        </w:rPr>
        <w:t>招标文件第五章《项目需求及技术要求》和第三章《合同基本格式及主要条款</w:t>
      </w:r>
    </w:p>
    <w:p>
      <w:pPr>
        <w:pStyle w:val="14"/>
        <w:spacing w:line="400" w:lineRule="exact"/>
        <w:ind w:firstLine="420" w:firstLineChars="200"/>
        <w:rPr>
          <w:rFonts w:hAnsi="宋体" w:eastAsia="宋体" w:cs="宋体"/>
          <w:b/>
          <w:szCs w:val="21"/>
          <w:highlight w:val="none"/>
        </w:rPr>
      </w:pPr>
      <w:r>
        <w:rPr>
          <w:rFonts w:hint="eastAsia" w:hAnsi="宋体" w:eastAsia="宋体" w:cs="宋体"/>
          <w:szCs w:val="21"/>
          <w:highlight w:val="none"/>
        </w:rPr>
        <w:t>》中</w:t>
      </w:r>
      <w:bookmarkEnd w:id="236"/>
      <w:r>
        <w:rPr>
          <w:rFonts w:hint="eastAsia" w:hAnsi="宋体" w:eastAsia="宋体" w:cs="宋体"/>
          <w:szCs w:val="21"/>
          <w:highlight w:val="none"/>
        </w:rPr>
        <w:t>要求的</w:t>
      </w:r>
      <w:r>
        <w:rPr>
          <w:rFonts w:hint="eastAsia" w:hAnsi="宋体" w:eastAsia="宋体" w:cs="宋体"/>
          <w:b/>
          <w:bCs/>
          <w:szCs w:val="21"/>
          <w:highlight w:val="none"/>
        </w:rPr>
        <w:t>交货期、交货地点、交货方式、付款方式、质保期</w:t>
      </w:r>
      <w:r>
        <w:rPr>
          <w:rFonts w:hint="eastAsia" w:hAnsi="宋体" w:eastAsia="宋体" w:cs="宋体"/>
          <w:szCs w:val="21"/>
          <w:highlight w:val="none"/>
        </w:rPr>
        <w:t>等内容。</w:t>
      </w:r>
    </w:p>
    <w:p>
      <w:pPr>
        <w:pStyle w:val="14"/>
        <w:spacing w:line="500" w:lineRule="exact"/>
        <w:ind w:firstLine="422" w:firstLineChars="200"/>
        <w:rPr>
          <w:rFonts w:hAnsi="宋体" w:eastAsia="宋体" w:cs="宋体"/>
          <w:szCs w:val="21"/>
          <w:highlight w:val="none"/>
        </w:rPr>
      </w:pPr>
      <w:r>
        <w:rPr>
          <w:rFonts w:hint="eastAsia" w:hAnsi="宋体" w:eastAsia="宋体" w:cs="宋体"/>
          <w:b/>
          <w:szCs w:val="21"/>
          <w:highlight w:val="none"/>
        </w:rPr>
        <w:t>项目名称：                     项目编号：                标包号：</w:t>
      </w:r>
    </w:p>
    <w:tbl>
      <w:tblPr>
        <w:tblStyle w:val="28"/>
        <w:tblW w:w="91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2831"/>
        <w:gridCol w:w="3085"/>
        <w:gridCol w:w="2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1190" w:type="dxa"/>
            <w:noWrap/>
            <w:vAlign w:val="center"/>
          </w:tcPr>
          <w:p>
            <w:pPr>
              <w:pStyle w:val="14"/>
              <w:jc w:val="center"/>
              <w:rPr>
                <w:rFonts w:hAnsi="宋体" w:eastAsia="宋体" w:cs="宋体"/>
                <w:b/>
                <w:szCs w:val="21"/>
                <w:highlight w:val="none"/>
              </w:rPr>
            </w:pPr>
            <w:r>
              <w:rPr>
                <w:rFonts w:hint="eastAsia" w:hAnsi="宋体" w:eastAsia="宋体" w:cs="宋体"/>
                <w:b/>
                <w:szCs w:val="21"/>
                <w:highlight w:val="none"/>
              </w:rPr>
              <w:t>序号</w:t>
            </w:r>
          </w:p>
        </w:tc>
        <w:tc>
          <w:tcPr>
            <w:tcW w:w="2831" w:type="dxa"/>
            <w:noWrap/>
            <w:vAlign w:val="center"/>
          </w:tcPr>
          <w:p>
            <w:pPr>
              <w:pStyle w:val="14"/>
              <w:jc w:val="center"/>
              <w:rPr>
                <w:rFonts w:hAnsi="宋体" w:eastAsia="宋体" w:cs="宋体"/>
                <w:b/>
                <w:szCs w:val="21"/>
                <w:highlight w:val="none"/>
              </w:rPr>
            </w:pPr>
            <w:r>
              <w:rPr>
                <w:rFonts w:hint="eastAsia" w:hAnsi="宋体" w:eastAsia="宋体" w:cs="宋体"/>
                <w:b/>
                <w:szCs w:val="21"/>
                <w:highlight w:val="none"/>
              </w:rPr>
              <w:t>招标文件的商务条款</w:t>
            </w:r>
          </w:p>
        </w:tc>
        <w:tc>
          <w:tcPr>
            <w:tcW w:w="3085" w:type="dxa"/>
            <w:noWrap/>
            <w:vAlign w:val="center"/>
          </w:tcPr>
          <w:p>
            <w:pPr>
              <w:pStyle w:val="14"/>
              <w:jc w:val="center"/>
              <w:rPr>
                <w:rFonts w:hAnsi="宋体" w:eastAsia="宋体" w:cs="宋体"/>
                <w:b/>
                <w:szCs w:val="21"/>
                <w:highlight w:val="none"/>
              </w:rPr>
            </w:pPr>
            <w:r>
              <w:rPr>
                <w:rFonts w:hint="eastAsia" w:hAnsi="宋体" w:eastAsia="宋体" w:cs="宋体"/>
                <w:b/>
                <w:szCs w:val="21"/>
                <w:highlight w:val="none"/>
              </w:rPr>
              <w:t>投标文件的商务条款</w:t>
            </w:r>
          </w:p>
        </w:tc>
        <w:tc>
          <w:tcPr>
            <w:tcW w:w="2047" w:type="dxa"/>
            <w:noWrap/>
            <w:vAlign w:val="center"/>
          </w:tcPr>
          <w:p>
            <w:pPr>
              <w:pStyle w:val="14"/>
              <w:jc w:val="center"/>
              <w:rPr>
                <w:rFonts w:hAnsi="宋体" w:eastAsia="宋体" w:cs="宋体"/>
                <w:b/>
                <w:szCs w:val="21"/>
                <w:highlight w:val="none"/>
              </w:rPr>
            </w:pPr>
            <w:r>
              <w:rPr>
                <w:rFonts w:hint="eastAsia" w:hAnsi="宋体" w:eastAsia="宋体" w:cs="宋体"/>
                <w:b/>
                <w:szCs w:val="21"/>
                <w:highlight w:val="none"/>
              </w:rPr>
              <w:t>响应情况说明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0" w:type="dxa"/>
            <w:noWrap/>
          </w:tcPr>
          <w:p>
            <w:pPr>
              <w:pStyle w:val="14"/>
              <w:jc w:val="center"/>
              <w:rPr>
                <w:rFonts w:hAnsi="宋体" w:eastAsia="宋体" w:cs="宋体"/>
                <w:szCs w:val="21"/>
                <w:highlight w:val="none"/>
              </w:rPr>
            </w:pPr>
          </w:p>
        </w:tc>
        <w:tc>
          <w:tcPr>
            <w:tcW w:w="2831" w:type="dxa"/>
            <w:noWrap/>
          </w:tcPr>
          <w:p>
            <w:pPr>
              <w:pStyle w:val="14"/>
              <w:jc w:val="center"/>
              <w:rPr>
                <w:rFonts w:hAnsi="宋体" w:eastAsia="宋体" w:cs="宋体"/>
                <w:szCs w:val="21"/>
                <w:highlight w:val="none"/>
              </w:rPr>
            </w:pPr>
          </w:p>
        </w:tc>
        <w:tc>
          <w:tcPr>
            <w:tcW w:w="3085" w:type="dxa"/>
            <w:noWrap/>
          </w:tcPr>
          <w:p>
            <w:pPr>
              <w:pStyle w:val="14"/>
              <w:jc w:val="center"/>
              <w:rPr>
                <w:rFonts w:hAnsi="宋体" w:eastAsia="宋体" w:cs="宋体"/>
                <w:szCs w:val="21"/>
                <w:highlight w:val="none"/>
              </w:rPr>
            </w:pPr>
          </w:p>
        </w:tc>
        <w:tc>
          <w:tcPr>
            <w:tcW w:w="2047" w:type="dxa"/>
            <w:noWrap/>
          </w:tcPr>
          <w:p>
            <w:pPr>
              <w:pStyle w:val="14"/>
              <w:jc w:val="center"/>
              <w:rPr>
                <w:rFonts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0" w:type="dxa"/>
            <w:noWrap/>
          </w:tcPr>
          <w:p>
            <w:pPr>
              <w:pStyle w:val="14"/>
              <w:jc w:val="center"/>
              <w:rPr>
                <w:rFonts w:hAnsi="宋体" w:eastAsia="宋体" w:cs="宋体"/>
                <w:szCs w:val="21"/>
                <w:highlight w:val="none"/>
              </w:rPr>
            </w:pPr>
          </w:p>
        </w:tc>
        <w:tc>
          <w:tcPr>
            <w:tcW w:w="2831" w:type="dxa"/>
            <w:noWrap/>
          </w:tcPr>
          <w:p>
            <w:pPr>
              <w:pStyle w:val="14"/>
              <w:jc w:val="center"/>
              <w:rPr>
                <w:rFonts w:hAnsi="宋体" w:eastAsia="宋体" w:cs="宋体"/>
                <w:szCs w:val="21"/>
                <w:highlight w:val="none"/>
              </w:rPr>
            </w:pPr>
          </w:p>
        </w:tc>
        <w:tc>
          <w:tcPr>
            <w:tcW w:w="3085" w:type="dxa"/>
            <w:noWrap/>
          </w:tcPr>
          <w:p>
            <w:pPr>
              <w:pStyle w:val="14"/>
              <w:jc w:val="center"/>
              <w:rPr>
                <w:rFonts w:hAnsi="宋体" w:eastAsia="宋体" w:cs="宋体"/>
                <w:szCs w:val="21"/>
                <w:highlight w:val="none"/>
              </w:rPr>
            </w:pPr>
          </w:p>
        </w:tc>
        <w:tc>
          <w:tcPr>
            <w:tcW w:w="2047" w:type="dxa"/>
            <w:noWrap/>
          </w:tcPr>
          <w:p>
            <w:pPr>
              <w:pStyle w:val="14"/>
              <w:jc w:val="center"/>
              <w:rPr>
                <w:rFonts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190" w:type="dxa"/>
            <w:noWrap/>
          </w:tcPr>
          <w:p>
            <w:pPr>
              <w:pStyle w:val="14"/>
              <w:jc w:val="center"/>
              <w:rPr>
                <w:rFonts w:hAnsi="宋体" w:eastAsia="宋体" w:cs="宋体"/>
                <w:szCs w:val="21"/>
                <w:highlight w:val="none"/>
              </w:rPr>
            </w:pPr>
          </w:p>
        </w:tc>
        <w:tc>
          <w:tcPr>
            <w:tcW w:w="2831" w:type="dxa"/>
            <w:noWrap/>
          </w:tcPr>
          <w:p>
            <w:pPr>
              <w:pStyle w:val="14"/>
              <w:jc w:val="center"/>
              <w:rPr>
                <w:rFonts w:hAnsi="宋体" w:eastAsia="宋体" w:cs="宋体"/>
                <w:szCs w:val="21"/>
                <w:highlight w:val="none"/>
              </w:rPr>
            </w:pPr>
          </w:p>
        </w:tc>
        <w:tc>
          <w:tcPr>
            <w:tcW w:w="3085" w:type="dxa"/>
            <w:noWrap/>
          </w:tcPr>
          <w:p>
            <w:pPr>
              <w:pStyle w:val="14"/>
              <w:jc w:val="center"/>
              <w:rPr>
                <w:rFonts w:hAnsi="宋体" w:eastAsia="宋体" w:cs="宋体"/>
                <w:szCs w:val="21"/>
                <w:highlight w:val="none"/>
              </w:rPr>
            </w:pPr>
          </w:p>
        </w:tc>
        <w:tc>
          <w:tcPr>
            <w:tcW w:w="2047" w:type="dxa"/>
            <w:noWrap/>
          </w:tcPr>
          <w:p>
            <w:pPr>
              <w:pStyle w:val="14"/>
              <w:jc w:val="center"/>
              <w:rPr>
                <w:rFonts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0" w:type="dxa"/>
            <w:noWrap/>
          </w:tcPr>
          <w:p>
            <w:pPr>
              <w:pStyle w:val="14"/>
              <w:jc w:val="center"/>
              <w:rPr>
                <w:rFonts w:hAnsi="宋体" w:eastAsia="宋体" w:cs="宋体"/>
                <w:szCs w:val="21"/>
                <w:highlight w:val="none"/>
              </w:rPr>
            </w:pPr>
          </w:p>
        </w:tc>
        <w:tc>
          <w:tcPr>
            <w:tcW w:w="2831" w:type="dxa"/>
            <w:noWrap/>
          </w:tcPr>
          <w:p>
            <w:pPr>
              <w:pStyle w:val="14"/>
              <w:jc w:val="center"/>
              <w:rPr>
                <w:rFonts w:hAnsi="宋体" w:eastAsia="宋体" w:cs="宋体"/>
                <w:szCs w:val="21"/>
                <w:highlight w:val="none"/>
              </w:rPr>
            </w:pPr>
          </w:p>
        </w:tc>
        <w:tc>
          <w:tcPr>
            <w:tcW w:w="3085" w:type="dxa"/>
            <w:noWrap/>
          </w:tcPr>
          <w:p>
            <w:pPr>
              <w:pStyle w:val="14"/>
              <w:jc w:val="center"/>
              <w:rPr>
                <w:rFonts w:hAnsi="宋体" w:eastAsia="宋体" w:cs="宋体"/>
                <w:szCs w:val="21"/>
                <w:highlight w:val="none"/>
              </w:rPr>
            </w:pPr>
          </w:p>
        </w:tc>
        <w:tc>
          <w:tcPr>
            <w:tcW w:w="2047" w:type="dxa"/>
            <w:noWrap/>
          </w:tcPr>
          <w:p>
            <w:pPr>
              <w:pStyle w:val="14"/>
              <w:jc w:val="center"/>
              <w:rPr>
                <w:rFonts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190" w:type="dxa"/>
            <w:noWrap/>
          </w:tcPr>
          <w:p>
            <w:pPr>
              <w:pStyle w:val="14"/>
              <w:jc w:val="center"/>
              <w:rPr>
                <w:rFonts w:hAnsi="宋体" w:eastAsia="宋体" w:cs="宋体"/>
                <w:szCs w:val="21"/>
                <w:highlight w:val="none"/>
              </w:rPr>
            </w:pPr>
          </w:p>
        </w:tc>
        <w:tc>
          <w:tcPr>
            <w:tcW w:w="2831" w:type="dxa"/>
            <w:noWrap/>
          </w:tcPr>
          <w:p>
            <w:pPr>
              <w:pStyle w:val="14"/>
              <w:jc w:val="center"/>
              <w:rPr>
                <w:rFonts w:hAnsi="宋体" w:eastAsia="宋体" w:cs="宋体"/>
                <w:szCs w:val="21"/>
                <w:highlight w:val="none"/>
              </w:rPr>
            </w:pPr>
          </w:p>
        </w:tc>
        <w:tc>
          <w:tcPr>
            <w:tcW w:w="3085" w:type="dxa"/>
            <w:noWrap/>
          </w:tcPr>
          <w:p>
            <w:pPr>
              <w:pStyle w:val="14"/>
              <w:jc w:val="center"/>
              <w:rPr>
                <w:rFonts w:hAnsi="宋体" w:eastAsia="宋体" w:cs="宋体"/>
                <w:szCs w:val="21"/>
                <w:highlight w:val="none"/>
              </w:rPr>
            </w:pPr>
          </w:p>
        </w:tc>
        <w:tc>
          <w:tcPr>
            <w:tcW w:w="2047" w:type="dxa"/>
            <w:noWrap/>
          </w:tcPr>
          <w:p>
            <w:pPr>
              <w:pStyle w:val="14"/>
              <w:jc w:val="center"/>
              <w:rPr>
                <w:rFonts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0" w:type="dxa"/>
            <w:noWrap/>
          </w:tcPr>
          <w:p>
            <w:pPr>
              <w:pStyle w:val="14"/>
              <w:jc w:val="center"/>
              <w:rPr>
                <w:rFonts w:hAnsi="宋体" w:eastAsia="宋体" w:cs="宋体"/>
                <w:szCs w:val="21"/>
                <w:highlight w:val="none"/>
              </w:rPr>
            </w:pPr>
          </w:p>
        </w:tc>
        <w:tc>
          <w:tcPr>
            <w:tcW w:w="2831" w:type="dxa"/>
            <w:noWrap/>
          </w:tcPr>
          <w:p>
            <w:pPr>
              <w:pStyle w:val="14"/>
              <w:jc w:val="center"/>
              <w:rPr>
                <w:rFonts w:hAnsi="宋体" w:eastAsia="宋体" w:cs="宋体"/>
                <w:szCs w:val="21"/>
                <w:highlight w:val="none"/>
              </w:rPr>
            </w:pPr>
          </w:p>
        </w:tc>
        <w:tc>
          <w:tcPr>
            <w:tcW w:w="3085" w:type="dxa"/>
            <w:noWrap/>
          </w:tcPr>
          <w:p>
            <w:pPr>
              <w:pStyle w:val="14"/>
              <w:jc w:val="center"/>
              <w:rPr>
                <w:rFonts w:hAnsi="宋体" w:eastAsia="宋体" w:cs="宋体"/>
                <w:szCs w:val="21"/>
                <w:highlight w:val="none"/>
              </w:rPr>
            </w:pPr>
          </w:p>
        </w:tc>
        <w:tc>
          <w:tcPr>
            <w:tcW w:w="2047" w:type="dxa"/>
            <w:noWrap/>
          </w:tcPr>
          <w:p>
            <w:pPr>
              <w:pStyle w:val="14"/>
              <w:jc w:val="center"/>
              <w:rPr>
                <w:rFonts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0" w:type="dxa"/>
            <w:noWrap/>
          </w:tcPr>
          <w:p>
            <w:pPr>
              <w:pStyle w:val="14"/>
              <w:jc w:val="center"/>
              <w:rPr>
                <w:rFonts w:hAnsi="宋体" w:eastAsia="宋体" w:cs="宋体"/>
                <w:szCs w:val="21"/>
                <w:highlight w:val="none"/>
              </w:rPr>
            </w:pPr>
          </w:p>
        </w:tc>
        <w:tc>
          <w:tcPr>
            <w:tcW w:w="2831" w:type="dxa"/>
            <w:noWrap/>
          </w:tcPr>
          <w:p>
            <w:pPr>
              <w:pStyle w:val="14"/>
              <w:jc w:val="center"/>
              <w:rPr>
                <w:rFonts w:hAnsi="宋体" w:eastAsia="宋体" w:cs="宋体"/>
                <w:szCs w:val="21"/>
                <w:highlight w:val="none"/>
              </w:rPr>
            </w:pPr>
          </w:p>
        </w:tc>
        <w:tc>
          <w:tcPr>
            <w:tcW w:w="3085" w:type="dxa"/>
            <w:noWrap/>
          </w:tcPr>
          <w:p>
            <w:pPr>
              <w:pStyle w:val="14"/>
              <w:jc w:val="center"/>
              <w:rPr>
                <w:rFonts w:hAnsi="宋体" w:eastAsia="宋体" w:cs="宋体"/>
                <w:szCs w:val="21"/>
                <w:highlight w:val="none"/>
              </w:rPr>
            </w:pPr>
          </w:p>
        </w:tc>
        <w:tc>
          <w:tcPr>
            <w:tcW w:w="2047" w:type="dxa"/>
            <w:noWrap/>
          </w:tcPr>
          <w:p>
            <w:pPr>
              <w:pStyle w:val="14"/>
              <w:jc w:val="center"/>
              <w:rPr>
                <w:rFonts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190" w:type="dxa"/>
            <w:noWrap/>
          </w:tcPr>
          <w:p>
            <w:pPr>
              <w:pStyle w:val="14"/>
              <w:jc w:val="center"/>
              <w:rPr>
                <w:rFonts w:hAnsi="宋体" w:eastAsia="宋体" w:cs="宋体"/>
                <w:szCs w:val="21"/>
                <w:highlight w:val="none"/>
              </w:rPr>
            </w:pPr>
          </w:p>
        </w:tc>
        <w:tc>
          <w:tcPr>
            <w:tcW w:w="2831" w:type="dxa"/>
            <w:noWrap/>
          </w:tcPr>
          <w:p>
            <w:pPr>
              <w:pStyle w:val="14"/>
              <w:jc w:val="center"/>
              <w:rPr>
                <w:rFonts w:hAnsi="宋体" w:eastAsia="宋体" w:cs="宋体"/>
                <w:szCs w:val="21"/>
                <w:highlight w:val="none"/>
              </w:rPr>
            </w:pPr>
          </w:p>
        </w:tc>
        <w:tc>
          <w:tcPr>
            <w:tcW w:w="3085" w:type="dxa"/>
            <w:noWrap/>
          </w:tcPr>
          <w:p>
            <w:pPr>
              <w:pStyle w:val="14"/>
              <w:jc w:val="center"/>
              <w:rPr>
                <w:rFonts w:hAnsi="宋体" w:eastAsia="宋体" w:cs="宋体"/>
                <w:szCs w:val="21"/>
                <w:highlight w:val="none"/>
              </w:rPr>
            </w:pPr>
          </w:p>
        </w:tc>
        <w:tc>
          <w:tcPr>
            <w:tcW w:w="2047" w:type="dxa"/>
            <w:noWrap/>
          </w:tcPr>
          <w:p>
            <w:pPr>
              <w:pStyle w:val="14"/>
              <w:jc w:val="center"/>
              <w:rPr>
                <w:rFonts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0" w:type="dxa"/>
            <w:noWrap/>
          </w:tcPr>
          <w:p>
            <w:pPr>
              <w:pStyle w:val="14"/>
              <w:jc w:val="center"/>
              <w:rPr>
                <w:rFonts w:hAnsi="宋体" w:eastAsia="宋体" w:cs="宋体"/>
                <w:szCs w:val="21"/>
                <w:highlight w:val="none"/>
              </w:rPr>
            </w:pPr>
          </w:p>
        </w:tc>
        <w:tc>
          <w:tcPr>
            <w:tcW w:w="2831" w:type="dxa"/>
            <w:noWrap/>
          </w:tcPr>
          <w:p>
            <w:pPr>
              <w:pStyle w:val="14"/>
              <w:jc w:val="center"/>
              <w:rPr>
                <w:rFonts w:hAnsi="宋体" w:eastAsia="宋体" w:cs="宋体"/>
                <w:szCs w:val="21"/>
                <w:highlight w:val="none"/>
              </w:rPr>
            </w:pPr>
          </w:p>
        </w:tc>
        <w:tc>
          <w:tcPr>
            <w:tcW w:w="3085" w:type="dxa"/>
            <w:noWrap/>
          </w:tcPr>
          <w:p>
            <w:pPr>
              <w:pStyle w:val="14"/>
              <w:jc w:val="center"/>
              <w:rPr>
                <w:rFonts w:hAnsi="宋体" w:eastAsia="宋体" w:cs="宋体"/>
                <w:szCs w:val="21"/>
                <w:highlight w:val="none"/>
              </w:rPr>
            </w:pPr>
          </w:p>
        </w:tc>
        <w:tc>
          <w:tcPr>
            <w:tcW w:w="2047" w:type="dxa"/>
            <w:noWrap/>
          </w:tcPr>
          <w:p>
            <w:pPr>
              <w:pStyle w:val="14"/>
              <w:jc w:val="center"/>
              <w:rPr>
                <w:rFonts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190" w:type="dxa"/>
            <w:noWrap/>
          </w:tcPr>
          <w:p>
            <w:pPr>
              <w:pStyle w:val="14"/>
              <w:jc w:val="center"/>
              <w:rPr>
                <w:rFonts w:hAnsi="宋体" w:eastAsia="宋体" w:cs="宋体"/>
                <w:szCs w:val="21"/>
                <w:highlight w:val="none"/>
              </w:rPr>
            </w:pPr>
          </w:p>
        </w:tc>
        <w:tc>
          <w:tcPr>
            <w:tcW w:w="2831" w:type="dxa"/>
            <w:noWrap/>
          </w:tcPr>
          <w:p>
            <w:pPr>
              <w:pStyle w:val="14"/>
              <w:jc w:val="center"/>
              <w:rPr>
                <w:rFonts w:hAnsi="宋体" w:eastAsia="宋体" w:cs="宋体"/>
                <w:szCs w:val="21"/>
                <w:highlight w:val="none"/>
              </w:rPr>
            </w:pPr>
          </w:p>
        </w:tc>
        <w:tc>
          <w:tcPr>
            <w:tcW w:w="3085" w:type="dxa"/>
            <w:noWrap/>
          </w:tcPr>
          <w:p>
            <w:pPr>
              <w:pStyle w:val="14"/>
              <w:jc w:val="center"/>
              <w:rPr>
                <w:rFonts w:hAnsi="宋体" w:eastAsia="宋体" w:cs="宋体"/>
                <w:szCs w:val="21"/>
                <w:highlight w:val="none"/>
              </w:rPr>
            </w:pPr>
          </w:p>
        </w:tc>
        <w:tc>
          <w:tcPr>
            <w:tcW w:w="2047" w:type="dxa"/>
            <w:noWrap/>
          </w:tcPr>
          <w:p>
            <w:pPr>
              <w:pStyle w:val="14"/>
              <w:jc w:val="center"/>
              <w:rPr>
                <w:rFonts w:hAnsi="宋体" w:eastAsia="宋体" w:cs="宋体"/>
                <w:szCs w:val="21"/>
                <w:highlight w:val="none"/>
              </w:rPr>
            </w:pPr>
          </w:p>
        </w:tc>
      </w:tr>
    </w:tbl>
    <w:p>
      <w:pPr>
        <w:pStyle w:val="14"/>
        <w:spacing w:line="600" w:lineRule="exact"/>
        <w:rPr>
          <w:rFonts w:hAnsi="宋体" w:eastAsia="宋体" w:cs="宋体"/>
          <w:b/>
          <w:szCs w:val="21"/>
          <w:highlight w:val="none"/>
        </w:rPr>
      </w:pPr>
      <w:r>
        <w:rPr>
          <w:rFonts w:hint="eastAsia" w:hAnsi="宋体" w:eastAsia="宋体" w:cs="宋体"/>
          <w:b/>
          <w:szCs w:val="21"/>
          <w:highlight w:val="none"/>
        </w:rPr>
        <w:t>注：对于招标文件第五章《项目需求及技术要求》和第三章《合同基本格式及主要条款》中要求需有证明材料或书面承诺的，须在投标文件中提供证明材料或书面承诺。</w:t>
      </w:r>
    </w:p>
    <w:p>
      <w:pPr>
        <w:spacing w:line="360" w:lineRule="auto"/>
        <w:rPr>
          <w:rFonts w:ascii="宋体" w:hAnsi="宋体"/>
          <w:b/>
          <w:sz w:val="24"/>
          <w:highlight w:val="none"/>
        </w:rPr>
      </w:pPr>
    </w:p>
    <w:p>
      <w:pPr>
        <w:spacing w:line="360" w:lineRule="auto"/>
        <w:rPr>
          <w:rFonts w:ascii="宋体" w:hAnsi="宋体"/>
          <w:b/>
          <w:sz w:val="24"/>
          <w:highlight w:val="none"/>
        </w:rPr>
      </w:pPr>
    </w:p>
    <w:p>
      <w:pPr>
        <w:spacing w:line="360" w:lineRule="auto"/>
        <w:rPr>
          <w:rFonts w:ascii="宋体" w:hAnsi="宋体"/>
          <w:b/>
          <w:sz w:val="24"/>
          <w:highlight w:val="none"/>
        </w:rPr>
      </w:pPr>
    </w:p>
    <w:p>
      <w:pPr>
        <w:spacing w:line="360" w:lineRule="auto"/>
        <w:rPr>
          <w:rFonts w:ascii="宋体" w:hAnsi="宋体"/>
          <w:b/>
          <w:sz w:val="24"/>
          <w:highlight w:val="none"/>
        </w:rPr>
      </w:pPr>
      <w:r>
        <w:rPr>
          <w:rFonts w:hint="eastAsia" w:ascii="宋体" w:hAnsi="宋体"/>
          <w:b/>
          <w:sz w:val="24"/>
          <w:highlight w:val="none"/>
        </w:rPr>
        <w:t>投标人</w:t>
      </w:r>
      <w:r>
        <w:rPr>
          <w:rFonts w:ascii="宋体" w:hAnsi="宋体"/>
          <w:b/>
          <w:sz w:val="24"/>
          <w:highlight w:val="none"/>
        </w:rPr>
        <w:t>：（</w:t>
      </w:r>
      <w:r>
        <w:rPr>
          <w:rFonts w:hint="eastAsia" w:ascii="宋体" w:hAnsi="宋体"/>
          <w:b/>
          <w:sz w:val="24"/>
          <w:highlight w:val="none"/>
        </w:rPr>
        <w:t>加</w:t>
      </w:r>
      <w:r>
        <w:rPr>
          <w:rFonts w:ascii="宋体" w:hAnsi="宋体"/>
          <w:b/>
          <w:sz w:val="24"/>
          <w:highlight w:val="none"/>
        </w:rPr>
        <w:t>盖</w:t>
      </w:r>
      <w:r>
        <w:rPr>
          <w:rFonts w:hint="eastAsia" w:ascii="宋体" w:hAnsi="宋体"/>
          <w:b/>
          <w:sz w:val="24"/>
          <w:highlight w:val="none"/>
        </w:rPr>
        <w:t>电子公章</w:t>
      </w:r>
      <w:r>
        <w:rPr>
          <w:rFonts w:ascii="宋体" w:hAnsi="宋体"/>
          <w:b/>
          <w:sz w:val="24"/>
          <w:highlight w:val="none"/>
        </w:rPr>
        <w:t>）</w:t>
      </w:r>
    </w:p>
    <w:p>
      <w:pPr>
        <w:spacing w:line="360" w:lineRule="auto"/>
        <w:rPr>
          <w:rFonts w:ascii="宋体" w:hAnsi="宋体"/>
          <w:b/>
          <w:sz w:val="24"/>
          <w:highlight w:val="none"/>
        </w:rPr>
      </w:pPr>
      <w:r>
        <w:rPr>
          <w:rFonts w:hint="eastAsia" w:ascii="宋体" w:hAnsi="宋体"/>
          <w:b/>
          <w:sz w:val="24"/>
          <w:highlight w:val="none"/>
        </w:rPr>
        <w:t>法定代表人或其委托代理人（签名或电子签章）：</w:t>
      </w:r>
    </w:p>
    <w:p>
      <w:pPr>
        <w:pStyle w:val="14"/>
        <w:spacing w:line="360" w:lineRule="auto"/>
        <w:rPr>
          <w:rFonts w:hAnsi="宋体"/>
          <w:b/>
          <w:sz w:val="24"/>
          <w:highlight w:val="none"/>
        </w:rPr>
      </w:pPr>
      <w:r>
        <w:rPr>
          <w:rFonts w:hAnsi="宋体"/>
          <w:b/>
          <w:sz w:val="24"/>
          <w:highlight w:val="none"/>
        </w:rPr>
        <w:t>年</w:t>
      </w:r>
      <w:r>
        <w:rPr>
          <w:rFonts w:hint="eastAsia" w:hAnsi="宋体"/>
          <w:b/>
          <w:sz w:val="24"/>
          <w:highlight w:val="none"/>
        </w:rPr>
        <w:t xml:space="preserve">  </w:t>
      </w:r>
      <w:r>
        <w:rPr>
          <w:rFonts w:hAnsi="宋体"/>
          <w:b/>
          <w:sz w:val="24"/>
          <w:highlight w:val="none"/>
        </w:rPr>
        <w:t>月</w:t>
      </w:r>
      <w:r>
        <w:rPr>
          <w:rFonts w:hint="eastAsia" w:hAnsi="宋体"/>
          <w:b/>
          <w:sz w:val="24"/>
          <w:highlight w:val="none"/>
        </w:rPr>
        <w:t xml:space="preserve">  </w:t>
      </w:r>
      <w:r>
        <w:rPr>
          <w:rFonts w:hAnsi="宋体"/>
          <w:b/>
          <w:sz w:val="24"/>
          <w:highlight w:val="none"/>
        </w:rPr>
        <w:t>日</w:t>
      </w:r>
    </w:p>
    <w:p>
      <w:pPr>
        <w:pStyle w:val="14"/>
        <w:spacing w:line="360" w:lineRule="auto"/>
        <w:rPr>
          <w:rFonts w:hAnsi="宋体"/>
          <w:b/>
          <w:sz w:val="24"/>
          <w:highlight w:val="none"/>
        </w:rPr>
      </w:pPr>
    </w:p>
    <w:p>
      <w:pPr>
        <w:pStyle w:val="4"/>
        <w:numPr>
          <w:ilvl w:val="0"/>
          <w:numId w:val="0"/>
        </w:numPr>
        <w:jc w:val="center"/>
        <w:rPr>
          <w:rFonts w:hint="eastAsia" w:hAnsi="宋体" w:eastAsia="宋体"/>
          <w:szCs w:val="28"/>
          <w:highlight w:val="none"/>
        </w:rPr>
      </w:pPr>
    </w:p>
    <w:p>
      <w:pPr>
        <w:pStyle w:val="4"/>
        <w:numPr>
          <w:ilvl w:val="0"/>
          <w:numId w:val="0"/>
        </w:numPr>
        <w:jc w:val="center"/>
        <w:rPr>
          <w:rFonts w:hint="eastAsia" w:hAnsi="宋体" w:eastAsia="宋体"/>
          <w:szCs w:val="28"/>
          <w:highlight w:val="none"/>
        </w:rPr>
      </w:pPr>
    </w:p>
    <w:p>
      <w:pPr>
        <w:pStyle w:val="4"/>
        <w:numPr>
          <w:ilvl w:val="0"/>
          <w:numId w:val="0"/>
        </w:numPr>
        <w:jc w:val="center"/>
        <w:rPr>
          <w:rFonts w:ascii="宋体" w:hAnsi="宋体" w:eastAsia="宋体"/>
          <w:sz w:val="32"/>
          <w:szCs w:val="32"/>
          <w:highlight w:val="none"/>
        </w:rPr>
      </w:pPr>
      <w:r>
        <w:rPr>
          <w:rFonts w:hint="eastAsia" w:hAnsi="宋体" w:eastAsia="宋体"/>
          <w:szCs w:val="28"/>
          <w:highlight w:val="none"/>
        </w:rPr>
        <w:t>（八）</w:t>
      </w:r>
      <w:r>
        <w:rPr>
          <w:rFonts w:ascii="宋体" w:hAnsi="宋体" w:eastAsia="宋体"/>
          <w:sz w:val="32"/>
          <w:szCs w:val="32"/>
          <w:highlight w:val="none"/>
        </w:rPr>
        <w:t>构成投标文件技术部分的其</w:t>
      </w:r>
      <w:r>
        <w:rPr>
          <w:rFonts w:hint="eastAsia" w:ascii="宋体" w:hAnsi="宋体" w:eastAsia="宋体"/>
          <w:sz w:val="32"/>
          <w:szCs w:val="32"/>
          <w:highlight w:val="none"/>
        </w:rPr>
        <w:t>他</w:t>
      </w:r>
      <w:r>
        <w:rPr>
          <w:rFonts w:ascii="宋体" w:hAnsi="宋体" w:eastAsia="宋体"/>
          <w:sz w:val="32"/>
          <w:szCs w:val="32"/>
          <w:highlight w:val="none"/>
        </w:rPr>
        <w:t>资料</w:t>
      </w:r>
    </w:p>
    <w:p>
      <w:pPr>
        <w:spacing w:line="360" w:lineRule="auto"/>
        <w:jc w:val="center"/>
        <w:rPr>
          <w:highlight w:val="none"/>
        </w:rPr>
      </w:pPr>
      <w:r>
        <w:rPr>
          <w:rFonts w:hint="eastAsia" w:ascii="宋体" w:hAnsi="宋体"/>
          <w:sz w:val="24"/>
          <w:highlight w:val="none"/>
        </w:rPr>
        <w:t>（投标人认为需要提供的技术部分其他资料，格式自拟。）</w:t>
      </w:r>
    </w:p>
    <w:p>
      <w:pPr>
        <w:pStyle w:val="14"/>
        <w:spacing w:line="360" w:lineRule="auto"/>
        <w:rPr>
          <w:rFonts w:hAnsi="宋体"/>
          <w:b/>
          <w:sz w:val="24"/>
          <w:highlight w:val="none"/>
        </w:rPr>
      </w:pPr>
    </w:p>
    <w:p>
      <w:pPr>
        <w:rPr>
          <w:rFonts w:hAnsi="宋体" w:eastAsia="宋体"/>
          <w:b/>
          <w:sz w:val="28"/>
          <w:szCs w:val="28"/>
          <w:highlight w:val="none"/>
        </w:rPr>
      </w:pPr>
      <w:r>
        <w:rPr>
          <w:rFonts w:hint="eastAsia" w:hAnsi="宋体" w:eastAsia="宋体"/>
          <w:b/>
          <w:sz w:val="28"/>
          <w:szCs w:val="28"/>
          <w:highlight w:val="none"/>
        </w:rPr>
        <w:br w:type="page"/>
      </w:r>
    </w:p>
    <w:bookmarkEnd w:id="230"/>
    <w:p>
      <w:pPr>
        <w:pStyle w:val="24"/>
        <w:numPr>
          <w:ilvl w:val="0"/>
          <w:numId w:val="14"/>
        </w:numPr>
        <w:spacing w:line="360" w:lineRule="auto"/>
        <w:rPr>
          <w:rFonts w:ascii="宋体" w:hAnsi="宋体"/>
          <w:bCs w:val="0"/>
          <w:kern w:val="44"/>
          <w:sz w:val="36"/>
          <w:szCs w:val="20"/>
          <w:highlight w:val="none"/>
        </w:rPr>
      </w:pPr>
      <w:r>
        <w:rPr>
          <w:rFonts w:hint="eastAsia" w:ascii="宋体" w:hAnsi="宋体"/>
          <w:bCs w:val="0"/>
          <w:kern w:val="44"/>
          <w:sz w:val="36"/>
          <w:szCs w:val="20"/>
          <w:highlight w:val="none"/>
        </w:rPr>
        <w:t xml:space="preserve"> </w:t>
      </w:r>
      <w:bookmarkStart w:id="237" w:name="_Toc9703"/>
      <w:bookmarkStart w:id="238" w:name="_Toc19668"/>
      <w:bookmarkStart w:id="239" w:name="_Toc29830"/>
      <w:bookmarkStart w:id="240" w:name="_Toc20971"/>
      <w:bookmarkStart w:id="241" w:name="_Toc17273"/>
      <w:bookmarkStart w:id="242" w:name="_Toc168573771"/>
      <w:r>
        <w:rPr>
          <w:rFonts w:hint="eastAsia" w:ascii="宋体" w:hAnsi="宋体"/>
          <w:bCs w:val="0"/>
          <w:kern w:val="44"/>
          <w:sz w:val="36"/>
          <w:szCs w:val="20"/>
          <w:highlight w:val="none"/>
        </w:rPr>
        <w:t>项目需求及</w:t>
      </w:r>
      <w:r>
        <w:rPr>
          <w:rFonts w:ascii="宋体" w:hAnsi="宋体"/>
          <w:bCs w:val="0"/>
          <w:kern w:val="44"/>
          <w:sz w:val="36"/>
          <w:szCs w:val="20"/>
          <w:highlight w:val="none"/>
        </w:rPr>
        <w:t>技术要求</w:t>
      </w:r>
      <w:bookmarkEnd w:id="237"/>
      <w:bookmarkEnd w:id="238"/>
      <w:bookmarkEnd w:id="239"/>
      <w:bookmarkEnd w:id="240"/>
      <w:bookmarkEnd w:id="241"/>
      <w:bookmarkEnd w:id="242"/>
    </w:p>
    <w:p>
      <w:pPr>
        <w:jc w:val="center"/>
        <w:rPr>
          <w:rFonts w:ascii="方正黑体简体" w:hAnsi="方正黑体简体" w:eastAsia="方正黑体简体" w:cs="方正黑体简体"/>
          <w:sz w:val="32"/>
          <w:szCs w:val="32"/>
          <w:highlight w:val="none"/>
        </w:rPr>
      </w:pPr>
      <w:r>
        <w:rPr>
          <w:rFonts w:hint="eastAsia" w:ascii="方正黑体简体" w:hAnsi="方正黑体简体" w:eastAsia="方正黑体简体" w:cs="方正黑体简体"/>
          <w:sz w:val="32"/>
          <w:szCs w:val="32"/>
          <w:highlight w:val="none"/>
        </w:rPr>
        <w:t>（一）1标包头盔需求及技术要求</w:t>
      </w:r>
    </w:p>
    <w:tbl>
      <w:tblPr>
        <w:tblStyle w:val="28"/>
        <w:tblW w:w="10095" w:type="dxa"/>
        <w:jc w:val="center"/>
        <w:tblLayout w:type="fixed"/>
        <w:tblCellMar>
          <w:top w:w="0" w:type="dxa"/>
          <w:left w:w="108" w:type="dxa"/>
          <w:bottom w:w="0" w:type="dxa"/>
          <w:right w:w="108" w:type="dxa"/>
        </w:tblCellMar>
      </w:tblPr>
      <w:tblGrid>
        <w:gridCol w:w="1006"/>
        <w:gridCol w:w="943"/>
        <w:gridCol w:w="6422"/>
        <w:gridCol w:w="636"/>
        <w:gridCol w:w="1088"/>
      </w:tblGrid>
      <w:tr>
        <w:tblPrEx>
          <w:tblCellMar>
            <w:top w:w="0" w:type="dxa"/>
            <w:left w:w="108" w:type="dxa"/>
            <w:bottom w:w="0" w:type="dxa"/>
            <w:right w:w="108" w:type="dxa"/>
          </w:tblCellMar>
        </w:tblPrEx>
        <w:trPr>
          <w:jc w:val="center"/>
        </w:trPr>
        <w:tc>
          <w:tcPr>
            <w:tcW w:w="100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kern w:val="0"/>
                <w:szCs w:val="21"/>
                <w:highlight w:val="none"/>
                <w:lang w:bidi="ar"/>
              </w:rPr>
            </w:pPr>
            <w:bookmarkStart w:id="243" w:name="_Toc45182447"/>
            <w:r>
              <w:rPr>
                <w:rFonts w:hint="eastAsia" w:ascii="宋体" w:hAnsi="宋体" w:eastAsia="宋体" w:cs="宋体"/>
                <w:kern w:val="0"/>
                <w:szCs w:val="21"/>
                <w:highlight w:val="none"/>
                <w:lang w:bidi="ar"/>
              </w:rPr>
              <w:t>1标包头盔</w:t>
            </w:r>
          </w:p>
        </w:tc>
      </w:tr>
      <w:tr>
        <w:tblPrEx>
          <w:tblCellMar>
            <w:top w:w="0" w:type="dxa"/>
            <w:left w:w="108" w:type="dxa"/>
            <w:bottom w:w="0" w:type="dxa"/>
            <w:right w:w="108" w:type="dxa"/>
          </w:tblCellMar>
        </w:tblPrEx>
        <w:trPr>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品目名称</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装备名称</w:t>
            </w:r>
          </w:p>
        </w:tc>
        <w:tc>
          <w:tcPr>
            <w:tcW w:w="64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技术参数</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拟采购数量</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是否核心产品</w:t>
            </w:r>
          </w:p>
        </w:tc>
      </w:tr>
      <w:tr>
        <w:tblPrEx>
          <w:tblCellMar>
            <w:top w:w="0" w:type="dxa"/>
            <w:left w:w="108" w:type="dxa"/>
            <w:bottom w:w="0" w:type="dxa"/>
            <w:right w:w="108" w:type="dxa"/>
          </w:tblCellMar>
        </w:tblPrEx>
        <w:trPr>
          <w:trHeight w:val="90" w:hRule="atLeast"/>
          <w:jc w:val="center"/>
        </w:trPr>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01头盔</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森林灭火防护头盔</w:t>
            </w:r>
          </w:p>
        </w:tc>
        <w:tc>
          <w:tcPr>
            <w:tcW w:w="64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▲1.款式要求和性能参数需符合原国家消防救援局西区《15森林灭火防护头盔技术规范》。</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★2.冲击吸收性能：传递到头模上的力≤4900N，帽壳不得有碎片脱落。</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3.耐穿刺性能：钢锥不得接触头模表面，帽壳不得有碎片脱落。</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★4.侧向刚性：最大变形≤40mm，残余变形≤15mm，帽壳不得有碎片脱落。</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★5.阻燃性能：续燃时间≤5s，帽壳不得烧穿。</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6.头盔耐熔融金属飞溅性能：帽壳被穿透现象；出现大于10mm的损坏形变；帽壳续燃时间大于5s。</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7.每顶头盔需配备1个备用帽绳卡扣。</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8.需求区分M/L两个型号制作。</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9.中标后须与佩戴式头灯中标供应商进行匹配协调。（提供相关承诺函）</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▲10.相关标志服饰制作、关标志服饰制作、字体印刷按国家消防救援局下发最新标准执行。（提供相关承诺函）</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▲11.质保期：自验收合格之日起1年。</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▲12.提供具备国家法定检测资质的检测机构出具的检测报告。</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3129顶</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是</w:t>
            </w:r>
          </w:p>
        </w:tc>
      </w:tr>
      <w:tr>
        <w:tblPrEx>
          <w:tblCellMar>
            <w:top w:w="0" w:type="dxa"/>
            <w:left w:w="108" w:type="dxa"/>
            <w:bottom w:w="0" w:type="dxa"/>
            <w:right w:w="108" w:type="dxa"/>
          </w:tblCellMar>
        </w:tblPrEx>
        <w:trPr>
          <w:jc w:val="center"/>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szCs w:val="21"/>
                <w:highlight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抢险救援头盔</w:t>
            </w:r>
          </w:p>
        </w:tc>
        <w:tc>
          <w:tcPr>
            <w:tcW w:w="64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highlight w:val="none"/>
              </w:rPr>
            </w:pPr>
            <w:r>
              <w:rPr>
                <w:rFonts w:hint="eastAsia"/>
                <w:highlight w:val="none"/>
              </w:rPr>
              <w:t>▲1.符合《消防员抢险救援防护服装》（XF633-2006）标准，整体服装款式、号型等应符合《20式消防员抢险救援防护服款式标识统型》的要求，若国家消防救援局有最新规定，按照最新规定要求。</w:t>
            </w:r>
          </w:p>
          <w:p>
            <w:pPr>
              <w:widowControl/>
              <w:jc w:val="left"/>
              <w:textAlignment w:val="center"/>
              <w:rPr>
                <w:highlight w:val="none"/>
              </w:rPr>
            </w:pPr>
            <w:r>
              <w:rPr>
                <w:rFonts w:hint="eastAsia"/>
                <w:highlight w:val="none"/>
              </w:rPr>
              <w:t>▲2.采用碳纤维复合材料制成，具有较好的轻便性和防护性能。</w:t>
            </w:r>
          </w:p>
          <w:p>
            <w:pPr>
              <w:widowControl/>
              <w:jc w:val="left"/>
              <w:textAlignment w:val="center"/>
              <w:rPr>
                <w:highlight w:val="none"/>
              </w:rPr>
            </w:pPr>
            <w:r>
              <w:rPr>
                <w:rFonts w:hint="eastAsia"/>
                <w:highlight w:val="none"/>
              </w:rPr>
              <w:t>▲3.采取多功能模块化滑轨设计，由盔壳、滑轨、缓冲层、舒适衬垫、佩戴装置等组成，中标后须与佩戴式头灯中标供应商进行匹配协调。（提供相关承诺函）</w:t>
            </w:r>
          </w:p>
          <w:p>
            <w:pPr>
              <w:widowControl/>
              <w:jc w:val="left"/>
              <w:textAlignment w:val="center"/>
              <w:rPr>
                <w:highlight w:val="none"/>
              </w:rPr>
            </w:pPr>
            <w:r>
              <w:rPr>
                <w:rFonts w:hint="eastAsia"/>
                <w:highlight w:val="none"/>
              </w:rPr>
              <w:t>4.侧向冲击性能：加速度峰值应不大于300 g；超过150g时的累计时间应不大于5 ms；超过200g时的累计时间应不大于3 ms；盔体不应有碎片脱落；所有部件不应与盔体分离。</w:t>
            </w:r>
          </w:p>
          <w:p>
            <w:pPr>
              <w:widowControl/>
              <w:jc w:val="left"/>
              <w:textAlignment w:val="center"/>
              <w:rPr>
                <w:highlight w:val="none"/>
              </w:rPr>
            </w:pPr>
            <w:r>
              <w:rPr>
                <w:rFonts w:hint="eastAsia"/>
                <w:highlight w:val="none"/>
              </w:rPr>
              <w:t>★5.头盔抗冲击吸收性能≤3780N，侧向刚性头盔帽壳最大变形应≤40mm，卸载后应≤15mm，下颏带不应发生断裂、滑脱，其延伸长度不应大于20mm。</w:t>
            </w:r>
          </w:p>
          <w:p>
            <w:pPr>
              <w:widowControl/>
              <w:jc w:val="left"/>
              <w:textAlignment w:val="center"/>
              <w:rPr>
                <w:highlight w:val="none"/>
              </w:rPr>
            </w:pPr>
            <w:r>
              <w:rPr>
                <w:rFonts w:hint="eastAsia"/>
                <w:highlight w:val="none"/>
              </w:rPr>
              <w:t>6.耐穿刺性能：钢锥不应接触头模表面；壳体盔体不应有碎片脱落；所有部件不应与壳体盔体分离。</w:t>
            </w:r>
          </w:p>
          <w:p>
            <w:pPr>
              <w:widowControl/>
              <w:jc w:val="left"/>
              <w:textAlignment w:val="center"/>
              <w:rPr>
                <w:highlight w:val="none"/>
              </w:rPr>
            </w:pPr>
            <w:r>
              <w:rPr>
                <w:rFonts w:hint="eastAsia"/>
                <w:highlight w:val="none"/>
              </w:rPr>
              <w:t>7.电绝缘性能：泄漏电流应不大于3.0 mA。</w:t>
            </w:r>
          </w:p>
          <w:p>
            <w:pPr>
              <w:widowControl/>
              <w:jc w:val="left"/>
              <w:textAlignment w:val="center"/>
              <w:rPr>
                <w:highlight w:val="none"/>
              </w:rPr>
            </w:pPr>
            <w:r>
              <w:rPr>
                <w:rFonts w:hint="eastAsia"/>
                <w:highlight w:val="none"/>
              </w:rPr>
              <w:t>★8.侧向刚性：最大变形应不大于40 mm,残余变形应不大于15 mm,帽壳盔体不得有碎片脱落。</w:t>
            </w:r>
          </w:p>
          <w:p>
            <w:pPr>
              <w:widowControl/>
              <w:jc w:val="left"/>
              <w:textAlignment w:val="center"/>
              <w:rPr>
                <w:highlight w:val="none"/>
              </w:rPr>
            </w:pPr>
            <w:r>
              <w:rPr>
                <w:rFonts w:hint="eastAsia"/>
                <w:highlight w:val="none"/>
              </w:rPr>
              <w:t xml:space="preserve">★9.阻燃性能：帽壳盔体火焰应在5 s内自熄。 </w:t>
            </w:r>
          </w:p>
          <w:p>
            <w:pPr>
              <w:widowControl/>
              <w:jc w:val="left"/>
              <w:textAlignment w:val="center"/>
              <w:rPr>
                <w:highlight w:val="none"/>
              </w:rPr>
            </w:pPr>
            <w:r>
              <w:rPr>
                <w:rFonts w:hint="eastAsia"/>
                <w:highlight w:val="none"/>
              </w:rPr>
              <w:t>10.耐化学品性能：帽壳盔体不应出现大于10 mm的损坏及穿透现象。</w:t>
            </w:r>
          </w:p>
          <w:p>
            <w:pPr>
              <w:widowControl/>
              <w:jc w:val="left"/>
              <w:textAlignment w:val="center"/>
              <w:rPr>
                <w:highlight w:val="none"/>
              </w:rPr>
            </w:pPr>
            <w:r>
              <w:rPr>
                <w:rFonts w:hint="eastAsia"/>
                <w:highlight w:val="none"/>
              </w:rPr>
              <w:t>11.帽箍头围可调系统确保在52-64CM范围内自由调整和锁定，帽箍前端佩戴高度可上下调节，需适合不同头型的救援人员佩戴舒适稳固。</w:t>
            </w:r>
          </w:p>
          <w:p>
            <w:pPr>
              <w:widowControl/>
              <w:jc w:val="left"/>
              <w:textAlignment w:val="center"/>
              <w:rPr>
                <w:highlight w:val="none"/>
              </w:rPr>
            </w:pPr>
            <w:r>
              <w:rPr>
                <w:rFonts w:hint="eastAsia"/>
                <w:highlight w:val="none"/>
              </w:rPr>
              <w:t>12.需求区分M/L两个型号制作。</w:t>
            </w:r>
          </w:p>
          <w:p>
            <w:pPr>
              <w:widowControl/>
              <w:jc w:val="left"/>
              <w:textAlignment w:val="center"/>
              <w:rPr>
                <w:highlight w:val="none"/>
              </w:rPr>
            </w:pPr>
            <w:r>
              <w:rPr>
                <w:rFonts w:hint="eastAsia"/>
                <w:highlight w:val="none"/>
              </w:rPr>
              <w:t>▲13.相关标志服饰制作、关标志服饰制作、字体印刷按国家消防救援局下发最新标准执行。（提供相关承诺函）▲14.质保期：自验收合格之日起1年。</w:t>
            </w:r>
          </w:p>
          <w:p>
            <w:pPr>
              <w:widowControl/>
              <w:jc w:val="left"/>
              <w:textAlignment w:val="center"/>
              <w:rPr>
                <w:highlight w:val="none"/>
              </w:rPr>
            </w:pPr>
            <w:r>
              <w:rPr>
                <w:rFonts w:hint="eastAsia"/>
                <w:highlight w:val="none"/>
              </w:rPr>
              <w:t>▲15.提供具备国家法定检测资质的检测机构出具的检测报告</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4386顶</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否</w:t>
            </w:r>
          </w:p>
        </w:tc>
      </w:tr>
      <w:tr>
        <w:tblPrEx>
          <w:tblCellMar>
            <w:top w:w="0" w:type="dxa"/>
            <w:left w:w="108" w:type="dxa"/>
            <w:bottom w:w="0" w:type="dxa"/>
            <w:right w:w="108" w:type="dxa"/>
          </w:tblCellMar>
        </w:tblPrEx>
        <w:trPr>
          <w:trHeight w:val="1565" w:hRule="atLeast"/>
          <w:jc w:val="center"/>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szCs w:val="21"/>
                <w:highlight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水域救援头盔</w:t>
            </w:r>
          </w:p>
        </w:tc>
        <w:tc>
          <w:tcPr>
            <w:tcW w:w="64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highlight w:val="none"/>
              </w:rPr>
            </w:pPr>
            <w:r>
              <w:rPr>
                <w:rFonts w:hint="eastAsia"/>
                <w:highlight w:val="none"/>
              </w:rPr>
              <w:t>1.适用环境：仅适用于消防水域救援，是为救援人员在水域救援作业中提供一定头部保护防止碰伤、划伤和撞击等。</w:t>
            </w:r>
          </w:p>
          <w:p>
            <w:pPr>
              <w:widowControl/>
              <w:jc w:val="left"/>
              <w:textAlignment w:val="center"/>
              <w:rPr>
                <w:highlight w:val="none"/>
              </w:rPr>
            </w:pPr>
            <w:r>
              <w:rPr>
                <w:rFonts w:hint="eastAsia"/>
                <w:highlight w:val="none"/>
              </w:rPr>
              <w:t>2.性能参数</w:t>
            </w:r>
          </w:p>
          <w:p>
            <w:pPr>
              <w:widowControl/>
              <w:jc w:val="left"/>
              <w:textAlignment w:val="center"/>
              <w:rPr>
                <w:highlight w:val="none"/>
              </w:rPr>
            </w:pPr>
            <w:r>
              <w:rPr>
                <w:rFonts w:hint="eastAsia"/>
                <w:highlight w:val="none"/>
              </w:rPr>
              <w:t>2.1 常温（20℃，±5℃）浸泡24h不下沉，重量≤550g。</w:t>
            </w:r>
          </w:p>
          <w:p>
            <w:pPr>
              <w:widowControl/>
              <w:jc w:val="left"/>
              <w:textAlignment w:val="center"/>
              <w:rPr>
                <w:highlight w:val="none"/>
              </w:rPr>
            </w:pPr>
            <w:r>
              <w:rPr>
                <w:rFonts w:hint="eastAsia"/>
                <w:highlight w:val="none"/>
              </w:rPr>
              <w:t>2.2 最大加速度≤250G，加速度超过150G的持续时间应＜4ms (G为重力加速度)；</w:t>
            </w:r>
          </w:p>
          <w:p>
            <w:pPr>
              <w:widowControl/>
              <w:jc w:val="left"/>
              <w:textAlignment w:val="center"/>
              <w:rPr>
                <w:highlight w:val="none"/>
              </w:rPr>
            </w:pPr>
            <w:r>
              <w:rPr>
                <w:rFonts w:hint="eastAsia"/>
                <w:highlight w:val="none"/>
              </w:rPr>
              <w:t>★2.3 侧向刚性：帽壳的最大变形应≤20mm，卸载后变形≤8mm；</w:t>
            </w:r>
          </w:p>
          <w:p>
            <w:pPr>
              <w:widowControl/>
              <w:jc w:val="left"/>
              <w:textAlignment w:val="center"/>
              <w:rPr>
                <w:highlight w:val="none"/>
              </w:rPr>
            </w:pPr>
            <w:r>
              <w:rPr>
                <w:rFonts w:hint="eastAsia"/>
                <w:highlight w:val="none"/>
              </w:rPr>
              <w:t>2.4 下颏带宽度≥15mm，插扣式固定；</w:t>
            </w:r>
          </w:p>
          <w:p>
            <w:pPr>
              <w:widowControl/>
              <w:jc w:val="left"/>
              <w:textAlignment w:val="center"/>
              <w:rPr>
                <w:highlight w:val="none"/>
              </w:rPr>
            </w:pPr>
            <w:r>
              <w:rPr>
                <w:rFonts w:hint="eastAsia"/>
                <w:highlight w:val="none"/>
              </w:rPr>
              <w:t>2.5 透气排水孔≥4个，具有透气排水功能。</w:t>
            </w:r>
          </w:p>
          <w:p>
            <w:pPr>
              <w:widowControl/>
              <w:jc w:val="left"/>
              <w:textAlignment w:val="center"/>
              <w:rPr>
                <w:highlight w:val="none"/>
              </w:rPr>
            </w:pPr>
            <w:r>
              <w:rPr>
                <w:rFonts w:hint="eastAsia"/>
                <w:highlight w:val="none"/>
              </w:rPr>
              <w:t>★2.6冲击吸收性能：头模受到最大冲击力最大值≤3780N；</w:t>
            </w:r>
          </w:p>
          <w:p>
            <w:pPr>
              <w:widowControl/>
              <w:jc w:val="left"/>
              <w:textAlignment w:val="center"/>
              <w:rPr>
                <w:highlight w:val="none"/>
              </w:rPr>
            </w:pPr>
            <w:r>
              <w:rPr>
                <w:rFonts w:hint="eastAsia"/>
                <w:highlight w:val="none"/>
              </w:rPr>
              <w:t>★2.7耐穿刺性能：钢锥不应与头模接触</w:t>
            </w:r>
          </w:p>
          <w:p>
            <w:pPr>
              <w:widowControl/>
              <w:jc w:val="left"/>
              <w:textAlignment w:val="center"/>
              <w:rPr>
                <w:highlight w:val="none"/>
              </w:rPr>
            </w:pPr>
            <w:r>
              <w:rPr>
                <w:rFonts w:hint="eastAsia"/>
                <w:highlight w:val="none"/>
              </w:rPr>
              <w:t>3.材料要求</w:t>
            </w:r>
          </w:p>
          <w:p>
            <w:pPr>
              <w:widowControl/>
              <w:jc w:val="left"/>
              <w:textAlignment w:val="center"/>
              <w:rPr>
                <w:highlight w:val="none"/>
              </w:rPr>
            </w:pPr>
            <w:r>
              <w:rPr>
                <w:rFonts w:hint="eastAsia"/>
                <w:highlight w:val="none"/>
              </w:rPr>
              <w:t>▲3.1 盔壳由碳纤维复合材料制成。</w:t>
            </w:r>
          </w:p>
          <w:p>
            <w:pPr>
              <w:widowControl/>
              <w:jc w:val="left"/>
              <w:textAlignment w:val="center"/>
              <w:rPr>
                <w:highlight w:val="none"/>
              </w:rPr>
            </w:pPr>
            <w:r>
              <w:rPr>
                <w:rFonts w:hint="eastAsia"/>
                <w:highlight w:val="none"/>
              </w:rPr>
              <w:t>3.2内部使用柔软 EVA材质，缓冲冲击力，佩戴感舒适，表面光洁无吸水性；</w:t>
            </w:r>
          </w:p>
          <w:p>
            <w:pPr>
              <w:widowControl/>
              <w:jc w:val="left"/>
              <w:textAlignment w:val="center"/>
              <w:rPr>
                <w:highlight w:val="none"/>
              </w:rPr>
            </w:pPr>
            <w:r>
              <w:rPr>
                <w:rFonts w:hint="eastAsia"/>
                <w:highlight w:val="none"/>
              </w:rPr>
              <w:t>3.3 下颌带为插口式设计，下额部位设有护垫，具有头围调节功能，能快速调节；</w:t>
            </w:r>
          </w:p>
          <w:p>
            <w:pPr>
              <w:widowControl/>
              <w:jc w:val="left"/>
              <w:textAlignment w:val="center"/>
              <w:rPr>
                <w:highlight w:val="none"/>
              </w:rPr>
            </w:pPr>
            <w:r>
              <w:rPr>
                <w:rFonts w:hint="eastAsia"/>
                <w:highlight w:val="none"/>
              </w:rPr>
              <w:t>3.4 帽壳颜色为红色、蓝色。（具体颜色要求以采购人要求为准。）</w:t>
            </w:r>
          </w:p>
          <w:p>
            <w:pPr>
              <w:widowControl/>
              <w:jc w:val="left"/>
              <w:textAlignment w:val="center"/>
              <w:rPr>
                <w:highlight w:val="none"/>
              </w:rPr>
            </w:pPr>
            <w:r>
              <w:rPr>
                <w:rFonts w:hint="eastAsia"/>
                <w:highlight w:val="none"/>
              </w:rPr>
              <w:t>4.结构要求</w:t>
            </w:r>
          </w:p>
          <w:p>
            <w:pPr>
              <w:widowControl/>
              <w:jc w:val="left"/>
              <w:textAlignment w:val="center"/>
              <w:rPr>
                <w:highlight w:val="none"/>
              </w:rPr>
            </w:pPr>
            <w:r>
              <w:rPr>
                <w:rFonts w:hint="eastAsia"/>
                <w:highlight w:val="none"/>
              </w:rPr>
              <w:t>4.1 下颚带护垫快速调节带，可快速调节至适合尺寸；</w:t>
            </w:r>
          </w:p>
          <w:p>
            <w:pPr>
              <w:widowControl/>
              <w:jc w:val="left"/>
              <w:textAlignment w:val="center"/>
              <w:rPr>
                <w:highlight w:val="none"/>
              </w:rPr>
            </w:pPr>
            <w:r>
              <w:rPr>
                <w:rFonts w:hint="eastAsia"/>
                <w:highlight w:val="none"/>
              </w:rPr>
              <w:t>4.2 佩戴装置：旋钮式调节器，可单手快速调节头围；</w:t>
            </w:r>
          </w:p>
          <w:p>
            <w:pPr>
              <w:widowControl/>
              <w:jc w:val="left"/>
              <w:textAlignment w:val="center"/>
              <w:rPr>
                <w:highlight w:val="none"/>
              </w:rPr>
            </w:pPr>
            <w:r>
              <w:rPr>
                <w:rFonts w:hint="eastAsia"/>
                <w:highlight w:val="none"/>
              </w:rPr>
              <w:t>4.3 左右两边带有战术导轨，导轨长度不少于8cm且不大于14cm，与水域救援头灯相匹配，用于安装照明装置，可配合强光手电筒、水下摄像机等辅助装备使用；</w:t>
            </w:r>
          </w:p>
          <w:p>
            <w:pPr>
              <w:widowControl/>
              <w:jc w:val="left"/>
              <w:textAlignment w:val="center"/>
              <w:rPr>
                <w:highlight w:val="none"/>
              </w:rPr>
            </w:pPr>
            <w:r>
              <w:rPr>
                <w:rFonts w:hint="eastAsia"/>
                <w:highlight w:val="none"/>
              </w:rPr>
              <w:t>4.4配备墨鱼干辅件。</w:t>
            </w:r>
          </w:p>
          <w:p>
            <w:pPr>
              <w:widowControl/>
              <w:jc w:val="left"/>
              <w:textAlignment w:val="center"/>
              <w:rPr>
                <w:highlight w:val="none"/>
              </w:rPr>
            </w:pPr>
            <w:r>
              <w:rPr>
                <w:rFonts w:hint="eastAsia"/>
                <w:highlight w:val="none"/>
              </w:rPr>
              <w:t>4.5配备可拆卸式护耳。</w:t>
            </w:r>
          </w:p>
          <w:p>
            <w:pPr>
              <w:widowControl/>
              <w:jc w:val="left"/>
              <w:textAlignment w:val="center"/>
              <w:rPr>
                <w:highlight w:val="none"/>
              </w:rPr>
            </w:pPr>
            <w:r>
              <w:rPr>
                <w:rFonts w:hint="eastAsia"/>
                <w:highlight w:val="none"/>
              </w:rPr>
              <w:t>5.需求区分M/L两个型号制作。</w:t>
            </w:r>
          </w:p>
          <w:p>
            <w:pPr>
              <w:widowControl/>
              <w:jc w:val="left"/>
              <w:textAlignment w:val="center"/>
              <w:rPr>
                <w:highlight w:val="none"/>
              </w:rPr>
            </w:pPr>
            <w:r>
              <w:rPr>
                <w:rFonts w:hint="eastAsia"/>
                <w:highlight w:val="none"/>
              </w:rPr>
              <w:t>6.1.备品备件：提供2套插扣、1个头灯底座。</w:t>
            </w:r>
          </w:p>
          <w:p>
            <w:pPr>
              <w:widowControl/>
              <w:jc w:val="left"/>
              <w:textAlignment w:val="center"/>
              <w:rPr>
                <w:highlight w:val="none"/>
              </w:rPr>
            </w:pPr>
            <w:r>
              <w:rPr>
                <w:rFonts w:hint="eastAsia"/>
                <w:highlight w:val="none"/>
              </w:rPr>
              <w:t>6.2.耗材：插扣属于耗材，3年内进行免费更换。</w:t>
            </w:r>
          </w:p>
          <w:p>
            <w:pPr>
              <w:widowControl/>
              <w:jc w:val="left"/>
              <w:textAlignment w:val="center"/>
              <w:rPr>
                <w:highlight w:val="none"/>
              </w:rPr>
            </w:pPr>
            <w:r>
              <w:rPr>
                <w:rFonts w:hint="eastAsia"/>
                <w:highlight w:val="none"/>
              </w:rPr>
              <w:t>▲7.提供具备国家法定检测资质的检测机构出具的检测报告。</w:t>
            </w:r>
          </w:p>
          <w:p>
            <w:pPr>
              <w:widowControl/>
              <w:jc w:val="left"/>
              <w:textAlignment w:val="center"/>
              <w:rPr>
                <w:rFonts w:ascii="宋体" w:hAnsi="宋体" w:eastAsia="宋体" w:cs="宋体"/>
                <w:szCs w:val="21"/>
                <w:highlight w:val="none"/>
              </w:rPr>
            </w:pPr>
            <w:r>
              <w:rPr>
                <w:rFonts w:hint="eastAsia"/>
                <w:highlight w:val="none"/>
              </w:rPr>
              <w:t>▲8.质保期：头盔整体3年免费维修。</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3860顶</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否</w:t>
            </w:r>
          </w:p>
        </w:tc>
      </w:tr>
    </w:tbl>
    <w:p>
      <w:pPr>
        <w:rPr>
          <w:szCs w:val="21"/>
          <w:highlight w:val="none"/>
        </w:rPr>
      </w:pPr>
    </w:p>
    <w:p>
      <w:pPr>
        <w:rPr>
          <w:highlight w:val="none"/>
        </w:rPr>
      </w:pPr>
    </w:p>
    <w:p>
      <w:pPr>
        <w:rPr>
          <w:highlight w:val="none"/>
        </w:rPr>
      </w:pPr>
      <w:r>
        <w:rPr>
          <w:rFonts w:hint="eastAsia" w:ascii="宋体" w:hAnsi="宋体" w:eastAsia="宋体" w:cs="宋体"/>
          <w:b/>
          <w:bCs/>
          <w:sz w:val="22"/>
          <w:szCs w:val="22"/>
          <w:highlight w:val="none"/>
        </w:rPr>
        <w:br w:type="page"/>
      </w:r>
    </w:p>
    <w:p>
      <w:pPr>
        <w:spacing w:line="360" w:lineRule="auto"/>
        <w:ind w:firstLine="643" w:firstLineChars="200"/>
        <w:jc w:val="center"/>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1标包头盔商务需求 </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●一、交货时间及交货地点</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1、交货期限</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签订合同之日起90日历天内交货。</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2、交货地点</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采购人指定地点（昆明、保山、丽江、普洱、大理、迪庆、版纳、安宁、南宁、贵阳）</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●二、包装和运输</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1、须满足《关于印发〈商品包装政府采购需求标准（试行）〉、〈快递包装政府采购需求标准（试行）〉的通知》（财办库﹝2020﹞123号）。</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2、运输时须按采购人要求送至指定地点，中标单位自行选取物流企业，确保物流方式快捷、高效、整洁，严禁造成采购人货物的污染、破损等问题，所有运输费运费由中标商承担。</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●三、售后服务</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1、质保期：根据不同装备质保要求确定。质保期从货物验收合格之日起开始计算。在此期间如发现货物有质量问题，中标单位应在24小时内无条件免费更换货物。</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2、应具有完善的服务保障体系。能够提供7×24电话技术咨询服务、故障诊断处理服务，并承诺在紧急情况发生时 4 小时间内响应，如短时间无法快速处理问题需返厂修理，在修理同时中标单位应免费提供备用产品；</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零星采购保障要求：因保障需要，用户单位向中标单位下达零星采购保障需求后，中标单位应在最短时间内予以响应，并在规定时间内将零星采购货物寄递至用户单位指定地点，涉及的运输费用均由中标单位承担。</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4、后续实施需提供技术支持。中标单位须具备完善的技术支持、售后服务体系，提供免费售后服务电话以及现场更换或返厂维修，涉及的相关费用由投标方承担。提供防护装备使用维护教学视频和文字材料。</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●四、 履约验收方法</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 产品质量应达到技术需求，应通过国家法定检测资质的检测机构的检验；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2、检验和验收将按照以下标准和条件进行：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（1）招标文件中对货物规定的技术标准；</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（2）招标人向中标单位提供的样品标准；</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（3）检验抽样按有关标准执行。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（4）产品技术标准应符合招标文件规定的标准以及招标人确定的技术标准；未经批准，擅自修改、调整产品技术标准或包装标准（或材质），招标人有权视为整批产品为不合格产品。</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3、合同货物经如下检验合格后才能进行批量生产和供货：</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按照《森林消防队伍防护类被服装具供应管理暂行规定》，按步骤对产品进行验收，确保货物的数量和质量符合合同规定。</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（1）首批产品质量验收</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1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①</w:t>
      </w:r>
      <w:r>
        <w:rPr>
          <w:rFonts w:hint="eastAsia" w:ascii="宋体" w:hAnsi="宋体" w:eastAsia="宋体" w:cs="宋体"/>
          <w:szCs w:val="21"/>
          <w:highlight w:val="none"/>
        </w:rPr>
        <w:fldChar w:fldCharType="end"/>
      </w:r>
      <w:r>
        <w:rPr>
          <w:rFonts w:hint="eastAsia" w:ascii="宋体" w:hAnsi="宋体" w:eastAsia="宋体" w:cs="宋体"/>
          <w:szCs w:val="21"/>
          <w:highlight w:val="none"/>
        </w:rPr>
        <w:t>验收范围：主要原辅材料、首批产品。材料质量检验程序按《森林消防队伍防护类被服装具供应管理暂行规定》第二十五条执行。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2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②</w:t>
      </w:r>
      <w:r>
        <w:rPr>
          <w:rFonts w:hint="eastAsia" w:ascii="宋体" w:hAnsi="宋体" w:eastAsia="宋体" w:cs="宋体"/>
          <w:szCs w:val="21"/>
          <w:highlight w:val="none"/>
        </w:rPr>
        <w:fldChar w:fldCharType="end"/>
      </w:r>
      <w:r>
        <w:rPr>
          <w:rFonts w:hint="eastAsia" w:ascii="宋体" w:hAnsi="宋体" w:eastAsia="宋体" w:cs="宋体"/>
          <w:szCs w:val="21"/>
          <w:highlight w:val="none"/>
        </w:rPr>
        <w:t>企业在产品通过封样后，上报《首批防护被装产品质量验收申请表》，后勤处到报检后10个工作日内，按照《首批防护被装产品质量验收标准》组织验收。</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3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③</w:t>
      </w:r>
      <w:r>
        <w:rPr>
          <w:rFonts w:hint="eastAsia" w:ascii="宋体" w:hAnsi="宋体" w:eastAsia="宋体" w:cs="宋体"/>
          <w:szCs w:val="21"/>
          <w:highlight w:val="none"/>
        </w:rPr>
        <w:fldChar w:fldCharType="end"/>
      </w:r>
      <w:r>
        <w:rPr>
          <w:rFonts w:hint="eastAsia" w:ascii="宋体" w:hAnsi="宋体" w:eastAsia="宋体" w:cs="宋体"/>
          <w:szCs w:val="21"/>
          <w:highlight w:val="none"/>
        </w:rPr>
        <w:t>首批产品报检数量：下线待检产品、已检验待包装产品，均不少于 50 套（件、顶、双）；待出厂产品，不少于 200 套（件、床），其中鞋帽、服饰不少于 400 顶（双、副）。</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4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④</w:t>
      </w:r>
      <w:r>
        <w:rPr>
          <w:rFonts w:hint="eastAsia" w:ascii="宋体" w:hAnsi="宋体" w:eastAsia="宋体" w:cs="宋体"/>
          <w:szCs w:val="21"/>
          <w:highlight w:val="none"/>
        </w:rPr>
        <w:fldChar w:fldCharType="end"/>
      </w:r>
      <w:r>
        <w:rPr>
          <w:rFonts w:hint="eastAsia" w:ascii="宋体" w:hAnsi="宋体" w:eastAsia="宋体" w:cs="宋体"/>
          <w:szCs w:val="21"/>
          <w:highlight w:val="none"/>
        </w:rPr>
        <w:t>验收时，审查技术资料和理化检测报告，查验材料筹措渠道，检查生产现场和设备，按抽样比例、数量及要求抽检产品质量。</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5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⑤</w:t>
      </w:r>
      <w:r>
        <w:rPr>
          <w:rFonts w:hint="eastAsia" w:ascii="宋体" w:hAnsi="宋体" w:eastAsia="宋体" w:cs="宋体"/>
          <w:szCs w:val="21"/>
          <w:highlight w:val="none"/>
        </w:rPr>
        <w:fldChar w:fldCharType="end"/>
      </w:r>
      <w:r>
        <w:rPr>
          <w:rFonts w:hint="eastAsia" w:ascii="宋体" w:hAnsi="宋体" w:eastAsia="宋体" w:cs="宋体"/>
          <w:szCs w:val="21"/>
          <w:highlight w:val="none"/>
        </w:rPr>
        <w:t>验收后，验收组做出是否通过验收和允许批量生产的结论，向企业出具《首批防护被装产品质量验收书》，通报验收结果。</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（2）生产过程监督检查</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对生产中的工艺、半成品、成品、样板、图纸、楦样、主辅材料及包装材料等进行检查。</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①实地检查组由地方检测机构专家和验收组被装业务人员组成，总人数不少于3人。</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②实地检查组根据检查情况，向甲方报送《防护被装产品实地检查情况报告单》。</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（3）待出厂产品质量检验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1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①</w:t>
      </w:r>
      <w:r>
        <w:rPr>
          <w:rFonts w:hint="eastAsia" w:ascii="宋体" w:hAnsi="宋体" w:eastAsia="宋体" w:cs="宋体"/>
          <w:szCs w:val="21"/>
          <w:highlight w:val="none"/>
        </w:rPr>
        <w:fldChar w:fldCharType="end"/>
      </w:r>
      <w:r>
        <w:rPr>
          <w:rFonts w:hint="eastAsia" w:ascii="宋体" w:hAnsi="宋体" w:eastAsia="宋体" w:cs="宋体"/>
          <w:szCs w:val="21"/>
          <w:highlight w:val="none"/>
        </w:rPr>
        <w:t>待出厂检验由企业上报《防护被装产品待出厂检验申请表》，收到报检后 10 个工作日内实施检验。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2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②</w:t>
      </w:r>
      <w:r>
        <w:rPr>
          <w:rFonts w:hint="eastAsia" w:ascii="宋体" w:hAnsi="宋体" w:eastAsia="宋体" w:cs="宋体"/>
          <w:szCs w:val="21"/>
          <w:highlight w:val="none"/>
        </w:rPr>
        <w:fldChar w:fldCharType="end"/>
      </w:r>
      <w:r>
        <w:rPr>
          <w:rFonts w:hint="eastAsia" w:ascii="宋体" w:hAnsi="宋体" w:eastAsia="宋体" w:cs="宋体"/>
          <w:szCs w:val="21"/>
          <w:highlight w:val="none"/>
        </w:rPr>
        <w:t>待出厂检验的产品，必须经企业检验合格并包装好。报检数量，每次不少于合同总量的三分之一。</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3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③</w:t>
      </w:r>
      <w:r>
        <w:rPr>
          <w:rFonts w:hint="eastAsia" w:ascii="宋体" w:hAnsi="宋体" w:eastAsia="宋体" w:cs="宋体"/>
          <w:szCs w:val="21"/>
          <w:highlight w:val="none"/>
        </w:rPr>
        <w:fldChar w:fldCharType="end"/>
      </w:r>
      <w:r>
        <w:rPr>
          <w:rFonts w:hint="eastAsia" w:ascii="宋体" w:hAnsi="宋体" w:eastAsia="宋体" w:cs="宋体"/>
          <w:szCs w:val="21"/>
          <w:highlight w:val="none"/>
        </w:rPr>
        <w:t>待出厂检验采取随机抽样的方法，按抽样比例、数量及要求抽检。如有质量问题，与企业核实签字后，填写《防护被装产品质检抽样登记表》和《防护被装产品质量检验原始记录单》，以备审查。</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4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④</w:t>
      </w:r>
      <w:r>
        <w:rPr>
          <w:rFonts w:hint="eastAsia" w:ascii="宋体" w:hAnsi="宋体" w:eastAsia="宋体" w:cs="宋体"/>
          <w:szCs w:val="21"/>
          <w:highlight w:val="none"/>
        </w:rPr>
        <w:fldChar w:fldCharType="end"/>
      </w:r>
      <w:r>
        <w:rPr>
          <w:rFonts w:hint="eastAsia" w:ascii="宋体" w:hAnsi="宋体" w:eastAsia="宋体" w:cs="宋体"/>
          <w:szCs w:val="21"/>
          <w:highlight w:val="none"/>
        </w:rPr>
        <w:t>检验后，按照标准规定做出是否允许出厂的结论。质量合格的，签发《防护被装产品质量检验出厂许可证》。抽检产品不合格的，对原批次产品加倍重新抽检；质量不合格的，向企业下达《防护被装产品质量问题整改通知书》。</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7、入库产品抽查</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总队所属收货单位由被装助理和被装保管员根据出厂许可证和规定检验程序，对接收产品按照3000以内抽检5‰、3001至30000抽检3‰的比例，对外观及包装进行抽检。合格的，签发《云南省森林消防总队物资到货验收登记表》。</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8、中标单位应按合同规定的时间和数量与采购人做好货物移交验收工作，运输移交工程所发生的一切费用由中标单位承担。</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9、所有供货不得分包和转包，且以现场实际数量为准。</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10、合同履行过程中，若技术规范更新，按国家消防救援局最新技术规范执行。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11、其他要求</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（1）中标单位须承诺合同执行中，随验货时提供质量检验机构出具检测报告。</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（2）在项目实施过程中，中标单位不得随意更换中标的原辅材料。</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备注说明：</w:t>
      </w:r>
    </w:p>
    <w:p>
      <w:pPr>
        <w:numPr>
          <w:ilvl w:val="0"/>
          <w:numId w:val="15"/>
        </w:num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检测报告中必须包含但不限于★号条款。</w:t>
      </w:r>
    </w:p>
    <w:p>
      <w:pPr>
        <w:spacing w:line="360" w:lineRule="auto"/>
        <w:ind w:firstLine="602" w:firstLineChars="200"/>
        <w:rPr>
          <w:rFonts w:ascii="宋体" w:hAnsi="宋体" w:eastAsia="宋体" w:cs="宋体"/>
          <w:b/>
          <w:sz w:val="30"/>
          <w:szCs w:val="30"/>
          <w:highlight w:val="none"/>
        </w:rPr>
      </w:pPr>
      <w:r>
        <w:rPr>
          <w:rFonts w:hint="eastAsia" w:ascii="宋体" w:hAnsi="宋体" w:eastAsia="宋体" w:cs="宋体"/>
          <w:b/>
          <w:sz w:val="30"/>
          <w:szCs w:val="30"/>
          <w:highlight w:val="none"/>
        </w:rPr>
        <w:t>2、供应商需针对商务需求中的所有条款做出实质性响应承诺，如无响应则不通过符合性审查。</w:t>
      </w:r>
    </w:p>
    <w:p>
      <w:pPr>
        <w:rPr>
          <w:highlight w:val="none"/>
        </w:rPr>
      </w:pPr>
      <w:r>
        <w:rPr>
          <w:highlight w:val="none"/>
        </w:rPr>
        <w:drawing>
          <wp:inline distT="0" distB="0" distL="0" distR="0">
            <wp:extent cx="6120130" cy="8655685"/>
            <wp:effectExtent l="0" t="0" r="0" b="0"/>
            <wp:docPr id="681681105"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681105" name="图片 56"/>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highlight w:val="none"/>
        </w:rPr>
        <w:drawing>
          <wp:inline distT="0" distB="0" distL="0" distR="0">
            <wp:extent cx="6120130" cy="8655685"/>
            <wp:effectExtent l="0" t="0" r="0" b="0"/>
            <wp:docPr id="88799798"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9798" name="图片 5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highlight w:val="none"/>
        </w:rPr>
        <w:drawing>
          <wp:inline distT="0" distB="0" distL="0" distR="0">
            <wp:extent cx="6120130" cy="8655685"/>
            <wp:effectExtent l="0" t="0" r="0" b="0"/>
            <wp:docPr id="1845053370"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53370" name="图片 58"/>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highlight w:val="none"/>
        </w:rPr>
        <w:drawing>
          <wp:inline distT="0" distB="0" distL="0" distR="0">
            <wp:extent cx="6120130" cy="8674735"/>
            <wp:effectExtent l="0" t="0" r="0" b="0"/>
            <wp:docPr id="1818161193"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161193" name="图片 59"/>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1168017231"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017231" name="图片 60"/>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1681354816"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354816" name="图片 6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717409299"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09299" name="图片 62"/>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92724638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246383" name="图片 63"/>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2101825218"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825218" name="图片 64"/>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1169678696"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678696" name="图片 65"/>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166880293"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0293" name="图片 66"/>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993695612"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95612" name="图片 67"/>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1669090401"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090401" name="图片 68"/>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6452981"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2981" name="图片 69"/>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387960683"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960683" name="图片 70"/>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1369720983"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720983" name="图片 71"/>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50502724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27242" name="图片 72"/>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661386395"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386395" name="图片 73"/>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r>
        <w:rPr>
          <w:highlight w:val="none"/>
        </w:rPr>
        <w:drawing>
          <wp:inline distT="0" distB="0" distL="0" distR="0">
            <wp:extent cx="6120130" cy="8674735"/>
            <wp:effectExtent l="0" t="0" r="0" b="0"/>
            <wp:docPr id="793002195"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002195" name="图片 74"/>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6120130" cy="8674735"/>
                    </a:xfrm>
                    <a:prstGeom prst="rect">
                      <a:avLst/>
                    </a:prstGeom>
                  </pic:spPr>
                </pic:pic>
              </a:graphicData>
            </a:graphic>
          </wp:inline>
        </w:drawing>
      </w:r>
    </w:p>
    <w:p>
      <w:pPr>
        <w:rPr>
          <w:rFonts w:ascii="宋体" w:hAnsi="宋体" w:eastAsia="宋体"/>
          <w:sz w:val="36"/>
          <w:highlight w:val="none"/>
        </w:rPr>
      </w:pPr>
      <w:r>
        <w:rPr>
          <w:rFonts w:hint="eastAsia" w:ascii="宋体" w:hAnsi="宋体" w:eastAsia="宋体"/>
          <w:sz w:val="36"/>
          <w:highlight w:val="none"/>
        </w:rPr>
        <w:drawing>
          <wp:inline distT="0" distB="0" distL="0" distR="0">
            <wp:extent cx="6120130" cy="8655685"/>
            <wp:effectExtent l="0" t="0" r="0" b="0"/>
            <wp:docPr id="945124702"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124702" name="图片 183"/>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2006347121"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347121" name="图片 184"/>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329928824" name="图片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28824" name="图片 185"/>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551135538" name="图片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135538" name="图片 186"/>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987284836" name="图片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84836" name="图片 187"/>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552516753" name="图片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16753" name="图片 188"/>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1295460" name="图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460" name="图片 189"/>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43123629" name="图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23629" name="图片 190"/>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026433665" name="图片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433665" name="图片 191"/>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86418843"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8843" name="图片 192"/>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377033393" name="图片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033393" name="图片 193"/>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769627424"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627424" name="图片 194"/>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419908764" name="图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08764" name="图片 195"/>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37912779"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12779" name="图片 196"/>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2029874591" name="图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874591" name="图片 197"/>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688343404"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343404" name="图片 198"/>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735653155"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53155" name="图片 199"/>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329772398"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772398" name="图片 200"/>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908813952"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813952" name="图片 201"/>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905328107"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28107" name="图片 202"/>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683236516" name="图片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236516" name="图片 203"/>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885087909"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087909" name="图片 204"/>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193813322" name="图片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813322" name="图片 205"/>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1180546830"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546830" name="图片 206"/>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rFonts w:hint="eastAsia" w:ascii="宋体" w:hAnsi="宋体" w:eastAsia="宋体"/>
          <w:sz w:val="36"/>
          <w:highlight w:val="none"/>
        </w:rPr>
        <w:drawing>
          <wp:inline distT="0" distB="0" distL="0" distR="0">
            <wp:extent cx="6120130" cy="8655685"/>
            <wp:effectExtent l="0" t="0" r="0" b="0"/>
            <wp:docPr id="902438638" name="图片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438638" name="图片 207"/>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p>
    <w:p>
      <w:pPr>
        <w:jc w:val="center"/>
        <w:rPr>
          <w:rFonts w:ascii="方正黑体简体" w:hAnsi="方正黑体简体" w:eastAsia="方正黑体简体" w:cs="方正黑体简体"/>
          <w:sz w:val="32"/>
          <w:szCs w:val="32"/>
          <w:highlight w:val="none"/>
        </w:rPr>
      </w:pPr>
      <w:r>
        <w:rPr>
          <w:rFonts w:hint="eastAsia" w:ascii="方正黑体简体" w:hAnsi="方正黑体简体" w:eastAsia="方正黑体简体" w:cs="方正黑体简体"/>
          <w:sz w:val="32"/>
          <w:szCs w:val="32"/>
          <w:highlight w:val="none"/>
        </w:rPr>
        <w:t>（二）2标包灯类需求及技术要求</w:t>
      </w:r>
    </w:p>
    <w:tbl>
      <w:tblPr>
        <w:tblStyle w:val="28"/>
        <w:tblW w:w="10095" w:type="dxa"/>
        <w:jc w:val="center"/>
        <w:tblLayout w:type="fixed"/>
        <w:tblCellMar>
          <w:top w:w="0" w:type="dxa"/>
          <w:left w:w="108" w:type="dxa"/>
          <w:bottom w:w="0" w:type="dxa"/>
          <w:right w:w="108" w:type="dxa"/>
        </w:tblCellMar>
      </w:tblPr>
      <w:tblGrid>
        <w:gridCol w:w="1006"/>
        <w:gridCol w:w="943"/>
        <w:gridCol w:w="6422"/>
        <w:gridCol w:w="636"/>
        <w:gridCol w:w="1088"/>
      </w:tblGrid>
      <w:tr>
        <w:tblPrEx>
          <w:tblCellMar>
            <w:top w:w="0" w:type="dxa"/>
            <w:left w:w="108" w:type="dxa"/>
            <w:bottom w:w="0" w:type="dxa"/>
            <w:right w:w="108" w:type="dxa"/>
          </w:tblCellMar>
        </w:tblPrEx>
        <w:trPr>
          <w:trHeight w:val="66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品目名称</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highlight w:val="none"/>
              </w:rPr>
            </w:pPr>
            <w:r>
              <w:rPr>
                <w:rFonts w:hint="eastAsia"/>
                <w:highlight w:val="none"/>
              </w:rPr>
              <w:t>装备名称</w:t>
            </w:r>
          </w:p>
        </w:tc>
        <w:tc>
          <w:tcPr>
            <w:tcW w:w="64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highlight w:val="none"/>
              </w:rPr>
            </w:pPr>
            <w:r>
              <w:rPr>
                <w:rFonts w:hint="eastAsia"/>
                <w:highlight w:val="none"/>
              </w:rPr>
              <w:t>技术参数</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拟采购数量</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是否核心产品</w:t>
            </w:r>
          </w:p>
        </w:tc>
      </w:tr>
      <w:tr>
        <w:tblPrEx>
          <w:tblCellMar>
            <w:top w:w="0" w:type="dxa"/>
            <w:left w:w="108" w:type="dxa"/>
            <w:bottom w:w="0" w:type="dxa"/>
            <w:right w:w="108" w:type="dxa"/>
          </w:tblCellMar>
        </w:tblPrEx>
        <w:trPr>
          <w:jc w:val="center"/>
        </w:trPr>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ascii="宋体" w:hAnsi="宋体" w:eastAsia="宋体" w:cs="宋体"/>
                <w:kern w:val="0"/>
                <w:szCs w:val="21"/>
                <w:highlight w:val="none"/>
                <w:lang w:bidi="ar"/>
              </w:rPr>
            </w:pPr>
          </w:p>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02灯</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佩戴式头灯</w:t>
            </w:r>
          </w:p>
        </w:tc>
        <w:tc>
          <w:tcPr>
            <w:tcW w:w="64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▲1.款式要求和性能参数需符合原国家消防救援局西区《15佩戴式头灯技术规范》</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★2.头灯须具有14500充电锂电池和5号碱性干电池互换功能；</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3.灯具外壳防护等级≥IP66；</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4.强光3米处初始中心照度≥800 lx，工作时间不低于2小时；</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5.工作光3米处初始中心照度≥300 lx，工作时间不低于3小时；</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6.弱光3米处初始中心照度≥120 lx，工作时间不低于8小时；</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7.泛光1米处中心照度≥15 lx，工作时间不低于3小时；</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8.爆闪模式闪烁频率8～10Hz；</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★9.灯具抗冲击性能：2米高度自由跌落后，灯具可正常工作；</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★10.灯具抗高低温性能：-30℃～＋60℃存储两小时能正常工作；</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11.灯具耐腐蚀，在盐雾环境可正常工作；</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12.防爆等级：Ex ib ⅡC T4 Gb(须提供防爆合格证）；</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▲13.需与森林防护头盔、抢险救援头盔侧导轨配合使用，中标后须与头盔中标供应商进行匹配协调。（提供相关承诺函）</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▲14.质保期：自验收合格之日起1年。</w:t>
            </w:r>
          </w:p>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▲15.提供具备国家法定检测资质的检测机构出具的检测报告</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3129个</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否</w:t>
            </w:r>
          </w:p>
        </w:tc>
      </w:tr>
      <w:tr>
        <w:tblPrEx>
          <w:tblCellMar>
            <w:top w:w="0" w:type="dxa"/>
            <w:left w:w="108" w:type="dxa"/>
            <w:bottom w:w="0" w:type="dxa"/>
            <w:right w:w="108" w:type="dxa"/>
          </w:tblCellMar>
        </w:tblPrEx>
        <w:trPr>
          <w:jc w:val="center"/>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szCs w:val="21"/>
                <w:highlight w:val="none"/>
              </w:rPr>
            </w:pP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水域救援头灯</w:t>
            </w:r>
          </w:p>
        </w:tc>
        <w:tc>
          <w:tcPr>
            <w:tcW w:w="64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1.技术参数</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1.1 续稳定工作时间 强光 ≥300 /min 弱光 ≥600/min</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1.2 低电压状态下连续工作时间 强光 ≥15/min 弱光 ≥30/min</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★1.3 充电锂电池，电池额定容量 ≥1500 mAh</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1.4 光源(LED)</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1.5 电池使用寿命 ≥1000 循环</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1.6 重量≤ 100g（不含电池等配件）</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★1.7 防护等级 IP68 （2m,90min）</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1.8强光3米处初始中心照度≥800 lx，工作时间不低于2小时；</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1.9工作光3米处初始中心照度≥300 lx，工作时间不低于4.5小时；</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1.10弱光1米处中心照度≥15 lx，工作时间不低于72小时；</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1.11频闪模式闪烁频率8～10Hz；</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1.12求救模式：S.O.S信号（三短三长三短循环）；</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1.13灯具抗冲击性能：2米高度自由跌落后，灯具可正常工作；</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1.14灯具抗高低温性能：-30℃～＋60℃存储两小时能正常工作；</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1.15灯具耐腐蚀，在盐雾环境可正常工作；</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★1.16防爆等级：Ex ib ⅡC T4 Gb(须提供防爆合格证）。</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2.结构要求</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2.1 与水域救援头盔侧面战术导轨配合使用，适用多种头盔安装。（提供相关承诺函）</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▲3.提供具备国家法定检测资质的检测机构出具的检测报告。</w:t>
            </w:r>
          </w:p>
          <w:p>
            <w:pPr>
              <w:widowControl/>
              <w:jc w:val="left"/>
              <w:textAlignment w:val="center"/>
              <w:rPr>
                <w:rFonts w:ascii="宋体" w:hAnsi="宋体" w:eastAsia="宋体" w:cs="宋体"/>
                <w:szCs w:val="21"/>
                <w:highlight w:val="none"/>
              </w:rPr>
            </w:pPr>
            <w:r>
              <w:rPr>
                <w:rFonts w:hint="eastAsia" w:ascii="宋体" w:hAnsi="宋体" w:eastAsia="宋体" w:cs="宋体"/>
                <w:szCs w:val="21"/>
                <w:highlight w:val="none"/>
              </w:rPr>
              <w:t>▲4.质保期：3年免费维修。</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3860个</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eastAsia="宋体" w:cs="宋体"/>
                <w:szCs w:val="21"/>
                <w:highlight w:val="none"/>
              </w:rPr>
            </w:pPr>
            <w:r>
              <w:rPr>
                <w:rFonts w:hint="eastAsia" w:ascii="宋体" w:hAnsi="宋体" w:eastAsia="宋体" w:cs="宋体"/>
                <w:kern w:val="0"/>
                <w:szCs w:val="21"/>
                <w:highlight w:val="none"/>
                <w:lang w:bidi="ar"/>
              </w:rPr>
              <w:t>是</w:t>
            </w:r>
          </w:p>
        </w:tc>
      </w:tr>
    </w:tbl>
    <w:p>
      <w:pPr>
        <w:jc w:val="center"/>
        <w:rPr>
          <w:rFonts w:ascii="宋体" w:hAnsi="宋体" w:eastAsia="宋体" w:cs="宋体"/>
          <w:b/>
          <w:bCs/>
          <w:sz w:val="32"/>
          <w:szCs w:val="32"/>
          <w:highlight w:val="none"/>
        </w:rPr>
      </w:pPr>
      <w:r>
        <w:rPr>
          <w:rFonts w:hint="eastAsia" w:ascii="宋体" w:hAnsi="宋体" w:eastAsia="宋体" w:cs="宋体"/>
          <w:b/>
          <w:bCs/>
          <w:sz w:val="22"/>
          <w:szCs w:val="22"/>
          <w:highlight w:val="none"/>
        </w:rPr>
        <w:br w:type="page"/>
      </w:r>
      <w:r>
        <w:rPr>
          <w:rFonts w:hint="eastAsia" w:ascii="宋体" w:hAnsi="宋体" w:eastAsia="宋体" w:cs="宋体"/>
          <w:b/>
          <w:bCs/>
          <w:sz w:val="32"/>
          <w:szCs w:val="32"/>
          <w:highlight w:val="none"/>
        </w:rPr>
        <w:t>2标包灯类商务需求</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●一、交货时间及交货地点</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1、交货期限</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签订合同之日起90日历天内交货。</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2、交货地点</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采购人指定地点（昆明、保山、丽江、普洱、大理、迪庆、版纳、安宁、南宁、贵阳）</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●二、包装和运输</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1、须满足《关于印发〈商品包装政府采购需求标准（试行）〉、〈快递包装政府采购需求标准（试行）〉的通知》（财办库﹝2020﹞123号）。</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2、运输时须按采购人要求送至指定地点，中标单位自行选取物流企业，确保物流方式快捷、高效、整洁，严禁造成采购人货物的污染、破损等问题，所有运输费运费由中标商承担。</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●三、售后服务</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1、质保期：根据不同装备质保要求确定。质保期从货物验收合格之日起开始计算。在此期间如发现货物有质量问题，中标单位应在24小时内无条件免费更换货物。</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2、应具有完善的服务保障体系。能够提供7×24电话技术咨询服务、故障诊断处理服务，并承诺在紧急情况发生时 4 小时间内响应，如短时间无法快速处理问题需返厂修理，在修理同时中标单位应免费提供备用产品；</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零星采购保障要求：因保障需要，用户单位向中标单位下达零星采购保障需求后，中标单位应在最短时间内予以响应，并在规定时间内将零星采购货物寄递至用户单位指定地点，涉及的运输费用均由中标单位承担。</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4、后续实施需提供技术支持。中标单位须具备完善的技术支持、售后服务体系，提供免费售后服务电话以及现场更换或返厂维修，涉及的相关费用由投标方承担。提供防护装备使用维护教学视频和文字材料。</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●四、 履约验收方法</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 产品质量应达到技术需求，应通过国家法定检测资质的检测机构的检验；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2、检验和验收将按照以下标准和条件进行：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（1）招标文件中对货物规定的技术标准；</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（2）招标人向中标单位提供的样品标准；</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（3）检验抽样按有关标准执行。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（4）产品技术标准应符合招标文件规定的标准以及招标人确定的技术标准；未经批准，擅自修改、调整产品技术标准或包装标准（或材质），招标人有权视为整批产品为不合格产品。</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3、合同货物经如下检验合格后才能进行批量生产和供货：</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按照《森林消防队伍防护类被服装具供应管理暂行规定》，按步骤对产品进行验收，确保货物的数量和质量符合合同规定。</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（1）首批产品质量验收</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1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①</w:t>
      </w:r>
      <w:r>
        <w:rPr>
          <w:rFonts w:hint="eastAsia" w:ascii="宋体" w:hAnsi="宋体" w:eastAsia="宋体" w:cs="宋体"/>
          <w:szCs w:val="21"/>
          <w:highlight w:val="none"/>
        </w:rPr>
        <w:fldChar w:fldCharType="end"/>
      </w:r>
      <w:r>
        <w:rPr>
          <w:rFonts w:hint="eastAsia" w:ascii="宋体" w:hAnsi="宋体" w:eastAsia="宋体" w:cs="宋体"/>
          <w:szCs w:val="21"/>
          <w:highlight w:val="none"/>
        </w:rPr>
        <w:t>验收范围：主要原辅材料、首批产品。材料质量检验程序按《森林消防队伍防护类被服装具供应管理暂行规定》第二十五条执行。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2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②</w:t>
      </w:r>
      <w:r>
        <w:rPr>
          <w:rFonts w:hint="eastAsia" w:ascii="宋体" w:hAnsi="宋体" w:eastAsia="宋体" w:cs="宋体"/>
          <w:szCs w:val="21"/>
          <w:highlight w:val="none"/>
        </w:rPr>
        <w:fldChar w:fldCharType="end"/>
      </w:r>
      <w:r>
        <w:rPr>
          <w:rFonts w:hint="eastAsia" w:ascii="宋体" w:hAnsi="宋体" w:eastAsia="宋体" w:cs="宋体"/>
          <w:szCs w:val="21"/>
          <w:highlight w:val="none"/>
        </w:rPr>
        <w:t>企业在产品通过封样后，上报《首批防护被装产品质量验收申请表》，后勤处到报检后10个工作日内，按照《首批防护被装产品质量验收标准》组织验收。</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3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③</w:t>
      </w:r>
      <w:r>
        <w:rPr>
          <w:rFonts w:hint="eastAsia" w:ascii="宋体" w:hAnsi="宋体" w:eastAsia="宋体" w:cs="宋体"/>
          <w:szCs w:val="21"/>
          <w:highlight w:val="none"/>
        </w:rPr>
        <w:fldChar w:fldCharType="end"/>
      </w:r>
      <w:r>
        <w:rPr>
          <w:rFonts w:hint="eastAsia" w:ascii="宋体" w:hAnsi="宋体" w:eastAsia="宋体" w:cs="宋体"/>
          <w:szCs w:val="21"/>
          <w:highlight w:val="none"/>
        </w:rPr>
        <w:t>首批产品报检数量：下线待检产品、已检验待包装产品，均不少于 50 套（件、顶、双）；待出厂产品，不少于 200 套（件、床），其中鞋帽、服饰不少于 400 顶（双、副）。</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4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④</w:t>
      </w:r>
      <w:r>
        <w:rPr>
          <w:rFonts w:hint="eastAsia" w:ascii="宋体" w:hAnsi="宋体" w:eastAsia="宋体" w:cs="宋体"/>
          <w:szCs w:val="21"/>
          <w:highlight w:val="none"/>
        </w:rPr>
        <w:fldChar w:fldCharType="end"/>
      </w:r>
      <w:r>
        <w:rPr>
          <w:rFonts w:hint="eastAsia" w:ascii="宋体" w:hAnsi="宋体" w:eastAsia="宋体" w:cs="宋体"/>
          <w:szCs w:val="21"/>
          <w:highlight w:val="none"/>
        </w:rPr>
        <w:t>验收时，审查技术资料和理化检测报告，查验材料筹措渠道，检查生产现场和设备，按抽样比例、数量及要求抽检产品质量。</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5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⑤</w:t>
      </w:r>
      <w:r>
        <w:rPr>
          <w:rFonts w:hint="eastAsia" w:ascii="宋体" w:hAnsi="宋体" w:eastAsia="宋体" w:cs="宋体"/>
          <w:szCs w:val="21"/>
          <w:highlight w:val="none"/>
        </w:rPr>
        <w:fldChar w:fldCharType="end"/>
      </w:r>
      <w:r>
        <w:rPr>
          <w:rFonts w:hint="eastAsia" w:ascii="宋体" w:hAnsi="宋体" w:eastAsia="宋体" w:cs="宋体"/>
          <w:szCs w:val="21"/>
          <w:highlight w:val="none"/>
        </w:rPr>
        <w:t>验收后，验收组做出是否通过验收和允许批量生产的结论，向企业出具《首批防护被装产品质量验收书》，通报验收结果。</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（2）生产过程监督检查</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对生产中的工艺、半成品、成品、样板、图纸、楦样、主辅材料及包装材料等进行检查。</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①实地检查组由地方检测机构专家和验收组被装业务人员组成，总人数不少于3人。</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②实地检查组根据检查情况，向甲方报送《防护被装产品实地检查情况报告单》。</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（3）待出厂产品质量检验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1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①</w:t>
      </w:r>
      <w:r>
        <w:rPr>
          <w:rFonts w:hint="eastAsia" w:ascii="宋体" w:hAnsi="宋体" w:eastAsia="宋体" w:cs="宋体"/>
          <w:szCs w:val="21"/>
          <w:highlight w:val="none"/>
        </w:rPr>
        <w:fldChar w:fldCharType="end"/>
      </w:r>
      <w:r>
        <w:rPr>
          <w:rFonts w:hint="eastAsia" w:ascii="宋体" w:hAnsi="宋体" w:eastAsia="宋体" w:cs="宋体"/>
          <w:szCs w:val="21"/>
          <w:highlight w:val="none"/>
        </w:rPr>
        <w:t>待出厂检验由企业上报《防护被装产品待出厂检验申请表》，收到报检后 10 个工作日内实施检验。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2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②</w:t>
      </w:r>
      <w:r>
        <w:rPr>
          <w:rFonts w:hint="eastAsia" w:ascii="宋体" w:hAnsi="宋体" w:eastAsia="宋体" w:cs="宋体"/>
          <w:szCs w:val="21"/>
          <w:highlight w:val="none"/>
        </w:rPr>
        <w:fldChar w:fldCharType="end"/>
      </w:r>
      <w:r>
        <w:rPr>
          <w:rFonts w:hint="eastAsia" w:ascii="宋体" w:hAnsi="宋体" w:eastAsia="宋体" w:cs="宋体"/>
          <w:szCs w:val="21"/>
          <w:highlight w:val="none"/>
        </w:rPr>
        <w:t>待出厂检验的产品，必须经企业检验合格并包装好。报检数量，每次不少于合同总量的三分之一。</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3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③</w:t>
      </w:r>
      <w:r>
        <w:rPr>
          <w:rFonts w:hint="eastAsia" w:ascii="宋体" w:hAnsi="宋体" w:eastAsia="宋体" w:cs="宋体"/>
          <w:szCs w:val="21"/>
          <w:highlight w:val="none"/>
        </w:rPr>
        <w:fldChar w:fldCharType="end"/>
      </w:r>
      <w:r>
        <w:rPr>
          <w:rFonts w:hint="eastAsia" w:ascii="宋体" w:hAnsi="宋体" w:eastAsia="宋体" w:cs="宋体"/>
          <w:szCs w:val="21"/>
          <w:highlight w:val="none"/>
        </w:rPr>
        <w:t>待出厂检验采取随机抽样的方法，按抽样比例、数量及要求抽检。如有质量问题，与企业核实签字后，填写《防护被装产品质检抽样登记表》和《防护被装产品质量检验原始记录单》，以备审查。</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4 \* GB3 \* MERGEFORMAT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④</w:t>
      </w:r>
      <w:r>
        <w:rPr>
          <w:rFonts w:hint="eastAsia" w:ascii="宋体" w:hAnsi="宋体" w:eastAsia="宋体" w:cs="宋体"/>
          <w:szCs w:val="21"/>
          <w:highlight w:val="none"/>
        </w:rPr>
        <w:fldChar w:fldCharType="end"/>
      </w:r>
      <w:r>
        <w:rPr>
          <w:rFonts w:hint="eastAsia" w:ascii="宋体" w:hAnsi="宋体" w:eastAsia="宋体" w:cs="宋体"/>
          <w:szCs w:val="21"/>
          <w:highlight w:val="none"/>
        </w:rPr>
        <w:t>检验后，按照标准规定做出是否允许出厂的结论。质量合格的，签发《防护被装产品质量检验出厂许可证》。抽检产品不合格的，对原批次产品加倍重新抽检；质量不合格的，向企业下达《防护被装产品质量问题整改通知书》。</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7、入库产品抽查</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总队所属收货单位由被装助理和被装保管员根据出厂许可证和规定检验程序，对接收产品按照3000以内抽检5‰、3001至30000抽检3‰的比例，对外观及包装进行抽检。合格的，签发《云南省森林消防总队物资到货验收登记表》。</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8、中标单位应按合同规定的时间和数量与采购人做好货物移交验收工作，运输移交工程所发生的一切费用由中标单位承担。</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9、所有供货不得分包和转包，且以现场实际数量为准。</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10、合同履行过程中，若技术规范更新，按国家消防救援局最新技术规范执行。</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11、其他要求</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（1）中标单位须承诺合同执行中，随验货时提供质量检验机构出具检测报告。</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（2）在项目实施过程中，中标单位不得随意更换中标的原辅材料。</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备注说明：</w:t>
      </w:r>
    </w:p>
    <w:p>
      <w:pPr>
        <w:numPr>
          <w:ilvl w:val="0"/>
          <w:numId w:val="16"/>
        </w:num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检测报告中必须包含但不限于★号条款。</w:t>
      </w:r>
    </w:p>
    <w:p>
      <w:pPr>
        <w:numPr>
          <w:ilvl w:val="255"/>
          <w:numId w:val="0"/>
        </w:numPr>
        <w:spacing w:line="360" w:lineRule="auto"/>
        <w:ind w:firstLine="301" w:firstLineChars="100"/>
        <w:rPr>
          <w:rFonts w:ascii="宋体" w:hAnsi="宋体" w:eastAsia="宋体" w:cs="宋体"/>
          <w:b/>
          <w:sz w:val="30"/>
          <w:szCs w:val="30"/>
          <w:highlight w:val="none"/>
        </w:rPr>
      </w:pPr>
      <w:r>
        <w:rPr>
          <w:rFonts w:hint="eastAsia" w:ascii="宋体" w:hAnsi="宋体" w:eastAsia="宋体" w:cs="宋体"/>
          <w:b/>
          <w:sz w:val="30"/>
          <w:szCs w:val="30"/>
          <w:highlight w:val="none"/>
        </w:rPr>
        <w:t>2、供应商需针对商务需求中的所有条款做出实质性响应承诺，如无响应则不通过符合性审查。</w:t>
      </w:r>
    </w:p>
    <w:p>
      <w:pPr>
        <w:rPr>
          <w:highlight w:val="none"/>
        </w:rPr>
      </w:pPr>
      <w:r>
        <w:rPr>
          <w:highlight w:val="none"/>
        </w:rPr>
        <w:drawing>
          <wp:inline distT="0" distB="0" distL="0" distR="0">
            <wp:extent cx="6120130" cy="8655685"/>
            <wp:effectExtent l="0" t="0" r="6350" b="635"/>
            <wp:docPr id="12831585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158533" name="图片 1"/>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highlight w:val="none"/>
        </w:rPr>
        <w:drawing>
          <wp:inline distT="0" distB="0" distL="0" distR="0">
            <wp:extent cx="6120130" cy="8655685"/>
            <wp:effectExtent l="0" t="0" r="6350" b="635"/>
            <wp:docPr id="198517448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174484" name="图片 2"/>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highlight w:val="none"/>
        </w:rPr>
        <w:drawing>
          <wp:inline distT="0" distB="0" distL="0" distR="0">
            <wp:extent cx="6120130" cy="8655685"/>
            <wp:effectExtent l="0" t="0" r="6350" b="635"/>
            <wp:docPr id="85349839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498393" name="图片 3"/>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highlight w:val="none"/>
        </w:rPr>
        <w:drawing>
          <wp:inline distT="0" distB="0" distL="0" distR="0">
            <wp:extent cx="6120130" cy="8655685"/>
            <wp:effectExtent l="0" t="0" r="6350" b="635"/>
            <wp:docPr id="154989872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898729" name="图片 4"/>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highlight w:val="none"/>
        </w:rPr>
        <w:drawing>
          <wp:inline distT="0" distB="0" distL="0" distR="0">
            <wp:extent cx="6120130" cy="8655685"/>
            <wp:effectExtent l="0" t="0" r="6350" b="635"/>
            <wp:docPr id="141075900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759000" name="图片 5"/>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highlight w:val="none"/>
        </w:rPr>
        <w:drawing>
          <wp:inline distT="0" distB="0" distL="0" distR="0">
            <wp:extent cx="6120130" cy="8655685"/>
            <wp:effectExtent l="0" t="0" r="6350" b="635"/>
            <wp:docPr id="5961229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22927" name="图片 6"/>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highlight w:val="none"/>
        </w:rPr>
        <w:drawing>
          <wp:inline distT="0" distB="0" distL="0" distR="0">
            <wp:extent cx="6120130" cy="8655685"/>
            <wp:effectExtent l="0" t="0" r="6350" b="635"/>
            <wp:docPr id="145621042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10429" name="图片 7"/>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Pr>
          <w:highlight w:val="none"/>
        </w:rPr>
        <w:drawing>
          <wp:inline distT="0" distB="0" distL="0" distR="0">
            <wp:extent cx="6120130" cy="8655685"/>
            <wp:effectExtent l="0" t="0" r="6350" b="635"/>
            <wp:docPr id="123310374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103749" name="图片 8"/>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p>
    <w:p>
      <w:pPr>
        <w:rPr>
          <w:rFonts w:ascii="宋体" w:hAnsi="宋体" w:eastAsia="宋体"/>
          <w:sz w:val="36"/>
          <w:highlight w:val="none"/>
        </w:rPr>
      </w:pPr>
    </w:p>
    <w:p>
      <w:pPr>
        <w:pStyle w:val="2"/>
        <w:numPr>
          <w:ilvl w:val="0"/>
          <w:numId w:val="0"/>
        </w:numPr>
        <w:jc w:val="center"/>
        <w:rPr>
          <w:rFonts w:ascii="宋体" w:hAnsi="宋体" w:eastAsia="宋体"/>
          <w:sz w:val="36"/>
          <w:highlight w:val="none"/>
        </w:rPr>
      </w:pPr>
      <w:bookmarkStart w:id="244" w:name="_Toc20022"/>
      <w:bookmarkStart w:id="245" w:name="_Toc31155"/>
      <w:bookmarkStart w:id="246" w:name="_Toc29205"/>
      <w:bookmarkStart w:id="247" w:name="_Toc1908"/>
      <w:bookmarkStart w:id="248" w:name="_Toc168573772"/>
      <w:bookmarkStart w:id="249" w:name="_Toc29940"/>
      <w:r>
        <w:rPr>
          <w:rFonts w:hint="eastAsia" w:ascii="宋体" w:hAnsi="宋体" w:eastAsia="宋体"/>
          <w:sz w:val="36"/>
          <w:highlight w:val="none"/>
        </w:rPr>
        <w:t>第六章 资格评审标准</w:t>
      </w:r>
      <w:bookmarkEnd w:id="243"/>
      <w:bookmarkEnd w:id="244"/>
      <w:bookmarkEnd w:id="245"/>
      <w:bookmarkEnd w:id="246"/>
      <w:bookmarkEnd w:id="247"/>
      <w:bookmarkEnd w:id="248"/>
      <w:bookmarkEnd w:id="249"/>
    </w:p>
    <w:p>
      <w:pPr>
        <w:tabs>
          <w:tab w:val="left" w:pos="2472"/>
        </w:tabs>
        <w:spacing w:line="360" w:lineRule="auto"/>
        <w:ind w:firstLine="420" w:firstLineChars="200"/>
        <w:rPr>
          <w:rFonts w:ascii="宋体" w:hAnsi="宋体" w:eastAsia="宋体" w:cs="Times New Roman"/>
          <w:szCs w:val="21"/>
          <w:highlight w:val="none"/>
        </w:rPr>
      </w:pPr>
      <w:r>
        <w:rPr>
          <w:rFonts w:hint="eastAsia" w:ascii="宋体" w:hAnsi="宋体" w:eastAsia="宋体" w:cs="Times New Roman"/>
          <w:szCs w:val="21"/>
          <w:highlight w:val="none"/>
        </w:rPr>
        <w:t>投标文件出现不满足下列各项评审内容及标准要求之一的，则资格评审为不合格。合格投标人不足3家的，不得评标。下列各项评审内容及标准均为招</w:t>
      </w:r>
      <w:r>
        <w:rPr>
          <w:rFonts w:ascii="宋体" w:hAnsi="宋体" w:eastAsia="宋体" w:cs="Times New Roman"/>
          <w:szCs w:val="21"/>
          <w:highlight w:val="none"/>
        </w:rPr>
        <w:t>标文件的实质性要求</w:t>
      </w:r>
      <w:r>
        <w:rPr>
          <w:rFonts w:hint="eastAsia" w:ascii="宋体" w:hAnsi="宋体" w:eastAsia="宋体" w:cs="Times New Roman"/>
          <w:szCs w:val="21"/>
          <w:highlight w:val="none"/>
        </w:rPr>
        <w:t>，投标文件响应各款所列材料在开标后不得澄清、后补。</w:t>
      </w:r>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733"/>
        <w:gridCol w:w="7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1171" w:type="dxa"/>
            <w:vAlign w:val="center"/>
          </w:tcPr>
          <w:p>
            <w:pPr>
              <w:spacing w:line="360" w:lineRule="auto"/>
              <w:jc w:val="center"/>
              <w:rPr>
                <w:rFonts w:ascii="宋体" w:hAnsi="宋体" w:eastAsia="宋体" w:cs="Times New Roman"/>
                <w:b/>
                <w:highlight w:val="none"/>
              </w:rPr>
            </w:pPr>
            <w:r>
              <w:rPr>
                <w:rFonts w:hint="eastAsia" w:ascii="宋体" w:hAnsi="宋体" w:eastAsia="宋体" w:cs="Times New Roman"/>
                <w:b/>
                <w:highlight w:val="none"/>
              </w:rPr>
              <w:t>评审程序</w:t>
            </w:r>
          </w:p>
        </w:tc>
        <w:tc>
          <w:tcPr>
            <w:tcW w:w="8683" w:type="dxa"/>
            <w:gridSpan w:val="2"/>
            <w:vAlign w:val="center"/>
          </w:tcPr>
          <w:p>
            <w:pPr>
              <w:spacing w:line="360" w:lineRule="auto"/>
              <w:jc w:val="center"/>
              <w:rPr>
                <w:rFonts w:ascii="宋体" w:hAnsi="宋体" w:eastAsia="宋体" w:cs="Times New Roman"/>
                <w:b/>
                <w:highlight w:val="none"/>
              </w:rPr>
            </w:pPr>
            <w:r>
              <w:rPr>
                <w:rFonts w:hint="eastAsia" w:ascii="宋体" w:hAnsi="宋体" w:eastAsia="宋体" w:cs="Times New Roman"/>
                <w:b/>
                <w:highlight w:val="none"/>
              </w:rPr>
              <w:t>评 审 内 容 及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1171" w:type="dxa"/>
            <w:vMerge w:val="restart"/>
            <w:vAlign w:val="center"/>
          </w:tcPr>
          <w:p>
            <w:pPr>
              <w:spacing w:line="360" w:lineRule="auto"/>
              <w:jc w:val="center"/>
              <w:rPr>
                <w:rFonts w:ascii="宋体" w:hAnsi="宋体" w:eastAsia="宋体" w:cs="Times New Roman"/>
                <w:b/>
                <w:highlight w:val="none"/>
              </w:rPr>
            </w:pPr>
            <w:r>
              <w:rPr>
                <w:rFonts w:hint="eastAsia" w:ascii="宋体" w:hAnsi="宋体" w:eastAsia="宋体" w:cs="Times New Roman"/>
                <w:highlight w:val="none"/>
              </w:rPr>
              <w:t>资格评审标准</w:t>
            </w:r>
          </w:p>
        </w:tc>
        <w:tc>
          <w:tcPr>
            <w:tcW w:w="733" w:type="dxa"/>
            <w:vAlign w:val="center"/>
          </w:tcPr>
          <w:p>
            <w:pPr>
              <w:spacing w:line="360" w:lineRule="auto"/>
              <w:jc w:val="center"/>
              <w:rPr>
                <w:rFonts w:ascii="宋体" w:hAnsi="宋体" w:eastAsia="宋体" w:cs="Times New Roman"/>
                <w:b/>
                <w:highlight w:val="none"/>
              </w:rPr>
            </w:pPr>
            <w:r>
              <w:rPr>
                <w:rFonts w:hint="eastAsia" w:ascii="宋体" w:hAnsi="宋体" w:eastAsia="宋体" w:cs="Times New Roman"/>
                <w:b/>
                <w:highlight w:val="none"/>
              </w:rPr>
              <w:t>1</w:t>
            </w:r>
          </w:p>
        </w:tc>
        <w:tc>
          <w:tcPr>
            <w:tcW w:w="7950" w:type="dxa"/>
            <w:vAlign w:val="center"/>
          </w:tcPr>
          <w:p>
            <w:pPr>
              <w:spacing w:line="360" w:lineRule="auto"/>
              <w:jc w:val="left"/>
              <w:rPr>
                <w:rFonts w:ascii="宋体" w:hAnsi="宋体" w:eastAsia="宋体" w:cs="Times New Roman"/>
                <w:b/>
                <w:highlight w:val="none"/>
              </w:rPr>
            </w:pPr>
            <w:r>
              <w:rPr>
                <w:rFonts w:hint="eastAsia" w:ascii="宋体" w:hAnsi="宋体" w:eastAsia="宋体" w:cs="Times New Roman"/>
                <w:b/>
                <w:highlight w:val="none"/>
              </w:rPr>
              <w:t>投标人应具备《中华人民共和国政府采购法》第二十二条规定的条件，并提供下列材料：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2" w:hRule="atLeast"/>
          <w:jc w:val="center"/>
        </w:trPr>
        <w:tc>
          <w:tcPr>
            <w:tcW w:w="1171" w:type="dxa"/>
            <w:vMerge w:val="continue"/>
            <w:vAlign w:val="center"/>
          </w:tcPr>
          <w:p>
            <w:pPr>
              <w:spacing w:line="360" w:lineRule="auto"/>
              <w:jc w:val="center"/>
              <w:rPr>
                <w:rFonts w:ascii="宋体" w:hAnsi="宋体" w:eastAsia="宋体" w:cs="Times New Roman"/>
                <w:highlight w:val="none"/>
              </w:rPr>
            </w:pPr>
          </w:p>
        </w:tc>
        <w:tc>
          <w:tcPr>
            <w:tcW w:w="733" w:type="dxa"/>
            <w:vAlign w:val="center"/>
          </w:tcPr>
          <w:p>
            <w:pPr>
              <w:spacing w:line="360" w:lineRule="auto"/>
              <w:jc w:val="center"/>
              <w:rPr>
                <w:rFonts w:ascii="宋体" w:hAnsi="宋体" w:eastAsia="宋体" w:cs="Times New Roman"/>
                <w:highlight w:val="none"/>
              </w:rPr>
            </w:pPr>
            <w:r>
              <w:rPr>
                <w:rFonts w:hint="eastAsia" w:ascii="宋体" w:hAnsi="宋体" w:eastAsia="宋体" w:cs="Times New Roman"/>
                <w:highlight w:val="none"/>
              </w:rPr>
              <w:t>1.1</w:t>
            </w:r>
          </w:p>
        </w:tc>
        <w:tc>
          <w:tcPr>
            <w:tcW w:w="7950" w:type="dxa"/>
            <w:vAlign w:val="center"/>
          </w:tcPr>
          <w:p>
            <w:pPr>
              <w:spacing w:line="360" w:lineRule="auto"/>
              <w:jc w:val="left"/>
              <w:rPr>
                <w:rFonts w:ascii="宋体" w:hAnsi="宋体" w:cs="Times New Roman"/>
                <w:highlight w:val="none"/>
              </w:rPr>
            </w:pPr>
            <w:r>
              <w:rPr>
                <w:rFonts w:hint="eastAsia" w:ascii="宋体" w:hAnsi="宋体"/>
                <w:highlight w:val="none"/>
              </w:rPr>
              <w:t>投标人须具有独立承担民事责任的能力，在中华人民共和国境内登记或注册；</w:t>
            </w:r>
            <w:r>
              <w:rPr>
                <w:rFonts w:hint="eastAsia" w:ascii="宋体" w:hAnsi="宋体"/>
                <w:b/>
                <w:bCs/>
                <w:highlight w:val="none"/>
              </w:rPr>
              <w:t>提供营业执照或事业单位法人证书或其他类似的法定凭证。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1171" w:type="dxa"/>
            <w:vMerge w:val="continue"/>
            <w:vAlign w:val="center"/>
          </w:tcPr>
          <w:p>
            <w:pPr>
              <w:spacing w:line="360" w:lineRule="auto"/>
              <w:jc w:val="center"/>
              <w:rPr>
                <w:rFonts w:ascii="宋体" w:hAnsi="宋体" w:eastAsia="宋体" w:cs="Times New Roman"/>
                <w:highlight w:val="none"/>
              </w:rPr>
            </w:pPr>
          </w:p>
        </w:tc>
        <w:tc>
          <w:tcPr>
            <w:tcW w:w="733" w:type="dxa"/>
            <w:vAlign w:val="center"/>
          </w:tcPr>
          <w:p>
            <w:pPr>
              <w:spacing w:line="360" w:lineRule="auto"/>
              <w:jc w:val="center"/>
              <w:rPr>
                <w:rFonts w:ascii="宋体" w:hAnsi="宋体" w:eastAsia="宋体" w:cs="Times New Roman"/>
                <w:highlight w:val="none"/>
              </w:rPr>
            </w:pPr>
            <w:r>
              <w:rPr>
                <w:rFonts w:hint="eastAsia" w:ascii="宋体" w:hAnsi="宋体" w:eastAsia="宋体" w:cs="Times New Roman"/>
                <w:highlight w:val="none"/>
              </w:rPr>
              <w:t>1.2</w:t>
            </w:r>
          </w:p>
        </w:tc>
        <w:tc>
          <w:tcPr>
            <w:tcW w:w="7950" w:type="dxa"/>
            <w:vAlign w:val="center"/>
          </w:tcPr>
          <w:p>
            <w:pPr>
              <w:spacing w:line="360" w:lineRule="auto"/>
              <w:jc w:val="left"/>
              <w:rPr>
                <w:rFonts w:ascii="宋体" w:hAnsi="宋体" w:eastAsia="宋体" w:cs="Times New Roman"/>
                <w:highlight w:val="none"/>
              </w:rPr>
            </w:pPr>
            <w:r>
              <w:rPr>
                <w:rFonts w:hint="eastAsia" w:ascii="宋体" w:hAnsi="宋体" w:eastAsia="宋体" w:cs="Times New Roman"/>
                <w:highlight w:val="none"/>
              </w:rPr>
              <w:t>投标人须具有良好的商业信誉和健全的财务会计制度，</w:t>
            </w:r>
            <w:r>
              <w:rPr>
                <w:rFonts w:hint="eastAsia" w:ascii="宋体" w:hAnsi="宋体" w:eastAsia="宋体" w:cs="Times New Roman"/>
                <w:b/>
                <w:bCs/>
                <w:highlight w:val="none"/>
              </w:rPr>
              <w:t>提供2020年度至2022年度中任意一年度经第三方审计的财务报告及报表（包括资产负债表、现金流量表、利润表），若为新成立不足一年的企业可提供情况说明</w:t>
            </w:r>
            <w:r>
              <w:rPr>
                <w:rFonts w:hint="eastAsia" w:ascii="宋体" w:hAnsi="宋体" w:eastAsia="宋体"/>
                <w:b/>
                <w:bCs/>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1171" w:type="dxa"/>
            <w:vMerge w:val="continue"/>
            <w:vAlign w:val="center"/>
          </w:tcPr>
          <w:p>
            <w:pPr>
              <w:spacing w:line="360" w:lineRule="auto"/>
              <w:rPr>
                <w:rFonts w:ascii="宋体" w:hAnsi="宋体" w:eastAsia="宋体" w:cs="Times New Roman"/>
                <w:highlight w:val="none"/>
              </w:rPr>
            </w:pPr>
          </w:p>
        </w:tc>
        <w:tc>
          <w:tcPr>
            <w:tcW w:w="733" w:type="dxa"/>
            <w:vAlign w:val="center"/>
          </w:tcPr>
          <w:p>
            <w:pPr>
              <w:spacing w:line="360" w:lineRule="auto"/>
              <w:jc w:val="center"/>
              <w:rPr>
                <w:rFonts w:ascii="宋体" w:hAnsi="宋体" w:eastAsia="宋体" w:cs="Times New Roman"/>
                <w:highlight w:val="none"/>
              </w:rPr>
            </w:pPr>
            <w:r>
              <w:rPr>
                <w:rFonts w:hint="eastAsia" w:ascii="宋体" w:hAnsi="宋体" w:eastAsia="宋体" w:cs="Times New Roman"/>
                <w:highlight w:val="none"/>
              </w:rPr>
              <w:t>1.3</w:t>
            </w:r>
          </w:p>
        </w:tc>
        <w:tc>
          <w:tcPr>
            <w:tcW w:w="7950" w:type="dxa"/>
            <w:vAlign w:val="center"/>
          </w:tcPr>
          <w:p>
            <w:pPr>
              <w:spacing w:line="360" w:lineRule="auto"/>
              <w:jc w:val="left"/>
              <w:rPr>
                <w:rFonts w:ascii="宋体" w:hAnsi="宋体" w:eastAsia="宋体" w:cs="Times New Roman"/>
                <w:highlight w:val="none"/>
              </w:rPr>
            </w:pPr>
            <w:r>
              <w:rPr>
                <w:rFonts w:hint="eastAsia" w:ascii="宋体" w:hAnsi="宋体" w:eastAsia="宋体" w:cs="Times New Roman"/>
                <w:highlight w:val="none"/>
              </w:rPr>
              <w:t>投标人须具有履行合同所必需的设备和专业技术能力，</w:t>
            </w:r>
            <w:r>
              <w:rPr>
                <w:rFonts w:hint="eastAsia" w:ascii="宋体" w:hAnsi="宋体" w:eastAsia="宋体" w:cs="Times New Roman"/>
                <w:b/>
                <w:bCs/>
                <w:highlight w:val="none"/>
              </w:rPr>
              <w:t>提供相关书面声明</w:t>
            </w:r>
            <w:r>
              <w:rPr>
                <w:rFonts w:hint="eastAsia" w:ascii="宋体" w:hAnsi="宋体"/>
                <w:b/>
                <w:bCs/>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1171" w:type="dxa"/>
            <w:vMerge w:val="continue"/>
            <w:vAlign w:val="center"/>
          </w:tcPr>
          <w:p>
            <w:pPr>
              <w:spacing w:line="360" w:lineRule="auto"/>
              <w:rPr>
                <w:rFonts w:ascii="宋体" w:hAnsi="宋体" w:eastAsia="宋体" w:cs="Times New Roman"/>
                <w:highlight w:val="none"/>
              </w:rPr>
            </w:pPr>
          </w:p>
        </w:tc>
        <w:tc>
          <w:tcPr>
            <w:tcW w:w="733" w:type="dxa"/>
            <w:vAlign w:val="center"/>
          </w:tcPr>
          <w:p>
            <w:pPr>
              <w:spacing w:line="360" w:lineRule="auto"/>
              <w:jc w:val="center"/>
              <w:rPr>
                <w:rFonts w:ascii="宋体" w:hAnsi="宋体" w:eastAsia="宋体" w:cs="Times New Roman"/>
                <w:highlight w:val="none"/>
              </w:rPr>
            </w:pPr>
            <w:r>
              <w:rPr>
                <w:rFonts w:hint="eastAsia" w:ascii="宋体" w:hAnsi="宋体" w:eastAsia="宋体" w:cs="Times New Roman"/>
                <w:highlight w:val="none"/>
              </w:rPr>
              <w:t>1.4</w:t>
            </w:r>
          </w:p>
        </w:tc>
        <w:tc>
          <w:tcPr>
            <w:tcW w:w="7950" w:type="dxa"/>
            <w:vAlign w:val="center"/>
          </w:tcPr>
          <w:p>
            <w:pPr>
              <w:spacing w:line="360" w:lineRule="auto"/>
              <w:jc w:val="left"/>
              <w:rPr>
                <w:rFonts w:ascii="宋体" w:hAnsi="宋体" w:eastAsia="宋体" w:cs="Times New Roman"/>
                <w:highlight w:val="none"/>
              </w:rPr>
            </w:pPr>
            <w:r>
              <w:rPr>
                <w:rFonts w:hint="eastAsia" w:ascii="宋体" w:hAnsi="宋体" w:eastAsia="宋体" w:cs="Times New Roman"/>
                <w:highlight w:val="none"/>
              </w:rPr>
              <w:t>投标人须具有依法缴纳税收和社会保障资金的良好记录，</w:t>
            </w:r>
            <w:r>
              <w:rPr>
                <w:rFonts w:hint="eastAsia" w:ascii="宋体" w:hAnsi="宋体" w:eastAsia="宋体" w:cs="Times New Roman"/>
                <w:b/>
                <w:bCs/>
                <w:highlight w:val="none"/>
              </w:rPr>
              <w:t>提供缴费所属时期在2023年01月至本项目投标文件提交截止时间前任意连续3个月的税收缴纳凭证和社保资金缴纳凭证(注：依法免税或不需要缴纳社会保障资金的供应商，须提供相应文件证明其依法免税或不需要缴纳社会保障资金。新成立企业提供情况说明)</w:t>
            </w:r>
            <w:r>
              <w:rPr>
                <w:rFonts w:hint="eastAsia" w:ascii="宋体" w:hAnsi="宋体" w:eastAsia="宋体"/>
                <w:b/>
                <w:bCs/>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171" w:type="dxa"/>
            <w:vMerge w:val="continue"/>
            <w:vAlign w:val="center"/>
          </w:tcPr>
          <w:p>
            <w:pPr>
              <w:spacing w:line="360" w:lineRule="auto"/>
              <w:rPr>
                <w:rFonts w:ascii="宋体" w:hAnsi="宋体" w:eastAsia="宋体" w:cs="Times New Roman"/>
                <w:highlight w:val="none"/>
              </w:rPr>
            </w:pPr>
          </w:p>
        </w:tc>
        <w:tc>
          <w:tcPr>
            <w:tcW w:w="733" w:type="dxa"/>
            <w:vAlign w:val="center"/>
          </w:tcPr>
          <w:p>
            <w:pPr>
              <w:spacing w:line="360" w:lineRule="auto"/>
              <w:jc w:val="center"/>
              <w:rPr>
                <w:rFonts w:ascii="宋体" w:hAnsi="宋体" w:eastAsia="宋体" w:cs="Times New Roman"/>
                <w:highlight w:val="none"/>
              </w:rPr>
            </w:pPr>
            <w:r>
              <w:rPr>
                <w:rFonts w:hint="eastAsia" w:ascii="宋体" w:hAnsi="宋体" w:eastAsia="宋体" w:cs="Times New Roman"/>
                <w:highlight w:val="none"/>
              </w:rPr>
              <w:t>1.5</w:t>
            </w:r>
          </w:p>
        </w:tc>
        <w:tc>
          <w:tcPr>
            <w:tcW w:w="7950" w:type="dxa"/>
            <w:vAlign w:val="center"/>
          </w:tcPr>
          <w:p>
            <w:pPr>
              <w:spacing w:line="360" w:lineRule="auto"/>
              <w:jc w:val="left"/>
              <w:rPr>
                <w:rFonts w:ascii="宋体" w:hAnsi="宋体" w:eastAsia="宋体" w:cs="Times New Roman"/>
                <w:highlight w:val="none"/>
              </w:rPr>
            </w:pPr>
            <w:r>
              <w:rPr>
                <w:rFonts w:hint="eastAsia" w:ascii="宋体" w:hAnsi="宋体" w:eastAsia="宋体" w:cs="Times New Roman"/>
                <w:highlight w:val="none"/>
              </w:rPr>
              <w:t>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eastAsia="宋体" w:cs="Times New Roman"/>
                <w:b/>
                <w:bCs/>
                <w:highlight w:val="none"/>
              </w:rPr>
              <w:t>提供“参加本项目政府采购活动前三年内在经营活动中没有重大违法记录的书面声明”（成立未满三年的投标人提供成立以来在经营活动中没有重大违法记录的书面声明）。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1171" w:type="dxa"/>
            <w:vMerge w:val="continue"/>
            <w:vAlign w:val="center"/>
          </w:tcPr>
          <w:p>
            <w:pPr>
              <w:spacing w:line="360" w:lineRule="auto"/>
              <w:rPr>
                <w:rFonts w:ascii="宋体" w:hAnsi="宋体" w:eastAsia="宋体" w:cs="Times New Roman"/>
                <w:highlight w:val="none"/>
              </w:rPr>
            </w:pPr>
          </w:p>
        </w:tc>
        <w:tc>
          <w:tcPr>
            <w:tcW w:w="733" w:type="dxa"/>
            <w:vAlign w:val="center"/>
          </w:tcPr>
          <w:p>
            <w:pPr>
              <w:spacing w:line="360" w:lineRule="auto"/>
              <w:jc w:val="center"/>
              <w:rPr>
                <w:rFonts w:ascii="宋体" w:hAnsi="宋体" w:eastAsia="宋体" w:cs="Times New Roman"/>
                <w:highlight w:val="none"/>
              </w:rPr>
            </w:pPr>
            <w:r>
              <w:rPr>
                <w:rFonts w:hint="eastAsia" w:ascii="宋体" w:hAnsi="宋体" w:eastAsia="宋体" w:cs="Times New Roman"/>
                <w:highlight w:val="none"/>
              </w:rPr>
              <w:t>1.6</w:t>
            </w:r>
          </w:p>
        </w:tc>
        <w:tc>
          <w:tcPr>
            <w:tcW w:w="7950" w:type="dxa"/>
            <w:vAlign w:val="center"/>
          </w:tcPr>
          <w:p>
            <w:pPr>
              <w:spacing w:line="360" w:lineRule="auto"/>
              <w:jc w:val="left"/>
              <w:rPr>
                <w:rFonts w:ascii="宋体" w:hAnsi="宋体" w:eastAsia="宋体" w:cs="Times New Roman"/>
                <w:highlight w:val="none"/>
              </w:rPr>
            </w:pPr>
            <w:r>
              <w:rPr>
                <w:rFonts w:hint="eastAsia" w:ascii="宋体" w:hAnsi="宋体" w:eastAsia="宋体" w:cs="Times New Roman"/>
                <w:highlight w:val="none"/>
              </w:rPr>
              <w:t>法律、行政法规规定的其他条件：投标人不得为“信用中国”网站（www.creditchina.gov.cn）中列入失信被执行人、重大税收违法案件当事人和政府采购严重违法失信名单的投标人；投标人不得为中国政府采购网（www.ccgp.gov.cn）政府采购严重违法失信行为记录名单中被财政部门禁止参加政府采购活动的供应商并且处罚期限未满的投标人（</w:t>
            </w:r>
            <w:r>
              <w:rPr>
                <w:rFonts w:hint="eastAsia" w:ascii="宋体" w:hAnsi="宋体" w:eastAsia="宋体" w:cs="Times New Roman"/>
                <w:b/>
                <w:bCs/>
                <w:highlight w:val="none"/>
              </w:rPr>
              <w:t>提供相关书面声明</w:t>
            </w:r>
            <w:r>
              <w:rPr>
                <w:rFonts w:hint="eastAsia" w:ascii="宋体" w:hAnsi="宋体" w:eastAsia="宋体" w:cs="Times New Roman"/>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1171" w:type="dxa"/>
            <w:vMerge w:val="continue"/>
            <w:vAlign w:val="center"/>
          </w:tcPr>
          <w:p>
            <w:pPr>
              <w:spacing w:line="360" w:lineRule="auto"/>
              <w:rPr>
                <w:rFonts w:ascii="宋体" w:hAnsi="宋体" w:eastAsia="宋体" w:cs="Times New Roman"/>
                <w:highlight w:val="none"/>
              </w:rPr>
            </w:pPr>
          </w:p>
        </w:tc>
        <w:tc>
          <w:tcPr>
            <w:tcW w:w="733" w:type="dxa"/>
            <w:vAlign w:val="center"/>
          </w:tcPr>
          <w:p>
            <w:pPr>
              <w:spacing w:line="360" w:lineRule="auto"/>
              <w:jc w:val="center"/>
              <w:rPr>
                <w:rFonts w:ascii="宋体" w:hAnsi="宋体" w:eastAsia="宋体" w:cs="Times New Roman"/>
                <w:highlight w:val="none"/>
              </w:rPr>
            </w:pPr>
            <w:r>
              <w:rPr>
                <w:rFonts w:hint="eastAsia" w:ascii="宋体" w:hAnsi="宋体" w:eastAsia="宋体" w:cs="Times New Roman"/>
                <w:b/>
                <w:bCs/>
                <w:highlight w:val="none"/>
              </w:rPr>
              <w:t>2</w:t>
            </w:r>
          </w:p>
        </w:tc>
        <w:tc>
          <w:tcPr>
            <w:tcW w:w="7950" w:type="dxa"/>
            <w:vAlign w:val="center"/>
          </w:tcPr>
          <w:p>
            <w:pPr>
              <w:spacing w:line="360" w:lineRule="auto"/>
              <w:jc w:val="left"/>
              <w:rPr>
                <w:rFonts w:ascii="宋体" w:hAnsi="宋体"/>
                <w:b/>
                <w:bCs/>
                <w:szCs w:val="21"/>
                <w:highlight w:val="none"/>
              </w:rPr>
            </w:pPr>
            <w:r>
              <w:rPr>
                <w:rFonts w:hint="eastAsia" w:ascii="宋体" w:hAnsi="宋体"/>
                <w:b/>
                <w:bCs/>
                <w:szCs w:val="21"/>
                <w:highlight w:val="none"/>
              </w:rPr>
              <w:t>落实政府采购政策需满足的资格要求：本项目非专门面向中小企业采购的项目。</w:t>
            </w:r>
          </w:p>
          <w:p>
            <w:pPr>
              <w:spacing w:line="360" w:lineRule="auto"/>
              <w:jc w:val="left"/>
              <w:rPr>
                <w:rFonts w:ascii="宋体" w:hAnsi="宋体"/>
                <w:b/>
                <w:bCs/>
                <w:szCs w:val="21"/>
                <w:highlight w:val="none"/>
              </w:rPr>
            </w:pPr>
            <w:r>
              <w:rPr>
                <w:rFonts w:hint="eastAsia" w:ascii="宋体" w:hAnsi="宋体"/>
                <w:b/>
                <w:bCs/>
                <w:szCs w:val="21"/>
                <w:highlight w:val="none"/>
              </w:rPr>
              <w:t>采购标的对应的中小企业划分标准所属行业：工业行业。</w:t>
            </w:r>
          </w:p>
          <w:p>
            <w:pPr>
              <w:spacing w:line="360" w:lineRule="auto"/>
              <w:jc w:val="left"/>
              <w:rPr>
                <w:rFonts w:ascii="宋体" w:hAnsi="宋体"/>
                <w:b/>
                <w:bCs/>
                <w:szCs w:val="21"/>
                <w:highlight w:val="none"/>
              </w:rPr>
            </w:pPr>
            <w:r>
              <w:rPr>
                <w:rFonts w:hint="eastAsia" w:ascii="宋体" w:hAnsi="宋体"/>
                <w:b/>
                <w:bCs/>
                <w:szCs w:val="21"/>
                <w:highlight w:val="none"/>
              </w:rPr>
              <w:t>（1）扶持中小企业政策：评审时对符合采购文件要求的小型和微型企业产品（服务）享受10%的价格折扣。监狱企业和残疾人福利性单位视同小型、微型企业。</w:t>
            </w:r>
          </w:p>
          <w:p>
            <w:pPr>
              <w:spacing w:line="360" w:lineRule="auto"/>
              <w:jc w:val="left"/>
              <w:rPr>
                <w:rFonts w:ascii="宋体" w:hAnsi="宋体"/>
                <w:b/>
                <w:bCs/>
                <w:szCs w:val="21"/>
                <w:highlight w:val="none"/>
              </w:rPr>
            </w:pPr>
            <w:r>
              <w:rPr>
                <w:rFonts w:hint="eastAsia" w:ascii="宋体" w:hAnsi="宋体"/>
                <w:b/>
                <w:bCs/>
                <w:szCs w:val="21"/>
                <w:highlight w:val="none"/>
              </w:rPr>
              <w:t>（2）供应商的投标货物应当符合国家有关部门规定的相应技术、节能、安全和环保标准；如国家有关部门对供应商的投标货物有强制性规定或要求的，则供应商的投标货物必须符合相应规定或要求。</w:t>
            </w:r>
          </w:p>
          <w:p>
            <w:pPr>
              <w:spacing w:line="360" w:lineRule="auto"/>
              <w:jc w:val="left"/>
              <w:rPr>
                <w:rFonts w:ascii="宋体" w:hAnsi="宋体" w:cs="Times New Roman"/>
                <w:highlight w:val="none"/>
              </w:rPr>
            </w:pPr>
            <w:r>
              <w:rPr>
                <w:rFonts w:hint="eastAsia" w:ascii="宋体" w:hAnsi="宋体"/>
                <w:b/>
                <w:bCs/>
                <w:szCs w:val="21"/>
                <w:highlight w:val="none"/>
              </w:rPr>
              <w:t>投标人所投产品如被列入财政部与国家主管部门颁发的节能产品目录或环境标志产品目录或无线局域网产品目录，应提供相关证明，在评标时予以优先采购。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jc w:val="center"/>
        </w:trPr>
        <w:tc>
          <w:tcPr>
            <w:tcW w:w="1171" w:type="dxa"/>
            <w:vMerge w:val="continue"/>
            <w:vAlign w:val="center"/>
          </w:tcPr>
          <w:p>
            <w:pPr>
              <w:spacing w:line="360" w:lineRule="auto"/>
              <w:rPr>
                <w:rFonts w:ascii="宋体" w:hAnsi="宋体" w:eastAsia="宋体" w:cs="Times New Roman"/>
                <w:highlight w:val="none"/>
              </w:rPr>
            </w:pPr>
          </w:p>
        </w:tc>
        <w:tc>
          <w:tcPr>
            <w:tcW w:w="733" w:type="dxa"/>
            <w:vAlign w:val="center"/>
          </w:tcPr>
          <w:p>
            <w:pPr>
              <w:spacing w:line="360" w:lineRule="auto"/>
              <w:jc w:val="center"/>
              <w:rPr>
                <w:rFonts w:ascii="宋体" w:hAnsi="宋体" w:eastAsia="宋体" w:cs="Times New Roman"/>
                <w:b/>
                <w:highlight w:val="none"/>
              </w:rPr>
            </w:pPr>
            <w:r>
              <w:rPr>
                <w:rFonts w:hint="eastAsia" w:ascii="宋体" w:hAnsi="宋体" w:eastAsia="宋体" w:cs="Times New Roman"/>
                <w:b/>
                <w:highlight w:val="none"/>
              </w:rPr>
              <w:t>3</w:t>
            </w:r>
          </w:p>
        </w:tc>
        <w:tc>
          <w:tcPr>
            <w:tcW w:w="7950" w:type="dxa"/>
            <w:vAlign w:val="center"/>
          </w:tcPr>
          <w:p>
            <w:pPr>
              <w:spacing w:line="360" w:lineRule="auto"/>
              <w:jc w:val="left"/>
              <w:rPr>
                <w:rFonts w:ascii="宋体" w:hAnsi="宋体" w:eastAsia="宋体" w:cs="Times New Roman"/>
                <w:b/>
                <w:highlight w:val="none"/>
              </w:rPr>
            </w:pPr>
            <w:r>
              <w:rPr>
                <w:rFonts w:hint="eastAsia" w:ascii="宋体" w:hAnsi="宋体" w:eastAsia="宋体" w:cs="Times New Roman"/>
                <w:b/>
                <w:highlight w:val="none"/>
              </w:rPr>
              <w:t>本项目的特定资格要求：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jc w:val="center"/>
        </w:trPr>
        <w:tc>
          <w:tcPr>
            <w:tcW w:w="1171" w:type="dxa"/>
            <w:vMerge w:val="continue"/>
            <w:vAlign w:val="center"/>
          </w:tcPr>
          <w:p>
            <w:pPr>
              <w:spacing w:line="360" w:lineRule="auto"/>
              <w:rPr>
                <w:rFonts w:ascii="宋体" w:hAnsi="宋体" w:eastAsia="宋体" w:cs="Times New Roman"/>
                <w:highlight w:val="none"/>
              </w:rPr>
            </w:pPr>
          </w:p>
        </w:tc>
        <w:tc>
          <w:tcPr>
            <w:tcW w:w="733" w:type="dxa"/>
            <w:vAlign w:val="center"/>
          </w:tcPr>
          <w:p>
            <w:pPr>
              <w:spacing w:line="360" w:lineRule="auto"/>
              <w:jc w:val="center"/>
              <w:rPr>
                <w:rFonts w:ascii="宋体" w:hAnsi="宋体" w:eastAsia="宋体" w:cs="Times New Roman"/>
                <w:b/>
                <w:highlight w:val="none"/>
              </w:rPr>
            </w:pPr>
            <w:r>
              <w:rPr>
                <w:rFonts w:hint="eastAsia" w:ascii="宋体" w:hAnsi="宋体" w:eastAsia="宋体" w:cs="Times New Roman"/>
                <w:b/>
                <w:highlight w:val="none"/>
              </w:rPr>
              <w:t>3.1</w:t>
            </w:r>
          </w:p>
        </w:tc>
        <w:tc>
          <w:tcPr>
            <w:tcW w:w="7950" w:type="dxa"/>
            <w:vAlign w:val="center"/>
          </w:tcPr>
          <w:p>
            <w:pPr>
              <w:spacing w:line="360" w:lineRule="auto"/>
              <w:jc w:val="left"/>
              <w:rPr>
                <w:rFonts w:ascii="宋体" w:hAnsi="宋体" w:eastAsia="宋体" w:cs="Times New Roman"/>
                <w:bCs/>
                <w:highlight w:val="none"/>
              </w:rPr>
            </w:pPr>
            <w:r>
              <w:rPr>
                <w:rFonts w:hint="eastAsia" w:ascii="宋体" w:hAnsi="宋体" w:eastAsia="宋体" w:cs="Times New Roman"/>
                <w:highlight w:val="none"/>
              </w:rPr>
              <w:t>本项目不接受进口产品（进口产品是指通过中国海关报关，验放进入中国境内，且产自关境外的产品）。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jc w:val="center"/>
        </w:trPr>
        <w:tc>
          <w:tcPr>
            <w:tcW w:w="1171" w:type="dxa"/>
            <w:vMerge w:val="continue"/>
            <w:vAlign w:val="center"/>
          </w:tcPr>
          <w:p>
            <w:pPr>
              <w:spacing w:line="360" w:lineRule="auto"/>
              <w:rPr>
                <w:rFonts w:ascii="宋体" w:hAnsi="宋体" w:eastAsia="宋体" w:cs="Times New Roman"/>
                <w:highlight w:val="none"/>
              </w:rPr>
            </w:pPr>
          </w:p>
        </w:tc>
        <w:tc>
          <w:tcPr>
            <w:tcW w:w="733" w:type="dxa"/>
            <w:vAlign w:val="center"/>
          </w:tcPr>
          <w:p>
            <w:pPr>
              <w:spacing w:line="360" w:lineRule="auto"/>
              <w:jc w:val="center"/>
              <w:rPr>
                <w:rFonts w:ascii="宋体" w:hAnsi="宋体" w:eastAsia="宋体" w:cs="Times New Roman"/>
                <w:b/>
                <w:highlight w:val="none"/>
              </w:rPr>
            </w:pPr>
            <w:r>
              <w:rPr>
                <w:rFonts w:hint="eastAsia" w:ascii="宋体" w:hAnsi="宋体" w:eastAsia="宋体" w:cs="Times New Roman"/>
                <w:b/>
                <w:highlight w:val="none"/>
              </w:rPr>
              <w:t>3.2</w:t>
            </w:r>
          </w:p>
        </w:tc>
        <w:tc>
          <w:tcPr>
            <w:tcW w:w="7950" w:type="dxa"/>
            <w:vAlign w:val="center"/>
          </w:tcPr>
          <w:p>
            <w:pPr>
              <w:spacing w:line="360" w:lineRule="auto"/>
              <w:jc w:val="left"/>
              <w:rPr>
                <w:rFonts w:hint="eastAsia" w:ascii="宋体" w:hAnsi="宋体" w:eastAsia="宋体" w:cs="Times New Roman"/>
                <w:bCs/>
                <w:highlight w:val="none"/>
                <w:lang w:eastAsia="zh-CN"/>
              </w:rPr>
            </w:pPr>
            <w:r>
              <w:rPr>
                <w:rFonts w:hint="eastAsia" w:ascii="宋体" w:hAnsi="宋体" w:eastAsia="宋体" w:cs="Times New Roman"/>
                <w:bCs/>
                <w:highlight w:val="none"/>
                <w:lang w:val="en-US" w:eastAsia="zh-CN"/>
              </w:rPr>
              <w:t>/</w:t>
            </w:r>
            <w:bookmarkStart w:id="270" w:name="_GoBack"/>
            <w:bookmarkEnd w:id="27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jc w:val="center"/>
        </w:trPr>
        <w:tc>
          <w:tcPr>
            <w:tcW w:w="1171" w:type="dxa"/>
            <w:vMerge w:val="continue"/>
            <w:vAlign w:val="center"/>
          </w:tcPr>
          <w:p>
            <w:pPr>
              <w:spacing w:line="360" w:lineRule="auto"/>
              <w:rPr>
                <w:rFonts w:ascii="宋体" w:hAnsi="宋体" w:eastAsia="宋体" w:cs="Times New Roman"/>
                <w:highlight w:val="none"/>
              </w:rPr>
            </w:pPr>
          </w:p>
        </w:tc>
        <w:tc>
          <w:tcPr>
            <w:tcW w:w="733" w:type="dxa"/>
            <w:vAlign w:val="center"/>
          </w:tcPr>
          <w:p>
            <w:pPr>
              <w:spacing w:line="360" w:lineRule="auto"/>
              <w:jc w:val="center"/>
              <w:rPr>
                <w:rFonts w:ascii="宋体" w:hAnsi="宋体" w:eastAsia="宋体" w:cs="Times New Roman"/>
                <w:b/>
                <w:bCs/>
                <w:highlight w:val="none"/>
              </w:rPr>
            </w:pPr>
            <w:r>
              <w:rPr>
                <w:rFonts w:hint="eastAsia" w:ascii="宋体" w:hAnsi="宋体" w:eastAsia="宋体" w:cs="Times New Roman"/>
                <w:b/>
                <w:bCs/>
                <w:highlight w:val="none"/>
              </w:rPr>
              <w:t>3.3</w:t>
            </w:r>
          </w:p>
        </w:tc>
        <w:tc>
          <w:tcPr>
            <w:tcW w:w="7950" w:type="dxa"/>
            <w:vAlign w:val="center"/>
          </w:tcPr>
          <w:p>
            <w:pPr>
              <w:spacing w:line="360" w:lineRule="auto"/>
              <w:jc w:val="left"/>
              <w:rPr>
                <w:rFonts w:ascii="宋体" w:hAnsi="宋体" w:eastAsia="宋体" w:cs="Times New Roman"/>
                <w:highlight w:val="none"/>
              </w:rPr>
            </w:pPr>
            <w:r>
              <w:rPr>
                <w:rFonts w:hint="eastAsia" w:ascii="宋体" w:hAnsi="宋体" w:eastAsia="宋体" w:cs="Times New Roman"/>
                <w:highlight w:val="none"/>
                <w:lang w:val="zh-CN"/>
              </w:rPr>
              <w:t>与采购人存在利害关系可能影响招标公正性的法人、其他组织或者个人，不得参加投标；单位负责人为同一人或者存在控股、管理关系（如法定代表人为同一人的两个及以上法人，母公司、全资子公司及其控股公司）的不同单位，不得参加同一标包投标或者未划分标包的同一招标项目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1171" w:type="dxa"/>
            <w:vMerge w:val="continue"/>
            <w:vAlign w:val="center"/>
          </w:tcPr>
          <w:p>
            <w:pPr>
              <w:spacing w:line="360" w:lineRule="auto"/>
              <w:rPr>
                <w:rFonts w:ascii="宋体" w:hAnsi="宋体" w:eastAsia="宋体" w:cs="Times New Roman"/>
                <w:highlight w:val="none"/>
              </w:rPr>
            </w:pPr>
          </w:p>
        </w:tc>
        <w:tc>
          <w:tcPr>
            <w:tcW w:w="733" w:type="dxa"/>
            <w:vAlign w:val="center"/>
          </w:tcPr>
          <w:p>
            <w:pPr>
              <w:spacing w:line="360" w:lineRule="auto"/>
              <w:jc w:val="center"/>
              <w:rPr>
                <w:rFonts w:ascii="宋体" w:hAnsi="宋体" w:eastAsia="宋体" w:cs="Times New Roman"/>
                <w:b/>
                <w:bCs/>
                <w:highlight w:val="none"/>
              </w:rPr>
            </w:pPr>
            <w:r>
              <w:rPr>
                <w:rFonts w:hint="eastAsia" w:ascii="宋体" w:hAnsi="宋体" w:eastAsia="宋体" w:cs="Times New Roman"/>
                <w:b/>
                <w:bCs/>
                <w:highlight w:val="none"/>
              </w:rPr>
              <w:t>3</w:t>
            </w:r>
            <w:r>
              <w:rPr>
                <w:rFonts w:ascii="宋体" w:hAnsi="宋体" w:eastAsia="宋体" w:cs="Times New Roman"/>
                <w:b/>
                <w:bCs/>
                <w:highlight w:val="none"/>
              </w:rPr>
              <w:t>.</w:t>
            </w:r>
            <w:r>
              <w:rPr>
                <w:rFonts w:hint="eastAsia" w:ascii="宋体" w:hAnsi="宋体" w:eastAsia="宋体" w:cs="Times New Roman"/>
                <w:b/>
                <w:bCs/>
                <w:highlight w:val="none"/>
              </w:rPr>
              <w:t>4</w:t>
            </w:r>
          </w:p>
        </w:tc>
        <w:tc>
          <w:tcPr>
            <w:tcW w:w="7950" w:type="dxa"/>
            <w:vAlign w:val="center"/>
          </w:tcPr>
          <w:p>
            <w:pPr>
              <w:spacing w:line="360" w:lineRule="auto"/>
              <w:jc w:val="left"/>
              <w:rPr>
                <w:rFonts w:ascii="宋体" w:hAnsi="宋体" w:eastAsia="宋体" w:cs="Times New Roman"/>
                <w:highlight w:val="none"/>
              </w:rPr>
            </w:pPr>
            <w:r>
              <w:rPr>
                <w:rFonts w:hint="eastAsia" w:ascii="宋体" w:hAnsi="宋体" w:eastAsia="宋体" w:cs="Times New Roman"/>
                <w:highlight w:val="none"/>
                <w:lang w:val="zh-CN"/>
              </w:rPr>
              <w:t>本次招标不接受联合体投标。</w:t>
            </w:r>
          </w:p>
        </w:tc>
      </w:tr>
    </w:tbl>
    <w:p>
      <w:pPr>
        <w:widowControl/>
        <w:spacing w:line="360" w:lineRule="auto"/>
        <w:jc w:val="left"/>
        <w:rPr>
          <w:rFonts w:ascii="Calibri" w:hAnsi="Calibri" w:eastAsia="宋体" w:cs="Times New Roman"/>
          <w:sz w:val="24"/>
          <w:highlight w:val="none"/>
        </w:rPr>
      </w:pPr>
      <w:r>
        <w:rPr>
          <w:rFonts w:ascii="Calibri" w:hAnsi="Calibri" w:eastAsia="宋体" w:cs="Times New Roman"/>
          <w:sz w:val="24"/>
          <w:highlight w:val="none"/>
        </w:rPr>
        <w:br w:type="page"/>
      </w:r>
    </w:p>
    <w:p>
      <w:pPr>
        <w:widowControl/>
        <w:spacing w:line="360" w:lineRule="auto"/>
        <w:jc w:val="left"/>
        <w:rPr>
          <w:rFonts w:ascii="Calibri" w:hAnsi="Calibri" w:eastAsia="宋体" w:cs="Times New Roman"/>
          <w:sz w:val="24"/>
          <w:highlight w:val="none"/>
        </w:rPr>
      </w:pPr>
    </w:p>
    <w:p>
      <w:pPr>
        <w:pStyle w:val="2"/>
        <w:numPr>
          <w:ilvl w:val="0"/>
          <w:numId w:val="0"/>
        </w:numPr>
        <w:jc w:val="center"/>
        <w:rPr>
          <w:rFonts w:ascii="宋体" w:hAnsi="宋体" w:eastAsia="宋体"/>
          <w:sz w:val="36"/>
          <w:highlight w:val="none"/>
        </w:rPr>
      </w:pPr>
      <w:bookmarkStart w:id="250" w:name="_Toc18180"/>
      <w:bookmarkStart w:id="251" w:name="_Toc9786"/>
      <w:bookmarkStart w:id="252" w:name="_Toc168573773"/>
      <w:bookmarkStart w:id="253" w:name="_Toc9976"/>
      <w:bookmarkStart w:id="254" w:name="_Toc22287"/>
      <w:bookmarkStart w:id="255" w:name="_Toc5935"/>
      <w:r>
        <w:rPr>
          <w:rFonts w:hint="eastAsia" w:ascii="宋体" w:hAnsi="宋体" w:eastAsia="宋体"/>
          <w:sz w:val="36"/>
          <w:highlight w:val="none"/>
        </w:rPr>
        <w:t>第七章 评标方法（综合评分法）</w:t>
      </w:r>
      <w:bookmarkEnd w:id="250"/>
      <w:bookmarkEnd w:id="251"/>
      <w:bookmarkEnd w:id="252"/>
      <w:bookmarkEnd w:id="253"/>
      <w:bookmarkEnd w:id="254"/>
      <w:bookmarkEnd w:id="255"/>
    </w:p>
    <w:p>
      <w:pPr>
        <w:tabs>
          <w:tab w:val="left" w:pos="2472"/>
        </w:tabs>
        <w:spacing w:line="360" w:lineRule="auto"/>
        <w:ind w:firstLine="482" w:firstLineChars="200"/>
        <w:jc w:val="center"/>
        <w:rPr>
          <w:rFonts w:ascii="宋体" w:hAnsi="宋体" w:eastAsia="宋体" w:cs="Times New Roman"/>
          <w:b/>
          <w:bCs/>
          <w:sz w:val="24"/>
          <w:highlight w:val="none"/>
        </w:rPr>
      </w:pPr>
      <w:bookmarkStart w:id="256" w:name="_Toc402942147"/>
      <w:bookmarkStart w:id="257" w:name="_Toc139486005"/>
      <w:bookmarkStart w:id="258" w:name="_Toc6833"/>
      <w:bookmarkStart w:id="259" w:name="_Toc398126394"/>
      <w:bookmarkStart w:id="260" w:name="_Toc15142"/>
      <w:r>
        <w:rPr>
          <w:rFonts w:hint="eastAsia" w:ascii="宋体" w:hAnsi="宋体" w:eastAsia="宋体" w:cs="Times New Roman"/>
          <w:b/>
          <w:bCs/>
          <w:sz w:val="24"/>
          <w:highlight w:val="none"/>
        </w:rPr>
        <w:t>（一）1标包头盔评标方法前附表</w:t>
      </w:r>
      <w:bookmarkEnd w:id="256"/>
      <w:bookmarkEnd w:id="257"/>
      <w:bookmarkEnd w:id="258"/>
      <w:bookmarkEnd w:id="259"/>
      <w:bookmarkEnd w:id="260"/>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114"/>
        <w:gridCol w:w="2087"/>
        <w:gridCol w:w="5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blHeader/>
          <w:jc w:val="center"/>
        </w:trPr>
        <w:tc>
          <w:tcPr>
            <w:tcW w:w="685" w:type="dxa"/>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b/>
                <w:szCs w:val="21"/>
                <w:highlight w:val="none"/>
              </w:rPr>
              <w:t>条款号</w:t>
            </w:r>
          </w:p>
        </w:tc>
        <w:tc>
          <w:tcPr>
            <w:tcW w:w="1114" w:type="dxa"/>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b/>
                <w:szCs w:val="21"/>
                <w:highlight w:val="none"/>
              </w:rPr>
              <w:t>评审程序</w:t>
            </w:r>
          </w:p>
        </w:tc>
        <w:tc>
          <w:tcPr>
            <w:tcW w:w="2087" w:type="dxa"/>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b/>
                <w:szCs w:val="21"/>
                <w:highlight w:val="none"/>
              </w:rPr>
              <w:t>评审因素</w:t>
            </w:r>
          </w:p>
        </w:tc>
        <w:tc>
          <w:tcPr>
            <w:tcW w:w="5968" w:type="dxa"/>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b/>
                <w:szCs w:val="21"/>
                <w:highlight w:val="none"/>
              </w:rPr>
              <w:t>评 审 内 容 及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685" w:type="dxa"/>
            <w:vMerge w:val="restart"/>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2.1</w:t>
            </w:r>
          </w:p>
        </w:tc>
        <w:tc>
          <w:tcPr>
            <w:tcW w:w="1114" w:type="dxa"/>
            <w:vMerge w:val="restart"/>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符合性评审标准</w:t>
            </w:r>
          </w:p>
        </w:tc>
        <w:tc>
          <w:tcPr>
            <w:tcW w:w="8055" w:type="dxa"/>
            <w:gridSpan w:val="2"/>
            <w:vAlign w:val="center"/>
          </w:tcPr>
          <w:p>
            <w:pPr>
              <w:spacing w:before="100" w:beforeAutospacing="1" w:after="100" w:afterAutospacing="1" w:line="360" w:lineRule="auto"/>
              <w:jc w:val="left"/>
              <w:rPr>
                <w:rFonts w:ascii="宋体" w:hAnsi="宋体"/>
                <w:b/>
                <w:szCs w:val="21"/>
                <w:highlight w:val="none"/>
              </w:rPr>
            </w:pPr>
            <w:r>
              <w:rPr>
                <w:rFonts w:ascii="宋体" w:hAnsi="宋体"/>
                <w:b/>
                <w:szCs w:val="21"/>
                <w:highlight w:val="none"/>
              </w:rPr>
              <w:t>投标人存在下列情况之一的，投标无效</w:t>
            </w:r>
            <w:r>
              <w:rPr>
                <w:rFonts w:hint="eastAsia" w:ascii="宋体" w:hAnsi="宋体"/>
                <w:b/>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685" w:type="dxa"/>
            <w:vMerge w:val="continue"/>
            <w:vAlign w:val="center"/>
          </w:tcPr>
          <w:p>
            <w:pPr>
              <w:spacing w:before="100" w:beforeAutospacing="1" w:after="100" w:afterAutospacing="1" w:line="360" w:lineRule="auto"/>
              <w:rPr>
                <w:rFonts w:ascii="宋体" w:hAnsi="宋体"/>
                <w:szCs w:val="21"/>
                <w:highlight w:val="none"/>
              </w:rPr>
            </w:pPr>
          </w:p>
        </w:tc>
        <w:tc>
          <w:tcPr>
            <w:tcW w:w="1114" w:type="dxa"/>
            <w:vMerge w:val="continue"/>
            <w:vAlign w:val="center"/>
          </w:tcPr>
          <w:p>
            <w:pPr>
              <w:spacing w:before="100" w:beforeAutospacing="1" w:after="100" w:afterAutospacing="1" w:line="360" w:lineRule="auto"/>
              <w:rPr>
                <w:rFonts w:ascii="宋体" w:hAnsi="宋体"/>
                <w:szCs w:val="21"/>
                <w:highlight w:val="none"/>
              </w:rPr>
            </w:pPr>
          </w:p>
        </w:tc>
        <w:tc>
          <w:tcPr>
            <w:tcW w:w="2087" w:type="dxa"/>
            <w:vAlign w:val="center"/>
          </w:tcPr>
          <w:p>
            <w:pPr>
              <w:spacing w:before="100" w:beforeAutospacing="1" w:after="100" w:afterAutospacing="1" w:line="360" w:lineRule="auto"/>
              <w:jc w:val="center"/>
              <w:rPr>
                <w:rFonts w:ascii="宋体" w:hAnsi="宋体"/>
                <w:szCs w:val="21"/>
                <w:highlight w:val="none"/>
              </w:rPr>
            </w:pPr>
            <w:r>
              <w:rPr>
                <w:rFonts w:ascii="宋体" w:hAnsi="宋体"/>
                <w:szCs w:val="21"/>
                <w:highlight w:val="none"/>
              </w:rPr>
              <w:t>签署、盖章</w:t>
            </w:r>
          </w:p>
        </w:tc>
        <w:tc>
          <w:tcPr>
            <w:tcW w:w="5968" w:type="dxa"/>
            <w:vAlign w:val="center"/>
          </w:tcPr>
          <w:p>
            <w:pPr>
              <w:spacing w:before="100" w:beforeAutospacing="1" w:after="100" w:afterAutospacing="1" w:line="360" w:lineRule="auto"/>
              <w:jc w:val="left"/>
              <w:rPr>
                <w:rFonts w:ascii="宋体" w:hAnsi="宋体"/>
                <w:szCs w:val="21"/>
                <w:highlight w:val="none"/>
              </w:rPr>
            </w:pPr>
            <w:r>
              <w:rPr>
                <w:rFonts w:ascii="宋体" w:hAnsi="宋体"/>
                <w:szCs w:val="21"/>
                <w:highlight w:val="none"/>
              </w:rPr>
              <w:t>投标文件未按招标文件要求签署、盖章的；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685" w:type="dxa"/>
            <w:vMerge w:val="continue"/>
            <w:vAlign w:val="center"/>
          </w:tcPr>
          <w:p>
            <w:pPr>
              <w:spacing w:before="100" w:beforeAutospacing="1" w:after="100" w:afterAutospacing="1" w:line="360" w:lineRule="auto"/>
              <w:rPr>
                <w:rFonts w:ascii="宋体" w:hAnsi="宋体"/>
                <w:szCs w:val="21"/>
                <w:highlight w:val="none"/>
              </w:rPr>
            </w:pPr>
          </w:p>
        </w:tc>
        <w:tc>
          <w:tcPr>
            <w:tcW w:w="1114" w:type="dxa"/>
            <w:vMerge w:val="continue"/>
            <w:vAlign w:val="center"/>
          </w:tcPr>
          <w:p>
            <w:pPr>
              <w:spacing w:before="100" w:beforeAutospacing="1" w:after="100" w:afterAutospacing="1" w:line="360" w:lineRule="auto"/>
              <w:rPr>
                <w:rFonts w:ascii="宋体" w:hAnsi="宋体"/>
                <w:szCs w:val="21"/>
                <w:highlight w:val="none"/>
              </w:rPr>
            </w:pPr>
          </w:p>
        </w:tc>
        <w:tc>
          <w:tcPr>
            <w:tcW w:w="2087" w:type="dxa"/>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投标报价</w:t>
            </w:r>
          </w:p>
        </w:tc>
        <w:tc>
          <w:tcPr>
            <w:tcW w:w="5968" w:type="dxa"/>
            <w:vAlign w:val="center"/>
          </w:tcPr>
          <w:p>
            <w:pPr>
              <w:spacing w:before="100" w:beforeAutospacing="1" w:after="100" w:afterAutospacing="1" w:line="360" w:lineRule="auto"/>
              <w:jc w:val="left"/>
              <w:rPr>
                <w:rFonts w:ascii="宋体" w:hAnsi="宋体"/>
                <w:szCs w:val="21"/>
                <w:highlight w:val="none"/>
              </w:rPr>
            </w:pPr>
            <w:r>
              <w:rPr>
                <w:rFonts w:ascii="宋体" w:hAnsi="宋体"/>
                <w:szCs w:val="21"/>
                <w:highlight w:val="none"/>
              </w:rPr>
              <w:t>投标报价超过招标文件中规定的预算金额或者最高限价</w:t>
            </w:r>
            <w:r>
              <w:rPr>
                <w:rFonts w:hint="eastAsia" w:ascii="宋体" w:hAnsi="宋体"/>
                <w:szCs w:val="21"/>
                <w:highlight w:val="none"/>
              </w:rPr>
              <w:t>（单价或总价）</w:t>
            </w:r>
            <w:r>
              <w:rPr>
                <w:rFonts w:ascii="宋体" w:hAnsi="宋体"/>
                <w:szCs w:val="21"/>
                <w:highlight w:val="none"/>
              </w:rPr>
              <w:t>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685" w:type="dxa"/>
            <w:vMerge w:val="continue"/>
            <w:vAlign w:val="center"/>
          </w:tcPr>
          <w:p>
            <w:pPr>
              <w:spacing w:before="100" w:beforeAutospacing="1" w:after="100" w:afterAutospacing="1" w:line="360" w:lineRule="auto"/>
              <w:rPr>
                <w:rFonts w:ascii="宋体" w:hAnsi="宋体"/>
                <w:szCs w:val="21"/>
                <w:highlight w:val="none"/>
              </w:rPr>
            </w:pPr>
          </w:p>
        </w:tc>
        <w:tc>
          <w:tcPr>
            <w:tcW w:w="1114" w:type="dxa"/>
            <w:vMerge w:val="continue"/>
            <w:vAlign w:val="center"/>
          </w:tcPr>
          <w:p>
            <w:pPr>
              <w:spacing w:before="100" w:beforeAutospacing="1" w:after="100" w:afterAutospacing="1" w:line="360" w:lineRule="auto"/>
              <w:rPr>
                <w:rFonts w:ascii="宋体" w:hAnsi="宋体"/>
                <w:szCs w:val="21"/>
                <w:highlight w:val="none"/>
              </w:rPr>
            </w:pPr>
          </w:p>
        </w:tc>
        <w:tc>
          <w:tcPr>
            <w:tcW w:w="2087" w:type="dxa"/>
            <w:vAlign w:val="center"/>
          </w:tcPr>
          <w:p>
            <w:pPr>
              <w:spacing w:before="100" w:beforeAutospacing="1" w:after="100" w:afterAutospacing="1" w:line="360" w:lineRule="auto"/>
              <w:jc w:val="center"/>
              <w:rPr>
                <w:rFonts w:ascii="宋体" w:hAnsi="宋体"/>
                <w:szCs w:val="21"/>
                <w:highlight w:val="none"/>
              </w:rPr>
            </w:pPr>
            <w:r>
              <w:rPr>
                <w:rFonts w:ascii="宋体" w:hAnsi="宋体"/>
                <w:szCs w:val="21"/>
                <w:highlight w:val="none"/>
              </w:rPr>
              <w:t>不能接受的附加条件</w:t>
            </w:r>
          </w:p>
        </w:tc>
        <w:tc>
          <w:tcPr>
            <w:tcW w:w="5968" w:type="dxa"/>
            <w:vAlign w:val="center"/>
          </w:tcPr>
          <w:p>
            <w:pPr>
              <w:spacing w:before="100" w:beforeAutospacing="1" w:after="100" w:afterAutospacing="1" w:line="360" w:lineRule="auto"/>
              <w:jc w:val="left"/>
              <w:rPr>
                <w:rFonts w:ascii="宋体" w:hAnsi="宋体"/>
                <w:szCs w:val="21"/>
                <w:highlight w:val="none"/>
              </w:rPr>
            </w:pPr>
            <w:r>
              <w:rPr>
                <w:rFonts w:ascii="宋体" w:hAnsi="宋体"/>
                <w:szCs w:val="21"/>
                <w:highlight w:val="none"/>
              </w:rPr>
              <w:t>投标文件含有采购人不能接受的附加条件的</w:t>
            </w:r>
            <w:r>
              <w:rPr>
                <w:rFonts w:hint="eastAsia" w:ascii="宋体" w:hAnsi="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685" w:type="dxa"/>
            <w:vMerge w:val="continue"/>
            <w:vAlign w:val="center"/>
          </w:tcPr>
          <w:p>
            <w:pPr>
              <w:spacing w:before="100" w:beforeAutospacing="1" w:after="100" w:afterAutospacing="1" w:line="360" w:lineRule="auto"/>
              <w:rPr>
                <w:rFonts w:ascii="宋体" w:hAnsi="宋体"/>
                <w:szCs w:val="21"/>
                <w:highlight w:val="none"/>
              </w:rPr>
            </w:pPr>
          </w:p>
        </w:tc>
        <w:tc>
          <w:tcPr>
            <w:tcW w:w="1114" w:type="dxa"/>
            <w:vMerge w:val="continue"/>
            <w:vAlign w:val="center"/>
          </w:tcPr>
          <w:p>
            <w:pPr>
              <w:spacing w:before="100" w:beforeAutospacing="1" w:after="100" w:afterAutospacing="1" w:line="360" w:lineRule="auto"/>
              <w:rPr>
                <w:rFonts w:ascii="宋体" w:hAnsi="宋体"/>
                <w:szCs w:val="21"/>
                <w:highlight w:val="none"/>
              </w:rPr>
            </w:pPr>
          </w:p>
        </w:tc>
        <w:tc>
          <w:tcPr>
            <w:tcW w:w="2087" w:type="dxa"/>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其它实质性条件</w:t>
            </w:r>
          </w:p>
        </w:tc>
        <w:tc>
          <w:tcPr>
            <w:tcW w:w="5968" w:type="dxa"/>
            <w:vAlign w:val="center"/>
          </w:tcPr>
          <w:p>
            <w:pPr>
              <w:spacing w:before="100" w:beforeAutospacing="1" w:after="100" w:afterAutospacing="1" w:line="360" w:lineRule="auto"/>
              <w:jc w:val="left"/>
              <w:rPr>
                <w:rFonts w:ascii="宋体" w:hAnsi="宋体"/>
                <w:szCs w:val="21"/>
                <w:highlight w:val="none"/>
              </w:rPr>
            </w:pPr>
            <w:r>
              <w:rPr>
                <w:rFonts w:hint="eastAsia" w:ascii="宋体" w:hAnsi="宋体"/>
                <w:szCs w:val="21"/>
                <w:highlight w:val="none"/>
              </w:rPr>
              <w:t>未实质性响应招标文件中</w:t>
            </w:r>
            <w:r>
              <w:rPr>
                <w:rFonts w:hint="eastAsia" w:ascii="宋体" w:hAnsi="宋体" w:eastAsia="宋体" w:cs="宋体"/>
                <w:szCs w:val="21"/>
                <w:highlight w:val="none"/>
              </w:rPr>
              <w:t>●条款</w:t>
            </w:r>
            <w:r>
              <w:rPr>
                <w:rFonts w:hint="eastAsia" w:ascii="宋体" w:hAnsi="宋体"/>
                <w:szCs w:val="21"/>
                <w:highlight w:val="none"/>
              </w:rPr>
              <w:t>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685" w:type="dxa"/>
            <w:vMerge w:val="continue"/>
            <w:vAlign w:val="center"/>
          </w:tcPr>
          <w:p>
            <w:pPr>
              <w:spacing w:before="100" w:beforeAutospacing="1" w:after="100" w:afterAutospacing="1" w:line="360" w:lineRule="auto"/>
              <w:rPr>
                <w:rFonts w:ascii="宋体" w:hAnsi="宋体"/>
                <w:szCs w:val="21"/>
                <w:highlight w:val="none"/>
              </w:rPr>
            </w:pPr>
          </w:p>
        </w:tc>
        <w:tc>
          <w:tcPr>
            <w:tcW w:w="1114" w:type="dxa"/>
            <w:vMerge w:val="continue"/>
            <w:vAlign w:val="center"/>
          </w:tcPr>
          <w:p>
            <w:pPr>
              <w:spacing w:before="100" w:beforeAutospacing="1" w:after="100" w:afterAutospacing="1" w:line="360" w:lineRule="auto"/>
              <w:rPr>
                <w:rFonts w:ascii="宋体" w:hAnsi="宋体"/>
                <w:szCs w:val="21"/>
                <w:highlight w:val="none"/>
              </w:rPr>
            </w:pPr>
          </w:p>
        </w:tc>
        <w:tc>
          <w:tcPr>
            <w:tcW w:w="2087" w:type="dxa"/>
            <w:vAlign w:val="center"/>
          </w:tcPr>
          <w:p>
            <w:pPr>
              <w:spacing w:before="100" w:beforeAutospacing="1" w:after="100" w:afterAutospacing="1" w:line="360" w:lineRule="auto"/>
              <w:jc w:val="center"/>
              <w:rPr>
                <w:rFonts w:ascii="宋体" w:hAnsi="宋体"/>
                <w:szCs w:val="21"/>
                <w:highlight w:val="none"/>
              </w:rPr>
            </w:pPr>
            <w:r>
              <w:rPr>
                <w:rFonts w:ascii="宋体" w:hAnsi="宋体"/>
                <w:szCs w:val="21"/>
                <w:highlight w:val="none"/>
              </w:rPr>
              <w:t>其他无效情形</w:t>
            </w:r>
          </w:p>
        </w:tc>
        <w:tc>
          <w:tcPr>
            <w:tcW w:w="5968" w:type="dxa"/>
            <w:vAlign w:val="center"/>
          </w:tcPr>
          <w:p>
            <w:pPr>
              <w:spacing w:before="100" w:beforeAutospacing="1" w:after="100" w:afterAutospacing="1" w:line="360" w:lineRule="auto"/>
              <w:jc w:val="left"/>
              <w:rPr>
                <w:rFonts w:ascii="宋体" w:hAnsi="宋体"/>
                <w:szCs w:val="21"/>
                <w:highlight w:val="none"/>
              </w:rPr>
            </w:pPr>
            <w:r>
              <w:rPr>
                <w:rFonts w:ascii="宋体" w:hAnsi="宋体"/>
                <w:szCs w:val="21"/>
                <w:highlight w:val="none"/>
              </w:rPr>
              <w:t>法律、法规和招标文件规定的其他无效情形</w:t>
            </w:r>
            <w:r>
              <w:rPr>
                <w:rFonts w:hint="eastAsia" w:ascii="宋体" w:hAnsi="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2" w:hRule="atLeast"/>
          <w:jc w:val="center"/>
        </w:trPr>
        <w:tc>
          <w:tcPr>
            <w:tcW w:w="685" w:type="dxa"/>
            <w:vMerge w:val="restart"/>
            <w:vAlign w:val="center"/>
          </w:tcPr>
          <w:p>
            <w:pPr>
              <w:spacing w:line="360" w:lineRule="auto"/>
              <w:jc w:val="center"/>
              <w:rPr>
                <w:rFonts w:ascii="宋体" w:hAnsi="宋体"/>
                <w:szCs w:val="21"/>
                <w:highlight w:val="none"/>
              </w:rPr>
            </w:pPr>
            <w:r>
              <w:rPr>
                <w:rFonts w:hint="eastAsia" w:ascii="宋体" w:hAnsi="宋体"/>
                <w:szCs w:val="21"/>
                <w:highlight w:val="none"/>
              </w:rPr>
              <w:t>2.2</w:t>
            </w:r>
          </w:p>
        </w:tc>
        <w:tc>
          <w:tcPr>
            <w:tcW w:w="1114" w:type="dxa"/>
            <w:vMerge w:val="restart"/>
            <w:vAlign w:val="center"/>
          </w:tcPr>
          <w:p>
            <w:pPr>
              <w:spacing w:line="360" w:lineRule="auto"/>
              <w:jc w:val="center"/>
              <w:rPr>
                <w:rFonts w:ascii="宋体" w:hAnsi="宋体"/>
                <w:szCs w:val="21"/>
                <w:highlight w:val="none"/>
              </w:rPr>
            </w:pPr>
            <w:r>
              <w:rPr>
                <w:rFonts w:hint="eastAsia" w:ascii="宋体" w:hAnsi="宋体"/>
                <w:szCs w:val="21"/>
                <w:highlight w:val="none"/>
              </w:rPr>
              <w:t>详细评审标准</w:t>
            </w:r>
          </w:p>
        </w:tc>
        <w:tc>
          <w:tcPr>
            <w:tcW w:w="2087" w:type="dxa"/>
            <w:vAlign w:val="center"/>
          </w:tcPr>
          <w:p>
            <w:pPr>
              <w:spacing w:line="360" w:lineRule="auto"/>
              <w:jc w:val="center"/>
              <w:rPr>
                <w:rFonts w:ascii="宋体" w:hAnsi="宋体"/>
                <w:szCs w:val="21"/>
                <w:highlight w:val="none"/>
              </w:rPr>
            </w:pPr>
            <w:r>
              <w:rPr>
                <w:rFonts w:hint="eastAsia" w:ascii="宋体" w:hAnsi="宋体"/>
                <w:szCs w:val="21"/>
                <w:highlight w:val="none"/>
              </w:rPr>
              <w:t>1、评标总得分计算公式</w:t>
            </w:r>
          </w:p>
        </w:tc>
        <w:tc>
          <w:tcPr>
            <w:tcW w:w="5968" w:type="dxa"/>
            <w:vAlign w:val="center"/>
          </w:tcPr>
          <w:p>
            <w:pPr>
              <w:spacing w:line="360" w:lineRule="auto"/>
              <w:rPr>
                <w:rFonts w:ascii="宋体" w:hAnsi="宋体"/>
                <w:szCs w:val="21"/>
                <w:highlight w:val="none"/>
              </w:rPr>
            </w:pPr>
            <w:r>
              <w:rPr>
                <w:rFonts w:ascii="宋体" w:hAnsi="宋体"/>
                <w:szCs w:val="21"/>
                <w:highlight w:val="none"/>
              </w:rPr>
              <w:t>投标人的评标总得分＝F1＋F2＋F3</w:t>
            </w:r>
          </w:p>
          <w:p>
            <w:pPr>
              <w:spacing w:line="360" w:lineRule="auto"/>
              <w:rPr>
                <w:rFonts w:ascii="宋体" w:hAnsi="宋体"/>
                <w:szCs w:val="21"/>
                <w:highlight w:val="none"/>
              </w:rPr>
            </w:pPr>
            <w:r>
              <w:rPr>
                <w:rFonts w:ascii="宋体" w:hAnsi="宋体"/>
                <w:szCs w:val="21"/>
                <w:highlight w:val="none"/>
              </w:rPr>
              <w:t>其中：</w:t>
            </w:r>
          </w:p>
          <w:p>
            <w:pPr>
              <w:numPr>
                <w:ilvl w:val="0"/>
                <w:numId w:val="17"/>
              </w:numPr>
              <w:spacing w:line="360" w:lineRule="auto"/>
              <w:rPr>
                <w:rFonts w:ascii="宋体" w:hAnsi="宋体"/>
                <w:szCs w:val="21"/>
                <w:highlight w:val="none"/>
              </w:rPr>
            </w:pPr>
            <w:r>
              <w:rPr>
                <w:rFonts w:ascii="宋体" w:hAnsi="宋体"/>
                <w:szCs w:val="21"/>
                <w:highlight w:val="none"/>
              </w:rPr>
              <w:t>F1、F2、F3分别为投标报价、技术部分、</w:t>
            </w:r>
            <w:r>
              <w:rPr>
                <w:rFonts w:hint="eastAsia" w:ascii="宋体" w:hAnsi="宋体"/>
                <w:szCs w:val="21"/>
                <w:highlight w:val="none"/>
              </w:rPr>
              <w:t>商务</w:t>
            </w:r>
            <w:r>
              <w:rPr>
                <w:rFonts w:ascii="宋体" w:hAnsi="宋体"/>
                <w:szCs w:val="21"/>
                <w:highlight w:val="none"/>
              </w:rPr>
              <w:t>部分3项评分因素的汇总得分；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685" w:type="dxa"/>
            <w:vMerge w:val="continue"/>
            <w:vAlign w:val="center"/>
          </w:tcPr>
          <w:p>
            <w:pPr>
              <w:spacing w:line="360" w:lineRule="auto"/>
              <w:rPr>
                <w:rFonts w:ascii="宋体" w:hAnsi="宋体"/>
                <w:szCs w:val="21"/>
                <w:highlight w:val="none"/>
              </w:rPr>
            </w:pPr>
          </w:p>
        </w:tc>
        <w:tc>
          <w:tcPr>
            <w:tcW w:w="1114" w:type="dxa"/>
            <w:vMerge w:val="continue"/>
            <w:vAlign w:val="center"/>
          </w:tcPr>
          <w:p>
            <w:pPr>
              <w:spacing w:line="360" w:lineRule="auto"/>
              <w:rPr>
                <w:rFonts w:ascii="宋体" w:hAnsi="宋体"/>
                <w:szCs w:val="21"/>
                <w:highlight w:val="none"/>
              </w:rPr>
            </w:pPr>
          </w:p>
        </w:tc>
        <w:tc>
          <w:tcPr>
            <w:tcW w:w="2087" w:type="dxa"/>
            <w:vAlign w:val="center"/>
          </w:tcPr>
          <w:p>
            <w:pPr>
              <w:spacing w:line="360" w:lineRule="auto"/>
              <w:rPr>
                <w:rFonts w:ascii="宋体" w:hAnsi="宋体"/>
                <w:szCs w:val="21"/>
                <w:highlight w:val="none"/>
              </w:rPr>
            </w:pPr>
            <w:r>
              <w:rPr>
                <w:rFonts w:hint="eastAsia" w:ascii="宋体" w:hAnsi="宋体"/>
                <w:szCs w:val="21"/>
                <w:highlight w:val="none"/>
              </w:rPr>
              <w:t>2、评分因素</w:t>
            </w:r>
          </w:p>
          <w:p>
            <w:pPr>
              <w:spacing w:line="360" w:lineRule="auto"/>
              <w:rPr>
                <w:rFonts w:ascii="宋体" w:hAnsi="宋体"/>
                <w:szCs w:val="21"/>
                <w:highlight w:val="none"/>
              </w:rPr>
            </w:pPr>
            <w:r>
              <w:rPr>
                <w:rFonts w:hint="eastAsia" w:ascii="宋体" w:hAnsi="宋体"/>
                <w:szCs w:val="21"/>
                <w:highlight w:val="none"/>
              </w:rPr>
              <w:t>分值及权重</w:t>
            </w:r>
          </w:p>
        </w:tc>
        <w:tc>
          <w:tcPr>
            <w:tcW w:w="5968" w:type="dxa"/>
            <w:vAlign w:val="center"/>
          </w:tcPr>
          <w:p>
            <w:pPr>
              <w:spacing w:line="360" w:lineRule="auto"/>
              <w:rPr>
                <w:rFonts w:ascii="宋体" w:hAnsi="宋体"/>
                <w:szCs w:val="21"/>
                <w:highlight w:val="none"/>
              </w:rPr>
            </w:pPr>
            <w:r>
              <w:rPr>
                <w:rFonts w:ascii="宋体" w:hAnsi="宋体"/>
                <w:szCs w:val="21"/>
                <w:highlight w:val="none"/>
              </w:rPr>
              <w:t>投标报价F1：30分</w:t>
            </w:r>
            <w:r>
              <w:rPr>
                <w:rFonts w:hint="eastAsia" w:ascii="宋体" w:hAnsi="宋体"/>
                <w:szCs w:val="21"/>
                <w:highlight w:val="none"/>
              </w:rPr>
              <w:t>；</w:t>
            </w:r>
          </w:p>
          <w:p>
            <w:pPr>
              <w:spacing w:line="360" w:lineRule="auto"/>
              <w:rPr>
                <w:rFonts w:ascii="宋体" w:hAnsi="宋体"/>
                <w:szCs w:val="21"/>
                <w:highlight w:val="none"/>
              </w:rPr>
            </w:pPr>
            <w:r>
              <w:rPr>
                <w:rFonts w:ascii="宋体" w:hAnsi="宋体"/>
                <w:szCs w:val="21"/>
                <w:highlight w:val="none"/>
              </w:rPr>
              <w:t>技术部分F2：</w:t>
            </w:r>
            <w:r>
              <w:rPr>
                <w:rFonts w:hint="eastAsia" w:ascii="宋体" w:hAnsi="宋体"/>
                <w:szCs w:val="21"/>
                <w:highlight w:val="none"/>
              </w:rPr>
              <w:t>65</w:t>
            </w:r>
            <w:r>
              <w:rPr>
                <w:rFonts w:ascii="宋体" w:hAnsi="宋体"/>
                <w:szCs w:val="21"/>
                <w:highlight w:val="none"/>
              </w:rPr>
              <w:t>分</w:t>
            </w:r>
            <w:r>
              <w:rPr>
                <w:rFonts w:hint="eastAsia" w:ascii="宋体" w:hAnsi="宋体"/>
                <w:szCs w:val="21"/>
                <w:highlight w:val="none"/>
              </w:rPr>
              <w:t>；</w:t>
            </w:r>
          </w:p>
          <w:p>
            <w:pPr>
              <w:pStyle w:val="9"/>
              <w:spacing w:line="360" w:lineRule="auto"/>
              <w:rPr>
                <w:rFonts w:ascii="宋体" w:hAnsi="宋体"/>
                <w:szCs w:val="21"/>
                <w:highlight w:val="none"/>
              </w:rPr>
            </w:pPr>
            <w:r>
              <w:rPr>
                <w:rFonts w:hint="eastAsia" w:ascii="宋体" w:hAnsi="宋体"/>
                <w:szCs w:val="21"/>
                <w:highlight w:val="none"/>
              </w:rPr>
              <w:t>商务部分</w:t>
            </w:r>
            <w:r>
              <w:rPr>
                <w:rFonts w:ascii="宋体" w:hAnsi="宋体"/>
                <w:szCs w:val="21"/>
                <w:highlight w:val="none"/>
              </w:rPr>
              <w:t>F3：</w:t>
            </w:r>
            <w:r>
              <w:rPr>
                <w:rFonts w:hint="eastAsia" w:ascii="宋体" w:hAnsi="宋体"/>
                <w:szCs w:val="21"/>
                <w:highlight w:val="none"/>
              </w:rPr>
              <w:t>5</w:t>
            </w:r>
            <w:r>
              <w:rPr>
                <w:rFonts w:ascii="宋体" w:hAnsi="宋体"/>
                <w:szCs w:val="21"/>
                <w:highlight w:val="none"/>
              </w:rPr>
              <w:t>分。</w:t>
            </w:r>
          </w:p>
        </w:tc>
      </w:tr>
    </w:tbl>
    <w:p>
      <w:pPr>
        <w:pStyle w:val="14"/>
        <w:tabs>
          <w:tab w:val="left" w:pos="2472"/>
        </w:tabs>
        <w:spacing w:line="360" w:lineRule="auto"/>
        <w:rPr>
          <w:rFonts w:hAnsi="宋体"/>
          <w:b/>
          <w:bCs/>
          <w:sz w:val="24"/>
          <w:highlight w:val="none"/>
        </w:rPr>
      </w:pPr>
    </w:p>
    <w:p>
      <w:pPr>
        <w:widowControl/>
        <w:spacing w:line="360" w:lineRule="auto"/>
        <w:jc w:val="left"/>
        <w:rPr>
          <w:rFonts w:ascii="宋体" w:hAnsi="宋体"/>
          <w:b/>
          <w:bCs/>
          <w:sz w:val="24"/>
          <w:szCs w:val="20"/>
          <w:highlight w:val="none"/>
        </w:rPr>
      </w:pPr>
      <w:r>
        <w:rPr>
          <w:rFonts w:hAnsi="宋体"/>
          <w:b/>
          <w:bCs/>
          <w:sz w:val="24"/>
          <w:highlight w:val="none"/>
        </w:rPr>
        <w:br w:type="page"/>
      </w:r>
    </w:p>
    <w:p>
      <w:pPr>
        <w:tabs>
          <w:tab w:val="left" w:pos="2472"/>
        </w:tabs>
        <w:spacing w:line="360" w:lineRule="auto"/>
        <w:ind w:firstLine="482" w:firstLineChars="200"/>
        <w:jc w:val="left"/>
        <w:rPr>
          <w:rFonts w:ascii="宋体" w:hAnsi="宋体" w:eastAsia="宋体" w:cs="Times New Roman"/>
          <w:b/>
          <w:bCs/>
          <w:sz w:val="24"/>
          <w:highlight w:val="none"/>
        </w:rPr>
      </w:pPr>
      <w:bookmarkStart w:id="261" w:name="_Toc136993066"/>
      <w:bookmarkStart w:id="262" w:name="_Toc22550"/>
      <w:bookmarkStart w:id="263" w:name="_Toc139486006"/>
      <w:bookmarkStart w:id="264" w:name="_Toc3170"/>
      <w:r>
        <w:rPr>
          <w:rFonts w:hint="eastAsia" w:ascii="宋体" w:hAnsi="宋体" w:eastAsia="宋体" w:cs="Times New Roman"/>
          <w:b/>
          <w:bCs/>
          <w:sz w:val="24"/>
          <w:highlight w:val="none"/>
        </w:rPr>
        <w:t>1标包详细评审细则：</w:t>
      </w:r>
      <w:bookmarkEnd w:id="261"/>
      <w:bookmarkEnd w:id="262"/>
      <w:bookmarkEnd w:id="263"/>
      <w:bookmarkEnd w:id="264"/>
    </w:p>
    <w:tbl>
      <w:tblPr>
        <w:tblStyle w:val="2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6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b/>
                <w:szCs w:val="21"/>
                <w:highlight w:val="none"/>
              </w:rPr>
            </w:pPr>
            <w:r>
              <w:rPr>
                <w:rFonts w:hint="eastAsia" w:ascii="宋体" w:hAnsi="宋体"/>
                <w:b/>
                <w:szCs w:val="21"/>
                <w:highlight w:val="none"/>
              </w:rPr>
              <w:t>F1投标报价得分（</w:t>
            </w:r>
            <w:r>
              <w:rPr>
                <w:rFonts w:ascii="宋体" w:hAnsi="宋体"/>
                <w:b/>
                <w:szCs w:val="21"/>
                <w:highlight w:val="none"/>
              </w:rPr>
              <w:t>满分</w:t>
            </w:r>
            <w:r>
              <w:rPr>
                <w:rFonts w:hint="eastAsia" w:ascii="宋体" w:hAnsi="宋体"/>
                <w:b/>
                <w:szCs w:val="21"/>
                <w:highlight w:val="none"/>
              </w:rPr>
              <w:t>30分</w:t>
            </w:r>
            <w:r>
              <w:rPr>
                <w:rFonts w:ascii="宋体" w:hAnsi="宋体"/>
                <w:b/>
                <w:szCs w:val="21"/>
                <w:highlight w:val="none"/>
              </w:rPr>
              <w:t>）</w:t>
            </w:r>
          </w:p>
        </w:tc>
        <w:tc>
          <w:tcPr>
            <w:tcW w:w="8470"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360" w:lineRule="auto"/>
              <w:rPr>
                <w:rFonts w:ascii="宋体" w:hAnsi="宋体"/>
                <w:szCs w:val="21"/>
                <w:highlight w:val="none"/>
              </w:rPr>
            </w:pPr>
            <w:r>
              <w:rPr>
                <w:rFonts w:hint="eastAsia" w:ascii="宋体" w:hAnsi="宋体"/>
                <w:szCs w:val="21"/>
                <w:highlight w:val="none"/>
              </w:rPr>
              <w:t>投标报价计算公式=（评标基准价/该投标人报价）×30</w:t>
            </w:r>
          </w:p>
          <w:p>
            <w:pPr>
              <w:adjustRightInd w:val="0"/>
              <w:spacing w:line="360" w:lineRule="auto"/>
              <w:rPr>
                <w:rFonts w:ascii="宋体" w:hAnsi="宋体"/>
                <w:szCs w:val="21"/>
                <w:highlight w:val="none"/>
              </w:rPr>
            </w:pPr>
            <w:r>
              <w:rPr>
                <w:rFonts w:hint="eastAsia" w:ascii="宋体" w:hAnsi="宋体"/>
                <w:szCs w:val="21"/>
                <w:highlight w:val="none"/>
              </w:rPr>
              <w:t>即：</w:t>
            </w:r>
            <w:r>
              <w:rPr>
                <w:rFonts w:ascii="宋体" w:hAnsi="宋体"/>
                <w:szCs w:val="21"/>
                <w:highlight w:val="none"/>
              </w:rPr>
              <w:t>F</w:t>
            </w:r>
            <w:r>
              <w:rPr>
                <w:rFonts w:hint="eastAsia" w:ascii="宋体" w:hAnsi="宋体"/>
                <w:szCs w:val="21"/>
                <w:highlight w:val="none"/>
              </w:rPr>
              <w:t>1</w:t>
            </w:r>
            <w:r>
              <w:rPr>
                <w:rFonts w:ascii="宋体" w:hAnsi="宋体"/>
                <w:szCs w:val="21"/>
                <w:highlight w:val="none"/>
              </w:rPr>
              <w:t>=[C/（B1，B2，…</w:t>
            </w:r>
            <w:r>
              <w:rPr>
                <w:rFonts w:hint="eastAsia" w:ascii="宋体" w:hAnsi="宋体"/>
                <w:szCs w:val="21"/>
                <w:highlight w:val="none"/>
              </w:rPr>
              <w:t>，</w:t>
            </w:r>
            <w:r>
              <w:rPr>
                <w:rFonts w:ascii="宋体" w:hAnsi="宋体"/>
                <w:szCs w:val="21"/>
                <w:highlight w:val="none"/>
              </w:rPr>
              <w:t>Bn）]×</w:t>
            </w:r>
            <w:r>
              <w:rPr>
                <w:rFonts w:hint="eastAsia" w:ascii="宋体" w:hAnsi="宋体"/>
                <w:szCs w:val="21"/>
                <w:highlight w:val="none"/>
              </w:rPr>
              <w:t>30</w:t>
            </w:r>
          </w:p>
          <w:p>
            <w:pPr>
              <w:adjustRightInd w:val="0"/>
              <w:spacing w:line="360" w:lineRule="auto"/>
              <w:rPr>
                <w:rFonts w:ascii="宋体" w:hAnsi="宋体"/>
                <w:szCs w:val="21"/>
                <w:highlight w:val="none"/>
              </w:rPr>
            </w:pPr>
            <w:r>
              <w:rPr>
                <w:rFonts w:hint="eastAsia" w:ascii="宋体" w:hAnsi="宋体"/>
                <w:szCs w:val="21"/>
                <w:highlight w:val="none"/>
              </w:rPr>
              <w:t>注：</w:t>
            </w:r>
            <w:r>
              <w:rPr>
                <w:rFonts w:ascii="宋体" w:hAnsi="宋体"/>
                <w:szCs w:val="21"/>
                <w:highlight w:val="none"/>
              </w:rPr>
              <w:t>C为评标基准价，即经</w:t>
            </w:r>
            <w:r>
              <w:rPr>
                <w:rFonts w:hint="eastAsia" w:ascii="宋体" w:hAnsi="宋体"/>
                <w:szCs w:val="21"/>
                <w:highlight w:val="none"/>
              </w:rPr>
              <w:t>初步</w:t>
            </w:r>
            <w:r>
              <w:rPr>
                <w:rFonts w:ascii="宋体" w:hAnsi="宋体"/>
                <w:szCs w:val="21"/>
                <w:highlight w:val="none"/>
              </w:rPr>
              <w:t>审查合格</w:t>
            </w:r>
            <w:r>
              <w:rPr>
                <w:rFonts w:hint="eastAsia" w:ascii="宋体" w:hAnsi="宋体"/>
                <w:szCs w:val="21"/>
                <w:highlight w:val="none"/>
              </w:rPr>
              <w:t>且参与评审的投标价格最低</w:t>
            </w:r>
            <w:r>
              <w:rPr>
                <w:rFonts w:ascii="宋体" w:hAnsi="宋体"/>
                <w:szCs w:val="21"/>
                <w:highlight w:val="none"/>
              </w:rPr>
              <w:t>的</w:t>
            </w:r>
            <w:r>
              <w:rPr>
                <w:rFonts w:hint="eastAsia" w:ascii="宋体" w:hAnsi="宋体"/>
                <w:szCs w:val="21"/>
                <w:highlight w:val="none"/>
              </w:rPr>
              <w:t>有效</w:t>
            </w:r>
            <w:r>
              <w:rPr>
                <w:rFonts w:ascii="宋体" w:hAnsi="宋体"/>
                <w:szCs w:val="21"/>
                <w:highlight w:val="none"/>
              </w:rPr>
              <w:t>投标报价；</w:t>
            </w:r>
          </w:p>
          <w:p>
            <w:pPr>
              <w:spacing w:line="360" w:lineRule="auto"/>
              <w:ind w:firstLine="420" w:firstLineChars="200"/>
              <w:rPr>
                <w:rFonts w:ascii="宋体" w:hAnsi="宋体"/>
                <w:szCs w:val="21"/>
                <w:highlight w:val="none"/>
              </w:rPr>
            </w:pPr>
            <w:r>
              <w:rPr>
                <w:rFonts w:ascii="宋体" w:hAnsi="宋体"/>
                <w:szCs w:val="21"/>
                <w:highlight w:val="none"/>
              </w:rPr>
              <w:t>B1，B2，…</w:t>
            </w:r>
            <w:r>
              <w:rPr>
                <w:rFonts w:hint="eastAsia" w:ascii="宋体" w:hAnsi="宋体"/>
                <w:szCs w:val="21"/>
                <w:highlight w:val="none"/>
              </w:rPr>
              <w:t>，</w:t>
            </w:r>
            <w:r>
              <w:rPr>
                <w:rFonts w:ascii="宋体" w:hAnsi="宋体"/>
                <w:szCs w:val="21"/>
                <w:highlight w:val="none"/>
              </w:rPr>
              <w:t>Bn为第n个经</w:t>
            </w:r>
            <w:r>
              <w:rPr>
                <w:rFonts w:hint="eastAsia" w:ascii="宋体" w:hAnsi="宋体"/>
                <w:szCs w:val="21"/>
                <w:highlight w:val="none"/>
              </w:rPr>
              <w:t>初步</w:t>
            </w:r>
            <w:r>
              <w:rPr>
                <w:rFonts w:ascii="宋体" w:hAnsi="宋体"/>
                <w:szCs w:val="21"/>
                <w:highlight w:val="none"/>
              </w:rPr>
              <w:t>审查合格的</w:t>
            </w:r>
            <w:r>
              <w:rPr>
                <w:rFonts w:hint="eastAsia" w:ascii="宋体" w:hAnsi="宋体"/>
                <w:szCs w:val="21"/>
                <w:highlight w:val="none"/>
              </w:rPr>
              <w:t>参与评审的</w:t>
            </w:r>
            <w:r>
              <w:rPr>
                <w:rFonts w:ascii="宋体" w:hAnsi="宋体"/>
                <w:szCs w:val="21"/>
                <w:highlight w:val="none"/>
              </w:rPr>
              <w:t>有效投标报价。</w:t>
            </w:r>
          </w:p>
          <w:p>
            <w:pPr>
              <w:spacing w:line="360" w:lineRule="auto"/>
              <w:rPr>
                <w:rFonts w:ascii="宋体" w:hAnsi="宋体"/>
                <w:highlight w:val="none"/>
              </w:rPr>
            </w:pPr>
            <w:r>
              <w:rPr>
                <w:rFonts w:hint="eastAsia" w:ascii="宋体" w:hAnsi="宋体"/>
                <w:highlight w:val="none"/>
              </w:rPr>
              <w:t>注：</w:t>
            </w:r>
          </w:p>
          <w:p>
            <w:pPr>
              <w:spacing w:line="360" w:lineRule="auto"/>
              <w:ind w:firstLine="420" w:firstLineChars="200"/>
              <w:rPr>
                <w:rFonts w:ascii="宋体" w:hAnsi="宋体"/>
                <w:highlight w:val="none"/>
              </w:rPr>
            </w:pPr>
            <w:r>
              <w:rPr>
                <w:rFonts w:hint="eastAsia" w:ascii="宋体" w:hAnsi="宋体"/>
                <w:highlight w:val="none"/>
              </w:rPr>
              <w:t>1、在计算投标报价得分时，投标人按规定提供的产品符合政府采购政策关于小型、微型企业要求的，其最终报价给予10%的扣除，用扣除后的价格参加评审。</w:t>
            </w:r>
          </w:p>
          <w:p>
            <w:pPr>
              <w:spacing w:line="360" w:lineRule="auto"/>
              <w:ind w:firstLine="420" w:firstLineChars="200"/>
              <w:rPr>
                <w:rFonts w:ascii="宋体" w:hAnsi="宋体"/>
                <w:highlight w:val="none"/>
              </w:rPr>
            </w:pPr>
            <w:r>
              <w:rPr>
                <w:rFonts w:hint="eastAsia" w:ascii="宋体" w:hAnsi="宋体"/>
                <w:highlight w:val="none"/>
              </w:rPr>
              <w:t>2、残疾人福利性单位、监狱企业视同小型、微型企业。</w:t>
            </w:r>
          </w:p>
          <w:p>
            <w:pPr>
              <w:spacing w:line="360" w:lineRule="auto"/>
              <w:ind w:firstLine="420" w:firstLineChars="200"/>
              <w:rPr>
                <w:rFonts w:ascii="宋体" w:hAnsi="宋体"/>
                <w:highlight w:val="none"/>
              </w:rPr>
            </w:pPr>
            <w:r>
              <w:rPr>
                <w:rFonts w:hint="eastAsia" w:ascii="宋体" w:hAnsi="宋体"/>
                <w:highlight w:val="none"/>
              </w:rPr>
              <w:t>3、监狱企业或残疾人福利性单位属于小型、微型企业的，不重复享受政策，只进行一次价格扣除。</w:t>
            </w:r>
          </w:p>
          <w:p>
            <w:pPr>
              <w:spacing w:line="360" w:lineRule="auto"/>
              <w:ind w:firstLine="420" w:firstLineChars="200"/>
              <w:rPr>
                <w:rFonts w:ascii="宋体" w:hAnsi="宋体"/>
                <w:szCs w:val="21"/>
                <w:highlight w:val="none"/>
              </w:rPr>
            </w:pPr>
            <w:r>
              <w:rPr>
                <w:rFonts w:hint="eastAsia" w:ascii="宋体" w:hAnsi="宋体"/>
                <w:highlight w:val="none"/>
              </w:rPr>
              <w:t>4、因所提供材料不全导致评标委员会无法评定时，评标价格不予扣除。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restart"/>
            <w:tcBorders>
              <w:top w:val="single" w:color="auto" w:sz="4" w:space="0"/>
              <w:left w:val="single" w:color="auto" w:sz="4" w:space="0"/>
              <w:right w:val="single" w:color="auto" w:sz="4" w:space="0"/>
            </w:tcBorders>
            <w:vAlign w:val="center"/>
          </w:tcPr>
          <w:p>
            <w:pPr>
              <w:spacing w:line="360" w:lineRule="auto"/>
              <w:rPr>
                <w:rFonts w:ascii="宋体" w:hAnsi="宋体"/>
                <w:b/>
                <w:szCs w:val="21"/>
                <w:highlight w:val="none"/>
              </w:rPr>
            </w:pPr>
            <w:r>
              <w:rPr>
                <w:rFonts w:ascii="宋体" w:hAnsi="宋体"/>
                <w:b/>
                <w:szCs w:val="21"/>
                <w:highlight w:val="none"/>
              </w:rPr>
              <w:t>F2</w:t>
            </w:r>
            <w:r>
              <w:rPr>
                <w:rFonts w:hint="eastAsia" w:ascii="宋体" w:hAnsi="宋体"/>
                <w:b/>
                <w:szCs w:val="21"/>
                <w:highlight w:val="none"/>
              </w:rPr>
              <w:t>技术部分得分（满分65分）</w:t>
            </w: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b/>
                <w:szCs w:val="21"/>
                <w:highlight w:val="none"/>
              </w:rPr>
            </w:pPr>
            <w:r>
              <w:rPr>
                <w:rFonts w:hint="eastAsia" w:ascii="宋体" w:hAnsi="宋体" w:eastAsia="宋体"/>
                <w:b/>
                <w:szCs w:val="21"/>
                <w:highlight w:val="none"/>
              </w:rPr>
              <w:t>1</w:t>
            </w:r>
            <w:r>
              <w:rPr>
                <w:rFonts w:ascii="宋体" w:hAnsi="宋体" w:eastAsia="宋体"/>
                <w:b/>
                <w:szCs w:val="21"/>
                <w:highlight w:val="none"/>
              </w:rPr>
              <w:t>.</w:t>
            </w:r>
            <w:r>
              <w:rPr>
                <w:rFonts w:hint="eastAsia" w:ascii="宋体" w:hAnsi="宋体" w:eastAsia="宋体"/>
                <w:b/>
                <w:szCs w:val="21"/>
                <w:highlight w:val="none"/>
              </w:rPr>
              <w:t>技术指标的响应评审</w:t>
            </w:r>
          </w:p>
          <w:p>
            <w:pPr>
              <w:spacing w:line="360" w:lineRule="auto"/>
              <w:jc w:val="center"/>
              <w:rPr>
                <w:rFonts w:ascii="宋体" w:hAnsi="宋体" w:eastAsia="宋体"/>
                <w:b/>
                <w:szCs w:val="21"/>
                <w:highlight w:val="none"/>
              </w:rPr>
            </w:pPr>
            <w:r>
              <w:rPr>
                <w:rFonts w:hint="eastAsia" w:ascii="宋体" w:hAnsi="宋体" w:eastAsia="宋体"/>
                <w:b/>
                <w:szCs w:val="21"/>
                <w:highlight w:val="none"/>
              </w:rPr>
              <w:t>（满分27分）</w:t>
            </w:r>
          </w:p>
          <w:p>
            <w:pPr>
              <w:spacing w:line="360" w:lineRule="auto"/>
              <w:rPr>
                <w:rFonts w:ascii="宋体" w:hAnsi="宋体"/>
                <w:b/>
                <w:szCs w:val="21"/>
                <w:highlight w:val="none"/>
              </w:rPr>
            </w:pPr>
          </w:p>
        </w:tc>
        <w:tc>
          <w:tcPr>
            <w:tcW w:w="6344" w:type="dxa"/>
            <w:tcBorders>
              <w:top w:val="single" w:color="auto" w:sz="4" w:space="0"/>
              <w:left w:val="single" w:color="auto" w:sz="4" w:space="0"/>
              <w:bottom w:val="single" w:color="auto" w:sz="4" w:space="0"/>
              <w:right w:val="single" w:color="auto" w:sz="4" w:space="0"/>
            </w:tcBorders>
            <w:vAlign w:val="center"/>
          </w:tcPr>
          <w:p>
            <w:pPr>
              <w:pStyle w:val="44"/>
              <w:widowControl/>
              <w:snapToGrid w:val="0"/>
              <w:spacing w:line="360" w:lineRule="auto"/>
              <w:ind w:firstLine="0" w:firstLineChars="0"/>
              <w:rPr>
                <w:highlight w:val="none"/>
              </w:rPr>
            </w:pPr>
            <w:r>
              <w:rPr>
                <w:rFonts w:hint="eastAsia"/>
                <w:highlight w:val="none"/>
              </w:rPr>
              <w:t>根据投标文件对招标文件中技术指标的响应程度进行评分：</w:t>
            </w:r>
          </w:p>
          <w:p>
            <w:pPr>
              <w:pStyle w:val="44"/>
              <w:widowControl/>
              <w:snapToGrid w:val="0"/>
              <w:spacing w:line="360" w:lineRule="auto"/>
              <w:ind w:firstLine="0" w:firstLineChars="0"/>
              <w:rPr>
                <w:highlight w:val="none"/>
              </w:rPr>
            </w:pPr>
            <w:r>
              <w:rPr>
                <w:rFonts w:hint="eastAsia"/>
                <w:highlight w:val="none"/>
              </w:rPr>
              <w:t>本项目拟投产品技术参数完全响应“第五章 项目需求及技术要求”中“技术参数”得27分；未完全响应的按一下情况进行扣分：</w:t>
            </w:r>
          </w:p>
          <w:p>
            <w:pPr>
              <w:pStyle w:val="44"/>
              <w:widowControl/>
              <w:snapToGrid w:val="0"/>
              <w:spacing w:line="360" w:lineRule="auto"/>
              <w:ind w:firstLine="0" w:firstLineChars="0"/>
              <w:rPr>
                <w:highlight w:val="none"/>
              </w:rPr>
            </w:pPr>
            <w:r>
              <w:rPr>
                <w:rFonts w:hint="eastAsia"/>
                <w:b/>
                <w:bCs/>
                <w:highlight w:val="none"/>
              </w:rPr>
              <w:t>一、标注“</w:t>
            </w:r>
            <w:r>
              <w:rPr>
                <w:rFonts w:hint="eastAsia" w:ascii="Times New Roman" w:eastAsia="宋体"/>
                <w:b/>
                <w:bCs/>
                <w:highlight w:val="none"/>
              </w:rPr>
              <w:t>▲</w:t>
            </w:r>
            <w:r>
              <w:rPr>
                <w:rFonts w:hint="eastAsia"/>
                <w:b/>
                <w:bCs/>
                <w:highlight w:val="none"/>
              </w:rPr>
              <w:t>”项的核心技术参数</w:t>
            </w:r>
            <w:r>
              <w:rPr>
                <w:rFonts w:hint="eastAsia"/>
                <w:highlight w:val="none"/>
              </w:rPr>
              <w:t xml:space="preserve"> “第五章 项目需求及技术要求”中</w:t>
            </w:r>
            <w:r>
              <w:rPr>
                <w:rFonts w:hint="eastAsia" w:ascii="宋体" w:hAnsi="宋体" w:eastAsia="宋体" w:cs="宋体"/>
                <w:bCs/>
                <w:kern w:val="0"/>
                <w:highlight w:val="none"/>
              </w:rPr>
              <w:t>，标注“▲”号的技术参数为核心技术参数，共13项，出现1项（含1项）以上核心技术参数不满足招标文件要求，技术指标响应评审评分按0分计算。</w:t>
            </w:r>
          </w:p>
          <w:p>
            <w:pPr>
              <w:pStyle w:val="42"/>
              <w:ind w:firstLine="0" w:firstLineChars="0"/>
              <w:rPr>
                <w:b/>
                <w:bCs/>
                <w:highlight w:val="none"/>
              </w:rPr>
            </w:pPr>
            <w:r>
              <w:rPr>
                <w:rFonts w:hint="eastAsia"/>
                <w:b/>
                <w:bCs/>
                <w:highlight w:val="none"/>
              </w:rPr>
              <w:t>二、标注“★”项的重要技术参数</w:t>
            </w:r>
          </w:p>
          <w:p>
            <w:pPr>
              <w:pStyle w:val="42"/>
              <w:ind w:firstLine="0" w:firstLineChars="0"/>
              <w:rPr>
                <w:highlight w:val="none"/>
              </w:rPr>
            </w:pPr>
            <w:r>
              <w:rPr>
                <w:rFonts w:hint="eastAsia"/>
                <w:highlight w:val="none"/>
              </w:rPr>
              <w:t xml:space="preserve"> “第五章 项目需求及技术要求”中标注“★”项的参数为重要技术参数，共9项，每出现一条负偏离或未按要求提供技术证明材料的，扣1.5分，此项分值扣完13.5分为止。</w:t>
            </w:r>
          </w:p>
          <w:p>
            <w:pPr>
              <w:pStyle w:val="44"/>
              <w:widowControl/>
              <w:tabs>
                <w:tab w:val="left" w:pos="2100"/>
              </w:tabs>
              <w:snapToGrid w:val="0"/>
              <w:spacing w:line="360" w:lineRule="auto"/>
              <w:ind w:firstLine="0" w:firstLineChars="0"/>
              <w:rPr>
                <w:b/>
                <w:bCs/>
                <w:highlight w:val="none"/>
              </w:rPr>
            </w:pPr>
            <w:r>
              <w:rPr>
                <w:rFonts w:hint="eastAsia"/>
                <w:b/>
                <w:bCs/>
                <w:highlight w:val="none"/>
              </w:rPr>
              <w:t>三、未标注“</w:t>
            </w:r>
            <w:r>
              <w:rPr>
                <w:rFonts w:hint="eastAsia" w:ascii="Times New Roman" w:eastAsia="宋体"/>
                <w:b/>
                <w:bCs/>
                <w:highlight w:val="none"/>
              </w:rPr>
              <w:t>▲</w:t>
            </w:r>
            <w:r>
              <w:rPr>
                <w:rFonts w:hint="eastAsia" w:ascii="宋体" w:hAnsi="宋体" w:eastAsia="宋体" w:cs="宋体"/>
                <w:b/>
                <w:bCs/>
                <w:kern w:val="0"/>
                <w:sz w:val="16"/>
                <w:szCs w:val="16"/>
                <w:highlight w:val="none"/>
                <w:lang w:bidi="ar"/>
              </w:rPr>
              <w:t>、</w:t>
            </w:r>
            <w:r>
              <w:rPr>
                <w:rFonts w:hint="eastAsia"/>
                <w:b/>
                <w:bCs/>
                <w:highlight w:val="none"/>
              </w:rPr>
              <w:t>★”项的一般技术参数</w:t>
            </w:r>
          </w:p>
          <w:p>
            <w:pPr>
              <w:pStyle w:val="44"/>
              <w:widowControl/>
              <w:snapToGrid w:val="0"/>
              <w:spacing w:line="360" w:lineRule="auto"/>
              <w:ind w:firstLine="0" w:firstLineChars="0"/>
              <w:rPr>
                <w:highlight w:val="none"/>
              </w:rPr>
            </w:pPr>
            <w:r>
              <w:rPr>
                <w:rFonts w:hint="eastAsia"/>
                <w:highlight w:val="none"/>
              </w:rPr>
              <w:t xml:space="preserve"> “第五章 采购需求一览表”中未标注“</w:t>
            </w:r>
            <w:r>
              <w:rPr>
                <w:rFonts w:hint="eastAsia" w:ascii="Times New Roman" w:eastAsia="宋体"/>
                <w:b/>
                <w:bCs/>
                <w:highlight w:val="none"/>
              </w:rPr>
              <w:t>▲</w:t>
            </w:r>
            <w:r>
              <w:rPr>
                <w:rFonts w:hint="eastAsia" w:ascii="宋体" w:hAnsi="宋体" w:eastAsia="宋体" w:cs="宋体"/>
                <w:kern w:val="0"/>
                <w:sz w:val="16"/>
                <w:szCs w:val="16"/>
                <w:highlight w:val="none"/>
                <w:lang w:bidi="ar"/>
              </w:rPr>
              <w:t>、</w:t>
            </w:r>
            <w:r>
              <w:rPr>
                <w:rFonts w:hint="eastAsia"/>
                <w:highlight w:val="none"/>
              </w:rPr>
              <w:t>★”项的参数为一般参数，共27项，每出现一条负偏离或未按要求提供技术证明材料的，扣0.5分，此项分值扣完13.5分为止。</w:t>
            </w:r>
          </w:p>
          <w:p>
            <w:pPr>
              <w:pStyle w:val="42"/>
              <w:spacing w:line="360" w:lineRule="auto"/>
              <w:ind w:firstLine="0" w:firstLineChars="0"/>
              <w:rPr>
                <w:b/>
                <w:bCs/>
                <w:highlight w:val="none"/>
              </w:rPr>
            </w:pPr>
            <w:r>
              <w:rPr>
                <w:b/>
                <w:bCs/>
                <w:highlight w:val="none"/>
              </w:rPr>
              <w:t>注：（1）招标文件第五章《项目需求及技术要求》技术参数中，标</w:t>
            </w:r>
            <w:r>
              <w:rPr>
                <w:rFonts w:hint="eastAsia" w:ascii="宋体" w:hAnsi="宋体" w:eastAsia="宋体" w:cs="宋体"/>
                <w:bCs/>
                <w:kern w:val="0"/>
                <w:highlight w:val="none"/>
              </w:rPr>
              <w:t>“▲”的核心技术参数必须提供技术支持资料支持参数技术规格偏离表应答（技术支持资料包括但不限于投标产品的技术白皮书、产品相关鉴定资料、试验报告、检验报告、图纸资料等），若投标文件中</w:t>
            </w:r>
            <w:r>
              <w:rPr>
                <w:rFonts w:hint="eastAsia" w:cs="宋体"/>
                <w:bCs/>
                <w:kern w:val="0"/>
                <w:highlight w:val="none"/>
              </w:rPr>
              <w:t>技术支持资料</w:t>
            </w:r>
            <w:r>
              <w:rPr>
                <w:rFonts w:hint="eastAsia" w:ascii="宋体" w:hAnsi="宋体" w:eastAsia="宋体" w:cs="宋体"/>
                <w:bCs/>
                <w:kern w:val="0"/>
                <w:highlight w:val="none"/>
              </w:rPr>
              <w:t>与技术条款偏离表应答不符或无</w:t>
            </w:r>
            <w:r>
              <w:rPr>
                <w:rFonts w:hint="eastAsia" w:cs="宋体"/>
                <w:bCs/>
                <w:kern w:val="0"/>
                <w:highlight w:val="none"/>
              </w:rPr>
              <w:t>相关技术支持资料</w:t>
            </w:r>
            <w:r>
              <w:rPr>
                <w:rFonts w:hint="eastAsia" w:ascii="宋体" w:hAnsi="宋体" w:eastAsia="宋体" w:cs="宋体"/>
                <w:bCs/>
                <w:kern w:val="0"/>
                <w:highlight w:val="none"/>
              </w:rPr>
              <w:t>应答，而投标人又未在投标文件中作出说明和解释的，评标委员会在评审时可以视为不响应该条技术条款的规定。</w:t>
            </w:r>
          </w:p>
          <w:p>
            <w:pPr>
              <w:pStyle w:val="42"/>
              <w:spacing w:line="360" w:lineRule="auto"/>
              <w:ind w:firstLine="0" w:firstLineChars="0"/>
              <w:rPr>
                <w:b/>
                <w:bCs/>
                <w:highlight w:val="none"/>
              </w:rPr>
            </w:pPr>
            <w:r>
              <w:rPr>
                <w:b/>
                <w:bCs/>
                <w:highlight w:val="none"/>
              </w:rPr>
              <w:t>（2）招标文件第五章《项目需求及技术要求》技术参数中，标注“★”号的重要技术参数必须提供国家法定检测机构出具的检测报告支持技术条款偏离表应答，如招标文件第五章《采购需求》有特殊要求，以第五章《采购需求》要求为准，若投标文件中检测报告参数与技术条款偏离表应答不符或无检测报告应答，而投标人又未在投标文件中作出说明和解释的，评标委员会在评审时可以视为不响应该条技术条款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szCs w:val="21"/>
                <w:highlight w:val="none"/>
              </w:rPr>
            </w:pPr>
            <w:r>
              <w:rPr>
                <w:rFonts w:hint="eastAsia" w:ascii="宋体" w:hAnsi="宋体" w:cs="宋体"/>
                <w:b/>
                <w:bCs/>
                <w:kern w:val="0"/>
                <w:szCs w:val="21"/>
                <w:highlight w:val="none"/>
                <w:lang w:bidi="ar"/>
              </w:rPr>
              <w:t>2.样品评审（满分12分）</w:t>
            </w:r>
          </w:p>
        </w:tc>
        <w:tc>
          <w:tcPr>
            <w:tcW w:w="6344" w:type="dxa"/>
            <w:tcBorders>
              <w:top w:val="single" w:color="auto" w:sz="4" w:space="0"/>
              <w:left w:val="single" w:color="auto" w:sz="4" w:space="0"/>
              <w:bottom w:val="single" w:color="auto" w:sz="4" w:space="0"/>
              <w:right w:val="single" w:color="auto" w:sz="4" w:space="0"/>
            </w:tcBorders>
            <w:vAlign w:val="center"/>
          </w:tcPr>
          <w:p>
            <w:pPr>
              <w:pStyle w:val="44"/>
              <w:widowControl/>
              <w:snapToGrid w:val="0"/>
              <w:spacing w:line="360" w:lineRule="auto"/>
              <w:ind w:firstLine="0" w:firstLineChars="0"/>
              <w:rPr>
                <w:rFonts w:ascii="宋体" w:hAnsi="宋体" w:eastAsia="宋体"/>
                <w:szCs w:val="21"/>
                <w:highlight w:val="none"/>
              </w:rPr>
            </w:pPr>
            <w:r>
              <w:rPr>
                <w:rFonts w:hint="eastAsia" w:ascii="宋体" w:hAnsi="宋体" w:eastAsia="宋体"/>
                <w:szCs w:val="21"/>
                <w:highlight w:val="none"/>
              </w:rPr>
              <w:t>根据投标人提供的样品进行评审。若未提交样品或样品样式存在明显差异，则本项“样品评审”不得分，各包具体评审细则详见附件《样品评审细则》。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b/>
                <w:szCs w:val="21"/>
                <w:highlight w:val="none"/>
              </w:rPr>
            </w:pPr>
            <w:r>
              <w:rPr>
                <w:rFonts w:hint="eastAsia" w:ascii="宋体" w:hAnsi="宋体" w:eastAsia="宋体" w:cs="宋体"/>
                <w:b/>
                <w:kern w:val="0"/>
                <w:szCs w:val="21"/>
                <w:highlight w:val="none"/>
                <w:lang w:bidi="ar"/>
              </w:rPr>
              <w:t>3.实施方案评审</w:t>
            </w:r>
            <w:r>
              <w:rPr>
                <w:rFonts w:hint="eastAsia" w:ascii="宋体" w:hAnsi="宋体" w:cs="宋体"/>
                <w:b/>
                <w:kern w:val="0"/>
                <w:szCs w:val="21"/>
                <w:highlight w:val="none"/>
                <w:lang w:bidi="ar"/>
              </w:rPr>
              <w:t>(满分10分）</w:t>
            </w:r>
          </w:p>
        </w:tc>
        <w:tc>
          <w:tcPr>
            <w:tcW w:w="6344" w:type="dxa"/>
            <w:tcBorders>
              <w:top w:val="single" w:color="auto" w:sz="4" w:space="0"/>
              <w:left w:val="single" w:color="auto" w:sz="4" w:space="0"/>
              <w:bottom w:val="single" w:color="auto" w:sz="4" w:space="0"/>
              <w:right w:val="single" w:color="auto" w:sz="4" w:space="0"/>
            </w:tcBorders>
            <w:vAlign w:val="center"/>
          </w:tcPr>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针对本项目制定的①供货计划(包括但不限于工期安排、采购安排、人员安排等):②)进度保障(包括但不限于制作工序、产品制作顺序，交货期按期保质交付方案等);③包装运输控制措施。</w:t>
            </w:r>
          </w:p>
          <w:p>
            <w:pPr>
              <w:pStyle w:val="44"/>
              <w:widowControl/>
              <w:numPr>
                <w:ilvl w:val="0"/>
                <w:numId w:val="18"/>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以上3 项内容，计划安排阶段分明、进度安排科学可行、保障措施可行，完全满足项目交付周期实际需求，得10分；</w:t>
            </w:r>
          </w:p>
          <w:p>
            <w:pPr>
              <w:pStyle w:val="44"/>
              <w:widowControl/>
              <w:numPr>
                <w:ilvl w:val="0"/>
                <w:numId w:val="18"/>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提供了常规、通用的供货计划等实施方案及进度计划，保障措施能够满足项目需求，得7分；</w:t>
            </w:r>
          </w:p>
          <w:p>
            <w:pPr>
              <w:pStyle w:val="44"/>
              <w:widowControl/>
              <w:numPr>
                <w:ilvl w:val="0"/>
                <w:numId w:val="18"/>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方案有欠缺或存在明显问题，各项工作混乱，针对性可行性差，得3分；</w:t>
            </w:r>
          </w:p>
          <w:p>
            <w:pPr>
              <w:pStyle w:val="44"/>
              <w:widowControl/>
              <w:numPr>
                <w:ilvl w:val="0"/>
                <w:numId w:val="18"/>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未提供实施方案的，得0分。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kern w:val="0"/>
                <w:szCs w:val="21"/>
                <w:highlight w:val="none"/>
                <w:lang w:bidi="ar"/>
              </w:rPr>
            </w:pPr>
            <w:r>
              <w:rPr>
                <w:rFonts w:hint="eastAsia" w:ascii="宋体" w:hAnsi="宋体" w:eastAsia="宋体" w:cs="宋体"/>
                <w:b/>
                <w:kern w:val="0"/>
                <w:szCs w:val="21"/>
                <w:highlight w:val="none"/>
                <w:lang w:bidi="ar"/>
              </w:rPr>
              <w:t>4、供货周期</w:t>
            </w:r>
            <w:r>
              <w:rPr>
                <w:rFonts w:hint="eastAsia" w:ascii="宋体" w:hAnsi="宋体" w:cs="宋体"/>
                <w:b/>
                <w:kern w:val="0"/>
                <w:szCs w:val="21"/>
                <w:highlight w:val="none"/>
                <w:lang w:bidi="ar"/>
              </w:rPr>
              <w:t>(满分3分）</w:t>
            </w:r>
          </w:p>
        </w:tc>
        <w:tc>
          <w:tcPr>
            <w:tcW w:w="6344" w:type="dxa"/>
            <w:tcBorders>
              <w:top w:val="single" w:color="auto" w:sz="4" w:space="0"/>
              <w:left w:val="single" w:color="auto" w:sz="4" w:space="0"/>
              <w:bottom w:val="single" w:color="auto" w:sz="4" w:space="0"/>
              <w:right w:val="single" w:color="auto" w:sz="4" w:space="0"/>
            </w:tcBorders>
            <w:vAlign w:val="center"/>
          </w:tcPr>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供货周期在满足采购文件的基础上每提前5天得1分，分值加至3分满为止。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eastAsia="宋体" w:cs="宋体"/>
                <w:b/>
                <w:kern w:val="0"/>
                <w:szCs w:val="21"/>
                <w:highlight w:val="none"/>
                <w:lang w:bidi="ar"/>
              </w:rPr>
            </w:pPr>
            <w:r>
              <w:rPr>
                <w:rFonts w:hint="eastAsia" w:ascii="宋体" w:hAnsi="宋体" w:eastAsia="宋体" w:cs="宋体"/>
                <w:b/>
                <w:kern w:val="0"/>
                <w:szCs w:val="21"/>
                <w:highlight w:val="none"/>
                <w:lang w:bidi="ar"/>
              </w:rPr>
              <w:t>5.售后服务方案（满分8分）</w:t>
            </w:r>
          </w:p>
        </w:tc>
        <w:tc>
          <w:tcPr>
            <w:tcW w:w="6344" w:type="dxa"/>
            <w:tcBorders>
              <w:top w:val="single" w:color="auto" w:sz="4" w:space="0"/>
              <w:left w:val="single" w:color="auto" w:sz="4" w:space="0"/>
              <w:right w:val="single" w:color="auto" w:sz="4" w:space="0"/>
            </w:tcBorders>
            <w:vAlign w:val="center"/>
          </w:tcPr>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质保期：在满足招标人要求的基础上，每标包所有产品均承诺质保期每增加1年得1分，最多得2分。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vMerge w:val="continue"/>
            <w:tcBorders>
              <w:left w:val="single" w:color="auto" w:sz="4" w:space="0"/>
              <w:right w:val="single" w:color="auto" w:sz="4" w:space="0"/>
            </w:tcBorders>
            <w:vAlign w:val="center"/>
          </w:tcPr>
          <w:p>
            <w:pPr>
              <w:spacing w:line="360" w:lineRule="auto"/>
              <w:jc w:val="center"/>
              <w:rPr>
                <w:rFonts w:ascii="宋体" w:hAnsi="宋体" w:eastAsia="宋体" w:cs="宋体"/>
                <w:b/>
                <w:kern w:val="0"/>
                <w:szCs w:val="21"/>
                <w:highlight w:val="none"/>
                <w:lang w:bidi="ar"/>
              </w:rPr>
            </w:pPr>
          </w:p>
        </w:tc>
        <w:tc>
          <w:tcPr>
            <w:tcW w:w="6344" w:type="dxa"/>
            <w:tcBorders>
              <w:left w:val="single" w:color="auto" w:sz="4" w:space="0"/>
              <w:right w:val="single" w:color="auto" w:sz="4" w:space="0"/>
            </w:tcBorders>
            <w:vAlign w:val="center"/>
          </w:tcPr>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质保期内免费调换比例及免费邮寄等承诺:</w:t>
            </w:r>
          </w:p>
          <w:p>
            <w:pPr>
              <w:pStyle w:val="44"/>
              <w:widowControl/>
              <w:numPr>
                <w:ilvl w:val="0"/>
                <w:numId w:val="19"/>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承诺日常为采购人提供总数量的5%的备货库存，采购人提出调换货物的要求时，投标人承诺免费调换货物比例为总数量的5%，且收到招标人调换货物通知后能够保证5日内送达并承担邮寄费等相关费用，得6分；</w:t>
            </w:r>
          </w:p>
          <w:p>
            <w:pPr>
              <w:pStyle w:val="44"/>
              <w:widowControl/>
              <w:numPr>
                <w:ilvl w:val="0"/>
                <w:numId w:val="19"/>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承诺日常为采购人提供总数量的3%的备货库存，采购人提出调换货物的要求时，投标人承诺免费调换比例为总数量的3%，且收到招标人调换货物通知后7日内送达并承担邮寄费等相关费用，得4分；</w:t>
            </w:r>
          </w:p>
          <w:p>
            <w:pPr>
              <w:pStyle w:val="44"/>
              <w:widowControl/>
              <w:numPr>
                <w:ilvl w:val="0"/>
                <w:numId w:val="19"/>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承诺日常为采购人提供总数量的1%的备货库存，采购人提出调换货物的要求时，投标人承诺免费调换比例为总数量的1%，且收到招标人调换货物通知后9天内送达并承担邮寄费等相关费用，得2分；</w:t>
            </w:r>
          </w:p>
          <w:p>
            <w:pPr>
              <w:pStyle w:val="44"/>
              <w:widowControl/>
              <w:numPr>
                <w:ilvl w:val="0"/>
                <w:numId w:val="19"/>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未提供相关承诺、未承诺承担邮寄费或送达时间超过9天，得0分。</w:t>
            </w:r>
          </w:p>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投标人应针对自身情况提供切实可行的调换方案包括但不限于产品余量库存、主辅料库存保障、调换产品的发货运输以及物流运输机构选择等内容。</w:t>
            </w:r>
          </w:p>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注:为保障项目后续实施，采购人将对中标单位进行不定期走访并考察余量库存等以确保后续调换保障，如发现存在弄虚作假，与事实不符或无法保障后续实施，采购人有权终止合同并追究其责任。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tcBorders>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kern w:val="0"/>
                <w:szCs w:val="21"/>
                <w:highlight w:val="none"/>
                <w:lang w:bidi="ar"/>
              </w:rPr>
            </w:pPr>
            <w:r>
              <w:rPr>
                <w:rFonts w:hint="eastAsia" w:ascii="宋体" w:hAnsi="宋体" w:eastAsia="宋体" w:cs="宋体"/>
                <w:b/>
                <w:kern w:val="0"/>
                <w:szCs w:val="21"/>
                <w:highlight w:val="none"/>
                <w:lang w:bidi="ar"/>
              </w:rPr>
              <w:t>6.质量保障评审（满分5分 ）</w:t>
            </w:r>
          </w:p>
        </w:tc>
        <w:tc>
          <w:tcPr>
            <w:tcW w:w="6344" w:type="dxa"/>
            <w:tcBorders>
              <w:top w:val="single" w:color="auto" w:sz="4" w:space="0"/>
              <w:left w:val="single" w:color="auto" w:sz="4" w:space="0"/>
              <w:bottom w:val="single" w:color="auto" w:sz="4" w:space="0"/>
              <w:right w:val="single" w:color="auto" w:sz="4" w:space="0"/>
            </w:tcBorders>
            <w:vAlign w:val="center"/>
          </w:tcPr>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根据投标人针对本项目制定的质量保障方案，包括但不限于制作过程质量控制、过程风险控制、产品出厂质量控制等各阶段质量控制措施和检验与验收内容。</w:t>
            </w:r>
          </w:p>
          <w:p>
            <w:pPr>
              <w:pStyle w:val="44"/>
              <w:widowControl/>
              <w:numPr>
                <w:ilvl w:val="0"/>
                <w:numId w:val="20"/>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提供了内容完整、详实可行的质量保障方案，有很强的针对性，得5分；</w:t>
            </w:r>
          </w:p>
          <w:p>
            <w:pPr>
              <w:pStyle w:val="44"/>
              <w:widowControl/>
              <w:numPr>
                <w:ilvl w:val="0"/>
                <w:numId w:val="20"/>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提供了常规、通用的质量保障方案，基本符合采购需求，得3分；</w:t>
            </w:r>
          </w:p>
          <w:p>
            <w:pPr>
              <w:pStyle w:val="44"/>
              <w:widowControl/>
              <w:numPr>
                <w:ilvl w:val="0"/>
                <w:numId w:val="20"/>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提供的质量保障方案欠佳或方案不可行，得1分；</w:t>
            </w:r>
          </w:p>
          <w:p>
            <w:pPr>
              <w:pStyle w:val="44"/>
              <w:widowControl/>
              <w:numPr>
                <w:ilvl w:val="0"/>
                <w:numId w:val="20"/>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未提供相应方案，得0分。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5" w:hRule="atLeast"/>
        </w:trPr>
        <w:tc>
          <w:tcPr>
            <w:tcW w:w="1384" w:type="dxa"/>
            <w:tcBorders>
              <w:left w:val="single" w:color="auto" w:sz="4" w:space="0"/>
              <w:right w:val="single" w:color="auto" w:sz="4" w:space="0"/>
            </w:tcBorders>
            <w:vAlign w:val="center"/>
          </w:tcPr>
          <w:p>
            <w:pPr>
              <w:spacing w:line="360" w:lineRule="auto"/>
              <w:rPr>
                <w:rFonts w:ascii="宋体" w:hAnsi="宋体"/>
                <w:b/>
                <w:szCs w:val="21"/>
                <w:highlight w:val="none"/>
              </w:rPr>
            </w:pPr>
            <w:r>
              <w:rPr>
                <w:rFonts w:ascii="宋体" w:hAnsi="宋体"/>
                <w:b/>
                <w:szCs w:val="21"/>
                <w:highlight w:val="none"/>
              </w:rPr>
              <w:t>F3</w:t>
            </w:r>
            <w:r>
              <w:rPr>
                <w:rFonts w:hint="eastAsia" w:ascii="宋体" w:hAnsi="宋体"/>
                <w:b/>
                <w:szCs w:val="21"/>
                <w:highlight w:val="none"/>
              </w:rPr>
              <w:t>商务部分得分</w:t>
            </w:r>
            <w:r>
              <w:rPr>
                <w:rFonts w:ascii="宋体" w:hAnsi="宋体"/>
                <w:b/>
                <w:szCs w:val="21"/>
                <w:highlight w:val="none"/>
              </w:rPr>
              <w:t>（满分</w:t>
            </w:r>
            <w:r>
              <w:rPr>
                <w:rFonts w:hint="eastAsia" w:ascii="宋体" w:hAnsi="宋体"/>
                <w:b/>
                <w:szCs w:val="21"/>
                <w:highlight w:val="none"/>
              </w:rPr>
              <w:t>5分）</w:t>
            </w: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Cs w:val="21"/>
                <w:highlight w:val="none"/>
              </w:rPr>
            </w:pPr>
            <w:r>
              <w:rPr>
                <w:rFonts w:hint="eastAsia" w:ascii="宋体" w:hAnsi="宋体"/>
                <w:b/>
                <w:szCs w:val="21"/>
                <w:highlight w:val="none"/>
              </w:rPr>
              <w:t>1.同类项目业绩</w:t>
            </w:r>
          </w:p>
          <w:p>
            <w:pPr>
              <w:spacing w:line="360" w:lineRule="auto"/>
              <w:jc w:val="center"/>
              <w:rPr>
                <w:rFonts w:ascii="宋体" w:hAnsi="宋体" w:eastAsia="宋体" w:cs="Times New Roman"/>
                <w:b/>
                <w:szCs w:val="21"/>
                <w:highlight w:val="none"/>
              </w:rPr>
            </w:pPr>
            <w:r>
              <w:rPr>
                <w:rFonts w:hint="eastAsia" w:ascii="宋体" w:hAnsi="宋体"/>
                <w:b/>
                <w:szCs w:val="21"/>
                <w:highlight w:val="none"/>
              </w:rPr>
              <w:t>（满分4分）</w:t>
            </w:r>
          </w:p>
        </w:tc>
        <w:tc>
          <w:tcPr>
            <w:tcW w:w="6344"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60" w:lineRule="auto"/>
              <w:rPr>
                <w:rFonts w:ascii="宋体" w:hAnsi="宋体"/>
                <w:szCs w:val="21"/>
                <w:highlight w:val="none"/>
              </w:rPr>
            </w:pPr>
            <w:r>
              <w:rPr>
                <w:rFonts w:hint="eastAsia" w:ascii="宋体" w:hAnsi="宋体"/>
                <w:szCs w:val="21"/>
                <w:highlight w:val="none"/>
              </w:rPr>
              <w:t>投标人自2022年1月1日起至今(以合同签订日期为准)与所投分包同类产品(指功能用途相同或相似的产品)的销售业绩，每提供1项</w:t>
            </w:r>
            <w:r>
              <w:rPr>
                <w:rFonts w:hint="eastAsia" w:ascii="宋体" w:hAnsi="宋体" w:cs="宋体"/>
                <w:szCs w:val="21"/>
                <w:highlight w:val="none"/>
                <w:lang w:bidi="ar"/>
              </w:rPr>
              <w:t>类似业绩加1分，满分4分</w:t>
            </w:r>
            <w:r>
              <w:rPr>
                <w:rFonts w:hint="eastAsia" w:ascii="宋体" w:hAnsi="宋体"/>
                <w:szCs w:val="21"/>
                <w:highlight w:val="none"/>
              </w:rPr>
              <w:t>。</w:t>
            </w:r>
          </w:p>
          <w:p>
            <w:pPr>
              <w:spacing w:line="360" w:lineRule="auto"/>
              <w:jc w:val="left"/>
              <w:rPr>
                <w:rFonts w:ascii="宋体" w:hAnsi="宋体" w:eastAsia="宋体"/>
                <w:szCs w:val="21"/>
                <w:highlight w:val="none"/>
              </w:rPr>
            </w:pPr>
            <w:r>
              <w:rPr>
                <w:rFonts w:hint="eastAsia" w:ascii="宋体" w:hAnsi="宋体" w:cs="宋体"/>
                <w:szCs w:val="21"/>
                <w:highlight w:val="none"/>
                <w:lang w:bidi="ar"/>
              </w:rPr>
              <w:t>注：投标文件中须提供业绩证明材料，业绩证明材料为投标人与业主单位签订的合同（合同包括：首页、标的金额所在页及合同电子签名盖章页）或中标（成交）通知书。无证明材料或证明材料不明确、无法体现业绩内容或与投标文件内容不一致的，视为无效业绩，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5" w:hRule="atLeast"/>
        </w:trPr>
        <w:tc>
          <w:tcPr>
            <w:tcW w:w="1384" w:type="dxa"/>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tcBorders>
              <w:top w:val="single" w:color="auto" w:sz="4" w:space="0"/>
              <w:left w:val="single" w:color="auto" w:sz="4" w:space="0"/>
              <w:right w:val="single" w:color="auto" w:sz="4" w:space="0"/>
            </w:tcBorders>
            <w:vAlign w:val="center"/>
          </w:tcPr>
          <w:p>
            <w:pPr>
              <w:spacing w:line="360" w:lineRule="auto"/>
              <w:jc w:val="center"/>
              <w:rPr>
                <w:rFonts w:ascii="宋体" w:hAnsi="宋体"/>
                <w:b/>
                <w:szCs w:val="21"/>
                <w:highlight w:val="none"/>
              </w:rPr>
            </w:pPr>
            <w:r>
              <w:rPr>
                <w:rFonts w:hint="eastAsia" w:ascii="宋体" w:hAnsi="宋体"/>
                <w:b/>
                <w:szCs w:val="21"/>
                <w:highlight w:val="none"/>
              </w:rPr>
              <w:t>2.节能环保（满分1分）</w:t>
            </w:r>
          </w:p>
        </w:tc>
        <w:tc>
          <w:tcPr>
            <w:tcW w:w="6344"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szCs w:val="21"/>
                <w:highlight w:val="none"/>
                <w:lang w:bidi="ar"/>
              </w:rPr>
            </w:pPr>
            <w:r>
              <w:rPr>
                <w:rFonts w:hint="eastAsia" w:ascii="宋体" w:hAnsi="宋体" w:cs="宋体"/>
                <w:szCs w:val="21"/>
                <w:highlight w:val="none"/>
                <w:lang w:bidi="ar"/>
              </w:rPr>
              <w:t>1.本项目采购产品属于“节能产品政府采购品目清单”中优先采购范围， 并且响应产品获得国家确定的认证机构出具的、处于有效期内的节能产 品认证证书的，得0.5分，否则不得分。</w:t>
            </w:r>
          </w:p>
          <w:p>
            <w:pPr>
              <w:spacing w:line="360" w:lineRule="auto"/>
              <w:jc w:val="left"/>
              <w:rPr>
                <w:rFonts w:ascii="宋体" w:hAnsi="宋体" w:cs="宋体"/>
                <w:szCs w:val="21"/>
                <w:highlight w:val="none"/>
                <w:lang w:bidi="ar"/>
              </w:rPr>
            </w:pPr>
            <w:r>
              <w:rPr>
                <w:rFonts w:hint="eastAsia" w:ascii="宋体" w:hAnsi="宋体" w:cs="宋体"/>
                <w:szCs w:val="21"/>
                <w:highlight w:val="none"/>
                <w:lang w:bidi="ar"/>
              </w:rPr>
              <w:t>2.本项目采购产品属于“环境标志产品政府采购品目清单”中优先采购 范围，并且响应产品获得国家确定的认证机构出具的、处于有效期内的 环境标志产品认证证书的，得0.5分，否则不得分。</w:t>
            </w:r>
          </w:p>
          <w:p>
            <w:pPr>
              <w:spacing w:line="360" w:lineRule="auto"/>
              <w:jc w:val="left"/>
              <w:rPr>
                <w:rFonts w:ascii="宋体" w:hAnsi="宋体" w:cs="宋体"/>
                <w:szCs w:val="21"/>
                <w:highlight w:val="none"/>
                <w:lang w:bidi="ar"/>
              </w:rPr>
            </w:pPr>
            <w:r>
              <w:rPr>
                <w:rFonts w:hint="eastAsia" w:ascii="宋体" w:hAnsi="宋体" w:cs="宋体"/>
                <w:szCs w:val="21"/>
                <w:highlight w:val="none"/>
                <w:lang w:bidi="ar"/>
              </w:rPr>
              <w:t>注：供应商须在响应文件中提供其所投产品有效认证证书复印件（加盖 公章），否则不予认可。</w:t>
            </w:r>
          </w:p>
        </w:tc>
      </w:tr>
    </w:tbl>
    <w:p>
      <w:pPr>
        <w:rPr>
          <w:rFonts w:hAnsi="宋体"/>
          <w:b/>
          <w:bCs/>
          <w:sz w:val="24"/>
          <w:highlight w:val="none"/>
        </w:rPr>
      </w:pPr>
      <w:r>
        <w:rPr>
          <w:rFonts w:hAnsi="宋体"/>
          <w:b/>
          <w:bCs/>
          <w:sz w:val="24"/>
          <w:highlight w:val="none"/>
        </w:rPr>
        <w:br w:type="page"/>
      </w:r>
      <w:r>
        <w:rPr>
          <w:rFonts w:hint="eastAsia" w:hAnsi="宋体"/>
          <w:b/>
          <w:bCs/>
          <w:sz w:val="24"/>
          <w:highlight w:val="none"/>
        </w:rPr>
        <w:t>附件：《样品评审细则》</w:t>
      </w:r>
    </w:p>
    <w:p>
      <w:pPr>
        <w:rPr>
          <w:rFonts w:ascii="Calibri" w:hAnsi="Calibri" w:eastAsia="宋体" w:cs="Times New Roman"/>
          <w:b/>
          <w:bCs/>
          <w:highlight w:val="none"/>
        </w:rPr>
      </w:pPr>
    </w:p>
    <w:p>
      <w:pPr>
        <w:rPr>
          <w:rFonts w:ascii="Calibri" w:hAnsi="Calibri" w:eastAsia="宋体" w:cs="Times New Roman"/>
          <w:b/>
          <w:bCs/>
          <w:highlight w:val="none"/>
        </w:rPr>
      </w:pPr>
      <w:r>
        <w:rPr>
          <w:rFonts w:hint="eastAsia" w:ascii="Calibri" w:hAnsi="Calibri" w:eastAsia="宋体" w:cs="Times New Roman"/>
          <w:b/>
          <w:bCs/>
          <w:highlight w:val="none"/>
        </w:rPr>
        <w:t>1标包样品评审细则:森林灭火防护头盔</w:t>
      </w:r>
    </w:p>
    <w:tbl>
      <w:tblPr>
        <w:tblStyle w:val="2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1362"/>
        <w:gridCol w:w="773"/>
        <w:gridCol w:w="3658"/>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tcPr>
          <w:p>
            <w:pPr>
              <w:spacing w:after="120"/>
              <w:rPr>
                <w:rFonts w:ascii="Calibri" w:hAnsi="Calibri" w:eastAsia="宋体" w:cs="Times New Roman"/>
                <w:b/>
                <w:bCs/>
                <w:highlight w:val="none"/>
              </w:rPr>
            </w:pPr>
            <w:r>
              <w:rPr>
                <w:rFonts w:hint="eastAsia" w:ascii="Calibri" w:hAnsi="Calibri" w:eastAsia="宋体" w:cs="Times New Roman"/>
                <w:b/>
                <w:bCs/>
                <w:highlight w:val="none"/>
              </w:rPr>
              <w:t>序号</w:t>
            </w:r>
          </w:p>
        </w:tc>
        <w:tc>
          <w:tcPr>
            <w:tcW w:w="1362"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评审因素</w:t>
            </w:r>
          </w:p>
        </w:tc>
        <w:tc>
          <w:tcPr>
            <w:tcW w:w="773"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分值</w:t>
            </w:r>
          </w:p>
        </w:tc>
        <w:tc>
          <w:tcPr>
            <w:tcW w:w="3658"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评分标注说明</w:t>
            </w:r>
          </w:p>
        </w:tc>
        <w:tc>
          <w:tcPr>
            <w:tcW w:w="2101"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产品外观</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2</w:t>
            </w:r>
          </w:p>
        </w:tc>
        <w:tc>
          <w:tcPr>
            <w:tcW w:w="3658" w:type="dxa"/>
            <w:vAlign w:val="center"/>
          </w:tcPr>
          <w:p>
            <w:pPr>
              <w:spacing w:after="120"/>
              <w:rPr>
                <w:rFonts w:ascii="Calibri" w:hAnsi="Calibri" w:eastAsia="宋体" w:cs="Times New Roman"/>
                <w:highlight w:val="none"/>
              </w:rPr>
            </w:pPr>
            <w:r>
              <w:rPr>
                <w:rFonts w:ascii="Calibri" w:hAnsi="Calibri" w:eastAsia="宋体" w:cs="Times New Roman"/>
                <w:highlight w:val="none"/>
              </w:rPr>
              <w:t>盔体热压成型后各部位壁厚均匀、圆滑过渡，无明显凹凸不平，无鼓包</w:t>
            </w:r>
            <w:r>
              <w:rPr>
                <w:rFonts w:hint="eastAsia" w:ascii="Calibri" w:hAnsi="Calibri" w:eastAsia="宋体" w:cs="Times New Roman"/>
                <w:highlight w:val="none"/>
              </w:rPr>
              <w:t xml:space="preserve">。 </w:t>
            </w:r>
          </w:p>
        </w:tc>
        <w:tc>
          <w:tcPr>
            <w:tcW w:w="2101"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Cs/>
                <w:kern w:val="0"/>
                <w:szCs w:val="21"/>
                <w:highlight w:val="none"/>
                <w:lang w:bidi="ar"/>
              </w:rPr>
              <w:t>完全满足得2分，每有一项（处）不满足或无法达到要求扣0.4分，分值扣完为止。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Calibri" w:hAnsi="Calibri" w:eastAsia="宋体" w:cs="Times New Roman"/>
                <w:highlight w:val="none"/>
              </w:rPr>
            </w:pPr>
            <w:r>
              <w:rPr>
                <w:rFonts w:ascii="Calibri" w:hAnsi="Calibri" w:eastAsia="宋体" w:cs="Times New Roman"/>
                <w:highlight w:val="none"/>
              </w:rPr>
              <w:t>盔体所有边缘及孔洞应尺寸统一、打磨光滑</w:t>
            </w:r>
            <w:r>
              <w:rPr>
                <w:rFonts w:hint="eastAsia" w:ascii="Calibri" w:hAnsi="Calibri" w:eastAsia="宋体" w:cs="Times New Roman"/>
                <w:highlight w:val="none"/>
              </w:rPr>
              <w:t>、无毛刺 。</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spacing w:after="120"/>
              <w:rPr>
                <w:rFonts w:ascii="Calibri" w:hAnsi="Calibri" w:eastAsia="宋体" w:cs="Times New Roman"/>
                <w:highlight w:val="none"/>
              </w:rPr>
            </w:pPr>
            <w:r>
              <w:rPr>
                <w:rFonts w:ascii="Calibri" w:hAnsi="Calibri" w:eastAsia="宋体" w:cs="Times New Roman"/>
                <w:highlight w:val="none"/>
              </w:rPr>
              <w:t>涂装完成品表面平整光滑，涂层均匀，颜色一致，表面无砂粒杂质、无流漆、无气泡、无脱皮、无剥落等痕迹</w:t>
            </w:r>
            <w:r>
              <w:rPr>
                <w:rFonts w:hint="eastAsia" w:ascii="Calibri" w:hAnsi="Calibri" w:eastAsia="宋体" w:cs="Times New Roman"/>
                <w:highlight w:val="none"/>
              </w:rPr>
              <w:t>。</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restart"/>
          </w:tcPr>
          <w:p>
            <w:pPr>
              <w:spacing w:after="120"/>
              <w:rPr>
                <w:rFonts w:ascii="Calibri" w:hAnsi="Calibri" w:eastAsia="宋体" w:cs="Times New Roman"/>
                <w:highlight w:val="none"/>
              </w:rPr>
            </w:pPr>
          </w:p>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spacing w:after="120"/>
              <w:rPr>
                <w:rFonts w:ascii="Calibri" w:hAnsi="Calibri" w:eastAsia="宋体" w:cs="Times New Roman"/>
                <w:highlight w:val="none"/>
              </w:rPr>
            </w:pPr>
            <w:r>
              <w:rPr>
                <w:rFonts w:ascii="Calibri" w:hAnsi="Calibri" w:eastAsia="宋体" w:cs="Times New Roman"/>
                <w:highlight w:val="none"/>
              </w:rPr>
              <w:t>舒适衬垫与缓冲层之间的魔术贴连接应可靠</w:t>
            </w:r>
            <w:r>
              <w:rPr>
                <w:rFonts w:hint="eastAsia" w:ascii="Calibri" w:hAnsi="Calibri" w:eastAsia="宋体" w:cs="Times New Roman"/>
                <w:highlight w:val="none"/>
              </w:rPr>
              <w:t>。</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spacing w:after="120"/>
              <w:rPr>
                <w:rFonts w:ascii="Calibri" w:hAnsi="Calibri" w:eastAsia="宋体" w:cs="Times New Roman"/>
                <w:highlight w:val="none"/>
              </w:rPr>
            </w:pPr>
            <w:r>
              <w:rPr>
                <w:rFonts w:ascii="Calibri" w:hAnsi="Calibri" w:eastAsia="宋体" w:cs="Times New Roman"/>
                <w:highlight w:val="none"/>
              </w:rPr>
              <w:t>织带缝制部位应规整，缝制牢固，不得有开线，断线等缺陷</w:t>
            </w:r>
            <w:r>
              <w:rPr>
                <w:rFonts w:hint="eastAsia" w:ascii="Calibri" w:hAnsi="Calibri" w:eastAsia="宋体" w:cs="Times New Roman"/>
                <w:highlight w:val="none"/>
              </w:rPr>
              <w:t xml:space="preserve"> 。</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2</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整体结构</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w:t>
            </w:r>
          </w:p>
        </w:tc>
        <w:tc>
          <w:tcPr>
            <w:tcW w:w="3658" w:type="dxa"/>
            <w:vAlign w:val="center"/>
          </w:tcPr>
          <w:p>
            <w:pPr>
              <w:widowControl/>
              <w:snapToGrid w:val="0"/>
              <w:spacing w:line="360" w:lineRule="auto"/>
              <w:rPr>
                <w:rFonts w:ascii="Calibri" w:hAnsi="Calibri" w:eastAsia="宋体" w:cs="Times New Roman"/>
                <w:highlight w:val="none"/>
              </w:rPr>
            </w:pPr>
            <w:r>
              <w:rPr>
                <w:rFonts w:hint="eastAsia" w:ascii="宋体" w:hAnsi="宋体" w:eastAsia="宋体" w:cs="宋体"/>
                <w:szCs w:val="21"/>
                <w:highlight w:val="none"/>
              </w:rPr>
              <w:t>后部锁紧装置有可调松紧的调节装置。</w:t>
            </w:r>
          </w:p>
        </w:tc>
        <w:tc>
          <w:tcPr>
            <w:tcW w:w="2101"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Cs/>
                <w:kern w:val="0"/>
                <w:szCs w:val="21"/>
                <w:highlight w:val="none"/>
                <w:lang w:bidi="ar"/>
              </w:rPr>
              <w:t>完全满足得1分，每有一项（处）不满足或无法达到要求扣0.5分，分值扣完为止。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Calibri" w:hAnsi="Calibri" w:eastAsia="宋体" w:cs="Times New Roman"/>
                <w:highlight w:val="none"/>
              </w:rPr>
            </w:pPr>
            <w:r>
              <w:rPr>
                <w:rFonts w:hint="eastAsia" w:ascii="宋体" w:hAnsi="宋体" w:eastAsia="宋体" w:cs="宋体"/>
                <w:szCs w:val="21"/>
                <w:highlight w:val="none"/>
              </w:rPr>
              <w:t>下颌带、锁紧装置组件完整，紧急脱扣应扣解方便，下颌带长度可调节。</w:t>
            </w:r>
          </w:p>
        </w:tc>
        <w:tc>
          <w:tcPr>
            <w:tcW w:w="2101" w:type="dxa"/>
            <w:vMerge w:val="continue"/>
          </w:tcPr>
          <w:p>
            <w:pPr>
              <w:spacing w:after="120"/>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3</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 xml:space="preserve">功能性  </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w:t>
            </w:r>
          </w:p>
        </w:tc>
        <w:tc>
          <w:tcPr>
            <w:tcW w:w="3658" w:type="dxa"/>
            <w:vAlign w:val="center"/>
          </w:tcPr>
          <w:p>
            <w:pPr>
              <w:widowControl/>
              <w:snapToGrid w:val="0"/>
              <w:spacing w:line="360" w:lineRule="auto"/>
              <w:ind w:left="210" w:hanging="210" w:hangingChars="100"/>
              <w:rPr>
                <w:rFonts w:ascii="Calibri" w:hAnsi="Calibri" w:eastAsia="宋体" w:cs="Times New Roman"/>
                <w:highlight w:val="none"/>
              </w:rPr>
            </w:pPr>
            <w:r>
              <w:rPr>
                <w:rFonts w:hint="eastAsia" w:ascii="宋体" w:hAnsi="宋体" w:eastAsia="宋体" w:cs="宋体"/>
                <w:szCs w:val="21"/>
                <w:highlight w:val="none"/>
              </w:rPr>
              <w:t xml:space="preserve">  </w:t>
            </w:r>
            <w:r>
              <w:rPr>
                <w:rFonts w:hint="eastAsia" w:ascii="宋体" w:hAnsi="宋体" w:eastAsia="宋体" w:cs="宋体"/>
                <w:bCs/>
                <w:kern w:val="0"/>
                <w:szCs w:val="21"/>
                <w:highlight w:val="none"/>
                <w:lang w:bidi="ar"/>
              </w:rPr>
              <w:t>样品功能满足采购要求、配件齐全。</w:t>
            </w:r>
          </w:p>
        </w:tc>
        <w:tc>
          <w:tcPr>
            <w:tcW w:w="2101" w:type="dxa"/>
            <w:vMerge w:val="restart"/>
          </w:tcPr>
          <w:p>
            <w:pPr>
              <w:spacing w:after="120"/>
              <w:rPr>
                <w:rFonts w:ascii="Calibri" w:hAnsi="Calibri" w:eastAsia="宋体" w:cs="Times New Roman"/>
                <w:highlight w:val="none"/>
              </w:rPr>
            </w:pPr>
            <w:r>
              <w:rPr>
                <w:rFonts w:hint="eastAsia" w:ascii="宋体" w:hAnsi="宋体" w:eastAsia="宋体" w:cs="宋体"/>
                <w:bCs/>
                <w:kern w:val="0"/>
                <w:szCs w:val="21"/>
                <w:highlight w:val="none"/>
                <w:lang w:bidi="ar"/>
              </w:rPr>
              <w:t>完全满足得1分，每有一项（处）不满足或无法达到要求扣0.5分，分值扣完为止。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头盔佩戴舒适、稳定、包裹性好。</w:t>
            </w:r>
          </w:p>
        </w:tc>
        <w:tc>
          <w:tcPr>
            <w:tcW w:w="2101" w:type="dxa"/>
            <w:vMerge w:val="continue"/>
          </w:tcPr>
          <w:p>
            <w:pPr>
              <w:spacing w:after="120"/>
              <w:rPr>
                <w:rFonts w:ascii="宋体" w:hAnsi="宋体" w:eastAsia="宋体" w:cs="宋体"/>
                <w:bCs/>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90" w:type="dxa"/>
            <w:gridSpan w:val="2"/>
            <w:vAlign w:val="center"/>
          </w:tcPr>
          <w:p>
            <w:pPr>
              <w:spacing w:after="120"/>
              <w:jc w:val="center"/>
              <w:rPr>
                <w:rFonts w:ascii="宋体" w:hAnsi="宋体" w:eastAsia="宋体" w:cs="宋体"/>
                <w:b/>
                <w:kern w:val="0"/>
                <w:szCs w:val="21"/>
                <w:highlight w:val="none"/>
                <w:lang w:bidi="ar"/>
              </w:rPr>
            </w:pPr>
            <w:r>
              <w:rPr>
                <w:rFonts w:hint="eastAsia" w:ascii="宋体" w:hAnsi="宋体" w:eastAsia="宋体" w:cs="宋体"/>
                <w:b/>
                <w:kern w:val="0"/>
                <w:szCs w:val="21"/>
                <w:highlight w:val="none"/>
                <w:lang w:bidi="ar"/>
              </w:rPr>
              <w:t>分值合计</w:t>
            </w:r>
          </w:p>
        </w:tc>
        <w:tc>
          <w:tcPr>
            <w:tcW w:w="773" w:type="dxa"/>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4</w:t>
            </w:r>
          </w:p>
        </w:tc>
        <w:tc>
          <w:tcPr>
            <w:tcW w:w="3658" w:type="dxa"/>
            <w:vAlign w:val="center"/>
          </w:tcPr>
          <w:p>
            <w:pPr>
              <w:widowControl/>
              <w:snapToGrid w:val="0"/>
              <w:spacing w:line="360" w:lineRule="auto"/>
              <w:jc w:val="center"/>
              <w:rPr>
                <w:rFonts w:ascii="宋体" w:hAnsi="宋体" w:eastAsia="宋体" w:cs="宋体"/>
                <w:szCs w:val="21"/>
                <w:highlight w:val="none"/>
              </w:rPr>
            </w:pPr>
          </w:p>
        </w:tc>
        <w:tc>
          <w:tcPr>
            <w:tcW w:w="2101" w:type="dxa"/>
            <w:vAlign w:val="center"/>
          </w:tcPr>
          <w:p>
            <w:pPr>
              <w:spacing w:after="120"/>
              <w:jc w:val="center"/>
              <w:rPr>
                <w:rFonts w:ascii="宋体" w:hAnsi="宋体" w:eastAsia="宋体" w:cs="宋体"/>
                <w:bCs/>
                <w:kern w:val="0"/>
                <w:szCs w:val="21"/>
                <w:highlight w:val="none"/>
                <w:lang w:bidi="ar"/>
              </w:rPr>
            </w:pPr>
          </w:p>
        </w:tc>
      </w:tr>
    </w:tbl>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r>
        <w:rPr>
          <w:rFonts w:hint="eastAsia" w:ascii="Calibri" w:hAnsi="Calibri" w:eastAsia="宋体" w:cs="Times New Roman"/>
          <w:b/>
          <w:bCs/>
          <w:highlight w:val="none"/>
        </w:rPr>
        <w:t>1标包样品评审细则:抢险救援头盔</w:t>
      </w:r>
    </w:p>
    <w:p>
      <w:pPr>
        <w:rPr>
          <w:rFonts w:ascii="Calibri" w:hAnsi="Calibri" w:eastAsia="宋体" w:cs="Times New Roman"/>
          <w:b/>
          <w:bCs/>
          <w:highlight w:val="none"/>
        </w:rPr>
      </w:pPr>
    </w:p>
    <w:tbl>
      <w:tblPr>
        <w:tblStyle w:val="2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1362"/>
        <w:gridCol w:w="773"/>
        <w:gridCol w:w="3658"/>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tcPr>
          <w:p>
            <w:pPr>
              <w:spacing w:after="120"/>
              <w:rPr>
                <w:rFonts w:ascii="Calibri" w:hAnsi="Calibri" w:eastAsia="宋体" w:cs="Times New Roman"/>
                <w:b/>
                <w:bCs/>
                <w:highlight w:val="none"/>
              </w:rPr>
            </w:pPr>
            <w:r>
              <w:rPr>
                <w:rFonts w:hint="eastAsia" w:ascii="Calibri" w:hAnsi="Calibri" w:eastAsia="宋体" w:cs="Times New Roman"/>
                <w:b/>
                <w:bCs/>
                <w:highlight w:val="none"/>
              </w:rPr>
              <w:t>序号</w:t>
            </w:r>
          </w:p>
        </w:tc>
        <w:tc>
          <w:tcPr>
            <w:tcW w:w="1362"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评审因素</w:t>
            </w:r>
          </w:p>
        </w:tc>
        <w:tc>
          <w:tcPr>
            <w:tcW w:w="773"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分值</w:t>
            </w:r>
          </w:p>
        </w:tc>
        <w:tc>
          <w:tcPr>
            <w:tcW w:w="3658"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评分标注说明</w:t>
            </w:r>
          </w:p>
        </w:tc>
        <w:tc>
          <w:tcPr>
            <w:tcW w:w="2101"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产品外观</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2</w:t>
            </w:r>
          </w:p>
        </w:tc>
        <w:tc>
          <w:tcPr>
            <w:tcW w:w="3658" w:type="dxa"/>
            <w:vAlign w:val="center"/>
          </w:tcPr>
          <w:p>
            <w:pPr>
              <w:spacing w:after="120"/>
              <w:rPr>
                <w:rFonts w:ascii="Calibri" w:hAnsi="Calibri" w:eastAsia="宋体" w:cs="Times New Roman"/>
                <w:highlight w:val="none"/>
              </w:rPr>
            </w:pPr>
            <w:r>
              <w:rPr>
                <w:rFonts w:ascii="Calibri" w:hAnsi="Calibri" w:eastAsia="宋体" w:cs="Times New Roman"/>
                <w:highlight w:val="none"/>
              </w:rPr>
              <w:t>盔体热压成型后各部位壁厚均匀、圆滑过渡，无明显凹凸不平，无鼓包</w:t>
            </w:r>
            <w:r>
              <w:rPr>
                <w:rFonts w:hint="eastAsia" w:ascii="Calibri" w:hAnsi="Calibri" w:eastAsia="宋体" w:cs="Times New Roman"/>
                <w:highlight w:val="none"/>
              </w:rPr>
              <w:t xml:space="preserve"> 。</w:t>
            </w:r>
          </w:p>
        </w:tc>
        <w:tc>
          <w:tcPr>
            <w:tcW w:w="2101"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Cs/>
                <w:kern w:val="0"/>
                <w:szCs w:val="21"/>
                <w:highlight w:val="none"/>
                <w:lang w:bidi="ar"/>
              </w:rPr>
              <w:t>完全满足得2分，每有一项（处）不满足或无法达到要求扣0.4分，分值扣完为止。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Calibri" w:hAnsi="Calibri" w:eastAsia="宋体" w:cs="Times New Roman"/>
                <w:highlight w:val="none"/>
              </w:rPr>
            </w:pPr>
            <w:r>
              <w:rPr>
                <w:rFonts w:ascii="Calibri" w:hAnsi="Calibri" w:eastAsia="宋体" w:cs="Times New Roman"/>
                <w:highlight w:val="none"/>
              </w:rPr>
              <w:t>盔体所有边缘及孔洞应尺寸统一、打磨光滑</w:t>
            </w:r>
            <w:r>
              <w:rPr>
                <w:rFonts w:hint="eastAsia" w:ascii="Calibri" w:hAnsi="Calibri" w:eastAsia="宋体" w:cs="Times New Roman"/>
                <w:highlight w:val="none"/>
              </w:rPr>
              <w:t>、无毛刺 。</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spacing w:after="120"/>
              <w:rPr>
                <w:rFonts w:ascii="Calibri" w:hAnsi="Calibri" w:eastAsia="宋体" w:cs="Times New Roman"/>
                <w:highlight w:val="none"/>
              </w:rPr>
            </w:pPr>
            <w:r>
              <w:rPr>
                <w:rFonts w:ascii="Calibri" w:hAnsi="Calibri" w:eastAsia="宋体" w:cs="Times New Roman"/>
                <w:highlight w:val="none"/>
              </w:rPr>
              <w:t>涂装完成品表面平整光滑，涂层均匀，颜色一致，表面无砂粒杂质、无流漆、无气泡、无脱皮、无剥落等痕迹</w:t>
            </w:r>
            <w:r>
              <w:rPr>
                <w:rFonts w:hint="eastAsia" w:ascii="Calibri" w:hAnsi="Calibri" w:eastAsia="宋体" w:cs="Times New Roman"/>
                <w:highlight w:val="none"/>
              </w:rPr>
              <w:t>。</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restart"/>
          </w:tcPr>
          <w:p>
            <w:pPr>
              <w:spacing w:after="120"/>
              <w:rPr>
                <w:rFonts w:ascii="Calibri" w:hAnsi="Calibri" w:eastAsia="宋体" w:cs="Times New Roman"/>
                <w:highlight w:val="none"/>
              </w:rPr>
            </w:pPr>
          </w:p>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spacing w:after="120"/>
              <w:rPr>
                <w:rFonts w:ascii="Calibri" w:hAnsi="Calibri" w:eastAsia="宋体" w:cs="Times New Roman"/>
                <w:highlight w:val="none"/>
              </w:rPr>
            </w:pPr>
            <w:r>
              <w:rPr>
                <w:rFonts w:ascii="Calibri" w:hAnsi="Calibri" w:eastAsia="宋体" w:cs="Times New Roman"/>
                <w:highlight w:val="none"/>
              </w:rPr>
              <w:t>舒适衬垫与缓冲层之间的魔术贴连接应可靠</w:t>
            </w:r>
            <w:r>
              <w:rPr>
                <w:rFonts w:hint="eastAsia" w:ascii="Calibri" w:hAnsi="Calibri" w:eastAsia="宋体" w:cs="Times New Roman"/>
                <w:highlight w:val="none"/>
              </w:rPr>
              <w:t>。</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spacing w:after="120"/>
              <w:rPr>
                <w:rFonts w:ascii="Calibri" w:hAnsi="Calibri" w:eastAsia="宋体" w:cs="Times New Roman"/>
                <w:highlight w:val="none"/>
              </w:rPr>
            </w:pPr>
            <w:r>
              <w:rPr>
                <w:rFonts w:ascii="Calibri" w:hAnsi="Calibri" w:eastAsia="宋体" w:cs="Times New Roman"/>
                <w:highlight w:val="none"/>
              </w:rPr>
              <w:t>织带缝制部位应规整，缝制牢固，不得有开线，断线等缺陷</w:t>
            </w:r>
            <w:r>
              <w:rPr>
                <w:rFonts w:hint="eastAsia" w:ascii="Calibri" w:hAnsi="Calibri" w:eastAsia="宋体" w:cs="Times New Roman"/>
                <w:highlight w:val="none"/>
              </w:rPr>
              <w:t xml:space="preserve"> 。</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2</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整体结构</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w:t>
            </w:r>
          </w:p>
        </w:tc>
        <w:tc>
          <w:tcPr>
            <w:tcW w:w="3658" w:type="dxa"/>
            <w:vAlign w:val="center"/>
          </w:tcPr>
          <w:p>
            <w:pPr>
              <w:widowControl/>
              <w:snapToGrid w:val="0"/>
              <w:spacing w:line="360" w:lineRule="auto"/>
              <w:rPr>
                <w:rFonts w:ascii="Calibri" w:hAnsi="Calibri" w:eastAsia="宋体" w:cs="Times New Roman"/>
                <w:highlight w:val="none"/>
              </w:rPr>
            </w:pPr>
            <w:r>
              <w:rPr>
                <w:rFonts w:hint="eastAsia" w:ascii="宋体" w:hAnsi="宋体" w:eastAsia="宋体" w:cs="宋体"/>
                <w:szCs w:val="21"/>
                <w:highlight w:val="none"/>
              </w:rPr>
              <w:t>后部锁紧装置有可调松紧的调节装置。</w:t>
            </w:r>
          </w:p>
        </w:tc>
        <w:tc>
          <w:tcPr>
            <w:tcW w:w="2101"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Cs/>
                <w:kern w:val="0"/>
                <w:szCs w:val="21"/>
                <w:highlight w:val="none"/>
                <w:lang w:bidi="ar"/>
              </w:rPr>
              <w:t>完全满足得1分，每有一项（处）不满足或无法达到要求扣0.5分，分值扣完为止。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Calibri" w:hAnsi="Calibri" w:eastAsia="宋体" w:cs="Times New Roman"/>
                <w:highlight w:val="none"/>
              </w:rPr>
            </w:pPr>
            <w:r>
              <w:rPr>
                <w:rFonts w:hint="eastAsia" w:ascii="宋体" w:hAnsi="宋体" w:eastAsia="宋体" w:cs="宋体"/>
                <w:szCs w:val="21"/>
                <w:highlight w:val="none"/>
              </w:rPr>
              <w:t>下颌带、锁紧装置组件完整，紧急脱扣应扣解方便，下颌带长度可调节。</w:t>
            </w:r>
          </w:p>
        </w:tc>
        <w:tc>
          <w:tcPr>
            <w:tcW w:w="2101" w:type="dxa"/>
            <w:vMerge w:val="continue"/>
          </w:tcPr>
          <w:p>
            <w:pPr>
              <w:spacing w:after="120"/>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3</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 xml:space="preserve">功能性  </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w:t>
            </w:r>
          </w:p>
        </w:tc>
        <w:tc>
          <w:tcPr>
            <w:tcW w:w="3658" w:type="dxa"/>
            <w:vAlign w:val="center"/>
          </w:tcPr>
          <w:p>
            <w:pPr>
              <w:rPr>
                <w:rFonts w:ascii="Calibri" w:hAnsi="Calibri" w:eastAsia="宋体" w:cs="Times New Roman"/>
                <w:highlight w:val="none"/>
              </w:rPr>
            </w:pPr>
            <w:r>
              <w:rPr>
                <w:rFonts w:hint="eastAsia" w:ascii="宋体" w:hAnsi="宋体" w:eastAsia="宋体" w:cs="宋体"/>
                <w:szCs w:val="21"/>
                <w:highlight w:val="none"/>
              </w:rPr>
              <w:t xml:space="preserve">  </w:t>
            </w:r>
            <w:r>
              <w:rPr>
                <w:rFonts w:hint="eastAsia" w:ascii="宋体" w:hAnsi="宋体" w:eastAsia="宋体" w:cs="宋体"/>
                <w:bCs/>
                <w:kern w:val="0"/>
                <w:szCs w:val="21"/>
                <w:highlight w:val="none"/>
                <w:lang w:bidi="ar"/>
              </w:rPr>
              <w:t>样品功能满足采购要求、配件齐全。</w:t>
            </w:r>
          </w:p>
        </w:tc>
        <w:tc>
          <w:tcPr>
            <w:tcW w:w="2101" w:type="dxa"/>
            <w:vMerge w:val="restart"/>
          </w:tcPr>
          <w:p>
            <w:pPr>
              <w:spacing w:after="120"/>
              <w:rPr>
                <w:rFonts w:ascii="Calibri" w:hAnsi="Calibri" w:eastAsia="宋体" w:cs="Times New Roman"/>
                <w:highlight w:val="none"/>
              </w:rPr>
            </w:pPr>
            <w:r>
              <w:rPr>
                <w:rFonts w:hint="eastAsia" w:ascii="宋体" w:hAnsi="宋体" w:eastAsia="宋体" w:cs="宋体"/>
                <w:bCs/>
                <w:kern w:val="0"/>
                <w:szCs w:val="21"/>
                <w:highlight w:val="none"/>
                <w:lang w:bidi="ar"/>
              </w:rPr>
              <w:t>完全满足得1分，每有一项（处）不满足或无法达到要求扣0.5分，分值扣完为止。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头盔佩戴舒适、稳定、包裹性好。</w:t>
            </w:r>
          </w:p>
        </w:tc>
        <w:tc>
          <w:tcPr>
            <w:tcW w:w="2101" w:type="dxa"/>
            <w:vMerge w:val="continue"/>
          </w:tcPr>
          <w:p>
            <w:pPr>
              <w:spacing w:after="120"/>
              <w:rPr>
                <w:rFonts w:ascii="宋体" w:hAnsi="宋体" w:eastAsia="宋体" w:cs="宋体"/>
                <w:bCs/>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90" w:type="dxa"/>
            <w:gridSpan w:val="2"/>
            <w:vAlign w:val="center"/>
          </w:tcPr>
          <w:p>
            <w:pPr>
              <w:spacing w:after="120"/>
              <w:jc w:val="center"/>
              <w:rPr>
                <w:rFonts w:ascii="宋体" w:hAnsi="宋体" w:eastAsia="宋体" w:cs="宋体"/>
                <w:b/>
                <w:kern w:val="0"/>
                <w:szCs w:val="21"/>
                <w:highlight w:val="none"/>
                <w:lang w:bidi="ar"/>
              </w:rPr>
            </w:pPr>
            <w:r>
              <w:rPr>
                <w:rFonts w:hint="eastAsia" w:ascii="宋体" w:hAnsi="宋体" w:eastAsia="宋体" w:cs="宋体"/>
                <w:b/>
                <w:kern w:val="0"/>
                <w:szCs w:val="21"/>
                <w:highlight w:val="none"/>
                <w:lang w:bidi="ar"/>
              </w:rPr>
              <w:t>分值合计</w:t>
            </w:r>
          </w:p>
        </w:tc>
        <w:tc>
          <w:tcPr>
            <w:tcW w:w="773" w:type="dxa"/>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4</w:t>
            </w:r>
          </w:p>
        </w:tc>
        <w:tc>
          <w:tcPr>
            <w:tcW w:w="3658" w:type="dxa"/>
            <w:vAlign w:val="center"/>
          </w:tcPr>
          <w:p>
            <w:pPr>
              <w:widowControl/>
              <w:snapToGrid w:val="0"/>
              <w:spacing w:line="360" w:lineRule="auto"/>
              <w:jc w:val="center"/>
              <w:rPr>
                <w:rFonts w:ascii="宋体" w:hAnsi="宋体" w:eastAsia="宋体" w:cs="宋体"/>
                <w:szCs w:val="21"/>
                <w:highlight w:val="none"/>
              </w:rPr>
            </w:pPr>
          </w:p>
        </w:tc>
        <w:tc>
          <w:tcPr>
            <w:tcW w:w="2101" w:type="dxa"/>
            <w:vAlign w:val="center"/>
          </w:tcPr>
          <w:p>
            <w:pPr>
              <w:spacing w:after="120"/>
              <w:jc w:val="center"/>
              <w:rPr>
                <w:rFonts w:ascii="宋体" w:hAnsi="宋体" w:eastAsia="宋体" w:cs="宋体"/>
                <w:bCs/>
                <w:kern w:val="0"/>
                <w:szCs w:val="21"/>
                <w:highlight w:val="none"/>
                <w:lang w:bidi="ar"/>
              </w:rPr>
            </w:pPr>
          </w:p>
        </w:tc>
      </w:tr>
    </w:tbl>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p>
    <w:p>
      <w:pPr>
        <w:rPr>
          <w:rFonts w:ascii="Calibri" w:hAnsi="Calibri" w:eastAsia="宋体" w:cs="Times New Roman"/>
          <w:b/>
          <w:bCs/>
          <w:highlight w:val="none"/>
        </w:rPr>
      </w:pPr>
      <w:r>
        <w:rPr>
          <w:rFonts w:hint="eastAsia" w:ascii="Calibri" w:hAnsi="Calibri" w:eastAsia="宋体" w:cs="Times New Roman"/>
          <w:b/>
          <w:bCs/>
          <w:highlight w:val="none"/>
        </w:rPr>
        <w:t>1标包样品评审细则:水域救援头盔</w:t>
      </w:r>
    </w:p>
    <w:tbl>
      <w:tblPr>
        <w:tblStyle w:val="2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1362"/>
        <w:gridCol w:w="773"/>
        <w:gridCol w:w="3658"/>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tcPr>
          <w:p>
            <w:pPr>
              <w:spacing w:after="120"/>
              <w:rPr>
                <w:rFonts w:ascii="Calibri" w:hAnsi="Calibri" w:eastAsia="宋体" w:cs="Times New Roman"/>
                <w:b/>
                <w:bCs/>
                <w:highlight w:val="none"/>
              </w:rPr>
            </w:pPr>
            <w:r>
              <w:rPr>
                <w:rFonts w:hint="eastAsia" w:ascii="Calibri" w:hAnsi="Calibri" w:eastAsia="宋体" w:cs="Times New Roman"/>
                <w:b/>
                <w:bCs/>
                <w:highlight w:val="none"/>
              </w:rPr>
              <w:t>序号</w:t>
            </w:r>
          </w:p>
        </w:tc>
        <w:tc>
          <w:tcPr>
            <w:tcW w:w="1362"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评审因素</w:t>
            </w:r>
          </w:p>
        </w:tc>
        <w:tc>
          <w:tcPr>
            <w:tcW w:w="773"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分值</w:t>
            </w:r>
          </w:p>
        </w:tc>
        <w:tc>
          <w:tcPr>
            <w:tcW w:w="3658"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评分标注说明</w:t>
            </w:r>
          </w:p>
        </w:tc>
        <w:tc>
          <w:tcPr>
            <w:tcW w:w="2101"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产品外观</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2</w:t>
            </w:r>
          </w:p>
        </w:tc>
        <w:tc>
          <w:tcPr>
            <w:tcW w:w="3658" w:type="dxa"/>
            <w:vAlign w:val="center"/>
          </w:tcPr>
          <w:p>
            <w:pPr>
              <w:spacing w:after="120"/>
              <w:rPr>
                <w:rFonts w:ascii="Calibri" w:hAnsi="Calibri" w:eastAsia="宋体" w:cs="Times New Roman"/>
                <w:highlight w:val="none"/>
              </w:rPr>
            </w:pPr>
            <w:r>
              <w:rPr>
                <w:rFonts w:ascii="Calibri" w:hAnsi="Calibri" w:eastAsia="宋体" w:cs="Times New Roman"/>
                <w:highlight w:val="none"/>
              </w:rPr>
              <w:t>盔体热压成型后各部位壁厚均匀、圆滑过渡，无明显凹凸不平，无鼓包</w:t>
            </w:r>
            <w:r>
              <w:rPr>
                <w:rFonts w:hint="eastAsia" w:ascii="Calibri" w:hAnsi="Calibri" w:eastAsia="宋体" w:cs="Times New Roman"/>
                <w:highlight w:val="none"/>
              </w:rPr>
              <w:t xml:space="preserve"> 。</w:t>
            </w:r>
          </w:p>
        </w:tc>
        <w:tc>
          <w:tcPr>
            <w:tcW w:w="2101"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Cs/>
                <w:kern w:val="0"/>
                <w:szCs w:val="21"/>
                <w:highlight w:val="none"/>
                <w:lang w:bidi="ar"/>
              </w:rPr>
              <w:t>完全满足得2分，每有一项（处）不满足或无法达到要求扣0.4分，分值扣完为止。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Calibri" w:hAnsi="Calibri" w:eastAsia="宋体" w:cs="Times New Roman"/>
                <w:highlight w:val="none"/>
              </w:rPr>
            </w:pPr>
            <w:r>
              <w:rPr>
                <w:rFonts w:ascii="Calibri" w:hAnsi="Calibri" w:eastAsia="宋体" w:cs="Times New Roman"/>
                <w:highlight w:val="none"/>
              </w:rPr>
              <w:t>盔体所有边缘及孔洞应尺寸统一、打磨光滑</w:t>
            </w:r>
            <w:r>
              <w:rPr>
                <w:rFonts w:hint="eastAsia" w:ascii="Calibri" w:hAnsi="Calibri" w:eastAsia="宋体" w:cs="Times New Roman"/>
                <w:highlight w:val="none"/>
              </w:rPr>
              <w:t>、无毛刺 。</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spacing w:after="120"/>
              <w:rPr>
                <w:rFonts w:ascii="Calibri" w:hAnsi="Calibri" w:eastAsia="宋体" w:cs="Times New Roman"/>
                <w:highlight w:val="none"/>
              </w:rPr>
            </w:pPr>
            <w:r>
              <w:rPr>
                <w:rFonts w:ascii="Calibri" w:hAnsi="Calibri" w:eastAsia="宋体" w:cs="Times New Roman"/>
                <w:highlight w:val="none"/>
              </w:rPr>
              <w:t>涂装完成品表面平整光滑，涂层均匀，颜色一致，表面无砂粒杂质、无流漆、无气泡、无脱皮、无剥落等痕迹</w:t>
            </w:r>
            <w:r>
              <w:rPr>
                <w:rFonts w:hint="eastAsia" w:ascii="Calibri" w:hAnsi="Calibri" w:eastAsia="宋体" w:cs="Times New Roman"/>
                <w:highlight w:val="none"/>
              </w:rPr>
              <w:t>。</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restart"/>
          </w:tcPr>
          <w:p>
            <w:pPr>
              <w:spacing w:after="120"/>
              <w:rPr>
                <w:rFonts w:ascii="Calibri" w:hAnsi="Calibri" w:eastAsia="宋体" w:cs="Times New Roman"/>
                <w:highlight w:val="none"/>
              </w:rPr>
            </w:pPr>
          </w:p>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spacing w:after="120"/>
              <w:rPr>
                <w:rFonts w:ascii="Calibri" w:hAnsi="Calibri" w:eastAsia="宋体" w:cs="Times New Roman"/>
                <w:highlight w:val="none"/>
              </w:rPr>
            </w:pPr>
            <w:r>
              <w:rPr>
                <w:rFonts w:ascii="Calibri" w:hAnsi="Calibri" w:eastAsia="宋体" w:cs="Times New Roman"/>
                <w:highlight w:val="none"/>
              </w:rPr>
              <w:t>舒适衬垫与缓冲层之间的魔术贴连接应可靠</w:t>
            </w:r>
            <w:r>
              <w:rPr>
                <w:rFonts w:hint="eastAsia" w:ascii="Calibri" w:hAnsi="Calibri" w:eastAsia="宋体" w:cs="Times New Roman"/>
                <w:highlight w:val="none"/>
              </w:rPr>
              <w:t>。</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spacing w:after="120"/>
              <w:rPr>
                <w:rFonts w:ascii="Calibri" w:hAnsi="Calibri" w:eastAsia="宋体" w:cs="Times New Roman"/>
                <w:highlight w:val="none"/>
              </w:rPr>
            </w:pPr>
            <w:r>
              <w:rPr>
                <w:rFonts w:ascii="Calibri" w:hAnsi="Calibri" w:eastAsia="宋体" w:cs="Times New Roman"/>
                <w:highlight w:val="none"/>
              </w:rPr>
              <w:t>织带缝制部位应规整，缝制牢固，不得有开线，断线等缺陷</w:t>
            </w:r>
            <w:r>
              <w:rPr>
                <w:rFonts w:hint="eastAsia" w:ascii="Calibri" w:hAnsi="Calibri" w:eastAsia="宋体" w:cs="Times New Roman"/>
                <w:highlight w:val="none"/>
              </w:rPr>
              <w:t xml:space="preserve"> 。</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2</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整体结构</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w:t>
            </w:r>
          </w:p>
        </w:tc>
        <w:tc>
          <w:tcPr>
            <w:tcW w:w="3658" w:type="dxa"/>
            <w:vAlign w:val="center"/>
          </w:tcPr>
          <w:p>
            <w:pPr>
              <w:widowControl/>
              <w:snapToGrid w:val="0"/>
              <w:spacing w:line="360" w:lineRule="auto"/>
              <w:rPr>
                <w:rFonts w:ascii="Calibri" w:hAnsi="Calibri" w:eastAsia="宋体" w:cs="Times New Roman"/>
                <w:highlight w:val="none"/>
              </w:rPr>
            </w:pPr>
            <w:r>
              <w:rPr>
                <w:rFonts w:hint="eastAsia" w:ascii="宋体" w:hAnsi="宋体" w:eastAsia="宋体" w:cs="宋体"/>
                <w:szCs w:val="21"/>
                <w:highlight w:val="none"/>
              </w:rPr>
              <w:t>后部锁紧装置有可调松紧的调节装置。</w:t>
            </w:r>
          </w:p>
        </w:tc>
        <w:tc>
          <w:tcPr>
            <w:tcW w:w="2101"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Cs/>
                <w:kern w:val="0"/>
                <w:szCs w:val="21"/>
                <w:highlight w:val="none"/>
                <w:lang w:bidi="ar"/>
              </w:rPr>
              <w:t>完全满足得1分，每有一项（处）不满足或无法达到要求扣0.5分，分值扣完为止。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Calibri" w:hAnsi="Calibri" w:eastAsia="宋体" w:cs="Times New Roman"/>
                <w:highlight w:val="none"/>
              </w:rPr>
            </w:pPr>
            <w:r>
              <w:rPr>
                <w:rFonts w:hint="eastAsia" w:ascii="宋体" w:hAnsi="宋体" w:eastAsia="宋体" w:cs="宋体"/>
                <w:szCs w:val="21"/>
                <w:highlight w:val="none"/>
              </w:rPr>
              <w:t>下颌带、锁紧装置组件完整，紧急脱扣应扣解方便，下颌带长度可调节。</w:t>
            </w:r>
          </w:p>
        </w:tc>
        <w:tc>
          <w:tcPr>
            <w:tcW w:w="2101" w:type="dxa"/>
            <w:vMerge w:val="continue"/>
          </w:tcPr>
          <w:p>
            <w:pPr>
              <w:spacing w:after="120"/>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3</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 xml:space="preserve">功能性  </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w:t>
            </w:r>
          </w:p>
        </w:tc>
        <w:tc>
          <w:tcPr>
            <w:tcW w:w="3658" w:type="dxa"/>
            <w:vAlign w:val="center"/>
          </w:tcPr>
          <w:p>
            <w:pPr>
              <w:rPr>
                <w:rFonts w:ascii="Calibri" w:hAnsi="Calibri" w:eastAsia="宋体" w:cs="Times New Roman"/>
                <w:highlight w:val="none"/>
              </w:rPr>
            </w:pPr>
            <w:r>
              <w:rPr>
                <w:rFonts w:hint="eastAsia" w:ascii="宋体" w:hAnsi="宋体" w:eastAsia="宋体" w:cs="宋体"/>
                <w:szCs w:val="21"/>
                <w:highlight w:val="none"/>
              </w:rPr>
              <w:t xml:space="preserve">  </w:t>
            </w:r>
            <w:r>
              <w:rPr>
                <w:rFonts w:hint="eastAsia" w:ascii="宋体" w:hAnsi="宋体" w:eastAsia="宋体" w:cs="宋体"/>
                <w:bCs/>
                <w:kern w:val="0"/>
                <w:szCs w:val="21"/>
                <w:highlight w:val="none"/>
                <w:lang w:bidi="ar"/>
              </w:rPr>
              <w:t>样品功能满足采购要求、配件齐全。</w:t>
            </w:r>
          </w:p>
        </w:tc>
        <w:tc>
          <w:tcPr>
            <w:tcW w:w="2101" w:type="dxa"/>
            <w:vMerge w:val="restart"/>
          </w:tcPr>
          <w:p>
            <w:pPr>
              <w:spacing w:after="120"/>
              <w:rPr>
                <w:rFonts w:ascii="Calibri" w:hAnsi="Calibri" w:eastAsia="宋体" w:cs="Times New Roman"/>
                <w:highlight w:val="none"/>
              </w:rPr>
            </w:pPr>
            <w:r>
              <w:rPr>
                <w:rFonts w:hint="eastAsia" w:ascii="宋体" w:hAnsi="宋体" w:eastAsia="宋体" w:cs="宋体"/>
                <w:bCs/>
                <w:kern w:val="0"/>
                <w:szCs w:val="21"/>
                <w:highlight w:val="none"/>
                <w:lang w:bidi="ar"/>
              </w:rPr>
              <w:t>完全满足得1分，每有一项（处）不满足或无法达到要求扣0.5分，分值扣完为止。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头盔佩戴舒适、稳定、包裹性好。</w:t>
            </w:r>
          </w:p>
        </w:tc>
        <w:tc>
          <w:tcPr>
            <w:tcW w:w="2101" w:type="dxa"/>
            <w:vMerge w:val="continue"/>
          </w:tcPr>
          <w:p>
            <w:pPr>
              <w:spacing w:after="120"/>
              <w:rPr>
                <w:rFonts w:ascii="宋体" w:hAnsi="宋体" w:eastAsia="宋体" w:cs="宋体"/>
                <w:bCs/>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90" w:type="dxa"/>
            <w:gridSpan w:val="2"/>
            <w:vAlign w:val="center"/>
          </w:tcPr>
          <w:p>
            <w:pPr>
              <w:spacing w:after="120"/>
              <w:jc w:val="center"/>
              <w:rPr>
                <w:rFonts w:ascii="宋体" w:hAnsi="宋体" w:eastAsia="宋体" w:cs="宋体"/>
                <w:b/>
                <w:kern w:val="0"/>
                <w:szCs w:val="21"/>
                <w:highlight w:val="none"/>
                <w:lang w:bidi="ar"/>
              </w:rPr>
            </w:pPr>
            <w:r>
              <w:rPr>
                <w:rFonts w:hint="eastAsia" w:ascii="宋体" w:hAnsi="宋体" w:eastAsia="宋体" w:cs="宋体"/>
                <w:b/>
                <w:kern w:val="0"/>
                <w:szCs w:val="21"/>
                <w:highlight w:val="none"/>
                <w:lang w:bidi="ar"/>
              </w:rPr>
              <w:t>分值合计</w:t>
            </w:r>
          </w:p>
        </w:tc>
        <w:tc>
          <w:tcPr>
            <w:tcW w:w="773" w:type="dxa"/>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4</w:t>
            </w:r>
          </w:p>
        </w:tc>
        <w:tc>
          <w:tcPr>
            <w:tcW w:w="3658" w:type="dxa"/>
            <w:vAlign w:val="center"/>
          </w:tcPr>
          <w:p>
            <w:pPr>
              <w:widowControl/>
              <w:snapToGrid w:val="0"/>
              <w:spacing w:line="360" w:lineRule="auto"/>
              <w:jc w:val="center"/>
              <w:rPr>
                <w:rFonts w:ascii="宋体" w:hAnsi="宋体" w:eastAsia="宋体" w:cs="宋体"/>
                <w:szCs w:val="21"/>
                <w:highlight w:val="none"/>
              </w:rPr>
            </w:pPr>
          </w:p>
        </w:tc>
        <w:tc>
          <w:tcPr>
            <w:tcW w:w="2101" w:type="dxa"/>
            <w:vAlign w:val="center"/>
          </w:tcPr>
          <w:p>
            <w:pPr>
              <w:spacing w:after="120"/>
              <w:jc w:val="center"/>
              <w:rPr>
                <w:rFonts w:ascii="宋体" w:hAnsi="宋体" w:eastAsia="宋体" w:cs="宋体"/>
                <w:bCs/>
                <w:kern w:val="0"/>
                <w:szCs w:val="21"/>
                <w:highlight w:val="none"/>
                <w:lang w:bidi="ar"/>
              </w:rPr>
            </w:pPr>
          </w:p>
        </w:tc>
      </w:tr>
    </w:tbl>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tabs>
          <w:tab w:val="left" w:pos="2472"/>
        </w:tabs>
        <w:ind w:left="1021" w:firstLine="482" w:firstLineChars="200"/>
        <w:jc w:val="center"/>
        <w:rPr>
          <w:rFonts w:ascii="宋体" w:hAnsi="宋体" w:eastAsia="宋体" w:cs="Times New Roman"/>
          <w:bCs/>
          <w:sz w:val="24"/>
          <w:highlight w:val="none"/>
        </w:rPr>
      </w:pPr>
      <w:bookmarkStart w:id="265" w:name="_Toc29887"/>
      <w:r>
        <w:rPr>
          <w:rFonts w:hint="eastAsia" w:ascii="宋体" w:hAnsi="宋体" w:eastAsia="宋体" w:cs="Times New Roman"/>
          <w:b/>
          <w:bCs/>
          <w:sz w:val="24"/>
          <w:highlight w:val="none"/>
        </w:rPr>
        <w:t>（二）2标包灯类评标方法前附表</w:t>
      </w:r>
      <w:bookmarkEnd w:id="265"/>
    </w:p>
    <w:tbl>
      <w:tblPr>
        <w:tblStyle w:val="2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114"/>
        <w:gridCol w:w="2087"/>
        <w:gridCol w:w="5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blHeader/>
          <w:jc w:val="center"/>
        </w:trPr>
        <w:tc>
          <w:tcPr>
            <w:tcW w:w="685" w:type="dxa"/>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b/>
                <w:szCs w:val="21"/>
                <w:highlight w:val="none"/>
              </w:rPr>
              <w:t>条款号</w:t>
            </w:r>
          </w:p>
        </w:tc>
        <w:tc>
          <w:tcPr>
            <w:tcW w:w="1114" w:type="dxa"/>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b/>
                <w:szCs w:val="21"/>
                <w:highlight w:val="none"/>
              </w:rPr>
              <w:t>评审程序</w:t>
            </w:r>
          </w:p>
        </w:tc>
        <w:tc>
          <w:tcPr>
            <w:tcW w:w="2087" w:type="dxa"/>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b/>
                <w:szCs w:val="21"/>
                <w:highlight w:val="none"/>
              </w:rPr>
              <w:t>评审因素</w:t>
            </w:r>
          </w:p>
        </w:tc>
        <w:tc>
          <w:tcPr>
            <w:tcW w:w="5968" w:type="dxa"/>
            <w:vAlign w:val="center"/>
          </w:tcPr>
          <w:p>
            <w:pPr>
              <w:spacing w:before="100" w:beforeAutospacing="1" w:after="100" w:afterAutospacing="1" w:line="360" w:lineRule="auto"/>
              <w:jc w:val="center"/>
              <w:rPr>
                <w:rFonts w:ascii="宋体" w:hAnsi="宋体"/>
                <w:b/>
                <w:szCs w:val="21"/>
                <w:highlight w:val="none"/>
              </w:rPr>
            </w:pPr>
            <w:r>
              <w:rPr>
                <w:rFonts w:hint="eastAsia" w:ascii="宋体" w:hAnsi="宋体"/>
                <w:b/>
                <w:szCs w:val="21"/>
                <w:highlight w:val="none"/>
              </w:rPr>
              <w:t>评 审 内 容 及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685" w:type="dxa"/>
            <w:vMerge w:val="restart"/>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2.1</w:t>
            </w:r>
          </w:p>
        </w:tc>
        <w:tc>
          <w:tcPr>
            <w:tcW w:w="1114" w:type="dxa"/>
            <w:vMerge w:val="restart"/>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符合性评审标准</w:t>
            </w:r>
          </w:p>
        </w:tc>
        <w:tc>
          <w:tcPr>
            <w:tcW w:w="8055" w:type="dxa"/>
            <w:gridSpan w:val="2"/>
            <w:vAlign w:val="center"/>
          </w:tcPr>
          <w:p>
            <w:pPr>
              <w:spacing w:before="100" w:beforeAutospacing="1" w:after="100" w:afterAutospacing="1" w:line="360" w:lineRule="auto"/>
              <w:jc w:val="left"/>
              <w:rPr>
                <w:rFonts w:ascii="宋体" w:hAnsi="宋体"/>
                <w:b/>
                <w:szCs w:val="21"/>
                <w:highlight w:val="none"/>
              </w:rPr>
            </w:pPr>
            <w:r>
              <w:rPr>
                <w:rFonts w:ascii="宋体" w:hAnsi="宋体"/>
                <w:b/>
                <w:szCs w:val="21"/>
                <w:highlight w:val="none"/>
              </w:rPr>
              <w:t>投标人存在下列情况之一的，投标无效</w:t>
            </w:r>
            <w:r>
              <w:rPr>
                <w:rFonts w:hint="eastAsia" w:ascii="宋体" w:hAnsi="宋体"/>
                <w:b/>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685" w:type="dxa"/>
            <w:vMerge w:val="continue"/>
            <w:vAlign w:val="center"/>
          </w:tcPr>
          <w:p>
            <w:pPr>
              <w:spacing w:before="100" w:beforeAutospacing="1" w:after="100" w:afterAutospacing="1" w:line="360" w:lineRule="auto"/>
              <w:rPr>
                <w:rFonts w:ascii="宋体" w:hAnsi="宋体"/>
                <w:szCs w:val="21"/>
                <w:highlight w:val="none"/>
              </w:rPr>
            </w:pPr>
          </w:p>
        </w:tc>
        <w:tc>
          <w:tcPr>
            <w:tcW w:w="1114" w:type="dxa"/>
            <w:vMerge w:val="continue"/>
            <w:vAlign w:val="center"/>
          </w:tcPr>
          <w:p>
            <w:pPr>
              <w:spacing w:before="100" w:beforeAutospacing="1" w:after="100" w:afterAutospacing="1" w:line="360" w:lineRule="auto"/>
              <w:rPr>
                <w:rFonts w:ascii="宋体" w:hAnsi="宋体"/>
                <w:szCs w:val="21"/>
                <w:highlight w:val="none"/>
              </w:rPr>
            </w:pPr>
          </w:p>
        </w:tc>
        <w:tc>
          <w:tcPr>
            <w:tcW w:w="2087" w:type="dxa"/>
            <w:vAlign w:val="center"/>
          </w:tcPr>
          <w:p>
            <w:pPr>
              <w:spacing w:before="100" w:beforeAutospacing="1" w:after="100" w:afterAutospacing="1" w:line="360" w:lineRule="auto"/>
              <w:jc w:val="center"/>
              <w:rPr>
                <w:rFonts w:ascii="宋体" w:hAnsi="宋体"/>
                <w:szCs w:val="21"/>
                <w:highlight w:val="none"/>
              </w:rPr>
            </w:pPr>
            <w:r>
              <w:rPr>
                <w:rFonts w:ascii="宋体" w:hAnsi="宋体"/>
                <w:szCs w:val="21"/>
                <w:highlight w:val="none"/>
              </w:rPr>
              <w:t>签署、盖章</w:t>
            </w:r>
          </w:p>
        </w:tc>
        <w:tc>
          <w:tcPr>
            <w:tcW w:w="5968" w:type="dxa"/>
            <w:vAlign w:val="center"/>
          </w:tcPr>
          <w:p>
            <w:pPr>
              <w:spacing w:before="100" w:beforeAutospacing="1" w:after="100" w:afterAutospacing="1" w:line="360" w:lineRule="auto"/>
              <w:jc w:val="left"/>
              <w:rPr>
                <w:rFonts w:ascii="宋体" w:hAnsi="宋体"/>
                <w:szCs w:val="21"/>
                <w:highlight w:val="none"/>
              </w:rPr>
            </w:pPr>
            <w:r>
              <w:rPr>
                <w:rFonts w:ascii="宋体" w:hAnsi="宋体"/>
                <w:szCs w:val="21"/>
                <w:highlight w:val="none"/>
              </w:rPr>
              <w:t>投标文件未按招标文件要求签署、盖章的；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685" w:type="dxa"/>
            <w:vMerge w:val="continue"/>
            <w:vAlign w:val="center"/>
          </w:tcPr>
          <w:p>
            <w:pPr>
              <w:spacing w:before="100" w:beforeAutospacing="1" w:after="100" w:afterAutospacing="1" w:line="360" w:lineRule="auto"/>
              <w:rPr>
                <w:rFonts w:ascii="宋体" w:hAnsi="宋体"/>
                <w:szCs w:val="21"/>
                <w:highlight w:val="none"/>
              </w:rPr>
            </w:pPr>
          </w:p>
        </w:tc>
        <w:tc>
          <w:tcPr>
            <w:tcW w:w="1114" w:type="dxa"/>
            <w:vMerge w:val="continue"/>
            <w:vAlign w:val="center"/>
          </w:tcPr>
          <w:p>
            <w:pPr>
              <w:spacing w:before="100" w:beforeAutospacing="1" w:after="100" w:afterAutospacing="1" w:line="360" w:lineRule="auto"/>
              <w:rPr>
                <w:rFonts w:ascii="宋体" w:hAnsi="宋体"/>
                <w:szCs w:val="21"/>
                <w:highlight w:val="none"/>
              </w:rPr>
            </w:pPr>
          </w:p>
        </w:tc>
        <w:tc>
          <w:tcPr>
            <w:tcW w:w="2087" w:type="dxa"/>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投标报价</w:t>
            </w:r>
          </w:p>
        </w:tc>
        <w:tc>
          <w:tcPr>
            <w:tcW w:w="5968" w:type="dxa"/>
            <w:vAlign w:val="center"/>
          </w:tcPr>
          <w:p>
            <w:pPr>
              <w:spacing w:before="100" w:beforeAutospacing="1" w:after="100" w:afterAutospacing="1" w:line="360" w:lineRule="auto"/>
              <w:jc w:val="left"/>
              <w:rPr>
                <w:rFonts w:ascii="宋体" w:hAnsi="宋体"/>
                <w:szCs w:val="21"/>
                <w:highlight w:val="none"/>
              </w:rPr>
            </w:pPr>
            <w:r>
              <w:rPr>
                <w:rFonts w:ascii="宋体" w:hAnsi="宋体"/>
                <w:szCs w:val="21"/>
                <w:highlight w:val="none"/>
              </w:rPr>
              <w:t>投标报价超过招标文件中规定的预算金额或者最高限价</w:t>
            </w:r>
            <w:r>
              <w:rPr>
                <w:rFonts w:hint="eastAsia" w:ascii="宋体" w:hAnsi="宋体"/>
                <w:szCs w:val="21"/>
                <w:highlight w:val="none"/>
              </w:rPr>
              <w:t>（单价或总价）</w:t>
            </w:r>
            <w:r>
              <w:rPr>
                <w:rFonts w:ascii="宋体" w:hAnsi="宋体"/>
                <w:szCs w:val="21"/>
                <w:highlight w:val="none"/>
              </w:rPr>
              <w:t>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685" w:type="dxa"/>
            <w:vMerge w:val="continue"/>
            <w:vAlign w:val="center"/>
          </w:tcPr>
          <w:p>
            <w:pPr>
              <w:spacing w:before="100" w:beforeAutospacing="1" w:after="100" w:afterAutospacing="1" w:line="360" w:lineRule="auto"/>
              <w:rPr>
                <w:rFonts w:ascii="宋体" w:hAnsi="宋体"/>
                <w:szCs w:val="21"/>
                <w:highlight w:val="none"/>
              </w:rPr>
            </w:pPr>
          </w:p>
        </w:tc>
        <w:tc>
          <w:tcPr>
            <w:tcW w:w="1114" w:type="dxa"/>
            <w:vMerge w:val="continue"/>
            <w:vAlign w:val="center"/>
          </w:tcPr>
          <w:p>
            <w:pPr>
              <w:spacing w:before="100" w:beforeAutospacing="1" w:after="100" w:afterAutospacing="1" w:line="360" w:lineRule="auto"/>
              <w:rPr>
                <w:rFonts w:ascii="宋体" w:hAnsi="宋体"/>
                <w:szCs w:val="21"/>
                <w:highlight w:val="none"/>
              </w:rPr>
            </w:pPr>
          </w:p>
        </w:tc>
        <w:tc>
          <w:tcPr>
            <w:tcW w:w="2087" w:type="dxa"/>
            <w:vAlign w:val="center"/>
          </w:tcPr>
          <w:p>
            <w:pPr>
              <w:spacing w:before="100" w:beforeAutospacing="1" w:after="100" w:afterAutospacing="1" w:line="360" w:lineRule="auto"/>
              <w:jc w:val="center"/>
              <w:rPr>
                <w:rFonts w:ascii="宋体" w:hAnsi="宋体"/>
                <w:szCs w:val="21"/>
                <w:highlight w:val="none"/>
              </w:rPr>
            </w:pPr>
            <w:r>
              <w:rPr>
                <w:rFonts w:ascii="宋体" w:hAnsi="宋体"/>
                <w:szCs w:val="21"/>
                <w:highlight w:val="none"/>
              </w:rPr>
              <w:t>不能接受的附加条件</w:t>
            </w:r>
          </w:p>
        </w:tc>
        <w:tc>
          <w:tcPr>
            <w:tcW w:w="5968" w:type="dxa"/>
            <w:vAlign w:val="center"/>
          </w:tcPr>
          <w:p>
            <w:pPr>
              <w:spacing w:before="100" w:beforeAutospacing="1" w:after="100" w:afterAutospacing="1" w:line="360" w:lineRule="auto"/>
              <w:jc w:val="left"/>
              <w:rPr>
                <w:rFonts w:ascii="宋体" w:hAnsi="宋体"/>
                <w:szCs w:val="21"/>
                <w:highlight w:val="none"/>
              </w:rPr>
            </w:pPr>
            <w:r>
              <w:rPr>
                <w:rFonts w:ascii="宋体" w:hAnsi="宋体"/>
                <w:szCs w:val="21"/>
                <w:highlight w:val="none"/>
              </w:rPr>
              <w:t>投标文件含有采购人不能接受的附加条件的</w:t>
            </w:r>
            <w:r>
              <w:rPr>
                <w:rFonts w:hint="eastAsia" w:ascii="宋体" w:hAnsi="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685" w:type="dxa"/>
            <w:vMerge w:val="continue"/>
            <w:vAlign w:val="center"/>
          </w:tcPr>
          <w:p>
            <w:pPr>
              <w:spacing w:before="100" w:beforeAutospacing="1" w:after="100" w:afterAutospacing="1" w:line="360" w:lineRule="auto"/>
              <w:rPr>
                <w:rFonts w:ascii="宋体" w:hAnsi="宋体"/>
                <w:szCs w:val="21"/>
                <w:highlight w:val="none"/>
              </w:rPr>
            </w:pPr>
          </w:p>
        </w:tc>
        <w:tc>
          <w:tcPr>
            <w:tcW w:w="1114" w:type="dxa"/>
            <w:vMerge w:val="continue"/>
            <w:vAlign w:val="center"/>
          </w:tcPr>
          <w:p>
            <w:pPr>
              <w:spacing w:before="100" w:beforeAutospacing="1" w:after="100" w:afterAutospacing="1" w:line="360" w:lineRule="auto"/>
              <w:rPr>
                <w:rFonts w:ascii="宋体" w:hAnsi="宋体"/>
                <w:szCs w:val="21"/>
                <w:highlight w:val="none"/>
              </w:rPr>
            </w:pPr>
          </w:p>
        </w:tc>
        <w:tc>
          <w:tcPr>
            <w:tcW w:w="2087" w:type="dxa"/>
            <w:vAlign w:val="center"/>
          </w:tcPr>
          <w:p>
            <w:pPr>
              <w:spacing w:before="100" w:beforeAutospacing="1" w:after="100" w:afterAutospacing="1" w:line="360" w:lineRule="auto"/>
              <w:jc w:val="center"/>
              <w:rPr>
                <w:rFonts w:ascii="宋体" w:hAnsi="宋体"/>
                <w:szCs w:val="21"/>
                <w:highlight w:val="none"/>
              </w:rPr>
            </w:pPr>
            <w:r>
              <w:rPr>
                <w:rFonts w:hint="eastAsia" w:ascii="宋体" w:hAnsi="宋体"/>
                <w:szCs w:val="21"/>
                <w:highlight w:val="none"/>
              </w:rPr>
              <w:t>其它实质性条件</w:t>
            </w:r>
          </w:p>
        </w:tc>
        <w:tc>
          <w:tcPr>
            <w:tcW w:w="5968" w:type="dxa"/>
            <w:vAlign w:val="center"/>
          </w:tcPr>
          <w:p>
            <w:pPr>
              <w:spacing w:before="100" w:beforeAutospacing="1" w:after="100" w:afterAutospacing="1" w:line="360" w:lineRule="auto"/>
              <w:jc w:val="left"/>
              <w:rPr>
                <w:rFonts w:ascii="宋体" w:hAnsi="宋体"/>
                <w:szCs w:val="21"/>
                <w:highlight w:val="none"/>
              </w:rPr>
            </w:pPr>
            <w:r>
              <w:rPr>
                <w:rFonts w:hint="eastAsia" w:ascii="宋体" w:hAnsi="宋体"/>
                <w:szCs w:val="21"/>
                <w:highlight w:val="none"/>
              </w:rPr>
              <w:t>未实质性响应招标文件中</w:t>
            </w:r>
            <w:r>
              <w:rPr>
                <w:rFonts w:hint="eastAsia" w:ascii="宋体" w:hAnsi="宋体" w:eastAsia="宋体" w:cs="宋体"/>
                <w:szCs w:val="21"/>
                <w:highlight w:val="none"/>
              </w:rPr>
              <w:t>●条款</w:t>
            </w:r>
            <w:r>
              <w:rPr>
                <w:rFonts w:hint="eastAsia" w:ascii="宋体" w:hAnsi="宋体"/>
                <w:szCs w:val="21"/>
                <w:highlight w:val="none"/>
              </w:rPr>
              <w:t>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685" w:type="dxa"/>
            <w:vMerge w:val="continue"/>
            <w:vAlign w:val="center"/>
          </w:tcPr>
          <w:p>
            <w:pPr>
              <w:spacing w:before="100" w:beforeAutospacing="1" w:after="100" w:afterAutospacing="1" w:line="360" w:lineRule="auto"/>
              <w:rPr>
                <w:rFonts w:ascii="宋体" w:hAnsi="宋体"/>
                <w:szCs w:val="21"/>
                <w:highlight w:val="none"/>
              </w:rPr>
            </w:pPr>
          </w:p>
        </w:tc>
        <w:tc>
          <w:tcPr>
            <w:tcW w:w="1114" w:type="dxa"/>
            <w:vMerge w:val="continue"/>
            <w:vAlign w:val="center"/>
          </w:tcPr>
          <w:p>
            <w:pPr>
              <w:spacing w:before="100" w:beforeAutospacing="1" w:after="100" w:afterAutospacing="1" w:line="360" w:lineRule="auto"/>
              <w:rPr>
                <w:rFonts w:ascii="宋体" w:hAnsi="宋体"/>
                <w:szCs w:val="21"/>
                <w:highlight w:val="none"/>
              </w:rPr>
            </w:pPr>
          </w:p>
        </w:tc>
        <w:tc>
          <w:tcPr>
            <w:tcW w:w="2087" w:type="dxa"/>
            <w:vAlign w:val="center"/>
          </w:tcPr>
          <w:p>
            <w:pPr>
              <w:spacing w:before="100" w:beforeAutospacing="1" w:after="100" w:afterAutospacing="1" w:line="360" w:lineRule="auto"/>
              <w:jc w:val="center"/>
              <w:rPr>
                <w:rFonts w:ascii="宋体" w:hAnsi="宋体"/>
                <w:szCs w:val="21"/>
                <w:highlight w:val="none"/>
              </w:rPr>
            </w:pPr>
            <w:r>
              <w:rPr>
                <w:rFonts w:ascii="宋体" w:hAnsi="宋体"/>
                <w:szCs w:val="21"/>
                <w:highlight w:val="none"/>
              </w:rPr>
              <w:t>其他无效情形</w:t>
            </w:r>
          </w:p>
        </w:tc>
        <w:tc>
          <w:tcPr>
            <w:tcW w:w="5968" w:type="dxa"/>
            <w:vAlign w:val="center"/>
          </w:tcPr>
          <w:p>
            <w:pPr>
              <w:spacing w:before="100" w:beforeAutospacing="1" w:after="100" w:afterAutospacing="1" w:line="360" w:lineRule="auto"/>
              <w:jc w:val="left"/>
              <w:rPr>
                <w:rFonts w:ascii="宋体" w:hAnsi="宋体"/>
                <w:szCs w:val="21"/>
                <w:highlight w:val="none"/>
              </w:rPr>
            </w:pPr>
            <w:r>
              <w:rPr>
                <w:rFonts w:ascii="宋体" w:hAnsi="宋体"/>
                <w:szCs w:val="21"/>
                <w:highlight w:val="none"/>
              </w:rPr>
              <w:t>法律、法规和招标文件规定的其他无效情形</w:t>
            </w:r>
            <w:r>
              <w:rPr>
                <w:rFonts w:hint="eastAsia" w:ascii="宋体" w:hAnsi="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2" w:hRule="atLeast"/>
          <w:jc w:val="center"/>
        </w:trPr>
        <w:tc>
          <w:tcPr>
            <w:tcW w:w="685" w:type="dxa"/>
            <w:vMerge w:val="restart"/>
            <w:vAlign w:val="center"/>
          </w:tcPr>
          <w:p>
            <w:pPr>
              <w:spacing w:line="360" w:lineRule="auto"/>
              <w:jc w:val="center"/>
              <w:rPr>
                <w:rFonts w:ascii="宋体" w:hAnsi="宋体"/>
                <w:szCs w:val="21"/>
                <w:highlight w:val="none"/>
              </w:rPr>
            </w:pPr>
            <w:r>
              <w:rPr>
                <w:rFonts w:hint="eastAsia" w:ascii="宋体" w:hAnsi="宋体"/>
                <w:szCs w:val="21"/>
                <w:highlight w:val="none"/>
              </w:rPr>
              <w:t>2.2</w:t>
            </w:r>
          </w:p>
        </w:tc>
        <w:tc>
          <w:tcPr>
            <w:tcW w:w="1114" w:type="dxa"/>
            <w:vMerge w:val="restart"/>
            <w:vAlign w:val="center"/>
          </w:tcPr>
          <w:p>
            <w:pPr>
              <w:spacing w:line="360" w:lineRule="auto"/>
              <w:jc w:val="center"/>
              <w:rPr>
                <w:rFonts w:ascii="宋体" w:hAnsi="宋体"/>
                <w:szCs w:val="21"/>
                <w:highlight w:val="none"/>
              </w:rPr>
            </w:pPr>
            <w:r>
              <w:rPr>
                <w:rFonts w:hint="eastAsia" w:ascii="宋体" w:hAnsi="宋体"/>
                <w:szCs w:val="21"/>
                <w:highlight w:val="none"/>
              </w:rPr>
              <w:t>详细评审标准</w:t>
            </w:r>
          </w:p>
        </w:tc>
        <w:tc>
          <w:tcPr>
            <w:tcW w:w="2087" w:type="dxa"/>
            <w:vAlign w:val="center"/>
          </w:tcPr>
          <w:p>
            <w:pPr>
              <w:spacing w:line="360" w:lineRule="auto"/>
              <w:jc w:val="center"/>
              <w:rPr>
                <w:rFonts w:ascii="宋体" w:hAnsi="宋体"/>
                <w:szCs w:val="21"/>
                <w:highlight w:val="none"/>
              </w:rPr>
            </w:pPr>
            <w:r>
              <w:rPr>
                <w:rFonts w:hint="eastAsia" w:ascii="宋体" w:hAnsi="宋体"/>
                <w:szCs w:val="21"/>
                <w:highlight w:val="none"/>
              </w:rPr>
              <w:t>1、评标总得分计算公式</w:t>
            </w:r>
          </w:p>
        </w:tc>
        <w:tc>
          <w:tcPr>
            <w:tcW w:w="5968" w:type="dxa"/>
            <w:vAlign w:val="center"/>
          </w:tcPr>
          <w:p>
            <w:pPr>
              <w:spacing w:line="360" w:lineRule="auto"/>
              <w:rPr>
                <w:rFonts w:ascii="宋体" w:hAnsi="宋体"/>
                <w:szCs w:val="21"/>
                <w:highlight w:val="none"/>
              </w:rPr>
            </w:pPr>
            <w:r>
              <w:rPr>
                <w:rFonts w:ascii="宋体" w:hAnsi="宋体"/>
                <w:szCs w:val="21"/>
                <w:highlight w:val="none"/>
              </w:rPr>
              <w:t>投标人的评标总得分＝F1＋F2＋F3</w:t>
            </w:r>
          </w:p>
          <w:p>
            <w:pPr>
              <w:spacing w:line="360" w:lineRule="auto"/>
              <w:rPr>
                <w:rFonts w:ascii="宋体" w:hAnsi="宋体"/>
                <w:szCs w:val="21"/>
                <w:highlight w:val="none"/>
              </w:rPr>
            </w:pPr>
            <w:r>
              <w:rPr>
                <w:rFonts w:ascii="宋体" w:hAnsi="宋体"/>
                <w:szCs w:val="21"/>
                <w:highlight w:val="none"/>
              </w:rPr>
              <w:t>其中：</w:t>
            </w:r>
          </w:p>
          <w:p>
            <w:pPr>
              <w:numPr>
                <w:ilvl w:val="0"/>
                <w:numId w:val="17"/>
              </w:numPr>
              <w:spacing w:line="360" w:lineRule="auto"/>
              <w:rPr>
                <w:rFonts w:ascii="宋体" w:hAnsi="宋体"/>
                <w:szCs w:val="21"/>
                <w:highlight w:val="none"/>
              </w:rPr>
            </w:pPr>
            <w:r>
              <w:rPr>
                <w:rFonts w:ascii="宋体" w:hAnsi="宋体"/>
                <w:szCs w:val="21"/>
                <w:highlight w:val="none"/>
              </w:rPr>
              <w:t>F1、F2、F3分别为投标报价、技术部分、</w:t>
            </w:r>
            <w:r>
              <w:rPr>
                <w:rFonts w:hint="eastAsia" w:ascii="宋体" w:hAnsi="宋体"/>
                <w:szCs w:val="21"/>
                <w:highlight w:val="none"/>
              </w:rPr>
              <w:t>商务</w:t>
            </w:r>
            <w:r>
              <w:rPr>
                <w:rFonts w:ascii="宋体" w:hAnsi="宋体"/>
                <w:szCs w:val="21"/>
                <w:highlight w:val="none"/>
              </w:rPr>
              <w:t>部分3项评分因素的汇总得分；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685" w:type="dxa"/>
            <w:vMerge w:val="continue"/>
            <w:vAlign w:val="center"/>
          </w:tcPr>
          <w:p>
            <w:pPr>
              <w:spacing w:line="360" w:lineRule="auto"/>
              <w:rPr>
                <w:rFonts w:ascii="宋体" w:hAnsi="宋体"/>
                <w:szCs w:val="21"/>
                <w:highlight w:val="none"/>
              </w:rPr>
            </w:pPr>
          </w:p>
        </w:tc>
        <w:tc>
          <w:tcPr>
            <w:tcW w:w="1114" w:type="dxa"/>
            <w:vMerge w:val="continue"/>
            <w:vAlign w:val="center"/>
          </w:tcPr>
          <w:p>
            <w:pPr>
              <w:spacing w:line="360" w:lineRule="auto"/>
              <w:rPr>
                <w:rFonts w:ascii="宋体" w:hAnsi="宋体"/>
                <w:szCs w:val="21"/>
                <w:highlight w:val="none"/>
              </w:rPr>
            </w:pPr>
          </w:p>
        </w:tc>
        <w:tc>
          <w:tcPr>
            <w:tcW w:w="2087" w:type="dxa"/>
            <w:vAlign w:val="center"/>
          </w:tcPr>
          <w:p>
            <w:pPr>
              <w:spacing w:line="360" w:lineRule="auto"/>
              <w:rPr>
                <w:rFonts w:ascii="宋体" w:hAnsi="宋体"/>
                <w:szCs w:val="21"/>
                <w:highlight w:val="none"/>
              </w:rPr>
            </w:pPr>
            <w:r>
              <w:rPr>
                <w:rFonts w:hint="eastAsia" w:ascii="宋体" w:hAnsi="宋体"/>
                <w:szCs w:val="21"/>
                <w:highlight w:val="none"/>
              </w:rPr>
              <w:t>2、评分因素</w:t>
            </w:r>
          </w:p>
          <w:p>
            <w:pPr>
              <w:spacing w:line="360" w:lineRule="auto"/>
              <w:rPr>
                <w:rFonts w:ascii="宋体" w:hAnsi="宋体"/>
                <w:szCs w:val="21"/>
                <w:highlight w:val="none"/>
              </w:rPr>
            </w:pPr>
            <w:r>
              <w:rPr>
                <w:rFonts w:hint="eastAsia" w:ascii="宋体" w:hAnsi="宋体"/>
                <w:szCs w:val="21"/>
                <w:highlight w:val="none"/>
              </w:rPr>
              <w:t>分值及权重</w:t>
            </w:r>
          </w:p>
        </w:tc>
        <w:tc>
          <w:tcPr>
            <w:tcW w:w="5968" w:type="dxa"/>
            <w:vAlign w:val="center"/>
          </w:tcPr>
          <w:p>
            <w:pPr>
              <w:spacing w:line="360" w:lineRule="auto"/>
              <w:rPr>
                <w:rFonts w:ascii="宋体" w:hAnsi="宋体"/>
                <w:szCs w:val="21"/>
                <w:highlight w:val="none"/>
              </w:rPr>
            </w:pPr>
            <w:r>
              <w:rPr>
                <w:rFonts w:ascii="宋体" w:hAnsi="宋体"/>
                <w:szCs w:val="21"/>
                <w:highlight w:val="none"/>
              </w:rPr>
              <w:t>投标报价F1：30分</w:t>
            </w:r>
            <w:r>
              <w:rPr>
                <w:rFonts w:hint="eastAsia" w:ascii="宋体" w:hAnsi="宋体"/>
                <w:szCs w:val="21"/>
                <w:highlight w:val="none"/>
              </w:rPr>
              <w:t>；</w:t>
            </w:r>
          </w:p>
          <w:p>
            <w:pPr>
              <w:spacing w:line="360" w:lineRule="auto"/>
              <w:rPr>
                <w:rFonts w:ascii="宋体" w:hAnsi="宋体"/>
                <w:szCs w:val="21"/>
                <w:highlight w:val="none"/>
              </w:rPr>
            </w:pPr>
            <w:r>
              <w:rPr>
                <w:rFonts w:ascii="宋体" w:hAnsi="宋体"/>
                <w:szCs w:val="21"/>
                <w:highlight w:val="none"/>
              </w:rPr>
              <w:t>技术部分F2：</w:t>
            </w:r>
            <w:r>
              <w:rPr>
                <w:rFonts w:hint="eastAsia" w:ascii="宋体" w:hAnsi="宋体"/>
                <w:szCs w:val="21"/>
                <w:highlight w:val="none"/>
              </w:rPr>
              <w:t>65</w:t>
            </w:r>
            <w:r>
              <w:rPr>
                <w:rFonts w:ascii="宋体" w:hAnsi="宋体"/>
                <w:szCs w:val="21"/>
                <w:highlight w:val="none"/>
              </w:rPr>
              <w:t>分</w:t>
            </w:r>
            <w:r>
              <w:rPr>
                <w:rFonts w:hint="eastAsia" w:ascii="宋体" w:hAnsi="宋体"/>
                <w:szCs w:val="21"/>
                <w:highlight w:val="none"/>
              </w:rPr>
              <w:t>；</w:t>
            </w:r>
          </w:p>
          <w:p>
            <w:pPr>
              <w:pStyle w:val="9"/>
              <w:spacing w:line="360" w:lineRule="auto"/>
              <w:rPr>
                <w:rFonts w:ascii="宋体" w:hAnsi="宋体"/>
                <w:szCs w:val="21"/>
                <w:highlight w:val="none"/>
              </w:rPr>
            </w:pPr>
            <w:r>
              <w:rPr>
                <w:rFonts w:hint="eastAsia" w:ascii="宋体" w:hAnsi="宋体"/>
                <w:szCs w:val="21"/>
                <w:highlight w:val="none"/>
              </w:rPr>
              <w:t>商务部分</w:t>
            </w:r>
            <w:r>
              <w:rPr>
                <w:rFonts w:ascii="宋体" w:hAnsi="宋体"/>
                <w:szCs w:val="21"/>
                <w:highlight w:val="none"/>
              </w:rPr>
              <w:t>F3：</w:t>
            </w:r>
            <w:r>
              <w:rPr>
                <w:rFonts w:hint="eastAsia" w:ascii="宋体" w:hAnsi="宋体"/>
                <w:szCs w:val="21"/>
                <w:highlight w:val="none"/>
              </w:rPr>
              <w:t>5</w:t>
            </w:r>
            <w:r>
              <w:rPr>
                <w:rFonts w:ascii="宋体" w:hAnsi="宋体"/>
                <w:szCs w:val="21"/>
                <w:highlight w:val="none"/>
              </w:rPr>
              <w:t>分。</w:t>
            </w:r>
          </w:p>
        </w:tc>
      </w:tr>
    </w:tbl>
    <w:p>
      <w:pPr>
        <w:widowControl/>
        <w:spacing w:line="360" w:lineRule="auto"/>
        <w:jc w:val="left"/>
        <w:rPr>
          <w:rFonts w:ascii="宋体" w:hAnsi="宋体"/>
          <w:b/>
          <w:bCs/>
          <w:sz w:val="24"/>
          <w:szCs w:val="20"/>
          <w:highlight w:val="none"/>
        </w:rPr>
      </w:pPr>
      <w:r>
        <w:rPr>
          <w:rFonts w:hAnsi="宋体"/>
          <w:b/>
          <w:bCs/>
          <w:sz w:val="24"/>
          <w:highlight w:val="none"/>
        </w:rPr>
        <w:br w:type="page"/>
      </w:r>
    </w:p>
    <w:p>
      <w:pPr>
        <w:tabs>
          <w:tab w:val="left" w:pos="2472"/>
        </w:tabs>
        <w:spacing w:line="360" w:lineRule="auto"/>
        <w:ind w:firstLine="482" w:firstLineChars="200"/>
        <w:jc w:val="left"/>
        <w:rPr>
          <w:rFonts w:ascii="宋体" w:hAnsi="宋体" w:eastAsia="宋体" w:cs="Times New Roman"/>
          <w:b/>
          <w:bCs/>
          <w:sz w:val="24"/>
          <w:highlight w:val="none"/>
        </w:rPr>
      </w:pPr>
      <w:bookmarkStart w:id="266" w:name="_Toc28839"/>
      <w:r>
        <w:rPr>
          <w:rFonts w:hint="eastAsia" w:ascii="宋体" w:hAnsi="宋体" w:eastAsia="宋体" w:cs="Times New Roman"/>
          <w:b/>
          <w:bCs/>
          <w:sz w:val="24"/>
          <w:highlight w:val="none"/>
        </w:rPr>
        <w:t>2标包详细评审细则：</w:t>
      </w:r>
      <w:bookmarkEnd w:id="266"/>
    </w:p>
    <w:tbl>
      <w:tblPr>
        <w:tblStyle w:val="2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6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b/>
                <w:szCs w:val="21"/>
                <w:highlight w:val="none"/>
              </w:rPr>
            </w:pPr>
            <w:r>
              <w:rPr>
                <w:rFonts w:hint="eastAsia" w:ascii="宋体" w:hAnsi="宋体"/>
                <w:b/>
                <w:szCs w:val="21"/>
                <w:highlight w:val="none"/>
              </w:rPr>
              <w:t>F1投标报价得分（</w:t>
            </w:r>
            <w:r>
              <w:rPr>
                <w:rFonts w:ascii="宋体" w:hAnsi="宋体"/>
                <w:b/>
                <w:szCs w:val="21"/>
                <w:highlight w:val="none"/>
              </w:rPr>
              <w:t>满分</w:t>
            </w:r>
            <w:r>
              <w:rPr>
                <w:rFonts w:hint="eastAsia" w:ascii="宋体" w:hAnsi="宋体"/>
                <w:b/>
                <w:szCs w:val="21"/>
                <w:highlight w:val="none"/>
              </w:rPr>
              <w:t>30分</w:t>
            </w:r>
            <w:r>
              <w:rPr>
                <w:rFonts w:ascii="宋体" w:hAnsi="宋体"/>
                <w:b/>
                <w:szCs w:val="21"/>
                <w:highlight w:val="none"/>
              </w:rPr>
              <w:t>）</w:t>
            </w:r>
          </w:p>
        </w:tc>
        <w:tc>
          <w:tcPr>
            <w:tcW w:w="8470"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360" w:lineRule="auto"/>
              <w:rPr>
                <w:rFonts w:ascii="宋体" w:hAnsi="宋体"/>
                <w:szCs w:val="21"/>
                <w:highlight w:val="none"/>
              </w:rPr>
            </w:pPr>
            <w:r>
              <w:rPr>
                <w:rFonts w:hint="eastAsia" w:ascii="宋体" w:hAnsi="宋体"/>
                <w:szCs w:val="21"/>
                <w:highlight w:val="none"/>
              </w:rPr>
              <w:t>投标报价计算公式=（评标基准价/该投标人报价）×30</w:t>
            </w:r>
          </w:p>
          <w:p>
            <w:pPr>
              <w:adjustRightInd w:val="0"/>
              <w:spacing w:line="360" w:lineRule="auto"/>
              <w:rPr>
                <w:rFonts w:ascii="宋体" w:hAnsi="宋体"/>
                <w:szCs w:val="21"/>
                <w:highlight w:val="none"/>
              </w:rPr>
            </w:pPr>
            <w:r>
              <w:rPr>
                <w:rFonts w:hint="eastAsia" w:ascii="宋体" w:hAnsi="宋体"/>
                <w:szCs w:val="21"/>
                <w:highlight w:val="none"/>
              </w:rPr>
              <w:t>即：</w:t>
            </w:r>
            <w:r>
              <w:rPr>
                <w:rFonts w:ascii="宋体" w:hAnsi="宋体"/>
                <w:szCs w:val="21"/>
                <w:highlight w:val="none"/>
              </w:rPr>
              <w:t>F</w:t>
            </w:r>
            <w:r>
              <w:rPr>
                <w:rFonts w:hint="eastAsia" w:ascii="宋体" w:hAnsi="宋体"/>
                <w:szCs w:val="21"/>
                <w:highlight w:val="none"/>
              </w:rPr>
              <w:t>1</w:t>
            </w:r>
            <w:r>
              <w:rPr>
                <w:rFonts w:ascii="宋体" w:hAnsi="宋体"/>
                <w:szCs w:val="21"/>
                <w:highlight w:val="none"/>
              </w:rPr>
              <w:t>=[C/（B1，B2，…</w:t>
            </w:r>
            <w:r>
              <w:rPr>
                <w:rFonts w:hint="eastAsia" w:ascii="宋体" w:hAnsi="宋体"/>
                <w:szCs w:val="21"/>
                <w:highlight w:val="none"/>
              </w:rPr>
              <w:t>，</w:t>
            </w:r>
            <w:r>
              <w:rPr>
                <w:rFonts w:ascii="宋体" w:hAnsi="宋体"/>
                <w:szCs w:val="21"/>
                <w:highlight w:val="none"/>
              </w:rPr>
              <w:t>Bn）]×</w:t>
            </w:r>
            <w:r>
              <w:rPr>
                <w:rFonts w:hint="eastAsia" w:ascii="宋体" w:hAnsi="宋体"/>
                <w:szCs w:val="21"/>
                <w:highlight w:val="none"/>
              </w:rPr>
              <w:t>30</w:t>
            </w:r>
          </w:p>
          <w:p>
            <w:pPr>
              <w:adjustRightInd w:val="0"/>
              <w:spacing w:line="360" w:lineRule="auto"/>
              <w:rPr>
                <w:rFonts w:ascii="宋体" w:hAnsi="宋体"/>
                <w:szCs w:val="21"/>
                <w:highlight w:val="none"/>
              </w:rPr>
            </w:pPr>
            <w:r>
              <w:rPr>
                <w:rFonts w:hint="eastAsia" w:ascii="宋体" w:hAnsi="宋体"/>
                <w:szCs w:val="21"/>
                <w:highlight w:val="none"/>
              </w:rPr>
              <w:t>注：</w:t>
            </w:r>
            <w:r>
              <w:rPr>
                <w:rFonts w:ascii="宋体" w:hAnsi="宋体"/>
                <w:szCs w:val="21"/>
                <w:highlight w:val="none"/>
              </w:rPr>
              <w:t>C为评标基准价，即经</w:t>
            </w:r>
            <w:r>
              <w:rPr>
                <w:rFonts w:hint="eastAsia" w:ascii="宋体" w:hAnsi="宋体"/>
                <w:szCs w:val="21"/>
                <w:highlight w:val="none"/>
              </w:rPr>
              <w:t>初步</w:t>
            </w:r>
            <w:r>
              <w:rPr>
                <w:rFonts w:ascii="宋体" w:hAnsi="宋体"/>
                <w:szCs w:val="21"/>
                <w:highlight w:val="none"/>
              </w:rPr>
              <w:t>审查合格</w:t>
            </w:r>
            <w:r>
              <w:rPr>
                <w:rFonts w:hint="eastAsia" w:ascii="宋体" w:hAnsi="宋体"/>
                <w:szCs w:val="21"/>
                <w:highlight w:val="none"/>
              </w:rPr>
              <w:t>且参与评审的投标价格最低</w:t>
            </w:r>
            <w:r>
              <w:rPr>
                <w:rFonts w:ascii="宋体" w:hAnsi="宋体"/>
                <w:szCs w:val="21"/>
                <w:highlight w:val="none"/>
              </w:rPr>
              <w:t>的</w:t>
            </w:r>
            <w:r>
              <w:rPr>
                <w:rFonts w:hint="eastAsia" w:ascii="宋体" w:hAnsi="宋体"/>
                <w:szCs w:val="21"/>
                <w:highlight w:val="none"/>
              </w:rPr>
              <w:t>有效</w:t>
            </w:r>
            <w:r>
              <w:rPr>
                <w:rFonts w:ascii="宋体" w:hAnsi="宋体"/>
                <w:szCs w:val="21"/>
                <w:highlight w:val="none"/>
              </w:rPr>
              <w:t>投标报价；</w:t>
            </w:r>
          </w:p>
          <w:p>
            <w:pPr>
              <w:spacing w:line="360" w:lineRule="auto"/>
              <w:ind w:firstLine="420" w:firstLineChars="200"/>
              <w:rPr>
                <w:rFonts w:ascii="宋体" w:hAnsi="宋体"/>
                <w:szCs w:val="21"/>
                <w:highlight w:val="none"/>
              </w:rPr>
            </w:pPr>
            <w:r>
              <w:rPr>
                <w:rFonts w:ascii="宋体" w:hAnsi="宋体"/>
                <w:szCs w:val="21"/>
                <w:highlight w:val="none"/>
              </w:rPr>
              <w:t>B1，B2，…</w:t>
            </w:r>
            <w:r>
              <w:rPr>
                <w:rFonts w:hint="eastAsia" w:ascii="宋体" w:hAnsi="宋体"/>
                <w:szCs w:val="21"/>
                <w:highlight w:val="none"/>
              </w:rPr>
              <w:t>，</w:t>
            </w:r>
            <w:r>
              <w:rPr>
                <w:rFonts w:ascii="宋体" w:hAnsi="宋体"/>
                <w:szCs w:val="21"/>
                <w:highlight w:val="none"/>
              </w:rPr>
              <w:t>Bn为第n个经</w:t>
            </w:r>
            <w:r>
              <w:rPr>
                <w:rFonts w:hint="eastAsia" w:ascii="宋体" w:hAnsi="宋体"/>
                <w:szCs w:val="21"/>
                <w:highlight w:val="none"/>
              </w:rPr>
              <w:t>初步</w:t>
            </w:r>
            <w:r>
              <w:rPr>
                <w:rFonts w:ascii="宋体" w:hAnsi="宋体"/>
                <w:szCs w:val="21"/>
                <w:highlight w:val="none"/>
              </w:rPr>
              <w:t>审查合格的</w:t>
            </w:r>
            <w:r>
              <w:rPr>
                <w:rFonts w:hint="eastAsia" w:ascii="宋体" w:hAnsi="宋体"/>
                <w:szCs w:val="21"/>
                <w:highlight w:val="none"/>
              </w:rPr>
              <w:t>参与评审的</w:t>
            </w:r>
            <w:r>
              <w:rPr>
                <w:rFonts w:ascii="宋体" w:hAnsi="宋体"/>
                <w:szCs w:val="21"/>
                <w:highlight w:val="none"/>
              </w:rPr>
              <w:t>有效投标报价。</w:t>
            </w:r>
          </w:p>
          <w:p>
            <w:pPr>
              <w:spacing w:line="360" w:lineRule="auto"/>
              <w:rPr>
                <w:rFonts w:ascii="宋体" w:hAnsi="宋体"/>
                <w:highlight w:val="none"/>
              </w:rPr>
            </w:pPr>
            <w:r>
              <w:rPr>
                <w:rFonts w:hint="eastAsia" w:ascii="宋体" w:hAnsi="宋体"/>
                <w:highlight w:val="none"/>
              </w:rPr>
              <w:t>注：</w:t>
            </w:r>
          </w:p>
          <w:p>
            <w:pPr>
              <w:spacing w:line="360" w:lineRule="auto"/>
              <w:ind w:firstLine="420" w:firstLineChars="200"/>
              <w:rPr>
                <w:rFonts w:ascii="宋体" w:hAnsi="宋体"/>
                <w:highlight w:val="none"/>
              </w:rPr>
            </w:pPr>
            <w:r>
              <w:rPr>
                <w:rFonts w:hint="eastAsia" w:ascii="宋体" w:hAnsi="宋体"/>
                <w:highlight w:val="none"/>
              </w:rPr>
              <w:t>1、在计算投标报价得分时，投标人按规定提供的产品符合政府采购政策关于小型、微型企业要求的，其最终报价给予10%的扣除，用扣除后的价格参加评审。</w:t>
            </w:r>
          </w:p>
          <w:p>
            <w:pPr>
              <w:spacing w:line="360" w:lineRule="auto"/>
              <w:ind w:firstLine="420" w:firstLineChars="200"/>
              <w:rPr>
                <w:rFonts w:ascii="宋体" w:hAnsi="宋体"/>
                <w:highlight w:val="none"/>
              </w:rPr>
            </w:pPr>
            <w:r>
              <w:rPr>
                <w:rFonts w:hint="eastAsia" w:ascii="宋体" w:hAnsi="宋体"/>
                <w:highlight w:val="none"/>
              </w:rPr>
              <w:t>2、残疾人福利性单位、监狱企业视同小型、微型企业。</w:t>
            </w:r>
          </w:p>
          <w:p>
            <w:pPr>
              <w:spacing w:line="360" w:lineRule="auto"/>
              <w:ind w:firstLine="420" w:firstLineChars="200"/>
              <w:rPr>
                <w:rFonts w:ascii="宋体" w:hAnsi="宋体"/>
                <w:highlight w:val="none"/>
              </w:rPr>
            </w:pPr>
            <w:r>
              <w:rPr>
                <w:rFonts w:hint="eastAsia" w:ascii="宋体" w:hAnsi="宋体"/>
                <w:highlight w:val="none"/>
              </w:rPr>
              <w:t>3、监狱企业或残疾人福利性单位属于小型、微型企业的，不重复享受政策，只进行一次价格扣除。</w:t>
            </w:r>
          </w:p>
          <w:p>
            <w:pPr>
              <w:spacing w:line="360" w:lineRule="auto"/>
              <w:ind w:firstLine="420" w:firstLineChars="200"/>
              <w:rPr>
                <w:rFonts w:ascii="宋体" w:hAnsi="宋体"/>
                <w:szCs w:val="21"/>
                <w:highlight w:val="none"/>
              </w:rPr>
            </w:pPr>
            <w:r>
              <w:rPr>
                <w:rFonts w:hint="eastAsia" w:ascii="宋体" w:hAnsi="宋体"/>
                <w:highlight w:val="none"/>
              </w:rPr>
              <w:t>4、因所提供材料不全导致评标委员会无法评定时，评标价格不予扣除。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restart"/>
            <w:tcBorders>
              <w:top w:val="single" w:color="auto" w:sz="4" w:space="0"/>
              <w:left w:val="single" w:color="auto" w:sz="4" w:space="0"/>
              <w:right w:val="single" w:color="auto" w:sz="4" w:space="0"/>
            </w:tcBorders>
            <w:vAlign w:val="center"/>
          </w:tcPr>
          <w:p>
            <w:pPr>
              <w:spacing w:line="360" w:lineRule="auto"/>
              <w:rPr>
                <w:rFonts w:ascii="宋体" w:hAnsi="宋体"/>
                <w:b/>
                <w:szCs w:val="21"/>
                <w:highlight w:val="none"/>
              </w:rPr>
            </w:pPr>
            <w:r>
              <w:rPr>
                <w:rFonts w:hint="eastAsia" w:ascii="宋体" w:hAnsi="宋体"/>
                <w:b/>
                <w:szCs w:val="21"/>
                <w:highlight w:val="none"/>
              </w:rPr>
              <w:t>F2技术部分得分（</w:t>
            </w:r>
            <w:r>
              <w:rPr>
                <w:rFonts w:ascii="宋体" w:hAnsi="宋体"/>
                <w:b/>
                <w:szCs w:val="21"/>
                <w:highlight w:val="none"/>
              </w:rPr>
              <w:t>满分</w:t>
            </w:r>
            <w:r>
              <w:rPr>
                <w:rFonts w:hint="eastAsia" w:ascii="宋体" w:hAnsi="宋体"/>
                <w:b/>
                <w:szCs w:val="21"/>
                <w:highlight w:val="none"/>
              </w:rPr>
              <w:t>65分</w:t>
            </w:r>
            <w:r>
              <w:rPr>
                <w:rFonts w:ascii="宋体" w:hAnsi="宋体"/>
                <w:b/>
                <w:szCs w:val="21"/>
                <w:highlight w:val="none"/>
              </w:rPr>
              <w:t>）</w:t>
            </w: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b/>
                <w:szCs w:val="21"/>
                <w:highlight w:val="none"/>
              </w:rPr>
            </w:pPr>
          </w:p>
        </w:tc>
        <w:tc>
          <w:tcPr>
            <w:tcW w:w="6344" w:type="dxa"/>
            <w:tcBorders>
              <w:top w:val="single" w:color="auto" w:sz="4" w:space="0"/>
              <w:left w:val="single" w:color="auto" w:sz="4" w:space="0"/>
              <w:bottom w:val="single" w:color="auto" w:sz="4" w:space="0"/>
              <w:right w:val="single" w:color="auto" w:sz="4" w:space="0"/>
            </w:tcBorders>
            <w:vAlign w:val="center"/>
          </w:tcPr>
          <w:p>
            <w:pPr>
              <w:pStyle w:val="42"/>
              <w:spacing w:line="360" w:lineRule="auto"/>
              <w:ind w:firstLine="0" w:firstLineChars="0"/>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continue"/>
            <w:tcBorders>
              <w:top w:val="single" w:color="auto" w:sz="4" w:space="0"/>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b/>
                <w:szCs w:val="21"/>
                <w:highlight w:val="none"/>
              </w:rPr>
            </w:pPr>
            <w:r>
              <w:rPr>
                <w:rFonts w:hint="eastAsia" w:ascii="宋体" w:hAnsi="宋体" w:eastAsia="宋体"/>
                <w:b/>
                <w:szCs w:val="21"/>
                <w:highlight w:val="none"/>
              </w:rPr>
              <w:t>1</w:t>
            </w:r>
            <w:r>
              <w:rPr>
                <w:rFonts w:ascii="宋体" w:hAnsi="宋体" w:eastAsia="宋体"/>
                <w:b/>
                <w:szCs w:val="21"/>
                <w:highlight w:val="none"/>
              </w:rPr>
              <w:t>.</w:t>
            </w:r>
            <w:r>
              <w:rPr>
                <w:rFonts w:hint="eastAsia" w:ascii="宋体" w:hAnsi="宋体" w:eastAsia="宋体"/>
                <w:b/>
                <w:szCs w:val="21"/>
                <w:highlight w:val="none"/>
              </w:rPr>
              <w:t>技术指标的响应评审</w:t>
            </w:r>
          </w:p>
          <w:p>
            <w:pPr>
              <w:spacing w:line="360" w:lineRule="auto"/>
              <w:jc w:val="center"/>
              <w:rPr>
                <w:rFonts w:ascii="宋体" w:hAnsi="宋体" w:eastAsia="宋体"/>
                <w:b/>
                <w:szCs w:val="21"/>
                <w:highlight w:val="none"/>
              </w:rPr>
            </w:pPr>
            <w:r>
              <w:rPr>
                <w:rFonts w:hint="eastAsia" w:ascii="宋体" w:hAnsi="宋体" w:eastAsia="宋体"/>
                <w:b/>
                <w:szCs w:val="21"/>
                <w:highlight w:val="none"/>
              </w:rPr>
              <w:t>（满分23分）</w:t>
            </w:r>
          </w:p>
          <w:p>
            <w:pPr>
              <w:spacing w:line="360" w:lineRule="auto"/>
              <w:rPr>
                <w:rFonts w:ascii="宋体" w:hAnsi="宋体"/>
                <w:b/>
                <w:szCs w:val="21"/>
                <w:highlight w:val="none"/>
              </w:rPr>
            </w:pPr>
          </w:p>
        </w:tc>
        <w:tc>
          <w:tcPr>
            <w:tcW w:w="6344" w:type="dxa"/>
            <w:tcBorders>
              <w:top w:val="single" w:color="auto" w:sz="4" w:space="0"/>
              <w:left w:val="single" w:color="auto" w:sz="4" w:space="0"/>
              <w:bottom w:val="single" w:color="auto" w:sz="4" w:space="0"/>
              <w:right w:val="single" w:color="auto" w:sz="4" w:space="0"/>
            </w:tcBorders>
            <w:vAlign w:val="center"/>
          </w:tcPr>
          <w:p>
            <w:pPr>
              <w:pStyle w:val="44"/>
              <w:widowControl/>
              <w:snapToGrid w:val="0"/>
              <w:spacing w:line="360" w:lineRule="auto"/>
              <w:ind w:firstLine="0" w:firstLineChars="0"/>
              <w:rPr>
                <w:highlight w:val="none"/>
              </w:rPr>
            </w:pPr>
            <w:r>
              <w:rPr>
                <w:rFonts w:hint="eastAsia"/>
                <w:highlight w:val="none"/>
              </w:rPr>
              <w:t>根据投标文件对招标文件中技术指标的响应程度进行评分：</w:t>
            </w:r>
          </w:p>
          <w:p>
            <w:pPr>
              <w:pStyle w:val="44"/>
              <w:widowControl/>
              <w:snapToGrid w:val="0"/>
              <w:spacing w:line="360" w:lineRule="auto"/>
              <w:ind w:firstLine="0" w:firstLineChars="0"/>
              <w:rPr>
                <w:highlight w:val="none"/>
              </w:rPr>
            </w:pPr>
            <w:r>
              <w:rPr>
                <w:rFonts w:hint="eastAsia"/>
                <w:highlight w:val="none"/>
              </w:rPr>
              <w:t>本项目拟投产品技术参数完全响应“第五章 项目需求及技术要求”中“技术参数”得23分；未完全响应的按一下情况进行扣分：</w:t>
            </w:r>
          </w:p>
          <w:p>
            <w:pPr>
              <w:pStyle w:val="44"/>
              <w:widowControl/>
              <w:snapToGrid w:val="0"/>
              <w:spacing w:line="360" w:lineRule="auto"/>
              <w:ind w:firstLine="0" w:firstLineChars="0"/>
              <w:rPr>
                <w:b/>
                <w:bCs/>
                <w:highlight w:val="none"/>
              </w:rPr>
            </w:pPr>
            <w:r>
              <w:rPr>
                <w:rFonts w:hint="eastAsia"/>
                <w:b/>
                <w:bCs/>
                <w:highlight w:val="none"/>
              </w:rPr>
              <w:t>一、标注“</w:t>
            </w:r>
            <w:r>
              <w:rPr>
                <w:rFonts w:hint="eastAsia" w:ascii="Times New Roman" w:eastAsia="宋体"/>
                <w:b/>
                <w:bCs/>
                <w:highlight w:val="none"/>
              </w:rPr>
              <w:t>▲</w:t>
            </w:r>
            <w:r>
              <w:rPr>
                <w:rFonts w:hint="eastAsia"/>
                <w:b/>
                <w:bCs/>
                <w:highlight w:val="none"/>
              </w:rPr>
              <w:t>”项的核心技术参数</w:t>
            </w:r>
          </w:p>
          <w:p>
            <w:pPr>
              <w:pStyle w:val="44"/>
              <w:widowControl/>
              <w:snapToGrid w:val="0"/>
              <w:spacing w:line="360" w:lineRule="auto"/>
              <w:ind w:firstLine="0" w:firstLineChars="0"/>
              <w:rPr>
                <w:highlight w:val="none"/>
              </w:rPr>
            </w:pPr>
            <w:r>
              <w:rPr>
                <w:rFonts w:hint="eastAsia"/>
                <w:highlight w:val="none"/>
              </w:rPr>
              <w:t xml:space="preserve"> “第五章 项目需求及技术要求”中</w:t>
            </w:r>
            <w:r>
              <w:rPr>
                <w:rFonts w:hint="eastAsia" w:ascii="宋体" w:hAnsi="宋体" w:eastAsia="宋体" w:cs="宋体"/>
                <w:bCs/>
                <w:kern w:val="0"/>
                <w:highlight w:val="none"/>
              </w:rPr>
              <w:t>，标注“▲”号的技术参数为核心技术参数，共6项，出现1项（含1项）以上核心技术参数不满足招标文件要求，技术指标响应评审评分按0分计算。</w:t>
            </w:r>
          </w:p>
          <w:p>
            <w:pPr>
              <w:pStyle w:val="42"/>
              <w:ind w:firstLine="0" w:firstLineChars="0"/>
              <w:rPr>
                <w:b/>
                <w:bCs/>
                <w:highlight w:val="none"/>
              </w:rPr>
            </w:pPr>
            <w:r>
              <w:rPr>
                <w:rFonts w:hint="eastAsia"/>
                <w:b/>
                <w:bCs/>
                <w:highlight w:val="none"/>
              </w:rPr>
              <w:t>二、标注“★”项的重要技术参数</w:t>
            </w:r>
          </w:p>
          <w:p>
            <w:pPr>
              <w:pStyle w:val="42"/>
              <w:ind w:firstLine="0" w:firstLineChars="0"/>
              <w:rPr>
                <w:highlight w:val="none"/>
              </w:rPr>
            </w:pPr>
            <w:r>
              <w:rPr>
                <w:rFonts w:hint="eastAsia"/>
                <w:highlight w:val="none"/>
              </w:rPr>
              <w:t>“第五章 项目需求及技术要求”中标注“★”项的参数为重要技术参数，共6项，每出现一条负偏离或未按要求提供技术证明材料的，扣2分，分值扣完12分为止。</w:t>
            </w:r>
          </w:p>
          <w:p>
            <w:pPr>
              <w:pStyle w:val="44"/>
              <w:widowControl/>
              <w:snapToGrid w:val="0"/>
              <w:spacing w:line="360" w:lineRule="auto"/>
              <w:ind w:firstLine="0" w:firstLineChars="0"/>
              <w:rPr>
                <w:b/>
                <w:bCs/>
                <w:highlight w:val="none"/>
              </w:rPr>
            </w:pPr>
            <w:r>
              <w:rPr>
                <w:rFonts w:hint="eastAsia"/>
                <w:b/>
                <w:bCs/>
                <w:highlight w:val="none"/>
              </w:rPr>
              <w:t>三、未标注“</w:t>
            </w:r>
            <w:r>
              <w:rPr>
                <w:rFonts w:hint="eastAsia" w:ascii="Times New Roman" w:eastAsia="宋体"/>
                <w:b/>
                <w:bCs/>
                <w:highlight w:val="none"/>
              </w:rPr>
              <w:t>▲</w:t>
            </w:r>
            <w:r>
              <w:rPr>
                <w:rFonts w:hint="eastAsia" w:ascii="宋体" w:hAnsi="宋体" w:eastAsia="宋体" w:cs="宋体"/>
                <w:b/>
                <w:bCs/>
                <w:kern w:val="0"/>
                <w:sz w:val="16"/>
                <w:szCs w:val="16"/>
                <w:highlight w:val="none"/>
                <w:lang w:bidi="ar"/>
              </w:rPr>
              <w:t>、</w:t>
            </w:r>
            <w:r>
              <w:rPr>
                <w:rFonts w:hint="eastAsia"/>
                <w:b/>
                <w:bCs/>
                <w:highlight w:val="none"/>
              </w:rPr>
              <w:t>★”项的一般技术参数</w:t>
            </w:r>
          </w:p>
          <w:p>
            <w:pPr>
              <w:pStyle w:val="44"/>
              <w:widowControl/>
              <w:snapToGrid w:val="0"/>
              <w:spacing w:line="360" w:lineRule="auto"/>
              <w:ind w:firstLine="0" w:firstLineChars="0"/>
              <w:rPr>
                <w:highlight w:val="none"/>
              </w:rPr>
            </w:pPr>
            <w:r>
              <w:rPr>
                <w:rFonts w:hint="eastAsia"/>
                <w:highlight w:val="none"/>
              </w:rPr>
              <w:t>“第五章 采购需求一览表”中未标注“</w:t>
            </w:r>
            <w:r>
              <w:rPr>
                <w:rFonts w:hint="eastAsia" w:ascii="Times New Roman" w:eastAsia="宋体"/>
                <w:b/>
                <w:bCs/>
                <w:highlight w:val="none"/>
              </w:rPr>
              <w:t>▲</w:t>
            </w:r>
            <w:r>
              <w:rPr>
                <w:rFonts w:hint="eastAsia" w:ascii="宋体" w:hAnsi="宋体" w:eastAsia="宋体" w:cs="宋体"/>
                <w:kern w:val="0"/>
                <w:sz w:val="16"/>
                <w:szCs w:val="16"/>
                <w:highlight w:val="none"/>
                <w:lang w:bidi="ar"/>
              </w:rPr>
              <w:t>、</w:t>
            </w:r>
            <w:r>
              <w:rPr>
                <w:rFonts w:hint="eastAsia"/>
                <w:highlight w:val="none"/>
              </w:rPr>
              <w:t>★”项的参数为一般参数，共22项，每出现一条负偏离或未按要求提供技术证明材料的，扣0.5分，分值扣完11分为止。</w:t>
            </w:r>
          </w:p>
          <w:p>
            <w:pPr>
              <w:pStyle w:val="42"/>
              <w:spacing w:line="360" w:lineRule="auto"/>
              <w:ind w:firstLine="0" w:firstLineChars="0"/>
              <w:rPr>
                <w:b/>
                <w:bCs/>
                <w:highlight w:val="none"/>
              </w:rPr>
            </w:pPr>
            <w:r>
              <w:rPr>
                <w:b/>
                <w:bCs/>
                <w:highlight w:val="none"/>
              </w:rPr>
              <w:t>注：（1）招标文件第五章《项目需求及技术要求》技术参数中，标</w:t>
            </w:r>
            <w:r>
              <w:rPr>
                <w:rFonts w:hint="eastAsia" w:ascii="宋体" w:hAnsi="宋体" w:eastAsia="宋体" w:cs="宋体"/>
                <w:bCs/>
                <w:kern w:val="0"/>
                <w:highlight w:val="none"/>
              </w:rPr>
              <w:t>“▲”的核心技术参数必须提供技术支持资料支持参数技术规格偏离表应答（技术支持资料包括但不限于投标产品的技术白皮书、产品相关鉴定资料、试验报告、检验报告、图纸资料等），若投标文件中</w:t>
            </w:r>
            <w:r>
              <w:rPr>
                <w:rFonts w:hint="eastAsia" w:cs="宋体"/>
                <w:bCs/>
                <w:kern w:val="0"/>
                <w:highlight w:val="none"/>
              </w:rPr>
              <w:t>技术支持资料</w:t>
            </w:r>
            <w:r>
              <w:rPr>
                <w:rFonts w:hint="eastAsia" w:ascii="宋体" w:hAnsi="宋体" w:eastAsia="宋体" w:cs="宋体"/>
                <w:bCs/>
                <w:kern w:val="0"/>
                <w:highlight w:val="none"/>
              </w:rPr>
              <w:t>与技术条款偏离表应答不符或无</w:t>
            </w:r>
            <w:r>
              <w:rPr>
                <w:rFonts w:hint="eastAsia" w:cs="宋体"/>
                <w:bCs/>
                <w:kern w:val="0"/>
                <w:highlight w:val="none"/>
              </w:rPr>
              <w:t>相关技术支持资料</w:t>
            </w:r>
            <w:r>
              <w:rPr>
                <w:rFonts w:hint="eastAsia" w:ascii="宋体" w:hAnsi="宋体" w:eastAsia="宋体" w:cs="宋体"/>
                <w:bCs/>
                <w:kern w:val="0"/>
                <w:highlight w:val="none"/>
              </w:rPr>
              <w:t>应答，而投标人又未在投标文件中作出说明和解释的，评标委员会在评审时可以视为不响应该条技术条款的规定。</w:t>
            </w:r>
          </w:p>
          <w:p>
            <w:pPr>
              <w:pStyle w:val="42"/>
              <w:spacing w:line="360" w:lineRule="auto"/>
              <w:ind w:firstLine="0" w:firstLineChars="0"/>
              <w:rPr>
                <w:b/>
                <w:bCs/>
                <w:highlight w:val="none"/>
              </w:rPr>
            </w:pPr>
            <w:r>
              <w:rPr>
                <w:b/>
                <w:bCs/>
                <w:highlight w:val="none"/>
              </w:rPr>
              <w:t>（2）招标文件第五章《项目需求及技术要求》技术参数中，标注“★”号的重要技术参数必须提供国家法定检测机构出具的检测报告支持技术条款偏离表应答，如招标文件第五章《采购需求》有特殊要求，以第五章《采购需求》要求为准，若投标文件中检测报告参数与技术条款偏离表应答不符或无检测报告应答，而投标人又未在投标文件中作出说明和解释的，评标委员会在评审时可以视为不响应该条技术条款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b/>
                <w:szCs w:val="21"/>
                <w:highlight w:val="none"/>
              </w:rPr>
            </w:pPr>
            <w:r>
              <w:rPr>
                <w:rFonts w:hint="eastAsia" w:ascii="宋体" w:hAnsi="宋体" w:cs="宋体"/>
                <w:b/>
                <w:bCs/>
                <w:kern w:val="0"/>
                <w:szCs w:val="21"/>
                <w:highlight w:val="none"/>
                <w:lang w:bidi="ar"/>
              </w:rPr>
              <w:t>2.样品评审（满分10分）</w:t>
            </w:r>
          </w:p>
        </w:tc>
        <w:tc>
          <w:tcPr>
            <w:tcW w:w="6344" w:type="dxa"/>
            <w:tcBorders>
              <w:top w:val="single" w:color="auto" w:sz="4" w:space="0"/>
              <w:left w:val="single" w:color="auto" w:sz="4" w:space="0"/>
              <w:bottom w:val="single" w:color="auto" w:sz="4" w:space="0"/>
              <w:right w:val="single" w:color="auto" w:sz="4" w:space="0"/>
            </w:tcBorders>
            <w:vAlign w:val="center"/>
          </w:tcPr>
          <w:p>
            <w:pPr>
              <w:pStyle w:val="44"/>
              <w:widowControl/>
              <w:snapToGrid w:val="0"/>
              <w:spacing w:line="360" w:lineRule="auto"/>
              <w:ind w:firstLine="0" w:firstLineChars="0"/>
              <w:rPr>
                <w:rFonts w:ascii="宋体" w:hAnsi="宋体" w:eastAsia="宋体"/>
                <w:szCs w:val="21"/>
                <w:highlight w:val="none"/>
              </w:rPr>
            </w:pPr>
            <w:r>
              <w:rPr>
                <w:rFonts w:hint="eastAsia" w:ascii="宋体" w:hAnsi="宋体" w:eastAsia="宋体"/>
                <w:szCs w:val="21"/>
                <w:highlight w:val="none"/>
              </w:rPr>
              <w:t>根据投标人提供的样品进行评审。若未提交样品或样品样式存在明显差异，则本项“样品评审”不得分，各包具体评审细则详见附件《样品评审细则》。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b/>
                <w:szCs w:val="21"/>
                <w:highlight w:val="none"/>
              </w:rPr>
            </w:pPr>
            <w:r>
              <w:rPr>
                <w:rFonts w:hint="eastAsia" w:ascii="宋体" w:hAnsi="宋体" w:eastAsia="宋体" w:cs="宋体"/>
                <w:b/>
                <w:kern w:val="0"/>
                <w:szCs w:val="21"/>
                <w:highlight w:val="none"/>
                <w:lang w:bidi="ar"/>
              </w:rPr>
              <w:t>3.实施方案评审</w:t>
            </w:r>
            <w:r>
              <w:rPr>
                <w:rFonts w:hint="eastAsia" w:ascii="宋体" w:hAnsi="宋体" w:cs="宋体"/>
                <w:b/>
                <w:kern w:val="0"/>
                <w:szCs w:val="21"/>
                <w:highlight w:val="none"/>
                <w:lang w:bidi="ar"/>
              </w:rPr>
              <w:t>(满分12分）</w:t>
            </w:r>
          </w:p>
        </w:tc>
        <w:tc>
          <w:tcPr>
            <w:tcW w:w="6344" w:type="dxa"/>
            <w:tcBorders>
              <w:top w:val="single" w:color="auto" w:sz="4" w:space="0"/>
              <w:left w:val="single" w:color="auto" w:sz="4" w:space="0"/>
              <w:bottom w:val="single" w:color="auto" w:sz="4" w:space="0"/>
              <w:right w:val="single" w:color="auto" w:sz="4" w:space="0"/>
            </w:tcBorders>
            <w:vAlign w:val="center"/>
          </w:tcPr>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针对本项目制定的①供货计划(包括但不限于工期安排、采购安排、人员安排等):②)进度保障(包括但不限于制作工序、产品制作顺序，交货期按期保质交付方案等);③包装运输控制措施。</w:t>
            </w:r>
          </w:p>
          <w:p>
            <w:pPr>
              <w:pStyle w:val="44"/>
              <w:widowControl/>
              <w:numPr>
                <w:ilvl w:val="0"/>
                <w:numId w:val="21"/>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以上3 项内容，计划安排阶段分明、进度安排科学可行、保障措施可行，完全满足项目交付周期实际需求，得12分；</w:t>
            </w:r>
          </w:p>
          <w:p>
            <w:pPr>
              <w:pStyle w:val="44"/>
              <w:widowControl/>
              <w:numPr>
                <w:ilvl w:val="0"/>
                <w:numId w:val="21"/>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提供了常规、通用的供货计划等实施方案及进度计划，保障措施能够满足项目需求，得8分；</w:t>
            </w:r>
          </w:p>
          <w:p>
            <w:pPr>
              <w:pStyle w:val="44"/>
              <w:widowControl/>
              <w:numPr>
                <w:ilvl w:val="0"/>
                <w:numId w:val="21"/>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方案有欠缺或存在明显问题，各项工作混乱，针对性可行性差，得4分；</w:t>
            </w:r>
          </w:p>
          <w:p>
            <w:pPr>
              <w:pStyle w:val="44"/>
              <w:widowControl/>
              <w:numPr>
                <w:ilvl w:val="0"/>
                <w:numId w:val="21"/>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未提供实施方案的，得0分。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kern w:val="0"/>
                <w:szCs w:val="21"/>
                <w:highlight w:val="none"/>
                <w:lang w:bidi="ar"/>
              </w:rPr>
            </w:pPr>
            <w:r>
              <w:rPr>
                <w:rFonts w:hint="eastAsia" w:ascii="宋体" w:hAnsi="宋体" w:eastAsia="宋体" w:cs="宋体"/>
                <w:b/>
                <w:kern w:val="0"/>
                <w:szCs w:val="21"/>
                <w:highlight w:val="none"/>
                <w:lang w:bidi="ar"/>
              </w:rPr>
              <w:t>4、供货周期</w:t>
            </w:r>
            <w:r>
              <w:rPr>
                <w:rFonts w:hint="eastAsia" w:ascii="宋体" w:hAnsi="宋体" w:cs="宋体"/>
                <w:b/>
                <w:kern w:val="0"/>
                <w:szCs w:val="21"/>
                <w:highlight w:val="none"/>
                <w:lang w:bidi="ar"/>
              </w:rPr>
              <w:t>(满分3分）</w:t>
            </w:r>
          </w:p>
        </w:tc>
        <w:tc>
          <w:tcPr>
            <w:tcW w:w="6344" w:type="dxa"/>
            <w:tcBorders>
              <w:top w:val="single" w:color="auto" w:sz="4" w:space="0"/>
              <w:left w:val="single" w:color="auto" w:sz="4" w:space="0"/>
              <w:bottom w:val="single" w:color="auto" w:sz="4" w:space="0"/>
              <w:right w:val="single" w:color="auto" w:sz="4" w:space="0"/>
            </w:tcBorders>
            <w:vAlign w:val="center"/>
          </w:tcPr>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供货周期在满足采购文件的基础上每提前5天得1分，分值加至3分满为止。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eastAsia="宋体" w:cs="宋体"/>
                <w:b/>
                <w:kern w:val="0"/>
                <w:szCs w:val="21"/>
                <w:highlight w:val="none"/>
                <w:lang w:bidi="ar"/>
              </w:rPr>
            </w:pPr>
            <w:r>
              <w:rPr>
                <w:rFonts w:hint="eastAsia" w:ascii="宋体" w:hAnsi="宋体" w:eastAsia="宋体" w:cs="宋体"/>
                <w:b/>
                <w:kern w:val="0"/>
                <w:szCs w:val="21"/>
                <w:highlight w:val="none"/>
                <w:lang w:bidi="ar"/>
              </w:rPr>
              <w:t>5.售后服务方案（满分12分）</w:t>
            </w:r>
          </w:p>
        </w:tc>
        <w:tc>
          <w:tcPr>
            <w:tcW w:w="6344" w:type="dxa"/>
            <w:tcBorders>
              <w:top w:val="single" w:color="auto" w:sz="4" w:space="0"/>
              <w:left w:val="single" w:color="auto" w:sz="4" w:space="0"/>
              <w:right w:val="single" w:color="auto" w:sz="4" w:space="0"/>
            </w:tcBorders>
            <w:vAlign w:val="center"/>
          </w:tcPr>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质保期：在满足招标人要求的基础上，每标包所有产品均承诺质保期每增加1年得1分，最多得2分。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vMerge w:val="continue"/>
            <w:tcBorders>
              <w:left w:val="single" w:color="auto" w:sz="4" w:space="0"/>
              <w:right w:val="single" w:color="auto" w:sz="4" w:space="0"/>
            </w:tcBorders>
            <w:vAlign w:val="center"/>
          </w:tcPr>
          <w:p>
            <w:pPr>
              <w:spacing w:line="360" w:lineRule="auto"/>
              <w:jc w:val="center"/>
              <w:rPr>
                <w:rFonts w:ascii="宋体" w:hAnsi="宋体" w:eastAsia="宋体" w:cs="宋体"/>
                <w:b/>
                <w:kern w:val="0"/>
                <w:szCs w:val="21"/>
                <w:highlight w:val="none"/>
                <w:lang w:bidi="ar"/>
              </w:rPr>
            </w:pPr>
          </w:p>
        </w:tc>
        <w:tc>
          <w:tcPr>
            <w:tcW w:w="6344" w:type="dxa"/>
            <w:tcBorders>
              <w:left w:val="single" w:color="auto" w:sz="4" w:space="0"/>
              <w:right w:val="single" w:color="auto" w:sz="4" w:space="0"/>
            </w:tcBorders>
            <w:vAlign w:val="center"/>
          </w:tcPr>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质保期内免费调换比例及免费邮寄等承诺:</w:t>
            </w:r>
          </w:p>
          <w:p>
            <w:pPr>
              <w:pStyle w:val="44"/>
              <w:widowControl/>
              <w:numPr>
                <w:ilvl w:val="0"/>
                <w:numId w:val="22"/>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承诺日常为采购人提供总数量的5%的备货库存，采购人提出调换货物的要求时，投标人承诺免费调换货物比例为总数量的5%，且收到招标人调换货物通知后能够保证5日内送达并承担邮寄费等相关费用，得10分；</w:t>
            </w:r>
          </w:p>
          <w:p>
            <w:pPr>
              <w:pStyle w:val="44"/>
              <w:widowControl/>
              <w:numPr>
                <w:ilvl w:val="0"/>
                <w:numId w:val="22"/>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承诺日常为采购人提供总数量的3%的备货库存，采购人提出调换货物的要求时，投标人承诺免费调换比例为总数量的3%，且收到招标人调换货物通知后7日内送达并承担邮寄费等相关费用，得7分；</w:t>
            </w:r>
          </w:p>
          <w:p>
            <w:pPr>
              <w:pStyle w:val="44"/>
              <w:widowControl/>
              <w:numPr>
                <w:ilvl w:val="0"/>
                <w:numId w:val="22"/>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承诺日常为采购人提供总数量的1%的备货库存，采购人提出调换货物的要求时，投标人承诺免费调换比例为总数量的1%，且收到招标人调换货物通知后9天内送达并承担邮寄费等相关费用，得3分；</w:t>
            </w:r>
          </w:p>
          <w:p>
            <w:pPr>
              <w:pStyle w:val="44"/>
              <w:widowControl/>
              <w:numPr>
                <w:ilvl w:val="0"/>
                <w:numId w:val="22"/>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未提供相关承诺、未承诺承担邮寄费或送达时间超过9天，得0分。</w:t>
            </w:r>
          </w:p>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投标人应针对自身情况提供切实可行的调换方案包括但不限于产品余量库存、主辅料库存保障、调换产品的发货运输以及物流运输机构选择等内容。</w:t>
            </w:r>
          </w:p>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注:为保障项目后续实施，采购人将对中标单位进行不定期走访并考察余量库存等以确保后续调换保障，如发现存在弄虚作假，与事实不符或无法保障后续实施，采购人有权终止合同并追究其责任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tcBorders>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b/>
                <w:kern w:val="0"/>
                <w:szCs w:val="21"/>
                <w:highlight w:val="none"/>
                <w:lang w:bidi="ar"/>
              </w:rPr>
            </w:pPr>
            <w:r>
              <w:rPr>
                <w:rFonts w:hint="eastAsia" w:ascii="宋体" w:hAnsi="宋体" w:eastAsia="宋体" w:cs="宋体"/>
                <w:b/>
                <w:kern w:val="0"/>
                <w:szCs w:val="21"/>
                <w:highlight w:val="none"/>
                <w:lang w:bidi="ar"/>
              </w:rPr>
              <w:t>6.质量保障评审（满分5分 ）</w:t>
            </w:r>
          </w:p>
        </w:tc>
        <w:tc>
          <w:tcPr>
            <w:tcW w:w="6344" w:type="dxa"/>
            <w:tcBorders>
              <w:top w:val="single" w:color="auto" w:sz="4" w:space="0"/>
              <w:left w:val="single" w:color="auto" w:sz="4" w:space="0"/>
              <w:bottom w:val="single" w:color="auto" w:sz="4" w:space="0"/>
              <w:right w:val="single" w:color="auto" w:sz="4" w:space="0"/>
            </w:tcBorders>
            <w:vAlign w:val="center"/>
          </w:tcPr>
          <w:p>
            <w:pPr>
              <w:pStyle w:val="44"/>
              <w:widowControl/>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根据投标人针对本项目制定的质量保障方案，包括但不限于制作过程质量控制、过程风险控制、产品出厂质量控制等各阶段质量控制措施和检验与验收内容。</w:t>
            </w:r>
          </w:p>
          <w:p>
            <w:pPr>
              <w:pStyle w:val="44"/>
              <w:widowControl/>
              <w:numPr>
                <w:ilvl w:val="0"/>
                <w:numId w:val="23"/>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提供了内容完整、详实可行的质量保障方案，有很强的针对性，得5分；</w:t>
            </w:r>
          </w:p>
          <w:p>
            <w:pPr>
              <w:pStyle w:val="44"/>
              <w:widowControl/>
              <w:numPr>
                <w:ilvl w:val="0"/>
                <w:numId w:val="23"/>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提供了常规、通用的质量保障方案，基本符合采购需求，得3分；</w:t>
            </w:r>
          </w:p>
          <w:p>
            <w:pPr>
              <w:pStyle w:val="44"/>
              <w:widowControl/>
              <w:numPr>
                <w:ilvl w:val="0"/>
                <w:numId w:val="23"/>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提供的质量保障方案欠佳或方案不可行，得1分；</w:t>
            </w:r>
          </w:p>
          <w:p>
            <w:pPr>
              <w:pStyle w:val="44"/>
              <w:widowControl/>
              <w:numPr>
                <w:ilvl w:val="0"/>
                <w:numId w:val="23"/>
              </w:numPr>
              <w:snapToGrid w:val="0"/>
              <w:spacing w:line="360" w:lineRule="auto"/>
              <w:ind w:firstLine="0" w:firstLineChars="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未提供相应方案，得0分。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384" w:type="dxa"/>
            <w:vMerge w:val="restart"/>
            <w:tcBorders>
              <w:left w:val="single" w:color="auto" w:sz="4" w:space="0"/>
              <w:right w:val="single" w:color="auto" w:sz="4" w:space="0"/>
            </w:tcBorders>
            <w:vAlign w:val="center"/>
          </w:tcPr>
          <w:p>
            <w:pPr>
              <w:spacing w:line="360" w:lineRule="auto"/>
              <w:rPr>
                <w:rFonts w:ascii="宋体" w:hAnsi="宋体"/>
                <w:b/>
                <w:szCs w:val="21"/>
                <w:highlight w:val="none"/>
              </w:rPr>
            </w:pPr>
            <w:r>
              <w:rPr>
                <w:rFonts w:ascii="宋体" w:hAnsi="宋体"/>
                <w:b/>
                <w:szCs w:val="21"/>
                <w:highlight w:val="none"/>
              </w:rPr>
              <w:t>F3</w:t>
            </w:r>
            <w:r>
              <w:rPr>
                <w:rFonts w:hint="eastAsia" w:ascii="宋体" w:hAnsi="宋体"/>
                <w:b/>
                <w:szCs w:val="21"/>
                <w:highlight w:val="none"/>
              </w:rPr>
              <w:t>商务部分得分</w:t>
            </w:r>
            <w:r>
              <w:rPr>
                <w:rFonts w:ascii="宋体" w:hAnsi="宋体"/>
                <w:b/>
                <w:szCs w:val="21"/>
                <w:highlight w:val="none"/>
              </w:rPr>
              <w:t>（满分</w:t>
            </w:r>
            <w:r>
              <w:rPr>
                <w:rFonts w:hint="eastAsia" w:ascii="宋体" w:hAnsi="宋体"/>
                <w:b/>
                <w:szCs w:val="21"/>
                <w:highlight w:val="none"/>
              </w:rPr>
              <w:t>5分）</w:t>
            </w:r>
          </w:p>
        </w:tc>
        <w:tc>
          <w:tcPr>
            <w:tcW w:w="2126" w:type="dxa"/>
            <w:tcBorders>
              <w:top w:val="single" w:color="auto" w:sz="4" w:space="0"/>
              <w:left w:val="single" w:color="auto" w:sz="4" w:space="0"/>
              <w:right w:val="single" w:color="auto" w:sz="4" w:space="0"/>
            </w:tcBorders>
            <w:vAlign w:val="center"/>
          </w:tcPr>
          <w:p>
            <w:pPr>
              <w:spacing w:line="360" w:lineRule="auto"/>
              <w:jc w:val="center"/>
              <w:rPr>
                <w:rFonts w:ascii="宋体" w:hAnsi="宋体"/>
                <w:b/>
                <w:szCs w:val="21"/>
                <w:highlight w:val="none"/>
              </w:rPr>
            </w:pPr>
            <w:r>
              <w:rPr>
                <w:rFonts w:hint="eastAsia" w:ascii="宋体" w:hAnsi="宋体"/>
                <w:b/>
                <w:szCs w:val="21"/>
                <w:highlight w:val="none"/>
              </w:rPr>
              <w:t>1.同类项目业绩</w:t>
            </w:r>
          </w:p>
          <w:p>
            <w:pPr>
              <w:spacing w:line="360" w:lineRule="auto"/>
              <w:jc w:val="center"/>
              <w:rPr>
                <w:rFonts w:ascii="宋体" w:hAnsi="宋体" w:eastAsia="宋体" w:cs="Times New Roman"/>
                <w:b/>
                <w:szCs w:val="21"/>
                <w:highlight w:val="none"/>
              </w:rPr>
            </w:pPr>
            <w:r>
              <w:rPr>
                <w:rFonts w:hint="eastAsia" w:ascii="宋体" w:hAnsi="宋体"/>
                <w:b/>
                <w:szCs w:val="21"/>
                <w:highlight w:val="none"/>
              </w:rPr>
              <w:t>（满分4分）</w:t>
            </w:r>
          </w:p>
        </w:tc>
        <w:tc>
          <w:tcPr>
            <w:tcW w:w="6344"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60" w:lineRule="auto"/>
              <w:rPr>
                <w:rFonts w:ascii="宋体" w:hAnsi="宋体"/>
                <w:szCs w:val="21"/>
                <w:highlight w:val="none"/>
              </w:rPr>
            </w:pPr>
            <w:r>
              <w:rPr>
                <w:rFonts w:hint="eastAsia" w:ascii="宋体" w:hAnsi="宋体"/>
                <w:szCs w:val="21"/>
                <w:highlight w:val="none"/>
              </w:rPr>
              <w:t>投标人自2022年1月1日起至今(以合同签订日期为准)与所投分包同类产品(指功能用途相同或相似的产品)的销售业绩，每提供1项</w:t>
            </w:r>
            <w:r>
              <w:rPr>
                <w:rFonts w:hint="eastAsia" w:ascii="宋体" w:hAnsi="宋体" w:cs="宋体"/>
                <w:szCs w:val="21"/>
                <w:highlight w:val="none"/>
                <w:lang w:bidi="ar"/>
              </w:rPr>
              <w:t>类似业绩加1分，满分4分</w:t>
            </w:r>
            <w:r>
              <w:rPr>
                <w:rFonts w:hint="eastAsia" w:ascii="宋体" w:hAnsi="宋体"/>
                <w:szCs w:val="21"/>
                <w:highlight w:val="none"/>
              </w:rPr>
              <w:t>。</w:t>
            </w:r>
          </w:p>
          <w:p>
            <w:pPr>
              <w:spacing w:line="360" w:lineRule="auto"/>
              <w:jc w:val="left"/>
              <w:rPr>
                <w:rFonts w:ascii="宋体" w:hAnsi="宋体" w:eastAsia="宋体"/>
                <w:szCs w:val="21"/>
                <w:highlight w:val="none"/>
              </w:rPr>
            </w:pPr>
            <w:r>
              <w:rPr>
                <w:rFonts w:hint="eastAsia" w:ascii="宋体" w:hAnsi="宋体" w:cs="宋体"/>
                <w:szCs w:val="21"/>
                <w:highlight w:val="none"/>
                <w:lang w:bidi="ar"/>
              </w:rPr>
              <w:t>注：投标文件中须提供业绩证明材料，业绩证明材料为投标人与业主单位签订的合同（合同包括：首页、标的金额所在页及合同电子签名盖章页）或中标（成交）通知书。无证明材料或证明材料不明确、无法体现业绩内容或与投标文件内容不一致的，视为无效业绩，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Borders>
              <w:left w:val="single" w:color="auto" w:sz="4" w:space="0"/>
              <w:right w:val="single" w:color="auto" w:sz="4" w:space="0"/>
            </w:tcBorders>
            <w:vAlign w:val="center"/>
          </w:tcPr>
          <w:p>
            <w:pPr>
              <w:spacing w:line="360" w:lineRule="auto"/>
              <w:rPr>
                <w:rFonts w:ascii="宋体" w:hAnsi="宋体"/>
                <w:b/>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zCs w:val="21"/>
                <w:highlight w:val="none"/>
              </w:rPr>
            </w:pPr>
            <w:r>
              <w:rPr>
                <w:rFonts w:hint="eastAsia" w:ascii="宋体" w:hAnsi="宋体"/>
                <w:b/>
                <w:szCs w:val="21"/>
                <w:highlight w:val="none"/>
              </w:rPr>
              <w:t>2.节能环保（满分1分）</w:t>
            </w:r>
          </w:p>
        </w:tc>
        <w:tc>
          <w:tcPr>
            <w:tcW w:w="6344"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szCs w:val="21"/>
                <w:highlight w:val="none"/>
                <w:lang w:bidi="ar"/>
              </w:rPr>
            </w:pPr>
            <w:r>
              <w:rPr>
                <w:rFonts w:hint="eastAsia" w:ascii="宋体" w:hAnsi="宋体" w:cs="宋体"/>
                <w:szCs w:val="21"/>
                <w:highlight w:val="none"/>
                <w:lang w:bidi="ar"/>
              </w:rPr>
              <w:t>1.本项目采购产品属于“节能产品政府采购品目清单”中优先采购范围， 并且响应产品获得国家确定的认证机构出具的、处于有效期内的节能产 品认证证书的，得0.5分，否则不得分。</w:t>
            </w:r>
          </w:p>
          <w:p>
            <w:pPr>
              <w:spacing w:line="360" w:lineRule="auto"/>
              <w:jc w:val="left"/>
              <w:rPr>
                <w:rFonts w:ascii="宋体" w:hAnsi="宋体" w:cs="宋体"/>
                <w:szCs w:val="21"/>
                <w:highlight w:val="none"/>
                <w:lang w:bidi="ar"/>
              </w:rPr>
            </w:pPr>
            <w:r>
              <w:rPr>
                <w:rFonts w:hint="eastAsia" w:ascii="宋体" w:hAnsi="宋体" w:cs="宋体"/>
                <w:szCs w:val="21"/>
                <w:highlight w:val="none"/>
                <w:lang w:bidi="ar"/>
              </w:rPr>
              <w:t>2.本项目采购产品属于“环境标志产品政府采购品目清单”中优先采购 范围，并且响应产品获得国家确定的认证机构出具的、处于有效期内的 环境标志产品认证证书的，得0.5分，否则不得分。</w:t>
            </w:r>
          </w:p>
          <w:p>
            <w:pPr>
              <w:spacing w:line="360" w:lineRule="auto"/>
              <w:jc w:val="left"/>
              <w:rPr>
                <w:rFonts w:ascii="宋体" w:hAnsi="宋体" w:cs="宋体"/>
                <w:b/>
                <w:bCs/>
                <w:szCs w:val="21"/>
                <w:highlight w:val="none"/>
                <w:lang w:bidi="ar"/>
              </w:rPr>
            </w:pPr>
            <w:r>
              <w:rPr>
                <w:rFonts w:hint="eastAsia" w:ascii="宋体" w:hAnsi="宋体" w:cs="宋体"/>
                <w:szCs w:val="21"/>
                <w:highlight w:val="none"/>
                <w:lang w:bidi="ar"/>
              </w:rPr>
              <w:t>注：供应商须在响应文件中提供其所投产品有效认证证书复印件（加盖 公章），否则不予认可。</w:t>
            </w:r>
          </w:p>
        </w:tc>
      </w:tr>
    </w:tbl>
    <w:p>
      <w:pPr>
        <w:rPr>
          <w:rFonts w:hAnsi="宋体"/>
          <w:b/>
          <w:bCs/>
          <w:sz w:val="24"/>
          <w:highlight w:val="none"/>
        </w:rPr>
      </w:pPr>
      <w:r>
        <w:rPr>
          <w:rFonts w:hAnsi="宋体"/>
          <w:b/>
          <w:bCs/>
          <w:sz w:val="24"/>
          <w:highlight w:val="none"/>
        </w:rPr>
        <w:br w:type="page"/>
      </w:r>
      <w:r>
        <w:rPr>
          <w:rFonts w:hint="eastAsia" w:hAnsi="宋体"/>
          <w:b/>
          <w:bCs/>
          <w:sz w:val="24"/>
          <w:highlight w:val="none"/>
        </w:rPr>
        <w:t>附件：《样品评审细则》</w:t>
      </w:r>
    </w:p>
    <w:p>
      <w:pPr>
        <w:rPr>
          <w:rFonts w:ascii="Calibri" w:hAnsi="Calibri" w:eastAsia="宋体" w:cs="Times New Roman"/>
          <w:b/>
          <w:bCs/>
          <w:highlight w:val="none"/>
        </w:rPr>
      </w:pPr>
    </w:p>
    <w:p>
      <w:pPr>
        <w:rPr>
          <w:rFonts w:ascii="Calibri" w:hAnsi="Calibri" w:eastAsia="宋体" w:cs="Times New Roman"/>
          <w:highlight w:val="none"/>
        </w:rPr>
      </w:pPr>
    </w:p>
    <w:p>
      <w:pPr>
        <w:ind w:firstLine="211" w:firstLineChars="100"/>
        <w:rPr>
          <w:rFonts w:ascii="Calibri" w:hAnsi="Calibri" w:eastAsia="宋体" w:cs="Times New Roman"/>
          <w:b/>
          <w:bCs/>
          <w:highlight w:val="none"/>
        </w:rPr>
      </w:pPr>
      <w:r>
        <w:rPr>
          <w:rFonts w:hint="eastAsia" w:ascii="Calibri" w:hAnsi="Calibri" w:eastAsia="宋体" w:cs="Times New Roman"/>
          <w:b/>
          <w:bCs/>
          <w:highlight w:val="none"/>
        </w:rPr>
        <w:t>2标包样品评审细则：佩戴式头灯</w:t>
      </w:r>
    </w:p>
    <w:tbl>
      <w:tblPr>
        <w:tblStyle w:val="2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1362"/>
        <w:gridCol w:w="773"/>
        <w:gridCol w:w="3658"/>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tcPr>
          <w:p>
            <w:pPr>
              <w:spacing w:after="120"/>
              <w:rPr>
                <w:rFonts w:ascii="Calibri" w:hAnsi="Calibri" w:eastAsia="宋体" w:cs="Times New Roman"/>
                <w:b/>
                <w:bCs/>
                <w:highlight w:val="none"/>
              </w:rPr>
            </w:pPr>
            <w:r>
              <w:rPr>
                <w:rFonts w:hint="eastAsia" w:ascii="Calibri" w:hAnsi="Calibri" w:eastAsia="宋体" w:cs="Times New Roman"/>
                <w:b/>
                <w:bCs/>
                <w:highlight w:val="none"/>
              </w:rPr>
              <w:t>序号</w:t>
            </w:r>
          </w:p>
        </w:tc>
        <w:tc>
          <w:tcPr>
            <w:tcW w:w="1362"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评审因素</w:t>
            </w:r>
          </w:p>
        </w:tc>
        <w:tc>
          <w:tcPr>
            <w:tcW w:w="773"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分值</w:t>
            </w:r>
          </w:p>
        </w:tc>
        <w:tc>
          <w:tcPr>
            <w:tcW w:w="3658"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评分标注说明</w:t>
            </w:r>
          </w:p>
        </w:tc>
        <w:tc>
          <w:tcPr>
            <w:tcW w:w="2101"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产品外观</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1.5</w:t>
            </w:r>
          </w:p>
        </w:tc>
        <w:tc>
          <w:tcPr>
            <w:tcW w:w="3658" w:type="dxa"/>
            <w:vAlign w:val="center"/>
          </w:tcPr>
          <w:p>
            <w:pPr>
              <w:spacing w:after="120"/>
              <w:rPr>
                <w:rFonts w:ascii="Calibri" w:hAnsi="Calibri" w:eastAsia="宋体" w:cs="Times New Roman"/>
                <w:highlight w:val="none"/>
              </w:rPr>
            </w:pPr>
            <w:r>
              <w:rPr>
                <w:rFonts w:hint="eastAsia" w:ascii="宋体" w:hAnsi="宋体" w:eastAsia="宋体" w:cs="宋体"/>
                <w:bCs/>
                <w:kern w:val="0"/>
                <w:szCs w:val="21"/>
                <w:highlight w:val="none"/>
                <w:lang w:bidi="ar"/>
              </w:rPr>
              <w:t>头灯成品光滑，无划痕、磨损、毛刺、油渍，镜片和反光杯光洁、无痕迹。</w:t>
            </w:r>
          </w:p>
        </w:tc>
        <w:tc>
          <w:tcPr>
            <w:tcW w:w="2101"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Cs/>
                <w:kern w:val="0"/>
                <w:szCs w:val="21"/>
                <w:highlight w:val="none"/>
                <w:lang w:bidi="ar"/>
              </w:rPr>
              <w:t>完全满足得1.5分，每有一项（处）不满足或无法达到要求扣0.5分，分值扣完为止。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Calibri" w:hAnsi="Calibri" w:eastAsia="宋体" w:cs="Times New Roman"/>
                <w:highlight w:val="none"/>
              </w:rPr>
            </w:pPr>
            <w:r>
              <w:rPr>
                <w:rFonts w:hint="eastAsia" w:ascii="宋体" w:hAnsi="宋体" w:eastAsia="宋体" w:cs="宋体"/>
                <w:bCs/>
                <w:kern w:val="0"/>
                <w:szCs w:val="21"/>
                <w:highlight w:val="none"/>
                <w:lang w:bidi="ar"/>
              </w:rPr>
              <w:t>佩戴式头灯表面印刷的“佩戴式头灯”5个字体印刷清晰、完整。</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spacing w:after="120"/>
              <w:rPr>
                <w:rFonts w:ascii="Calibri" w:hAnsi="Calibri" w:eastAsia="宋体" w:cs="Times New Roman"/>
                <w:highlight w:val="none"/>
              </w:rPr>
            </w:pPr>
            <w:r>
              <w:rPr>
                <w:rFonts w:hint="eastAsia" w:ascii="宋体" w:hAnsi="宋体" w:eastAsia="宋体" w:cs="宋体"/>
                <w:bCs/>
                <w:kern w:val="0"/>
                <w:szCs w:val="21"/>
                <w:highlight w:val="none"/>
                <w:lang w:bidi="ar"/>
              </w:rPr>
              <w:t>各部件齐全、装配严密、操作方便。</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0.3</w:t>
            </w:r>
          </w:p>
        </w:tc>
        <w:tc>
          <w:tcPr>
            <w:tcW w:w="3658" w:type="dxa"/>
            <w:vAlign w:val="center"/>
          </w:tcPr>
          <w:p>
            <w:pPr>
              <w:spacing w:after="12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充电设备外观平整、设计简洁，充电功率与设备匹配。</w:t>
            </w:r>
          </w:p>
        </w:tc>
        <w:tc>
          <w:tcPr>
            <w:tcW w:w="2101" w:type="dxa"/>
            <w:vAlign w:val="center"/>
          </w:tcPr>
          <w:p>
            <w:pPr>
              <w:spacing w:after="120"/>
              <w:jc w:val="center"/>
              <w:rPr>
                <w:rFonts w:ascii="Calibri" w:hAnsi="Calibri" w:eastAsia="宋体" w:cs="Times New Roman"/>
                <w:color w:val="auto"/>
                <w:highlight w:val="none"/>
              </w:rPr>
            </w:pPr>
            <w:r>
              <w:rPr>
                <w:rFonts w:hint="eastAsia" w:ascii="宋体" w:hAnsi="宋体" w:eastAsia="宋体" w:cs="宋体"/>
                <w:bCs/>
                <w:color w:val="auto"/>
                <w:kern w:val="0"/>
                <w:szCs w:val="21"/>
                <w:highlight w:val="none"/>
                <w:lang w:bidi="ar"/>
              </w:rPr>
              <w:t>完全满足得0.3分，每有一项（处）不满足或无法达到要求</w:t>
            </w:r>
            <w:r>
              <w:rPr>
                <w:rFonts w:hint="eastAsia" w:ascii="宋体" w:hAnsi="宋体" w:eastAsia="宋体" w:cs="宋体"/>
                <w:bCs/>
                <w:color w:val="auto"/>
                <w:kern w:val="0"/>
                <w:szCs w:val="21"/>
                <w:highlight w:val="none"/>
                <w:lang w:eastAsia="zh-CN" w:bidi="ar"/>
              </w:rPr>
              <w:t>不得分</w:t>
            </w:r>
            <w:r>
              <w:rPr>
                <w:rFonts w:hint="eastAsia" w:ascii="宋体" w:hAnsi="宋体" w:eastAsia="宋体" w:cs="宋体"/>
                <w:bCs/>
                <w:color w:val="auto"/>
                <w:kern w:val="0"/>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2</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整体结构</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2</w:t>
            </w:r>
          </w:p>
        </w:tc>
        <w:tc>
          <w:tcPr>
            <w:tcW w:w="3658" w:type="dxa"/>
            <w:vAlign w:val="center"/>
          </w:tcPr>
          <w:p>
            <w:pPr>
              <w:widowControl/>
              <w:snapToGrid w:val="0"/>
              <w:spacing w:line="360" w:lineRule="auto"/>
              <w:rPr>
                <w:rFonts w:ascii="Calibri" w:hAnsi="Calibri" w:eastAsia="宋体" w:cs="Times New Roman"/>
                <w:highlight w:val="none"/>
              </w:rPr>
            </w:pPr>
            <w:r>
              <w:rPr>
                <w:rFonts w:hint="eastAsia" w:ascii="宋体" w:hAnsi="宋体" w:eastAsia="宋体" w:cs="宋体"/>
                <w:bCs/>
                <w:kern w:val="0"/>
                <w:szCs w:val="21"/>
                <w:highlight w:val="none"/>
                <w:lang w:bidi="ar"/>
              </w:rPr>
              <w:t>头灯须自带快拆夹具。</w:t>
            </w:r>
          </w:p>
        </w:tc>
        <w:tc>
          <w:tcPr>
            <w:tcW w:w="2101" w:type="dxa"/>
            <w:vMerge w:val="restart"/>
            <w:vAlign w:val="center"/>
          </w:tcPr>
          <w:p>
            <w:pPr>
              <w:spacing w:after="120"/>
              <w:jc w:val="center"/>
              <w:rPr>
                <w:rFonts w:ascii="Calibri" w:hAnsi="Calibri" w:eastAsia="宋体" w:cs="Times New Roman"/>
                <w:color w:val="auto"/>
                <w:highlight w:val="none"/>
              </w:rPr>
            </w:pPr>
            <w:r>
              <w:rPr>
                <w:rFonts w:hint="eastAsia" w:ascii="宋体" w:hAnsi="宋体" w:eastAsia="宋体" w:cs="宋体"/>
                <w:bCs/>
                <w:color w:val="auto"/>
                <w:kern w:val="0"/>
                <w:szCs w:val="21"/>
                <w:highlight w:val="none"/>
                <w:lang w:bidi="ar"/>
              </w:rPr>
              <w:t>完全满足得2分，每有一项（处）不满足或无法达到要求扣0.4分，分值扣完为止。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安装好之后头灯可依托夹具进行俯仰调节。</w:t>
            </w:r>
          </w:p>
        </w:tc>
        <w:tc>
          <w:tcPr>
            <w:tcW w:w="2101" w:type="dxa"/>
            <w:vMerge w:val="continue"/>
          </w:tcPr>
          <w:p>
            <w:pPr>
              <w:spacing w:after="120"/>
              <w:jc w:val="center"/>
              <w:rPr>
                <w:rFonts w:ascii="宋体" w:hAnsi="宋体" w:eastAsia="宋体" w:cs="宋体"/>
                <w:bCs/>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俯仰角调节范围不低于上下60度。</w:t>
            </w:r>
          </w:p>
        </w:tc>
        <w:tc>
          <w:tcPr>
            <w:tcW w:w="2101" w:type="dxa"/>
            <w:vMerge w:val="continue"/>
          </w:tcPr>
          <w:p>
            <w:pPr>
              <w:spacing w:after="120"/>
              <w:jc w:val="center"/>
              <w:rPr>
                <w:rFonts w:ascii="宋体" w:hAnsi="宋体" w:eastAsia="宋体" w:cs="宋体"/>
                <w:bCs/>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Calibri" w:hAnsi="Calibri" w:eastAsia="宋体" w:cs="Times New Roman"/>
                <w:highlight w:val="none"/>
              </w:rPr>
            </w:pPr>
            <w:r>
              <w:rPr>
                <w:rFonts w:hint="eastAsia" w:ascii="宋体" w:hAnsi="宋体" w:eastAsia="宋体" w:cs="宋体"/>
                <w:bCs/>
                <w:kern w:val="0"/>
                <w:szCs w:val="21"/>
                <w:highlight w:val="none"/>
                <w:lang w:bidi="ar"/>
              </w:rPr>
              <w:t>产品设计简洁大方，体积小、重量小，携带方便。</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整体结构结实，拆卸方便，产品各连接处稳固。</w:t>
            </w:r>
          </w:p>
        </w:tc>
        <w:tc>
          <w:tcPr>
            <w:tcW w:w="2101" w:type="dxa"/>
            <w:vMerge w:val="continue"/>
          </w:tcPr>
          <w:p>
            <w:pPr>
              <w:spacing w:after="120"/>
              <w:rPr>
                <w:rFonts w:ascii="宋体" w:hAnsi="宋体" w:eastAsia="宋体" w:cs="宋体"/>
                <w:bCs/>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3</w:t>
            </w:r>
          </w:p>
        </w:tc>
        <w:tc>
          <w:tcPr>
            <w:tcW w:w="1362" w:type="dxa"/>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 xml:space="preserve">功能性  </w:t>
            </w:r>
          </w:p>
        </w:tc>
        <w:tc>
          <w:tcPr>
            <w:tcW w:w="773" w:type="dxa"/>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1.2</w:t>
            </w:r>
          </w:p>
        </w:tc>
        <w:tc>
          <w:tcPr>
            <w:tcW w:w="3658" w:type="dxa"/>
          </w:tcPr>
          <w:p>
            <w:pPr>
              <w:widowControl/>
              <w:snapToGrid w:val="0"/>
              <w:spacing w:line="360" w:lineRule="auto"/>
              <w:rPr>
                <w:rFonts w:hint="eastAsia" w:ascii="宋体" w:hAnsi="宋体" w:eastAsia="宋体" w:cs="宋体"/>
                <w:bCs/>
                <w:kern w:val="0"/>
                <w:szCs w:val="21"/>
                <w:highlight w:val="none"/>
                <w:lang w:eastAsia="zh-CN" w:bidi="ar"/>
              </w:rPr>
            </w:pPr>
            <w:r>
              <w:rPr>
                <w:rFonts w:hint="eastAsia" w:ascii="宋体" w:hAnsi="宋体" w:eastAsia="宋体" w:cs="宋体"/>
                <w:bCs/>
                <w:kern w:val="0"/>
                <w:szCs w:val="21"/>
                <w:highlight w:val="none"/>
                <w:lang w:bidi="ar"/>
              </w:rPr>
              <w:t>头灯具有强光、工作光、弱光、频闪、求救5种工作模式(需投标人提供有电样品，如无电将视为不满足)</w:t>
            </w:r>
            <w:r>
              <w:rPr>
                <w:rFonts w:hint="eastAsia" w:ascii="宋体" w:hAnsi="宋体" w:eastAsia="宋体" w:cs="宋体"/>
                <w:bCs/>
                <w:kern w:val="0"/>
                <w:szCs w:val="21"/>
                <w:highlight w:val="none"/>
                <w:lang w:eastAsia="zh-CN" w:bidi="ar"/>
              </w:rPr>
              <w:t>。</w:t>
            </w:r>
          </w:p>
        </w:tc>
        <w:tc>
          <w:tcPr>
            <w:tcW w:w="2101" w:type="dxa"/>
          </w:tcPr>
          <w:p>
            <w:pPr>
              <w:spacing w:after="120"/>
              <w:rPr>
                <w:rFonts w:ascii="Calibri" w:hAnsi="Calibri" w:eastAsia="宋体" w:cs="Times New Roman"/>
                <w:highlight w:val="none"/>
              </w:rPr>
            </w:pPr>
            <w:r>
              <w:rPr>
                <w:rFonts w:hint="eastAsia" w:ascii="宋体" w:hAnsi="宋体" w:eastAsia="宋体" w:cs="宋体"/>
                <w:bCs/>
                <w:kern w:val="0"/>
                <w:szCs w:val="21"/>
                <w:highlight w:val="none"/>
                <w:lang w:bidi="ar"/>
              </w:rPr>
              <w:t>完全满足得1.2分，每少一种灯光模式或无法达到工作模式要求扣0.</w:t>
            </w:r>
            <w:r>
              <w:rPr>
                <w:rFonts w:hint="eastAsia" w:ascii="宋体" w:hAnsi="宋体" w:eastAsia="宋体" w:cs="宋体"/>
                <w:bCs/>
                <w:kern w:val="0"/>
                <w:szCs w:val="21"/>
                <w:highlight w:val="none"/>
                <w:lang w:val="en-US" w:eastAsia="zh-CN" w:bidi="ar"/>
              </w:rPr>
              <w:t>24</w:t>
            </w:r>
            <w:r>
              <w:rPr>
                <w:rFonts w:hint="eastAsia" w:ascii="宋体" w:hAnsi="宋体" w:eastAsia="宋体" w:cs="宋体"/>
                <w:bCs/>
                <w:kern w:val="0"/>
                <w:szCs w:val="21"/>
                <w:highlight w:val="none"/>
                <w:lang w:bidi="ar"/>
              </w:rPr>
              <w:t>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0" w:type="dxa"/>
            <w:gridSpan w:val="2"/>
            <w:vAlign w:val="center"/>
          </w:tcPr>
          <w:p>
            <w:pPr>
              <w:spacing w:after="120"/>
              <w:jc w:val="center"/>
              <w:rPr>
                <w:rFonts w:ascii="宋体" w:hAnsi="宋体" w:eastAsia="宋体" w:cs="宋体"/>
                <w:b/>
                <w:kern w:val="0"/>
                <w:szCs w:val="21"/>
                <w:highlight w:val="none"/>
                <w:lang w:bidi="ar"/>
              </w:rPr>
            </w:pPr>
            <w:r>
              <w:rPr>
                <w:rFonts w:hint="eastAsia" w:ascii="宋体" w:hAnsi="宋体" w:eastAsia="宋体" w:cs="宋体"/>
                <w:b/>
                <w:kern w:val="0"/>
                <w:szCs w:val="21"/>
                <w:highlight w:val="none"/>
                <w:lang w:bidi="ar"/>
              </w:rPr>
              <w:t>分值合计</w:t>
            </w:r>
          </w:p>
        </w:tc>
        <w:tc>
          <w:tcPr>
            <w:tcW w:w="773" w:type="dxa"/>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5</w:t>
            </w:r>
          </w:p>
        </w:tc>
        <w:tc>
          <w:tcPr>
            <w:tcW w:w="3658" w:type="dxa"/>
          </w:tcPr>
          <w:p>
            <w:pPr>
              <w:widowControl/>
              <w:snapToGrid w:val="0"/>
              <w:spacing w:line="360" w:lineRule="auto"/>
              <w:rPr>
                <w:rFonts w:ascii="宋体" w:hAnsi="宋体" w:eastAsia="宋体" w:cs="宋体"/>
                <w:bCs/>
                <w:kern w:val="0"/>
                <w:szCs w:val="21"/>
                <w:highlight w:val="none"/>
                <w:lang w:bidi="ar"/>
              </w:rPr>
            </w:pPr>
          </w:p>
          <w:p>
            <w:pPr>
              <w:rPr>
                <w:highlight w:val="none"/>
              </w:rPr>
            </w:pPr>
          </w:p>
          <w:p>
            <w:pPr>
              <w:rPr>
                <w:highlight w:val="none"/>
              </w:rPr>
            </w:pPr>
          </w:p>
        </w:tc>
        <w:tc>
          <w:tcPr>
            <w:tcW w:w="2101" w:type="dxa"/>
          </w:tcPr>
          <w:p>
            <w:pPr>
              <w:spacing w:after="120"/>
              <w:rPr>
                <w:rFonts w:ascii="宋体" w:hAnsi="宋体" w:eastAsia="宋体" w:cs="宋体"/>
                <w:bCs/>
                <w:kern w:val="0"/>
                <w:szCs w:val="21"/>
                <w:highlight w:val="none"/>
                <w:lang w:bidi="ar"/>
              </w:rPr>
            </w:pPr>
          </w:p>
        </w:tc>
      </w:tr>
    </w:tbl>
    <w:p>
      <w:pPr>
        <w:ind w:firstLine="211" w:firstLineChars="100"/>
        <w:rPr>
          <w:rFonts w:ascii="Calibri" w:hAnsi="Calibri" w:eastAsia="宋体" w:cs="Times New Roman"/>
          <w:b/>
          <w:bCs/>
          <w:highlight w:val="none"/>
        </w:rPr>
      </w:pPr>
    </w:p>
    <w:p>
      <w:pPr>
        <w:ind w:firstLine="211" w:firstLineChars="100"/>
        <w:rPr>
          <w:rFonts w:ascii="Calibri" w:hAnsi="Calibri" w:eastAsia="宋体" w:cs="Times New Roman"/>
          <w:b/>
          <w:bCs/>
          <w:highlight w:val="none"/>
        </w:rPr>
      </w:pPr>
    </w:p>
    <w:p>
      <w:pPr>
        <w:ind w:firstLine="211" w:firstLineChars="100"/>
        <w:rPr>
          <w:rFonts w:ascii="Calibri" w:hAnsi="Calibri" w:eastAsia="宋体" w:cs="Times New Roman"/>
          <w:b/>
          <w:bCs/>
          <w:highlight w:val="none"/>
        </w:rPr>
      </w:pPr>
    </w:p>
    <w:p>
      <w:pPr>
        <w:rPr>
          <w:rFonts w:ascii="Calibri" w:hAnsi="Calibri" w:eastAsia="宋体" w:cs="Times New Roman"/>
          <w:b/>
          <w:bCs/>
          <w:highlight w:val="none"/>
        </w:rPr>
      </w:pPr>
    </w:p>
    <w:p>
      <w:pPr>
        <w:ind w:firstLine="211" w:firstLineChars="100"/>
        <w:rPr>
          <w:rFonts w:ascii="Calibri" w:hAnsi="Calibri" w:eastAsia="宋体" w:cs="Times New Roman"/>
          <w:b/>
          <w:bCs/>
          <w:highlight w:val="none"/>
        </w:rPr>
      </w:pPr>
    </w:p>
    <w:p>
      <w:pPr>
        <w:ind w:firstLine="211" w:firstLineChars="100"/>
        <w:rPr>
          <w:rFonts w:ascii="Calibri" w:hAnsi="Calibri" w:eastAsia="宋体" w:cs="Times New Roman"/>
          <w:b/>
          <w:bCs/>
          <w:highlight w:val="none"/>
        </w:rPr>
      </w:pPr>
    </w:p>
    <w:p>
      <w:pPr>
        <w:ind w:firstLine="211" w:firstLineChars="100"/>
        <w:rPr>
          <w:rFonts w:ascii="Calibri" w:hAnsi="Calibri" w:eastAsia="宋体" w:cs="Times New Roman"/>
          <w:b/>
          <w:bCs/>
          <w:highlight w:val="none"/>
        </w:rPr>
      </w:pPr>
    </w:p>
    <w:p>
      <w:pPr>
        <w:ind w:firstLine="211" w:firstLineChars="100"/>
        <w:rPr>
          <w:rFonts w:ascii="Calibri" w:hAnsi="Calibri" w:eastAsia="宋体" w:cs="Times New Roman"/>
          <w:b/>
          <w:bCs/>
          <w:highlight w:val="none"/>
        </w:rPr>
      </w:pPr>
    </w:p>
    <w:p>
      <w:pPr>
        <w:ind w:firstLine="211" w:firstLineChars="100"/>
        <w:rPr>
          <w:rFonts w:ascii="Calibri" w:hAnsi="Calibri" w:eastAsia="宋体" w:cs="Times New Roman"/>
          <w:b/>
          <w:bCs/>
          <w:highlight w:val="none"/>
        </w:rPr>
      </w:pPr>
    </w:p>
    <w:p>
      <w:pPr>
        <w:ind w:firstLine="211" w:firstLineChars="100"/>
        <w:rPr>
          <w:rFonts w:ascii="Calibri" w:hAnsi="Calibri" w:eastAsia="宋体" w:cs="Times New Roman"/>
          <w:b/>
          <w:bCs/>
          <w:highlight w:val="none"/>
        </w:rPr>
      </w:pPr>
      <w:r>
        <w:rPr>
          <w:rFonts w:hint="eastAsia" w:ascii="Calibri" w:hAnsi="Calibri" w:eastAsia="宋体" w:cs="Times New Roman"/>
          <w:b/>
          <w:bCs/>
          <w:highlight w:val="none"/>
        </w:rPr>
        <w:t>2标包样品评审细则：水域救援头灯</w:t>
      </w:r>
    </w:p>
    <w:tbl>
      <w:tblPr>
        <w:tblStyle w:val="2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1362"/>
        <w:gridCol w:w="773"/>
        <w:gridCol w:w="3658"/>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tcPr>
          <w:p>
            <w:pPr>
              <w:spacing w:after="120"/>
              <w:rPr>
                <w:rFonts w:ascii="Calibri" w:hAnsi="Calibri" w:eastAsia="宋体" w:cs="Times New Roman"/>
                <w:b/>
                <w:bCs/>
                <w:highlight w:val="none"/>
              </w:rPr>
            </w:pPr>
            <w:r>
              <w:rPr>
                <w:rFonts w:hint="eastAsia" w:ascii="Calibri" w:hAnsi="Calibri" w:eastAsia="宋体" w:cs="Times New Roman"/>
                <w:b/>
                <w:bCs/>
                <w:highlight w:val="none"/>
              </w:rPr>
              <w:t>序号</w:t>
            </w:r>
          </w:p>
        </w:tc>
        <w:tc>
          <w:tcPr>
            <w:tcW w:w="1362"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评审因素</w:t>
            </w:r>
          </w:p>
        </w:tc>
        <w:tc>
          <w:tcPr>
            <w:tcW w:w="773"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分值</w:t>
            </w:r>
          </w:p>
        </w:tc>
        <w:tc>
          <w:tcPr>
            <w:tcW w:w="3658"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评分标注说明</w:t>
            </w:r>
          </w:p>
        </w:tc>
        <w:tc>
          <w:tcPr>
            <w:tcW w:w="2101" w:type="dxa"/>
            <w:vAlign w:val="center"/>
          </w:tcPr>
          <w:p>
            <w:pPr>
              <w:spacing w:after="120"/>
              <w:jc w:val="center"/>
              <w:rPr>
                <w:rFonts w:ascii="Calibri" w:hAnsi="Calibri" w:eastAsia="宋体" w:cs="Times New Roman"/>
                <w:b/>
                <w:bCs/>
                <w:highlight w:val="none"/>
              </w:rPr>
            </w:pPr>
            <w:r>
              <w:rPr>
                <w:rFonts w:hint="eastAsia" w:ascii="Calibri" w:hAnsi="Calibri" w:eastAsia="宋体" w:cs="Times New Roman"/>
                <w:b/>
                <w:bCs/>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产品外观</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1.5</w:t>
            </w:r>
          </w:p>
        </w:tc>
        <w:tc>
          <w:tcPr>
            <w:tcW w:w="3658" w:type="dxa"/>
            <w:vAlign w:val="center"/>
          </w:tcPr>
          <w:p>
            <w:pPr>
              <w:spacing w:after="120"/>
              <w:rPr>
                <w:rFonts w:ascii="Calibri" w:hAnsi="Calibri" w:eastAsia="宋体" w:cs="Times New Roman"/>
                <w:highlight w:val="none"/>
              </w:rPr>
            </w:pPr>
            <w:r>
              <w:rPr>
                <w:rFonts w:hint="eastAsia" w:ascii="宋体" w:hAnsi="宋体" w:eastAsia="宋体" w:cs="宋体"/>
                <w:bCs/>
                <w:kern w:val="0"/>
                <w:szCs w:val="21"/>
                <w:highlight w:val="none"/>
                <w:lang w:bidi="ar"/>
              </w:rPr>
              <w:t>头灯成品光滑，无划痕、磨损、毛刺、油渍，镜片和反光杯光洁、无痕迹。</w:t>
            </w:r>
          </w:p>
        </w:tc>
        <w:tc>
          <w:tcPr>
            <w:tcW w:w="2101"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Cs/>
                <w:kern w:val="0"/>
                <w:szCs w:val="21"/>
                <w:highlight w:val="none"/>
                <w:lang w:bidi="ar"/>
              </w:rPr>
              <w:t>完全满足得1.5分，每有一项（处）不满足或无法达到要求扣0.5分，分值扣完为止。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Calibri" w:hAnsi="Calibri" w:eastAsia="宋体" w:cs="Times New Roman"/>
                <w:highlight w:val="none"/>
              </w:rPr>
            </w:pPr>
            <w:r>
              <w:rPr>
                <w:rFonts w:hint="eastAsia" w:ascii="宋体" w:hAnsi="宋体" w:eastAsia="宋体" w:cs="宋体"/>
                <w:bCs/>
                <w:kern w:val="0"/>
                <w:szCs w:val="21"/>
                <w:highlight w:val="none"/>
                <w:lang w:bidi="ar"/>
              </w:rPr>
              <w:t>水域救援头灯表面印刷的“水域救援头灯”6个字体印刷清晰、完整。</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spacing w:after="120"/>
              <w:rPr>
                <w:rFonts w:ascii="Calibri" w:hAnsi="Calibri" w:eastAsia="宋体" w:cs="Times New Roman"/>
                <w:highlight w:val="none"/>
              </w:rPr>
            </w:pPr>
            <w:r>
              <w:rPr>
                <w:rFonts w:hint="eastAsia" w:ascii="宋体" w:hAnsi="宋体" w:eastAsia="宋体" w:cs="宋体"/>
                <w:bCs/>
                <w:kern w:val="0"/>
                <w:szCs w:val="21"/>
                <w:highlight w:val="none"/>
                <w:lang w:bidi="ar"/>
              </w:rPr>
              <w:t>各部件齐全、装配严密、操作方便。</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Pr>
          <w:p>
            <w:pPr>
              <w:spacing w:after="120"/>
              <w:rPr>
                <w:rFonts w:ascii="Calibri" w:hAnsi="Calibri" w:eastAsia="宋体" w:cs="Times New Roman"/>
                <w:highlight w:val="none"/>
              </w:rPr>
            </w:pPr>
          </w:p>
        </w:tc>
        <w:tc>
          <w:tcPr>
            <w:tcW w:w="1362" w:type="dxa"/>
            <w:vMerge w:val="continue"/>
            <w:vAlign w:val="center"/>
          </w:tcPr>
          <w:p>
            <w:pPr>
              <w:spacing w:after="120"/>
              <w:jc w:val="center"/>
              <w:rPr>
                <w:rFonts w:ascii="Calibri" w:hAnsi="Calibri" w:eastAsia="宋体" w:cs="Times New Roman"/>
                <w:highlight w:val="none"/>
              </w:rPr>
            </w:pPr>
          </w:p>
        </w:tc>
        <w:tc>
          <w:tcPr>
            <w:tcW w:w="773" w:type="dxa"/>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0.3</w:t>
            </w:r>
          </w:p>
        </w:tc>
        <w:tc>
          <w:tcPr>
            <w:tcW w:w="3658" w:type="dxa"/>
            <w:vAlign w:val="center"/>
          </w:tcPr>
          <w:p>
            <w:pPr>
              <w:spacing w:after="120"/>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充电设备外观平整、设计简洁，充电功率与设备匹配。</w:t>
            </w:r>
          </w:p>
        </w:tc>
        <w:tc>
          <w:tcPr>
            <w:tcW w:w="2101" w:type="dxa"/>
            <w:vAlign w:val="center"/>
          </w:tcPr>
          <w:p>
            <w:pPr>
              <w:spacing w:after="120"/>
              <w:jc w:val="center"/>
              <w:rPr>
                <w:rFonts w:ascii="Calibri" w:hAnsi="Calibri" w:eastAsia="宋体" w:cs="Times New Roman"/>
                <w:highlight w:val="none"/>
              </w:rPr>
            </w:pPr>
            <w:r>
              <w:rPr>
                <w:rFonts w:hint="eastAsia" w:ascii="宋体" w:hAnsi="宋体" w:eastAsia="宋体" w:cs="宋体"/>
                <w:bCs/>
                <w:color w:val="auto"/>
                <w:kern w:val="0"/>
                <w:szCs w:val="21"/>
                <w:highlight w:val="none"/>
                <w:lang w:bidi="ar"/>
              </w:rPr>
              <w:t>完全满足得0.3分，每有一项（处）不满足或无法达到要求</w:t>
            </w:r>
            <w:r>
              <w:rPr>
                <w:rFonts w:hint="eastAsia" w:ascii="宋体" w:hAnsi="宋体" w:eastAsia="宋体" w:cs="宋体"/>
                <w:bCs/>
                <w:color w:val="auto"/>
                <w:kern w:val="0"/>
                <w:szCs w:val="21"/>
                <w:highlight w:val="none"/>
                <w:lang w:eastAsia="zh-CN" w:bidi="ar"/>
              </w:rPr>
              <w:t>不得分</w:t>
            </w:r>
            <w:r>
              <w:rPr>
                <w:rFonts w:hint="eastAsia" w:ascii="宋体" w:hAnsi="宋体" w:eastAsia="宋体" w:cs="宋体"/>
                <w:bCs/>
                <w:color w:val="auto"/>
                <w:kern w:val="0"/>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628"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2</w:t>
            </w:r>
          </w:p>
        </w:tc>
        <w:tc>
          <w:tcPr>
            <w:tcW w:w="1362"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整体结构</w:t>
            </w:r>
          </w:p>
        </w:tc>
        <w:tc>
          <w:tcPr>
            <w:tcW w:w="773" w:type="dxa"/>
            <w:vMerge w:val="restart"/>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2</w:t>
            </w:r>
          </w:p>
        </w:tc>
        <w:tc>
          <w:tcPr>
            <w:tcW w:w="3658" w:type="dxa"/>
            <w:vAlign w:val="center"/>
          </w:tcPr>
          <w:p>
            <w:pPr>
              <w:widowControl/>
              <w:snapToGrid w:val="0"/>
              <w:spacing w:line="360" w:lineRule="auto"/>
              <w:rPr>
                <w:rFonts w:ascii="Calibri" w:hAnsi="Calibri" w:eastAsia="宋体" w:cs="Times New Roman"/>
                <w:highlight w:val="none"/>
              </w:rPr>
            </w:pPr>
            <w:r>
              <w:rPr>
                <w:rFonts w:hint="eastAsia" w:ascii="宋体" w:hAnsi="宋体" w:eastAsia="宋体" w:cs="宋体"/>
                <w:bCs/>
                <w:kern w:val="0"/>
                <w:szCs w:val="21"/>
                <w:highlight w:val="none"/>
                <w:lang w:bidi="ar"/>
              </w:rPr>
              <w:t>头灯须自带快拆夹具。</w:t>
            </w:r>
          </w:p>
        </w:tc>
        <w:tc>
          <w:tcPr>
            <w:tcW w:w="2101" w:type="dxa"/>
            <w:vMerge w:val="restart"/>
            <w:vAlign w:val="center"/>
          </w:tcPr>
          <w:p>
            <w:pPr>
              <w:spacing w:after="120"/>
              <w:jc w:val="center"/>
              <w:rPr>
                <w:rFonts w:ascii="Calibri" w:hAnsi="Calibri" w:eastAsia="宋体" w:cs="Times New Roman"/>
                <w:highlight w:val="none"/>
              </w:rPr>
            </w:pPr>
            <w:r>
              <w:rPr>
                <w:rFonts w:hint="eastAsia" w:ascii="宋体" w:hAnsi="宋体" w:eastAsia="宋体" w:cs="宋体"/>
                <w:bCs/>
                <w:kern w:val="0"/>
                <w:szCs w:val="21"/>
                <w:highlight w:val="none"/>
                <w:lang w:bidi="ar"/>
              </w:rPr>
              <w:t>完全满足得2分，每有一项（处）不满足或无法达到要求扣0.4分，分值扣完为止。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安装好之后头灯可依托夹具进行俯仰调节。</w:t>
            </w:r>
          </w:p>
        </w:tc>
        <w:tc>
          <w:tcPr>
            <w:tcW w:w="2101" w:type="dxa"/>
            <w:vMerge w:val="continue"/>
          </w:tcPr>
          <w:p>
            <w:pPr>
              <w:spacing w:after="120"/>
              <w:jc w:val="center"/>
              <w:rPr>
                <w:rFonts w:ascii="宋体" w:hAnsi="宋体" w:eastAsia="宋体" w:cs="宋体"/>
                <w:bCs/>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俯仰角调节范围不低于上下60度。</w:t>
            </w:r>
          </w:p>
        </w:tc>
        <w:tc>
          <w:tcPr>
            <w:tcW w:w="2101" w:type="dxa"/>
            <w:vMerge w:val="continue"/>
          </w:tcPr>
          <w:p>
            <w:pPr>
              <w:spacing w:after="120"/>
              <w:jc w:val="center"/>
              <w:rPr>
                <w:rFonts w:ascii="宋体" w:hAnsi="宋体" w:eastAsia="宋体" w:cs="宋体"/>
                <w:bCs/>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Calibri" w:hAnsi="Calibri" w:eastAsia="宋体" w:cs="Times New Roman"/>
                <w:highlight w:val="none"/>
              </w:rPr>
            </w:pPr>
            <w:r>
              <w:rPr>
                <w:rFonts w:hint="eastAsia" w:ascii="宋体" w:hAnsi="宋体" w:eastAsia="宋体" w:cs="宋体"/>
                <w:bCs/>
                <w:kern w:val="0"/>
                <w:szCs w:val="21"/>
                <w:highlight w:val="none"/>
                <w:lang w:bidi="ar"/>
              </w:rPr>
              <w:t>产品设计简洁大方，体积小、重量小，携带方便。</w:t>
            </w:r>
          </w:p>
        </w:tc>
        <w:tc>
          <w:tcPr>
            <w:tcW w:w="2101" w:type="dxa"/>
            <w:vMerge w:val="continue"/>
            <w:vAlign w:val="center"/>
          </w:tcPr>
          <w:p>
            <w:pPr>
              <w:spacing w:after="120"/>
              <w:jc w:val="center"/>
              <w:rPr>
                <w:rFonts w:ascii="Calibri" w:hAnsi="Calibri"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628" w:type="dxa"/>
            <w:vMerge w:val="continue"/>
            <w:vAlign w:val="center"/>
          </w:tcPr>
          <w:p>
            <w:pPr>
              <w:spacing w:after="120"/>
              <w:jc w:val="center"/>
              <w:rPr>
                <w:rFonts w:ascii="Calibri" w:hAnsi="Calibri" w:eastAsia="宋体" w:cs="Times New Roman"/>
                <w:highlight w:val="none"/>
              </w:rPr>
            </w:pPr>
          </w:p>
        </w:tc>
        <w:tc>
          <w:tcPr>
            <w:tcW w:w="1362" w:type="dxa"/>
            <w:vMerge w:val="continue"/>
            <w:vAlign w:val="center"/>
          </w:tcPr>
          <w:p>
            <w:pPr>
              <w:spacing w:after="120"/>
              <w:jc w:val="center"/>
              <w:rPr>
                <w:rFonts w:ascii="宋体" w:hAnsi="宋体" w:eastAsia="宋体" w:cs="宋体"/>
                <w:b/>
                <w:kern w:val="0"/>
                <w:szCs w:val="21"/>
                <w:highlight w:val="none"/>
                <w:lang w:bidi="ar"/>
              </w:rPr>
            </w:pPr>
          </w:p>
        </w:tc>
        <w:tc>
          <w:tcPr>
            <w:tcW w:w="773" w:type="dxa"/>
            <w:vMerge w:val="continue"/>
            <w:vAlign w:val="center"/>
          </w:tcPr>
          <w:p>
            <w:pPr>
              <w:spacing w:after="120"/>
              <w:jc w:val="center"/>
              <w:rPr>
                <w:rFonts w:ascii="Calibri" w:hAnsi="Calibri" w:eastAsia="宋体" w:cs="Times New Roman"/>
                <w:highlight w:val="none"/>
              </w:rPr>
            </w:pPr>
          </w:p>
        </w:tc>
        <w:tc>
          <w:tcPr>
            <w:tcW w:w="3658" w:type="dxa"/>
            <w:vAlign w:val="center"/>
          </w:tcPr>
          <w:p>
            <w:pPr>
              <w:widowControl/>
              <w:snapToGrid w:val="0"/>
              <w:spacing w:line="360" w:lineRule="auto"/>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整体结构结实，拆卸方便，产品各连接处稳固。</w:t>
            </w:r>
          </w:p>
        </w:tc>
        <w:tc>
          <w:tcPr>
            <w:tcW w:w="2101" w:type="dxa"/>
            <w:vMerge w:val="continue"/>
          </w:tcPr>
          <w:p>
            <w:pPr>
              <w:spacing w:after="120"/>
              <w:rPr>
                <w:rFonts w:ascii="宋体" w:hAnsi="宋体" w:eastAsia="宋体" w:cs="宋体"/>
                <w:bCs/>
                <w:kern w:val="0"/>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3</w:t>
            </w:r>
          </w:p>
        </w:tc>
        <w:tc>
          <w:tcPr>
            <w:tcW w:w="1362" w:type="dxa"/>
            <w:vAlign w:val="center"/>
          </w:tcPr>
          <w:p>
            <w:pPr>
              <w:spacing w:after="120"/>
              <w:jc w:val="center"/>
              <w:rPr>
                <w:rFonts w:ascii="Calibri" w:hAnsi="Calibri" w:eastAsia="宋体" w:cs="Times New Roman"/>
                <w:highlight w:val="none"/>
              </w:rPr>
            </w:pPr>
            <w:r>
              <w:rPr>
                <w:rFonts w:hint="eastAsia" w:ascii="宋体" w:hAnsi="宋体" w:eastAsia="宋体" w:cs="宋体"/>
                <w:b/>
                <w:kern w:val="0"/>
                <w:szCs w:val="21"/>
                <w:highlight w:val="none"/>
                <w:lang w:bidi="ar"/>
              </w:rPr>
              <w:t xml:space="preserve">功能性  </w:t>
            </w:r>
          </w:p>
        </w:tc>
        <w:tc>
          <w:tcPr>
            <w:tcW w:w="773" w:type="dxa"/>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1.2</w:t>
            </w:r>
          </w:p>
        </w:tc>
        <w:tc>
          <w:tcPr>
            <w:tcW w:w="3658" w:type="dxa"/>
          </w:tcPr>
          <w:p>
            <w:pPr>
              <w:widowControl/>
              <w:snapToGrid w:val="0"/>
              <w:spacing w:line="360" w:lineRule="auto"/>
              <w:rPr>
                <w:rFonts w:ascii="宋体" w:hAnsi="宋体" w:eastAsia="宋体" w:cs="宋体"/>
                <w:bCs/>
                <w:kern w:val="0"/>
                <w:szCs w:val="21"/>
                <w:highlight w:val="none"/>
                <w:lang w:bidi="ar"/>
              </w:rPr>
            </w:pPr>
            <w:r>
              <w:rPr>
                <w:rFonts w:hint="eastAsia" w:ascii="宋体" w:hAnsi="宋体" w:eastAsia="宋体" w:cs="宋体"/>
                <w:bCs/>
                <w:kern w:val="0"/>
                <w:szCs w:val="21"/>
                <w:highlight w:val="none"/>
                <w:lang w:bidi="ar"/>
              </w:rPr>
              <w:t>头灯具有强光、工作光、弱光、频闪、求救5种工作模式(需投标人提供有电样品，如无电将视为不满足)</w:t>
            </w:r>
            <w:r>
              <w:rPr>
                <w:rFonts w:hint="eastAsia" w:ascii="宋体" w:hAnsi="宋体" w:eastAsia="宋体" w:cs="宋体"/>
                <w:bCs/>
                <w:kern w:val="0"/>
                <w:szCs w:val="21"/>
                <w:highlight w:val="none"/>
                <w:lang w:eastAsia="zh-CN" w:bidi="ar"/>
              </w:rPr>
              <w:t>。</w:t>
            </w:r>
          </w:p>
        </w:tc>
        <w:tc>
          <w:tcPr>
            <w:tcW w:w="2101" w:type="dxa"/>
          </w:tcPr>
          <w:p>
            <w:pPr>
              <w:spacing w:after="120"/>
              <w:rPr>
                <w:rFonts w:ascii="Calibri" w:hAnsi="Calibri" w:eastAsia="宋体" w:cs="Times New Roman"/>
                <w:highlight w:val="none"/>
              </w:rPr>
            </w:pPr>
            <w:r>
              <w:rPr>
                <w:rFonts w:hint="eastAsia" w:ascii="宋体" w:hAnsi="宋体" w:eastAsia="宋体" w:cs="宋体"/>
                <w:bCs/>
                <w:kern w:val="0"/>
                <w:szCs w:val="21"/>
                <w:highlight w:val="none"/>
                <w:lang w:bidi="ar"/>
              </w:rPr>
              <w:t>完全满足得1.2分，每少一种灯光模式或无法达到工作模式要求扣0.2</w:t>
            </w:r>
            <w:r>
              <w:rPr>
                <w:rFonts w:hint="eastAsia" w:ascii="宋体" w:hAnsi="宋体" w:eastAsia="宋体" w:cs="宋体"/>
                <w:bCs/>
                <w:kern w:val="0"/>
                <w:szCs w:val="21"/>
                <w:highlight w:val="none"/>
                <w:lang w:val="en-US" w:eastAsia="zh-CN" w:bidi="ar"/>
              </w:rPr>
              <w:t>4</w:t>
            </w:r>
            <w:r>
              <w:rPr>
                <w:rFonts w:hint="eastAsia" w:ascii="宋体" w:hAnsi="宋体" w:eastAsia="宋体" w:cs="宋体"/>
                <w:bCs/>
                <w:kern w:val="0"/>
                <w:szCs w:val="21"/>
                <w:highlight w:val="none"/>
                <w:lang w:bidi="ar"/>
              </w:rPr>
              <w:t>分，分值扣完为止。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0" w:type="dxa"/>
            <w:gridSpan w:val="2"/>
            <w:vAlign w:val="center"/>
          </w:tcPr>
          <w:p>
            <w:pPr>
              <w:spacing w:after="120"/>
              <w:jc w:val="center"/>
              <w:rPr>
                <w:rFonts w:ascii="宋体" w:hAnsi="宋体" w:eastAsia="宋体" w:cs="宋体"/>
                <w:b/>
                <w:kern w:val="0"/>
                <w:szCs w:val="21"/>
                <w:highlight w:val="none"/>
                <w:lang w:bidi="ar"/>
              </w:rPr>
            </w:pPr>
            <w:r>
              <w:rPr>
                <w:rFonts w:hint="eastAsia" w:ascii="宋体" w:hAnsi="宋体" w:eastAsia="宋体" w:cs="宋体"/>
                <w:b/>
                <w:kern w:val="0"/>
                <w:szCs w:val="21"/>
                <w:highlight w:val="none"/>
                <w:lang w:bidi="ar"/>
              </w:rPr>
              <w:t>分值合计</w:t>
            </w:r>
          </w:p>
        </w:tc>
        <w:tc>
          <w:tcPr>
            <w:tcW w:w="773" w:type="dxa"/>
            <w:vAlign w:val="center"/>
          </w:tcPr>
          <w:p>
            <w:pPr>
              <w:spacing w:after="120"/>
              <w:jc w:val="center"/>
              <w:rPr>
                <w:rFonts w:ascii="Calibri" w:hAnsi="Calibri" w:eastAsia="宋体" w:cs="Times New Roman"/>
                <w:highlight w:val="none"/>
              </w:rPr>
            </w:pPr>
            <w:r>
              <w:rPr>
                <w:rFonts w:hint="eastAsia" w:ascii="Calibri" w:hAnsi="Calibri" w:eastAsia="宋体" w:cs="Times New Roman"/>
                <w:highlight w:val="none"/>
              </w:rPr>
              <w:t>5</w:t>
            </w:r>
          </w:p>
        </w:tc>
        <w:tc>
          <w:tcPr>
            <w:tcW w:w="3658" w:type="dxa"/>
          </w:tcPr>
          <w:p>
            <w:pPr>
              <w:widowControl/>
              <w:snapToGrid w:val="0"/>
              <w:spacing w:line="360" w:lineRule="auto"/>
              <w:rPr>
                <w:rFonts w:ascii="宋体" w:hAnsi="宋体" w:eastAsia="宋体" w:cs="宋体"/>
                <w:bCs/>
                <w:kern w:val="0"/>
                <w:szCs w:val="21"/>
                <w:highlight w:val="none"/>
                <w:lang w:bidi="ar"/>
              </w:rPr>
            </w:pPr>
          </w:p>
        </w:tc>
        <w:tc>
          <w:tcPr>
            <w:tcW w:w="2101" w:type="dxa"/>
          </w:tcPr>
          <w:p>
            <w:pPr>
              <w:spacing w:after="120"/>
              <w:rPr>
                <w:rFonts w:ascii="宋体" w:hAnsi="宋体" w:eastAsia="宋体" w:cs="宋体"/>
                <w:bCs/>
                <w:kern w:val="0"/>
                <w:szCs w:val="21"/>
                <w:highlight w:val="none"/>
                <w:lang w:bidi="ar"/>
              </w:rPr>
            </w:pPr>
          </w:p>
        </w:tc>
      </w:tr>
    </w:tbl>
    <w:p>
      <w:pPr>
        <w:widowControl/>
        <w:spacing w:line="360" w:lineRule="auto"/>
        <w:jc w:val="left"/>
        <w:rPr>
          <w:rFonts w:ascii="宋体" w:hAnsi="宋体"/>
          <w:b/>
          <w:bCs/>
          <w:sz w:val="24"/>
          <w:szCs w:val="20"/>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rPr>
          <w:rFonts w:ascii="Calibri" w:hAnsi="Calibri" w:eastAsia="宋体" w:cs="Times New Roman"/>
          <w:highlight w:val="none"/>
        </w:rPr>
      </w:pPr>
    </w:p>
    <w:p>
      <w:pPr>
        <w:pStyle w:val="14"/>
        <w:tabs>
          <w:tab w:val="left" w:pos="2472"/>
        </w:tabs>
        <w:snapToGrid w:val="0"/>
        <w:spacing w:line="360" w:lineRule="auto"/>
        <w:rPr>
          <w:rFonts w:hAnsi="宋体"/>
          <w:b/>
          <w:bCs/>
          <w:sz w:val="24"/>
          <w:highlight w:val="none"/>
        </w:rPr>
      </w:pPr>
      <w:r>
        <w:rPr>
          <w:rFonts w:hint="eastAsia" w:hAnsi="宋体"/>
          <w:b/>
          <w:bCs/>
          <w:sz w:val="24"/>
          <w:highlight w:val="none"/>
        </w:rPr>
        <w:t>1.评标方法：</w:t>
      </w:r>
    </w:p>
    <w:p>
      <w:pPr>
        <w:pStyle w:val="15"/>
        <w:tabs>
          <w:tab w:val="left" w:pos="540"/>
        </w:tabs>
        <w:adjustRightInd w:val="0"/>
        <w:snapToGrid w:val="0"/>
        <w:spacing w:after="0" w:line="360" w:lineRule="auto"/>
        <w:ind w:left="0" w:leftChars="0"/>
        <w:rPr>
          <w:rFonts w:ascii="宋体" w:hAnsi="宋体"/>
          <w:szCs w:val="21"/>
          <w:highlight w:val="none"/>
        </w:rPr>
      </w:pPr>
      <w:r>
        <w:rPr>
          <w:rFonts w:hint="eastAsia" w:ascii="宋体" w:hAnsi="宋体"/>
          <w:b/>
          <w:bCs/>
          <w:szCs w:val="21"/>
          <w:highlight w:val="none"/>
        </w:rPr>
        <w:t>1.1本次评标采用综合评分法。</w:t>
      </w:r>
      <w:r>
        <w:rPr>
          <w:rFonts w:ascii="宋体" w:hAnsi="宋体"/>
          <w:szCs w:val="21"/>
          <w:highlight w:val="none"/>
        </w:rPr>
        <w:t>评标委员会对</w:t>
      </w:r>
      <w:r>
        <w:rPr>
          <w:rFonts w:ascii="inherit" w:hAnsi="inherit" w:cs="宋体"/>
          <w:kern w:val="0"/>
          <w:szCs w:val="21"/>
          <w:highlight w:val="none"/>
        </w:rPr>
        <w:t>满足招标文件全部实质性要求</w:t>
      </w:r>
      <w:r>
        <w:rPr>
          <w:rFonts w:hint="eastAsia" w:ascii="inherit" w:hAnsi="inherit" w:cs="宋体"/>
          <w:kern w:val="0"/>
          <w:szCs w:val="21"/>
          <w:highlight w:val="none"/>
        </w:rPr>
        <w:t>（即通过资格性评审及符合性评审）</w:t>
      </w:r>
      <w:r>
        <w:rPr>
          <w:rFonts w:ascii="inherit" w:hAnsi="inherit" w:cs="宋体"/>
          <w:kern w:val="0"/>
          <w:szCs w:val="21"/>
          <w:highlight w:val="none"/>
        </w:rPr>
        <w:t>的投标文件</w:t>
      </w:r>
      <w:r>
        <w:rPr>
          <w:rFonts w:ascii="宋体" w:hAnsi="宋体"/>
          <w:szCs w:val="21"/>
          <w:highlight w:val="none"/>
        </w:rPr>
        <w:t>，按照本章</w:t>
      </w:r>
      <w:r>
        <w:rPr>
          <w:rFonts w:hint="eastAsia" w:ascii="宋体" w:hAnsi="宋体"/>
          <w:szCs w:val="21"/>
          <w:highlight w:val="none"/>
        </w:rPr>
        <w:t>前附表规定的</w:t>
      </w:r>
      <w:r>
        <w:rPr>
          <w:rFonts w:ascii="宋体" w:hAnsi="宋体"/>
          <w:szCs w:val="21"/>
          <w:highlight w:val="none"/>
        </w:rPr>
        <w:t>评分标准进行打分，</w:t>
      </w:r>
      <w:r>
        <w:rPr>
          <w:rFonts w:hint="eastAsia" w:ascii="宋体" w:hAnsi="宋体"/>
          <w:szCs w:val="21"/>
          <w:highlight w:val="none"/>
        </w:rPr>
        <w:t>并按评标总得分计算公式计算评标总得分，</w:t>
      </w:r>
      <w:r>
        <w:rPr>
          <w:rFonts w:ascii="宋体" w:hAnsi="宋体"/>
          <w:szCs w:val="21"/>
          <w:highlight w:val="none"/>
        </w:rPr>
        <w:t>按</w:t>
      </w:r>
      <w:r>
        <w:rPr>
          <w:rFonts w:hint="eastAsia" w:ascii="宋体" w:hAnsi="宋体"/>
          <w:szCs w:val="21"/>
          <w:highlight w:val="none"/>
        </w:rPr>
        <w:t>总</w:t>
      </w:r>
      <w:r>
        <w:rPr>
          <w:rFonts w:ascii="宋体" w:hAnsi="宋体"/>
          <w:szCs w:val="21"/>
          <w:highlight w:val="none"/>
        </w:rPr>
        <w:t>得分由高到低</w:t>
      </w:r>
      <w:r>
        <w:rPr>
          <w:rFonts w:hint="eastAsia" w:ascii="宋体" w:hAnsi="宋体"/>
          <w:szCs w:val="21"/>
          <w:highlight w:val="none"/>
        </w:rPr>
        <w:t>的顺序</w:t>
      </w:r>
      <w:r>
        <w:rPr>
          <w:rFonts w:ascii="宋体" w:hAnsi="宋体"/>
          <w:szCs w:val="21"/>
          <w:highlight w:val="none"/>
        </w:rPr>
        <w:t>推荐</w:t>
      </w:r>
      <w:r>
        <w:rPr>
          <w:rFonts w:hint="eastAsia" w:ascii="宋体" w:hAnsi="宋体"/>
          <w:szCs w:val="21"/>
          <w:highlight w:val="none"/>
        </w:rPr>
        <w:t>3名</w:t>
      </w:r>
      <w:r>
        <w:rPr>
          <w:rFonts w:ascii="宋体" w:hAnsi="宋体"/>
          <w:szCs w:val="21"/>
          <w:highlight w:val="none"/>
        </w:rPr>
        <w:t>中标候选</w:t>
      </w:r>
      <w:r>
        <w:rPr>
          <w:rFonts w:hint="eastAsia" w:ascii="宋体" w:hAnsi="宋体"/>
          <w:szCs w:val="21"/>
          <w:highlight w:val="none"/>
        </w:rPr>
        <w:t>人</w:t>
      </w:r>
      <w:r>
        <w:rPr>
          <w:rFonts w:ascii="宋体" w:hAnsi="宋体"/>
          <w:szCs w:val="21"/>
          <w:highlight w:val="none"/>
        </w:rPr>
        <w:t>；</w:t>
      </w:r>
      <w:r>
        <w:rPr>
          <w:rFonts w:hint="eastAsia" w:ascii="宋体" w:hAnsi="宋体"/>
          <w:szCs w:val="21"/>
          <w:highlight w:val="none"/>
        </w:rPr>
        <w:t>评标总得分相等时，评标委员会将按投标报价由低到高的顺序推荐中标候选人。</w:t>
      </w:r>
    </w:p>
    <w:p>
      <w:pPr>
        <w:pStyle w:val="15"/>
        <w:tabs>
          <w:tab w:val="left" w:pos="540"/>
        </w:tabs>
        <w:adjustRightInd w:val="0"/>
        <w:snapToGrid w:val="0"/>
        <w:spacing w:after="0" w:line="360" w:lineRule="auto"/>
        <w:ind w:left="0" w:leftChars="0"/>
        <w:rPr>
          <w:rFonts w:ascii="宋体" w:hAnsi="宋体"/>
          <w:b/>
          <w:szCs w:val="21"/>
          <w:highlight w:val="none"/>
        </w:rPr>
      </w:pPr>
      <w:r>
        <w:rPr>
          <w:rFonts w:hint="eastAsia" w:ascii="宋体" w:hAnsi="宋体"/>
          <w:b/>
          <w:szCs w:val="21"/>
          <w:highlight w:val="none"/>
        </w:rPr>
        <w:t>2.政府采购政策：</w:t>
      </w:r>
    </w:p>
    <w:p>
      <w:pPr>
        <w:snapToGrid w:val="0"/>
        <w:spacing w:line="360" w:lineRule="auto"/>
        <w:rPr>
          <w:rFonts w:ascii="宋体" w:hAnsi="宋体"/>
          <w:b/>
          <w:szCs w:val="21"/>
          <w:highlight w:val="none"/>
        </w:rPr>
      </w:pPr>
      <w:r>
        <w:rPr>
          <w:rFonts w:ascii="宋体" w:hAnsi="宋体"/>
          <w:b/>
          <w:szCs w:val="21"/>
          <w:highlight w:val="none"/>
        </w:rPr>
        <w:t>2.1</w:t>
      </w:r>
      <w:r>
        <w:rPr>
          <w:rFonts w:hint="eastAsia" w:ascii="宋体" w:hAnsi="宋体"/>
          <w:b/>
          <w:szCs w:val="21"/>
          <w:highlight w:val="none"/>
        </w:rPr>
        <w:t>中小企业</w:t>
      </w:r>
    </w:p>
    <w:p>
      <w:pPr>
        <w:spacing w:line="360" w:lineRule="auto"/>
        <w:rPr>
          <w:rFonts w:ascii="宋体" w:hAnsi="宋体"/>
          <w:highlight w:val="none"/>
        </w:rPr>
      </w:pPr>
      <w:r>
        <w:rPr>
          <w:rFonts w:hint="eastAsia" w:ascii="宋体" w:hAnsi="宋体"/>
          <w:highlight w:val="none"/>
        </w:rPr>
        <w:t>2.1.1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spacing w:line="360" w:lineRule="auto"/>
        <w:ind w:firstLine="420" w:firstLineChars="200"/>
        <w:rPr>
          <w:rFonts w:ascii="宋体" w:hAnsi="宋体"/>
          <w:highlight w:val="none"/>
        </w:rPr>
      </w:pPr>
      <w:r>
        <w:rPr>
          <w:rFonts w:hint="eastAsia" w:ascii="宋体" w:hAnsi="宋体"/>
          <w:highlight w:val="none"/>
        </w:rPr>
        <w:t>在政府采购活动中，供应商提供的货物、工程或者服务符合下列情形的，享受中小企业扶持政策：</w:t>
      </w:r>
    </w:p>
    <w:p>
      <w:pPr>
        <w:spacing w:line="360" w:lineRule="auto"/>
        <w:rPr>
          <w:rFonts w:ascii="宋体" w:hAnsi="宋体"/>
          <w:highlight w:val="none"/>
        </w:rPr>
      </w:pPr>
      <w:r>
        <w:rPr>
          <w:rFonts w:hint="eastAsia" w:ascii="宋体" w:hAnsi="宋体"/>
          <w:highlight w:val="none"/>
        </w:rPr>
        <w:t>（1）在货物采购项目中，货物由中小企业制造，即货物由中小企业生产且使用该中小企业商号或者注册商标；</w:t>
      </w:r>
    </w:p>
    <w:p>
      <w:pPr>
        <w:spacing w:line="360" w:lineRule="auto"/>
        <w:rPr>
          <w:rFonts w:ascii="宋体" w:hAnsi="宋体"/>
          <w:highlight w:val="none"/>
        </w:rPr>
      </w:pPr>
      <w:r>
        <w:rPr>
          <w:rFonts w:hint="eastAsia" w:ascii="宋体" w:hAnsi="宋体"/>
          <w:highlight w:val="none"/>
        </w:rPr>
        <w:t>（2）在工程采购项目中，工程由中小企业承建，即工程施工单位为中小企业；</w:t>
      </w:r>
    </w:p>
    <w:p>
      <w:pPr>
        <w:spacing w:line="360" w:lineRule="auto"/>
        <w:rPr>
          <w:rFonts w:ascii="宋体" w:hAnsi="宋体"/>
          <w:highlight w:val="none"/>
        </w:rPr>
      </w:pPr>
      <w:r>
        <w:rPr>
          <w:rFonts w:hint="eastAsia" w:ascii="宋体" w:hAnsi="宋体"/>
          <w:highlight w:val="none"/>
        </w:rPr>
        <w:t>（3）在服务采购项目中，服务由中小企业承接，即提供服务的人员为中小企业依照《中华人民共和国劳动合同法》订立劳动合同的从业人员。</w:t>
      </w:r>
    </w:p>
    <w:p>
      <w:pPr>
        <w:spacing w:line="360" w:lineRule="auto"/>
        <w:ind w:firstLine="420" w:firstLineChars="200"/>
        <w:rPr>
          <w:rFonts w:ascii="宋体" w:hAnsi="宋体"/>
          <w:highlight w:val="none"/>
        </w:rPr>
      </w:pPr>
      <w:r>
        <w:rPr>
          <w:rFonts w:hint="eastAsia" w:ascii="宋体" w:hAnsi="宋体"/>
          <w:highlight w:val="none"/>
        </w:rPr>
        <w:t>在货物采购项目中，供应商提供的货物既有中小企业制造货物，也有大型企业制造货物的，不享受中小企业扶持政策。</w:t>
      </w:r>
    </w:p>
    <w:p>
      <w:pPr>
        <w:spacing w:line="360" w:lineRule="auto"/>
        <w:ind w:firstLine="420" w:firstLineChars="200"/>
        <w:rPr>
          <w:rFonts w:ascii="宋体" w:hAnsi="宋体"/>
          <w:highlight w:val="none"/>
        </w:rPr>
      </w:pPr>
      <w:r>
        <w:rPr>
          <w:rFonts w:hint="eastAsia" w:ascii="宋体" w:hAnsi="宋体"/>
          <w:highlight w:val="none"/>
        </w:rPr>
        <w:t>以联合体形式参加政府采购活动，联合体各方均为中小企业的，联合体视同中小企业。其中，联合体各方均为小微企业的，联合体视同小微企业。</w:t>
      </w:r>
    </w:p>
    <w:p>
      <w:pPr>
        <w:spacing w:line="360" w:lineRule="auto"/>
        <w:rPr>
          <w:rFonts w:ascii="宋体" w:hAnsi="宋体"/>
          <w:highlight w:val="none"/>
        </w:rPr>
      </w:pPr>
      <w:r>
        <w:rPr>
          <w:rFonts w:hint="eastAsia" w:ascii="宋体" w:hAnsi="宋体"/>
          <w:highlight w:val="none"/>
        </w:rPr>
        <w:t>2.1.2中小企业参加政府采购活动，应当出具文件中规定的《中小企业声明函》，否则不得享受相关中小企业扶持政策。</w:t>
      </w:r>
    </w:p>
    <w:p>
      <w:pPr>
        <w:snapToGrid w:val="0"/>
        <w:spacing w:line="360" w:lineRule="auto"/>
        <w:rPr>
          <w:rFonts w:ascii="宋体" w:hAnsi="宋体"/>
          <w:szCs w:val="21"/>
          <w:highlight w:val="none"/>
        </w:rPr>
      </w:pPr>
      <w:r>
        <w:rPr>
          <w:rFonts w:hint="eastAsia" w:ascii="宋体" w:hAnsi="宋体"/>
          <w:highlight w:val="none"/>
        </w:rPr>
        <w:t>2.1.3依据规定享受扶持政策获得政府采购合同的，小微企业不得将合同分包给大中型企业，中型企业不得将合同分包给大型企业。</w:t>
      </w:r>
    </w:p>
    <w:p>
      <w:pPr>
        <w:pStyle w:val="14"/>
        <w:tabs>
          <w:tab w:val="left" w:pos="2472"/>
        </w:tabs>
        <w:snapToGrid w:val="0"/>
        <w:spacing w:line="360" w:lineRule="auto"/>
        <w:rPr>
          <w:rFonts w:hAnsi="宋体"/>
          <w:b/>
          <w:szCs w:val="21"/>
          <w:highlight w:val="none"/>
        </w:rPr>
      </w:pPr>
      <w:r>
        <w:rPr>
          <w:rFonts w:hAnsi="宋体"/>
          <w:b/>
          <w:szCs w:val="21"/>
          <w:highlight w:val="none"/>
        </w:rPr>
        <w:t>2</w:t>
      </w:r>
      <w:r>
        <w:rPr>
          <w:rFonts w:hint="eastAsia" w:hAnsi="宋体"/>
          <w:b/>
          <w:szCs w:val="21"/>
          <w:highlight w:val="none"/>
        </w:rPr>
        <w:t>.</w:t>
      </w:r>
      <w:r>
        <w:rPr>
          <w:rFonts w:hAnsi="宋体"/>
          <w:b/>
          <w:szCs w:val="21"/>
          <w:highlight w:val="none"/>
        </w:rPr>
        <w:t>2</w:t>
      </w:r>
      <w:r>
        <w:rPr>
          <w:rFonts w:hint="eastAsia" w:hAnsi="宋体"/>
          <w:b/>
          <w:szCs w:val="21"/>
          <w:highlight w:val="none"/>
        </w:rPr>
        <w:t>监狱企业</w:t>
      </w:r>
    </w:p>
    <w:p>
      <w:pPr>
        <w:pStyle w:val="14"/>
        <w:tabs>
          <w:tab w:val="left" w:pos="2472"/>
        </w:tabs>
        <w:snapToGrid w:val="0"/>
        <w:spacing w:line="360" w:lineRule="auto"/>
        <w:rPr>
          <w:rFonts w:hAnsi="宋体"/>
          <w:szCs w:val="21"/>
          <w:highlight w:val="none"/>
        </w:rPr>
      </w:pPr>
      <w:r>
        <w:rPr>
          <w:rFonts w:hAnsi="宋体"/>
          <w:szCs w:val="21"/>
          <w:highlight w:val="none"/>
        </w:rPr>
        <w:t>2</w:t>
      </w:r>
      <w:r>
        <w:rPr>
          <w:rFonts w:hint="eastAsia" w:hAnsi="宋体"/>
          <w:szCs w:val="21"/>
          <w:highlight w:val="none"/>
        </w:rPr>
        <w:t>.</w:t>
      </w:r>
      <w:r>
        <w:rPr>
          <w:rFonts w:hAnsi="宋体"/>
          <w:szCs w:val="21"/>
          <w:highlight w:val="none"/>
        </w:rPr>
        <w:t>2</w:t>
      </w:r>
      <w:r>
        <w:rPr>
          <w:rFonts w:hint="eastAsia" w:hAnsi="宋体"/>
          <w:szCs w:val="21"/>
          <w:highlight w:val="none"/>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pStyle w:val="14"/>
        <w:tabs>
          <w:tab w:val="left" w:pos="2472"/>
        </w:tabs>
        <w:snapToGrid w:val="0"/>
        <w:spacing w:line="360" w:lineRule="auto"/>
        <w:rPr>
          <w:rFonts w:hAnsi="宋体"/>
          <w:b/>
          <w:szCs w:val="21"/>
          <w:highlight w:val="none"/>
        </w:rPr>
      </w:pPr>
      <w:r>
        <w:rPr>
          <w:rFonts w:hint="eastAsia" w:hAnsi="宋体"/>
          <w:b/>
          <w:szCs w:val="21"/>
          <w:highlight w:val="none"/>
        </w:rPr>
        <w:t>2.3残疾人福利性单位</w:t>
      </w:r>
    </w:p>
    <w:p>
      <w:pPr>
        <w:pStyle w:val="14"/>
        <w:tabs>
          <w:tab w:val="left" w:pos="2472"/>
        </w:tabs>
        <w:snapToGrid w:val="0"/>
        <w:spacing w:line="360" w:lineRule="auto"/>
        <w:rPr>
          <w:rFonts w:hAnsi="宋体"/>
          <w:szCs w:val="21"/>
          <w:highlight w:val="none"/>
        </w:rPr>
      </w:pPr>
      <w:r>
        <w:rPr>
          <w:rFonts w:hint="eastAsia" w:hAnsi="宋体"/>
          <w:szCs w:val="21"/>
          <w:highlight w:val="none"/>
        </w:rPr>
        <w:t>2.3</w:t>
      </w:r>
      <w:r>
        <w:rPr>
          <w:rFonts w:hAnsi="宋体"/>
          <w:szCs w:val="21"/>
          <w:highlight w:val="none"/>
        </w:rPr>
        <w:t>.1根据</w:t>
      </w:r>
      <w:r>
        <w:rPr>
          <w:rFonts w:hint="eastAsia" w:hAnsi="宋体"/>
          <w:szCs w:val="21"/>
          <w:highlight w:val="none"/>
        </w:rPr>
        <w:t>《财政部 民政部 中国残疾人联合会关于促进残疾人就业政府采购政策的通知》（财库〔2017〕141号），享受政府采购支持政策的残疾人福利性单位应当同时满足以下条件：</w:t>
      </w:r>
    </w:p>
    <w:p>
      <w:pPr>
        <w:pStyle w:val="14"/>
        <w:tabs>
          <w:tab w:val="left" w:pos="2472"/>
        </w:tabs>
        <w:snapToGrid w:val="0"/>
        <w:spacing w:line="360" w:lineRule="auto"/>
        <w:ind w:firstLine="420" w:firstLineChars="200"/>
        <w:rPr>
          <w:rFonts w:hAnsi="宋体"/>
          <w:szCs w:val="21"/>
          <w:highlight w:val="none"/>
        </w:rPr>
      </w:pPr>
      <w:r>
        <w:rPr>
          <w:rFonts w:hint="eastAsia" w:hAnsi="宋体"/>
          <w:szCs w:val="21"/>
          <w:highlight w:val="none"/>
        </w:rPr>
        <w:t>（1）安置的残疾人占本单位在职职工人数的比例不低于25%（含25%），并且安置的残疾人人数不少于10人（含10人）；</w:t>
      </w:r>
    </w:p>
    <w:p>
      <w:pPr>
        <w:pStyle w:val="14"/>
        <w:tabs>
          <w:tab w:val="left" w:pos="2472"/>
        </w:tabs>
        <w:snapToGrid w:val="0"/>
        <w:spacing w:line="360" w:lineRule="auto"/>
        <w:rPr>
          <w:rFonts w:hAnsi="宋体"/>
          <w:szCs w:val="21"/>
          <w:highlight w:val="none"/>
        </w:rPr>
      </w:pPr>
      <w:r>
        <w:rPr>
          <w:rFonts w:hint="eastAsia" w:hAnsi="宋体"/>
          <w:szCs w:val="21"/>
          <w:highlight w:val="none"/>
        </w:rPr>
        <w:t>　　（2）依法与安置的每位残疾人签订了一年以上（含一年）的劳动合同或服务协议；</w:t>
      </w:r>
    </w:p>
    <w:p>
      <w:pPr>
        <w:pStyle w:val="14"/>
        <w:tabs>
          <w:tab w:val="left" w:pos="2472"/>
        </w:tabs>
        <w:snapToGrid w:val="0"/>
        <w:spacing w:line="360" w:lineRule="auto"/>
        <w:rPr>
          <w:rFonts w:hAnsi="宋体"/>
          <w:szCs w:val="21"/>
          <w:highlight w:val="none"/>
        </w:rPr>
      </w:pPr>
      <w:r>
        <w:rPr>
          <w:rFonts w:hint="eastAsia" w:hAnsi="宋体"/>
          <w:szCs w:val="21"/>
          <w:highlight w:val="none"/>
        </w:rPr>
        <w:t>　　（3）为安置的每位残疾人按月足额缴纳了基本养老保险、基本医疗保险、失业保险、工伤保险和生育保险等社会保险费；</w:t>
      </w:r>
    </w:p>
    <w:p>
      <w:pPr>
        <w:pStyle w:val="14"/>
        <w:tabs>
          <w:tab w:val="left" w:pos="2472"/>
        </w:tabs>
        <w:snapToGrid w:val="0"/>
        <w:spacing w:line="360" w:lineRule="auto"/>
        <w:rPr>
          <w:rFonts w:hAnsi="宋体"/>
          <w:szCs w:val="21"/>
          <w:highlight w:val="none"/>
        </w:rPr>
      </w:pPr>
      <w:r>
        <w:rPr>
          <w:rFonts w:hint="eastAsia" w:hAnsi="宋体"/>
          <w:szCs w:val="21"/>
          <w:highlight w:val="none"/>
        </w:rPr>
        <w:t>　　（4）通过银行等金融机构向安置的每位残疾人，按月支付了不低于单位所在区县适用的经省级人民政府批准的月最低工资标准的工资；</w:t>
      </w:r>
    </w:p>
    <w:p>
      <w:pPr>
        <w:pStyle w:val="14"/>
        <w:tabs>
          <w:tab w:val="left" w:pos="2472"/>
        </w:tabs>
        <w:snapToGrid w:val="0"/>
        <w:spacing w:line="360" w:lineRule="auto"/>
        <w:rPr>
          <w:rFonts w:hAnsi="宋体"/>
          <w:szCs w:val="21"/>
          <w:highlight w:val="none"/>
        </w:rPr>
      </w:pPr>
      <w:r>
        <w:rPr>
          <w:rFonts w:hint="eastAsia" w:hAnsi="宋体"/>
          <w:szCs w:val="21"/>
          <w:highlight w:val="none"/>
        </w:rPr>
        <w:t>　　（5）提供本单位制造的货物、承担的工程或者服务（以下简称产品），或者提供其他残疾人福利性单位制造的货物（不包括使用非残疾人福利性单位注册商标的货物）。</w:t>
      </w:r>
    </w:p>
    <w:p>
      <w:pPr>
        <w:pStyle w:val="14"/>
        <w:tabs>
          <w:tab w:val="left" w:pos="2472"/>
        </w:tabs>
        <w:snapToGrid w:val="0"/>
        <w:spacing w:line="360" w:lineRule="auto"/>
        <w:ind w:firstLine="420"/>
        <w:rPr>
          <w:rFonts w:hAnsi="宋体"/>
          <w:szCs w:val="21"/>
          <w:highlight w:val="none"/>
        </w:rPr>
      </w:pPr>
      <w:r>
        <w:rPr>
          <w:rFonts w:hint="eastAsia" w:hAnsi="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14"/>
        <w:tabs>
          <w:tab w:val="left" w:pos="2472"/>
        </w:tabs>
        <w:snapToGrid w:val="0"/>
        <w:spacing w:line="360" w:lineRule="auto"/>
        <w:rPr>
          <w:rFonts w:hAnsi="宋体"/>
          <w:szCs w:val="21"/>
          <w:highlight w:val="none"/>
        </w:rPr>
      </w:pPr>
      <w:r>
        <w:rPr>
          <w:rFonts w:hint="eastAsia" w:hAnsi="宋体"/>
          <w:szCs w:val="21"/>
          <w:highlight w:val="none"/>
        </w:rPr>
        <w:t>2.3.2符合条件的残疾人福利性单位在参加政府采购活动时，应当提供《残疾人福利性单位声明函》，并对声明的真实性负责。</w:t>
      </w:r>
    </w:p>
    <w:p>
      <w:pPr>
        <w:pStyle w:val="14"/>
        <w:tabs>
          <w:tab w:val="left" w:pos="2472"/>
        </w:tabs>
        <w:snapToGrid w:val="0"/>
        <w:spacing w:line="360" w:lineRule="auto"/>
        <w:rPr>
          <w:rFonts w:hAnsi="宋体"/>
          <w:b/>
          <w:szCs w:val="21"/>
          <w:highlight w:val="none"/>
        </w:rPr>
      </w:pPr>
      <w:r>
        <w:rPr>
          <w:rFonts w:hAnsi="宋体"/>
          <w:b/>
          <w:szCs w:val="21"/>
          <w:highlight w:val="none"/>
        </w:rPr>
        <w:t>2.4</w:t>
      </w:r>
      <w:r>
        <w:rPr>
          <w:rFonts w:hint="eastAsia" w:hAnsi="宋体"/>
          <w:b/>
          <w:szCs w:val="21"/>
          <w:highlight w:val="none"/>
        </w:rPr>
        <w:t>节能、环境标志产品</w:t>
      </w:r>
    </w:p>
    <w:p>
      <w:pPr>
        <w:pStyle w:val="14"/>
        <w:tabs>
          <w:tab w:val="left" w:pos="2472"/>
        </w:tabs>
        <w:snapToGrid w:val="0"/>
        <w:spacing w:line="360" w:lineRule="auto"/>
        <w:rPr>
          <w:rFonts w:hAnsi="宋体"/>
          <w:szCs w:val="21"/>
          <w:highlight w:val="none"/>
        </w:rPr>
      </w:pPr>
      <w:r>
        <w:rPr>
          <w:rFonts w:hint="eastAsia" w:hAnsi="宋体"/>
          <w:szCs w:val="21"/>
          <w:highlight w:val="none"/>
        </w:rPr>
        <w:t>2.4.1节能产品是指列入财政部和国家发改委公布的《节能产品政府采购品目清单》中的货物。政府强制采购节能产品是指《节能产品政府采购品目清单》中以“★”标注类别的产品。</w:t>
      </w:r>
    </w:p>
    <w:p>
      <w:pPr>
        <w:pStyle w:val="14"/>
        <w:tabs>
          <w:tab w:val="left" w:pos="2472"/>
        </w:tabs>
        <w:snapToGrid w:val="0"/>
        <w:spacing w:line="360" w:lineRule="auto"/>
        <w:rPr>
          <w:rFonts w:hAnsi="宋体"/>
          <w:szCs w:val="21"/>
          <w:highlight w:val="none"/>
        </w:rPr>
      </w:pPr>
      <w:r>
        <w:rPr>
          <w:rFonts w:hint="eastAsia" w:hAnsi="宋体"/>
          <w:szCs w:val="21"/>
          <w:highlight w:val="none"/>
        </w:rPr>
        <w:t>2.4.2环境标志产品是指列入财政部、生态环境部公布的《环境标志产品政府采购品目清单》中的货物。</w:t>
      </w:r>
    </w:p>
    <w:p>
      <w:pPr>
        <w:pStyle w:val="14"/>
        <w:tabs>
          <w:tab w:val="left" w:pos="2472"/>
        </w:tabs>
        <w:snapToGrid w:val="0"/>
        <w:spacing w:line="360" w:lineRule="auto"/>
        <w:rPr>
          <w:rFonts w:hAnsi="宋体"/>
          <w:szCs w:val="21"/>
          <w:highlight w:val="none"/>
        </w:rPr>
      </w:pPr>
      <w:r>
        <w:rPr>
          <w:rFonts w:hint="eastAsia" w:hAnsi="宋体"/>
          <w:szCs w:val="21"/>
          <w:highlight w:val="none"/>
        </w:rPr>
        <w:t>2.4.3本项目采购清单中若有政府强制采购节能产品，只接受强制节能产品投标，投标人必须选报强制节能产品，否则按不实质性响应招标文件要求处理。投标人必须在投标文件中提供国家确定的认证机构出具的、处于有效期之内的节能产品认证证书。</w:t>
      </w:r>
    </w:p>
    <w:p>
      <w:pPr>
        <w:pStyle w:val="14"/>
        <w:tabs>
          <w:tab w:val="left" w:pos="2472"/>
        </w:tabs>
        <w:snapToGrid w:val="0"/>
        <w:spacing w:line="360" w:lineRule="auto"/>
        <w:rPr>
          <w:rFonts w:hAnsi="宋体"/>
          <w:szCs w:val="21"/>
          <w:highlight w:val="none"/>
        </w:rPr>
      </w:pPr>
      <w:r>
        <w:rPr>
          <w:rFonts w:hint="eastAsia" w:hAnsi="宋体"/>
          <w:szCs w:val="21"/>
          <w:highlight w:val="none"/>
        </w:rPr>
        <w:t>2.4.4投标人应在投标文件中提供所投标产品国家确定的认证机构出具的、处于有效期之内的节能产品、环境标志产品认证证书，否则不予认可。</w:t>
      </w:r>
    </w:p>
    <w:p>
      <w:pPr>
        <w:pStyle w:val="14"/>
        <w:tabs>
          <w:tab w:val="left" w:pos="2472"/>
        </w:tabs>
        <w:snapToGrid w:val="0"/>
        <w:spacing w:line="360" w:lineRule="auto"/>
        <w:rPr>
          <w:rFonts w:hAnsi="宋体"/>
          <w:szCs w:val="21"/>
          <w:highlight w:val="none"/>
        </w:rPr>
      </w:pPr>
      <w:r>
        <w:rPr>
          <w:rFonts w:hint="eastAsia" w:hAnsi="宋体"/>
          <w:szCs w:val="21"/>
          <w:highlight w:val="none"/>
        </w:rPr>
        <w:t>2.4.5投标人应在投标文件中提供所投标产品在“节能产品政府采购品目清单”或“环境标志产品政府采购品目清单”中的单页复印件一份，并在复印件上标注出所投产品及型号。</w:t>
      </w:r>
    </w:p>
    <w:p>
      <w:pPr>
        <w:pStyle w:val="14"/>
        <w:tabs>
          <w:tab w:val="left" w:pos="2472"/>
        </w:tabs>
        <w:snapToGrid w:val="0"/>
        <w:spacing w:line="360" w:lineRule="auto"/>
        <w:rPr>
          <w:rFonts w:hAnsi="宋体"/>
          <w:szCs w:val="21"/>
          <w:highlight w:val="none"/>
        </w:rPr>
      </w:pPr>
      <w:r>
        <w:rPr>
          <w:rFonts w:hint="eastAsia" w:hAnsi="宋体"/>
          <w:szCs w:val="21"/>
          <w:highlight w:val="none"/>
        </w:rPr>
        <w:t>2.4.6《节能产品政府采购品目清单》及《环境标志产品政府采购品目清单》可通过中国政府采购网（http://www.ccgp.gov.cn/）查阅、下载。</w:t>
      </w:r>
    </w:p>
    <w:p>
      <w:pPr>
        <w:pStyle w:val="14"/>
        <w:tabs>
          <w:tab w:val="left" w:pos="2472"/>
        </w:tabs>
        <w:snapToGrid w:val="0"/>
        <w:spacing w:line="360" w:lineRule="auto"/>
        <w:rPr>
          <w:rFonts w:hAnsi="宋体"/>
          <w:b/>
          <w:bCs/>
          <w:szCs w:val="21"/>
          <w:highlight w:val="none"/>
        </w:rPr>
      </w:pPr>
      <w:r>
        <w:rPr>
          <w:rFonts w:hint="eastAsia" w:hAnsi="宋体"/>
          <w:b/>
          <w:bCs/>
          <w:szCs w:val="21"/>
          <w:highlight w:val="none"/>
        </w:rPr>
        <w:t>3.评标程序及标准</w:t>
      </w:r>
    </w:p>
    <w:p>
      <w:pPr>
        <w:pStyle w:val="14"/>
        <w:tabs>
          <w:tab w:val="left" w:pos="2472"/>
        </w:tabs>
        <w:snapToGrid w:val="0"/>
        <w:spacing w:line="360" w:lineRule="auto"/>
        <w:rPr>
          <w:rFonts w:hAnsi="宋体"/>
          <w:b/>
          <w:szCs w:val="21"/>
          <w:highlight w:val="none"/>
        </w:rPr>
      </w:pPr>
      <w:r>
        <w:rPr>
          <w:rFonts w:hint="eastAsia" w:hAnsi="宋体"/>
          <w:b/>
          <w:szCs w:val="21"/>
          <w:highlight w:val="none"/>
        </w:rPr>
        <w:t>3.1符合性评审</w:t>
      </w:r>
    </w:p>
    <w:p>
      <w:pPr>
        <w:pStyle w:val="14"/>
        <w:tabs>
          <w:tab w:val="left" w:pos="2472"/>
        </w:tabs>
        <w:snapToGrid w:val="0"/>
        <w:spacing w:line="360" w:lineRule="auto"/>
        <w:rPr>
          <w:rFonts w:hAnsi="宋体"/>
          <w:szCs w:val="21"/>
          <w:highlight w:val="none"/>
        </w:rPr>
      </w:pPr>
      <w:r>
        <w:rPr>
          <w:rFonts w:hAnsi="宋体"/>
          <w:szCs w:val="21"/>
          <w:highlight w:val="none"/>
        </w:rPr>
        <w:t>依据招标文件的规定，评标委员会对符合资格的投标人的投标文件</w:t>
      </w:r>
      <w:r>
        <w:rPr>
          <w:rFonts w:hint="eastAsia" w:hAnsi="宋体"/>
          <w:szCs w:val="21"/>
          <w:highlight w:val="none"/>
        </w:rPr>
        <w:t>从</w:t>
      </w:r>
      <w:r>
        <w:rPr>
          <w:rFonts w:hAnsi="宋体"/>
          <w:szCs w:val="21"/>
          <w:highlight w:val="none"/>
        </w:rPr>
        <w:t>有效性、完整性和对招标文件的实质性响应程度等方面进行审查，</w:t>
      </w:r>
      <w:r>
        <w:rPr>
          <w:rFonts w:hint="eastAsia" w:hAnsi="宋体"/>
          <w:szCs w:val="21"/>
          <w:highlight w:val="none"/>
        </w:rPr>
        <w:t>详</w:t>
      </w:r>
      <w:r>
        <w:rPr>
          <w:rFonts w:hAnsi="宋体"/>
          <w:szCs w:val="21"/>
          <w:highlight w:val="none"/>
        </w:rPr>
        <w:t>见评标方法前附表。</w:t>
      </w:r>
    </w:p>
    <w:p>
      <w:pPr>
        <w:snapToGrid w:val="0"/>
        <w:spacing w:line="360" w:lineRule="auto"/>
        <w:jc w:val="left"/>
        <w:rPr>
          <w:rFonts w:ascii="宋体" w:hAnsi="宋体"/>
          <w:b/>
          <w:szCs w:val="21"/>
          <w:highlight w:val="none"/>
        </w:rPr>
      </w:pPr>
      <w:r>
        <w:rPr>
          <w:rFonts w:hint="eastAsia" w:ascii="宋体" w:hAnsi="宋体"/>
          <w:b/>
          <w:szCs w:val="21"/>
          <w:highlight w:val="none"/>
        </w:rPr>
        <w:t>3.2详细评审</w:t>
      </w:r>
    </w:p>
    <w:p>
      <w:pPr>
        <w:pStyle w:val="14"/>
        <w:tabs>
          <w:tab w:val="left" w:pos="2472"/>
        </w:tabs>
        <w:snapToGrid w:val="0"/>
        <w:spacing w:line="360" w:lineRule="auto"/>
        <w:rPr>
          <w:rFonts w:hAnsi="宋体"/>
          <w:szCs w:val="21"/>
          <w:highlight w:val="none"/>
        </w:rPr>
      </w:pPr>
      <w:bookmarkStart w:id="267" w:name="_Toc321836408"/>
      <w:r>
        <w:rPr>
          <w:rFonts w:hint="eastAsia" w:hAnsi="宋体"/>
          <w:szCs w:val="21"/>
          <w:highlight w:val="none"/>
        </w:rPr>
        <w:t>3</w:t>
      </w:r>
      <w:r>
        <w:rPr>
          <w:rFonts w:hAnsi="宋体"/>
          <w:szCs w:val="21"/>
          <w:highlight w:val="none"/>
        </w:rPr>
        <w:t>.</w:t>
      </w:r>
      <w:r>
        <w:rPr>
          <w:rFonts w:hint="eastAsia" w:hAnsi="宋体"/>
          <w:szCs w:val="21"/>
          <w:highlight w:val="none"/>
        </w:rPr>
        <w:t>2</w:t>
      </w:r>
      <w:r>
        <w:rPr>
          <w:rFonts w:hAnsi="宋体"/>
          <w:szCs w:val="21"/>
          <w:highlight w:val="none"/>
        </w:rPr>
        <w:t>.1</w:t>
      </w:r>
      <w:bookmarkEnd w:id="267"/>
      <w:r>
        <w:rPr>
          <w:rFonts w:ascii="inherit" w:hAnsi="inherit" w:cs="宋体"/>
          <w:kern w:val="0"/>
          <w:szCs w:val="21"/>
          <w:highlight w:val="none"/>
        </w:rPr>
        <w:t>评标委员会按照招标文件中规定的评标方法和标准，对符合性审查合格的投标文件进行商务和技术评估，综合比较与评价</w:t>
      </w:r>
      <w:r>
        <w:rPr>
          <w:rFonts w:hint="eastAsia" w:hAnsi="宋体"/>
          <w:szCs w:val="21"/>
          <w:highlight w:val="none"/>
        </w:rPr>
        <w:t>，详</w:t>
      </w:r>
      <w:r>
        <w:rPr>
          <w:rFonts w:hAnsi="宋体"/>
          <w:szCs w:val="21"/>
          <w:highlight w:val="none"/>
        </w:rPr>
        <w:t>见评标方法前附表。</w:t>
      </w:r>
    </w:p>
    <w:p>
      <w:pPr>
        <w:pStyle w:val="14"/>
        <w:tabs>
          <w:tab w:val="left" w:pos="2472"/>
        </w:tabs>
        <w:snapToGrid w:val="0"/>
        <w:spacing w:line="360" w:lineRule="auto"/>
        <w:rPr>
          <w:rFonts w:hAnsi="宋体"/>
          <w:szCs w:val="21"/>
          <w:highlight w:val="none"/>
        </w:rPr>
      </w:pPr>
      <w:r>
        <w:rPr>
          <w:rFonts w:hint="eastAsia" w:hAnsi="宋体"/>
          <w:szCs w:val="21"/>
          <w:highlight w:val="none"/>
        </w:rPr>
        <w:t>3.2</w:t>
      </w:r>
      <w:r>
        <w:rPr>
          <w:rFonts w:hAnsi="宋体"/>
          <w:szCs w:val="21"/>
          <w:highlight w:val="none"/>
        </w:rPr>
        <w:t>.2</w:t>
      </w:r>
      <w:r>
        <w:rPr>
          <w:rFonts w:hint="eastAsia" w:hAnsi="宋体"/>
          <w:szCs w:val="21"/>
          <w:highlight w:val="none"/>
        </w:rPr>
        <w:t>评标委员会各成员要依法独立评审，并对评审意见承担个人责任。对投标人的客观评分项的评分应当一致，对其他需要借助专业知识评判的主观评分项，应当严格按照评分细则公正评分。</w:t>
      </w:r>
    </w:p>
    <w:p>
      <w:pPr>
        <w:pStyle w:val="14"/>
        <w:tabs>
          <w:tab w:val="left" w:pos="2472"/>
        </w:tabs>
        <w:snapToGrid w:val="0"/>
        <w:spacing w:line="360" w:lineRule="auto"/>
        <w:rPr>
          <w:rFonts w:hAnsi="宋体"/>
          <w:szCs w:val="21"/>
          <w:highlight w:val="none"/>
        </w:rPr>
      </w:pPr>
      <w:r>
        <w:rPr>
          <w:rFonts w:hint="eastAsia" w:hAnsi="宋体"/>
          <w:szCs w:val="21"/>
          <w:highlight w:val="none"/>
        </w:rPr>
        <w:t>3.2</w:t>
      </w:r>
      <w:r>
        <w:rPr>
          <w:rFonts w:hAnsi="宋体"/>
          <w:szCs w:val="21"/>
          <w:highlight w:val="none"/>
        </w:rPr>
        <w:t>.3</w:t>
      </w:r>
      <w:r>
        <w:rPr>
          <w:rFonts w:hint="eastAsia" w:hAnsi="宋体"/>
          <w:szCs w:val="21"/>
          <w:highlight w:val="none"/>
        </w:rPr>
        <w:t>评标委员会成员对需要共同认定的事项存在争议的，按照少数服从多数的原则作出结论。持不同意见的评标委员会成员应当在评标报告上签署不同意见并说明理由，否则视为同意。</w:t>
      </w:r>
    </w:p>
    <w:p>
      <w:pPr>
        <w:pStyle w:val="14"/>
        <w:tabs>
          <w:tab w:val="left" w:pos="2472"/>
        </w:tabs>
        <w:snapToGrid w:val="0"/>
        <w:spacing w:line="360" w:lineRule="auto"/>
        <w:rPr>
          <w:rFonts w:hAnsi="宋体"/>
          <w:szCs w:val="21"/>
          <w:highlight w:val="none"/>
        </w:rPr>
      </w:pPr>
      <w:r>
        <w:rPr>
          <w:rFonts w:hint="eastAsia" w:hAnsi="宋体"/>
          <w:szCs w:val="21"/>
          <w:highlight w:val="none"/>
        </w:rPr>
        <w:t>3.2.4</w:t>
      </w:r>
      <w:r>
        <w:rPr>
          <w:rFonts w:ascii="inherit" w:hAnsi="inherit" w:cs="宋体"/>
          <w:kern w:val="0"/>
          <w:szCs w:val="21"/>
          <w:highlight w:val="none"/>
        </w:rPr>
        <w:t>投标文件报价出现前后不一致的，按照下列规定修正</w:t>
      </w:r>
      <w:r>
        <w:rPr>
          <w:rFonts w:hAnsi="宋体"/>
          <w:szCs w:val="21"/>
          <w:highlight w:val="none"/>
        </w:rPr>
        <w:t>：</w:t>
      </w:r>
    </w:p>
    <w:p>
      <w:pPr>
        <w:pStyle w:val="14"/>
        <w:tabs>
          <w:tab w:val="left" w:pos="2472"/>
        </w:tabs>
        <w:snapToGrid w:val="0"/>
        <w:spacing w:line="360" w:lineRule="auto"/>
        <w:ind w:firstLine="420" w:firstLineChars="200"/>
        <w:rPr>
          <w:rFonts w:hAnsi="宋体"/>
          <w:szCs w:val="21"/>
          <w:highlight w:val="none"/>
        </w:rPr>
      </w:pPr>
      <w:r>
        <w:rPr>
          <w:rFonts w:hint="eastAsia" w:hAnsi="宋体"/>
          <w:szCs w:val="21"/>
          <w:highlight w:val="none"/>
        </w:rPr>
        <w:t>（一）投标文件中开标一览表（报价表）内容与投标文件中相应内容不一致的，以开标一览表（报价表）为准；</w:t>
      </w:r>
    </w:p>
    <w:p>
      <w:pPr>
        <w:pStyle w:val="14"/>
        <w:tabs>
          <w:tab w:val="left" w:pos="2472"/>
        </w:tabs>
        <w:snapToGrid w:val="0"/>
        <w:spacing w:line="360" w:lineRule="auto"/>
        <w:ind w:firstLine="420" w:firstLineChars="200"/>
        <w:rPr>
          <w:rFonts w:hAnsi="宋体"/>
          <w:szCs w:val="21"/>
          <w:highlight w:val="none"/>
        </w:rPr>
      </w:pPr>
      <w:r>
        <w:rPr>
          <w:rFonts w:hint="eastAsia" w:hAnsi="宋体"/>
          <w:szCs w:val="21"/>
          <w:highlight w:val="none"/>
        </w:rPr>
        <w:t>（二）大写金额和小写金额不一致的，以大写金额为准；</w:t>
      </w:r>
    </w:p>
    <w:p>
      <w:pPr>
        <w:pStyle w:val="14"/>
        <w:tabs>
          <w:tab w:val="left" w:pos="2472"/>
        </w:tabs>
        <w:snapToGrid w:val="0"/>
        <w:spacing w:line="360" w:lineRule="auto"/>
        <w:ind w:firstLine="420" w:firstLineChars="200"/>
        <w:rPr>
          <w:rFonts w:hAnsi="宋体"/>
          <w:szCs w:val="21"/>
          <w:highlight w:val="none"/>
        </w:rPr>
      </w:pPr>
      <w:r>
        <w:rPr>
          <w:rFonts w:hint="eastAsia" w:hAnsi="宋体"/>
          <w:szCs w:val="21"/>
          <w:highlight w:val="none"/>
        </w:rPr>
        <w:t>（三）单价金额小数点或者百分比有明显错位的，以开标一览表的总价为准，并修改单价；</w:t>
      </w:r>
    </w:p>
    <w:p>
      <w:pPr>
        <w:pStyle w:val="14"/>
        <w:tabs>
          <w:tab w:val="left" w:pos="2472"/>
        </w:tabs>
        <w:snapToGrid w:val="0"/>
        <w:spacing w:line="360" w:lineRule="auto"/>
        <w:ind w:firstLine="420" w:firstLineChars="200"/>
        <w:rPr>
          <w:rFonts w:hAnsi="宋体"/>
          <w:szCs w:val="21"/>
          <w:highlight w:val="none"/>
        </w:rPr>
      </w:pPr>
      <w:r>
        <w:rPr>
          <w:rFonts w:hint="eastAsia" w:hAnsi="宋体"/>
          <w:szCs w:val="21"/>
          <w:highlight w:val="none"/>
        </w:rPr>
        <w:t>（四）总价金额与按单价汇总金额不一致的，以单价金额计算结果为准。</w:t>
      </w:r>
    </w:p>
    <w:p>
      <w:pPr>
        <w:pStyle w:val="14"/>
        <w:tabs>
          <w:tab w:val="left" w:pos="2472"/>
        </w:tabs>
        <w:snapToGrid w:val="0"/>
        <w:spacing w:line="360" w:lineRule="auto"/>
        <w:ind w:firstLine="420" w:firstLineChars="200"/>
        <w:rPr>
          <w:rFonts w:hAnsi="宋体"/>
          <w:bCs/>
          <w:szCs w:val="21"/>
          <w:highlight w:val="none"/>
        </w:rPr>
      </w:pPr>
      <w:r>
        <w:rPr>
          <w:rFonts w:hint="eastAsia" w:hAnsi="宋体"/>
          <w:bCs/>
          <w:szCs w:val="21"/>
          <w:highlight w:val="none"/>
        </w:rPr>
        <w:t>同时出现两种以上不一致的，按照前款规定的顺序修正。修正后的报价按照本章第4款的规定经投标人确认后产生约束力，投标人不确认的，其投标无效。</w:t>
      </w:r>
    </w:p>
    <w:p>
      <w:pPr>
        <w:snapToGrid w:val="0"/>
        <w:spacing w:line="360" w:lineRule="auto"/>
        <w:jc w:val="left"/>
        <w:rPr>
          <w:rFonts w:ascii="宋体" w:hAnsi="宋体"/>
          <w:bCs/>
          <w:szCs w:val="21"/>
          <w:highlight w:val="none"/>
        </w:rPr>
      </w:pPr>
      <w:r>
        <w:rPr>
          <w:rFonts w:hint="eastAsia" w:ascii="宋体" w:hAnsi="宋体"/>
          <w:bCs/>
          <w:szCs w:val="21"/>
          <w:highlight w:val="none"/>
        </w:rPr>
        <w:t>3.2.5</w:t>
      </w:r>
      <w:r>
        <w:rPr>
          <w:rFonts w:ascii="宋体" w:hAnsi="宋体"/>
          <w:bCs/>
          <w:szCs w:val="21"/>
          <w:highlight w:val="none"/>
        </w:rPr>
        <w:t>价格部分</w:t>
      </w:r>
      <w:r>
        <w:rPr>
          <w:rFonts w:hint="eastAsia" w:ascii="宋体" w:hAnsi="宋体"/>
          <w:bCs/>
          <w:szCs w:val="21"/>
          <w:highlight w:val="none"/>
        </w:rPr>
        <w:t>（F1）</w:t>
      </w:r>
      <w:r>
        <w:rPr>
          <w:rFonts w:ascii="宋体" w:hAnsi="宋体"/>
          <w:bCs/>
          <w:szCs w:val="21"/>
          <w:highlight w:val="none"/>
        </w:rPr>
        <w:t>按评标方法前附表规定的</w:t>
      </w:r>
      <w:r>
        <w:rPr>
          <w:rFonts w:hint="eastAsia" w:ascii="宋体" w:hAnsi="宋体"/>
          <w:bCs/>
          <w:szCs w:val="21"/>
          <w:highlight w:val="none"/>
        </w:rPr>
        <w:t>投标报价计算公式，计算出各投标人价格部分得分。技术部分（F2）和商务部分（F3）得分由评标委员会成员独立评分，投标人各项评分因素得分为该项因素各评委评分的算术平均值。所有计算结果均保留小数点后两位</w:t>
      </w:r>
      <w:r>
        <w:rPr>
          <w:rFonts w:ascii="宋体" w:hAnsi="宋体"/>
          <w:bCs/>
          <w:szCs w:val="21"/>
          <w:highlight w:val="none"/>
        </w:rPr>
        <w:t>，小数点后第三位</w:t>
      </w:r>
      <w:r>
        <w:rPr>
          <w:rFonts w:hint="eastAsia" w:ascii="宋体" w:hAnsi="宋体"/>
          <w:bCs/>
          <w:szCs w:val="21"/>
          <w:highlight w:val="none"/>
        </w:rPr>
        <w:t>“</w:t>
      </w:r>
      <w:r>
        <w:rPr>
          <w:rFonts w:ascii="宋体" w:hAnsi="宋体"/>
          <w:bCs/>
          <w:szCs w:val="21"/>
          <w:highlight w:val="none"/>
        </w:rPr>
        <w:t>四舍五入</w:t>
      </w:r>
      <w:r>
        <w:rPr>
          <w:rFonts w:hint="eastAsia" w:ascii="宋体" w:hAnsi="宋体"/>
          <w:bCs/>
          <w:szCs w:val="21"/>
          <w:highlight w:val="none"/>
        </w:rPr>
        <w:t>”</w:t>
      </w:r>
      <w:r>
        <w:rPr>
          <w:rFonts w:ascii="宋体" w:hAnsi="宋体"/>
          <w:bCs/>
          <w:szCs w:val="21"/>
          <w:highlight w:val="none"/>
        </w:rPr>
        <w:t>。</w:t>
      </w:r>
    </w:p>
    <w:p>
      <w:pPr>
        <w:snapToGrid w:val="0"/>
        <w:spacing w:line="360" w:lineRule="auto"/>
        <w:jc w:val="left"/>
        <w:rPr>
          <w:rFonts w:ascii="宋体" w:hAnsi="宋体"/>
          <w:szCs w:val="21"/>
          <w:highlight w:val="none"/>
        </w:rPr>
      </w:pPr>
      <w:r>
        <w:rPr>
          <w:rFonts w:hint="eastAsia" w:ascii="宋体" w:hAnsi="宋体"/>
          <w:bCs/>
          <w:szCs w:val="21"/>
          <w:highlight w:val="none"/>
        </w:rPr>
        <w:t>3.2.6</w:t>
      </w:r>
      <w:r>
        <w:rPr>
          <w:rFonts w:ascii="inherit" w:hAnsi="inherit" w:cs="宋体"/>
          <w:bCs/>
          <w:kern w:val="0"/>
          <w:szCs w:val="21"/>
          <w:highlight w:val="none"/>
        </w:rPr>
        <w:t>评标委</w:t>
      </w:r>
      <w:r>
        <w:rPr>
          <w:rFonts w:ascii="inherit" w:hAnsi="inherit" w:cs="宋体"/>
          <w:kern w:val="0"/>
          <w:szCs w:val="21"/>
          <w:highlight w:val="none"/>
        </w:rPr>
        <w:t>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4"/>
        <w:tabs>
          <w:tab w:val="left" w:pos="2472"/>
        </w:tabs>
        <w:snapToGrid w:val="0"/>
        <w:spacing w:line="360" w:lineRule="auto"/>
        <w:rPr>
          <w:rFonts w:hAnsi="宋体"/>
          <w:b/>
          <w:bCs/>
          <w:szCs w:val="21"/>
          <w:highlight w:val="none"/>
        </w:rPr>
      </w:pPr>
      <w:bookmarkStart w:id="268" w:name="_Toc321836412"/>
      <w:r>
        <w:rPr>
          <w:rFonts w:hint="eastAsia" w:hAnsi="宋体"/>
          <w:b/>
          <w:bCs/>
          <w:szCs w:val="21"/>
          <w:highlight w:val="none"/>
        </w:rPr>
        <w:t>4.投标文件的澄清</w:t>
      </w:r>
      <w:bookmarkEnd w:id="268"/>
    </w:p>
    <w:p>
      <w:pPr>
        <w:snapToGrid w:val="0"/>
        <w:spacing w:line="360" w:lineRule="auto"/>
        <w:jc w:val="left"/>
        <w:rPr>
          <w:rFonts w:ascii="宋体" w:hAnsi="宋体"/>
          <w:bCs/>
          <w:szCs w:val="21"/>
          <w:highlight w:val="none"/>
        </w:rPr>
      </w:pPr>
      <w:r>
        <w:rPr>
          <w:rFonts w:hint="eastAsia" w:ascii="宋体" w:hAnsi="宋体"/>
          <w:bCs/>
          <w:szCs w:val="21"/>
          <w:highlight w:val="none"/>
        </w:rPr>
        <w:t>4.1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pPr>
        <w:snapToGrid w:val="0"/>
        <w:spacing w:line="360" w:lineRule="auto"/>
        <w:jc w:val="left"/>
        <w:rPr>
          <w:rFonts w:ascii="宋体" w:hAnsi="宋体"/>
          <w:bCs/>
          <w:szCs w:val="21"/>
          <w:highlight w:val="none"/>
        </w:rPr>
      </w:pPr>
      <w:r>
        <w:rPr>
          <w:rFonts w:hint="eastAsia" w:ascii="宋体" w:hAnsi="宋体"/>
          <w:bCs/>
          <w:szCs w:val="21"/>
          <w:highlight w:val="none"/>
        </w:rPr>
        <w:t>4.2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pPr>
        <w:snapToGrid w:val="0"/>
        <w:spacing w:line="360" w:lineRule="auto"/>
        <w:jc w:val="left"/>
        <w:rPr>
          <w:rFonts w:ascii="宋体" w:hAnsi="宋体"/>
          <w:bCs/>
          <w:szCs w:val="21"/>
          <w:highlight w:val="none"/>
        </w:rPr>
      </w:pPr>
      <w:r>
        <w:rPr>
          <w:rFonts w:hint="eastAsia" w:ascii="宋体" w:hAnsi="宋体"/>
          <w:bCs/>
          <w:szCs w:val="21"/>
          <w:highlight w:val="none"/>
        </w:rPr>
        <w:t>4.3评标委员会对投标人提交的澄清、说明有疑问的，可以要求投标人进一步澄清、说明。</w:t>
      </w:r>
    </w:p>
    <w:p>
      <w:pPr>
        <w:pStyle w:val="14"/>
        <w:tabs>
          <w:tab w:val="left" w:pos="2472"/>
        </w:tabs>
        <w:snapToGrid w:val="0"/>
        <w:spacing w:line="360" w:lineRule="auto"/>
        <w:rPr>
          <w:rFonts w:hAnsi="宋体"/>
          <w:b/>
          <w:bCs/>
          <w:szCs w:val="21"/>
          <w:highlight w:val="none"/>
        </w:rPr>
      </w:pPr>
      <w:bookmarkStart w:id="269" w:name="_Toc321836413"/>
      <w:r>
        <w:rPr>
          <w:rFonts w:hint="eastAsia" w:hAnsi="宋体"/>
          <w:b/>
          <w:bCs/>
          <w:szCs w:val="21"/>
          <w:highlight w:val="none"/>
        </w:rPr>
        <w:t>5.评标结果</w:t>
      </w:r>
      <w:bookmarkEnd w:id="269"/>
    </w:p>
    <w:p>
      <w:pPr>
        <w:snapToGrid w:val="0"/>
        <w:spacing w:line="360" w:lineRule="auto"/>
        <w:jc w:val="left"/>
        <w:rPr>
          <w:rFonts w:ascii="宋体" w:hAnsi="宋体"/>
          <w:szCs w:val="21"/>
          <w:highlight w:val="none"/>
        </w:rPr>
      </w:pPr>
      <w:r>
        <w:rPr>
          <w:rFonts w:hint="eastAsia" w:ascii="宋体" w:hAnsi="宋体"/>
          <w:szCs w:val="21"/>
          <w:highlight w:val="none"/>
        </w:rPr>
        <w:t>5</w:t>
      </w:r>
      <w:r>
        <w:rPr>
          <w:rFonts w:ascii="宋体" w:hAnsi="宋体"/>
          <w:szCs w:val="21"/>
          <w:highlight w:val="none"/>
        </w:rPr>
        <w:t>.1</w:t>
      </w:r>
      <w:r>
        <w:rPr>
          <w:rFonts w:hint="eastAsia" w:ascii="宋体" w:hAnsi="宋体"/>
          <w:szCs w:val="21"/>
          <w:highlight w:val="none"/>
        </w:rPr>
        <w:t>评标委员会按最终得分由高到低顺序推荐3名中标候选人，并提出书面评标报告</w:t>
      </w:r>
      <w:r>
        <w:rPr>
          <w:rFonts w:ascii="宋体" w:hAnsi="宋体"/>
          <w:szCs w:val="21"/>
          <w:highlight w:val="none"/>
        </w:rPr>
        <w:t>。</w:t>
      </w:r>
    </w:p>
    <w:p>
      <w:pPr>
        <w:snapToGrid w:val="0"/>
        <w:spacing w:line="360" w:lineRule="auto"/>
        <w:jc w:val="left"/>
        <w:rPr>
          <w:rFonts w:ascii="宋体" w:hAnsi="宋体"/>
          <w:szCs w:val="21"/>
          <w:highlight w:val="none"/>
        </w:rPr>
      </w:pPr>
      <w:r>
        <w:rPr>
          <w:rFonts w:hint="eastAsia" w:ascii="宋体" w:hAnsi="宋体"/>
          <w:szCs w:val="21"/>
          <w:highlight w:val="none"/>
        </w:rPr>
        <w:t>5</w:t>
      </w:r>
      <w:r>
        <w:rPr>
          <w:rFonts w:ascii="宋体" w:hAnsi="宋体"/>
          <w:szCs w:val="21"/>
          <w:highlight w:val="none"/>
        </w:rPr>
        <w:t>.2采购人根据评标委员会提出的书面评标报告和推荐的中标候选人名单，确定中标人。</w:t>
      </w:r>
    </w:p>
    <w:p>
      <w:pPr>
        <w:pStyle w:val="14"/>
        <w:tabs>
          <w:tab w:val="left" w:pos="2472"/>
        </w:tabs>
        <w:spacing w:line="360" w:lineRule="auto"/>
        <w:rPr>
          <w:rFonts w:hAnsi="宋体"/>
          <w:sz w:val="24"/>
          <w:highlight w:val="none"/>
        </w:rPr>
      </w:pPr>
      <w:r>
        <w:rPr>
          <w:rFonts w:hint="eastAsia" w:hAnsi="宋体"/>
          <w:szCs w:val="21"/>
          <w:highlight w:val="none"/>
        </w:rPr>
        <w:t>5</w:t>
      </w:r>
      <w:r>
        <w:rPr>
          <w:rFonts w:hAnsi="宋体"/>
          <w:szCs w:val="21"/>
          <w:highlight w:val="none"/>
        </w:rPr>
        <w:t>.</w:t>
      </w:r>
      <w:r>
        <w:rPr>
          <w:rFonts w:hint="eastAsia" w:hAnsi="宋体"/>
          <w:szCs w:val="21"/>
          <w:highlight w:val="none"/>
        </w:rPr>
        <w:t>3评标委员会发现采购文件存在歧义、重大缺陷导致评标工作无法进行，或者采购文件内容违反国家有关规定的，要停止评标工作并向采购人或采购代理机构书面说明情况，采购人或采购代理机构应当修改采购文件后重新组织采购活动；发现投标人提供虚假材料、串通等违法违规行为的，要及时向采购人或采购代理机构报告。</w:t>
      </w:r>
    </w:p>
    <w:p>
      <w:pPr>
        <w:spacing w:line="360" w:lineRule="auto"/>
        <w:jc w:val="left"/>
        <w:rPr>
          <w:rFonts w:ascii="宋体" w:hAnsi="宋体"/>
          <w:sz w:val="24"/>
          <w:highlight w:val="none"/>
        </w:rPr>
      </w:pPr>
    </w:p>
    <w:p>
      <w:pPr>
        <w:spacing w:line="360" w:lineRule="auto"/>
        <w:rPr>
          <w:highlight w:val="none"/>
        </w:rPr>
      </w:pPr>
    </w:p>
    <w:p>
      <w:pPr>
        <w:spacing w:line="360" w:lineRule="auto"/>
        <w:rPr>
          <w:highlight w:val="none"/>
        </w:rPr>
      </w:pPr>
    </w:p>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汉仪书宋二S">
    <w:altName w:val="宋体"/>
    <w:panose1 w:val="00000000000000000000"/>
    <w:charset w:val="00"/>
    <w:family w:val="auto"/>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00" w:usb3="00000000" w:csb0="0004009F" w:csb1="DFD70000"/>
  </w:font>
  <w:font w:name="方正黑体简体">
    <w:altName w:val="微软雅黑"/>
    <w:panose1 w:val="02010601030101010101"/>
    <w:charset w:val="86"/>
    <w:family w:val="auto"/>
    <w:pitch w:val="default"/>
    <w:sig w:usb0="00000000" w:usb1="00000000" w:usb2="00000000" w:usb3="00000000" w:csb0="00040000" w:csb1="00000000"/>
  </w:font>
  <w:font w:name="inherit">
    <w:altName w:val="Segoe Print"/>
    <w:panose1 w:val="00000000000000000000"/>
    <w:charset w:val="00"/>
    <w:family w:val="roman"/>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jc w:val="center"/>
                          </w:pPr>
                          <w:r>
                            <w:fldChar w:fldCharType="begin"/>
                          </w:r>
                          <w:r>
                            <w:instrText xml:space="preserve">PAGE   \* MERGEFORMAT</w:instrText>
                          </w:r>
                          <w:r>
                            <w:fldChar w:fldCharType="separate"/>
                          </w:r>
                          <w:r>
                            <w:rPr>
                              <w:lang w:val="zh-CN"/>
                            </w:rP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7"/>
                      <w:jc w:val="center"/>
                    </w:pPr>
                    <w:r>
                      <w:fldChar w:fldCharType="begin"/>
                    </w:r>
                    <w:r>
                      <w:instrText xml:space="preserve">PAGE   \* MERGEFORMAT</w:instrText>
                    </w:r>
                    <w:r>
                      <w:fldChar w:fldCharType="separate"/>
                    </w:r>
                    <w:r>
                      <w:rPr>
                        <w:lang w:val="zh-CN"/>
                      </w:rPr>
                      <w:t>12</w:t>
                    </w:r>
                    <w:r>
                      <w:fldChar w:fldCharType="end"/>
                    </w:r>
                  </w:p>
                </w:txbxContent>
              </v:textbox>
            </v:shape>
          </w:pict>
        </mc:Fallback>
      </mc:AlternateContent>
    </w:r>
  </w:p>
  <w:p>
    <w:pPr>
      <w:pStyle w:val="17"/>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rPr>
        <w:rStyle w:val="31"/>
      </w:rPr>
    </w:pPr>
    <w:r>
      <w:fldChar w:fldCharType="begin"/>
    </w:r>
    <w:r>
      <w:rPr>
        <w:rStyle w:val="31"/>
      </w:rPr>
      <w:instrText xml:space="preserve">PAGE  </w:instrText>
    </w:r>
    <w:r>
      <w:fldChar w:fldCharType="separate"/>
    </w:r>
    <w:r>
      <w:rPr>
        <w:rStyle w:val="31"/>
      </w:rPr>
      <w:t>79</w:t>
    </w:r>
    <w:r>
      <w:fldChar w:fldCharType="end"/>
    </w:r>
  </w:p>
  <w:p>
    <w:pPr>
      <w:pStyle w:val="17"/>
      <w:ind w:right="360"/>
      <w:rPr>
        <w:sz w:val="21"/>
      </w:rPr>
    </w:pPr>
    <w:r>
      <w:rPr>
        <w:rFonts w:hint="eastAsia"/>
      </w:rP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pPr>
                            <w:pStyle w:val="17"/>
                            <w:rPr>
                              <w:rStyle w:val="31"/>
                              <w:sz w:val="21"/>
                            </w:rPr>
                          </w:pPr>
                          <w:r>
                            <w:rPr>
                              <w:sz w:val="21"/>
                            </w:rPr>
                            <w:fldChar w:fldCharType="begin"/>
                          </w:r>
                          <w:r>
                            <w:rPr>
                              <w:rStyle w:val="31"/>
                              <w:sz w:val="21"/>
                            </w:rPr>
                            <w:instrText xml:space="preserve">Page</w:instrText>
                          </w:r>
                          <w:r>
                            <w:rPr>
                              <w:sz w:val="21"/>
                            </w:rPr>
                            <w:fldChar w:fldCharType="separate"/>
                          </w:r>
                          <w:r>
                            <w:rPr>
                              <w:rStyle w:val="31"/>
                              <w:sz w:val="21"/>
                            </w:rPr>
                            <w:t>79</w:t>
                          </w:r>
                          <w:r>
                            <w:rPr>
                              <w:sz w:val="21"/>
                            </w:rP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G0n7CvTAAAAAwEAAA8AAAAAAAAAAQAgAAAAIgAAAGRycy9kb3ducmV2LnhtbFBLAQIUABQAAAAI&#10;AIdO4kD8UFo/uQEAAHADAAAOAAAAAAAAAAEAIAAAACIBAABkcnMvZTJvRG9jLnhtbFBLBQYAAAAA&#10;BgAGAFkBAABNBQAAAAA=&#10;">
              <v:fill on="f" focussize="0,0"/>
              <v:stroke on="f"/>
              <v:imagedata o:title=""/>
              <o:lock v:ext="edit" aspectratio="f"/>
              <v:textbox inset="0mm,0mm,0mm,0mm">
                <w:txbxContent>
                  <w:p>
                    <w:pPr>
                      <w:pStyle w:val="17"/>
                      <w:rPr>
                        <w:rStyle w:val="31"/>
                        <w:sz w:val="21"/>
                      </w:rPr>
                    </w:pPr>
                    <w:r>
                      <w:rPr>
                        <w:sz w:val="21"/>
                      </w:rPr>
                      <w:fldChar w:fldCharType="begin"/>
                    </w:r>
                    <w:r>
                      <w:rPr>
                        <w:rStyle w:val="31"/>
                        <w:sz w:val="21"/>
                      </w:rPr>
                      <w:instrText xml:space="preserve">Page</w:instrText>
                    </w:r>
                    <w:r>
                      <w:rPr>
                        <w:sz w:val="21"/>
                      </w:rPr>
                      <w:fldChar w:fldCharType="separate"/>
                    </w:r>
                    <w:r>
                      <w:rPr>
                        <w:rStyle w:val="31"/>
                        <w:sz w:val="21"/>
                      </w:rPr>
                      <w:t>79</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jc w:val="center"/>
                          </w:pPr>
                          <w:r>
                            <w:fldChar w:fldCharType="begin"/>
                          </w:r>
                          <w:r>
                            <w:instrText xml:space="preserve"> PAGE   \* MERGEFORMAT </w:instrText>
                          </w:r>
                          <w:r>
                            <w:fldChar w:fldCharType="separate"/>
                          </w:r>
                          <w:r>
                            <w:rPr>
                              <w:lang w:val="zh-CN"/>
                            </w:rP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7"/>
                      <w:jc w:val="center"/>
                    </w:pPr>
                    <w:r>
                      <w:fldChar w:fldCharType="begin"/>
                    </w:r>
                    <w:r>
                      <w:instrText xml:space="preserve"> PAGE   \* MERGEFORMAT </w:instrText>
                    </w:r>
                    <w:r>
                      <w:fldChar w:fldCharType="separate"/>
                    </w:r>
                    <w:r>
                      <w:rPr>
                        <w:lang w:val="zh-CN"/>
                      </w:rPr>
                      <w:t>57</w:t>
                    </w:r>
                    <w:r>
                      <w:fldChar w:fldCharType="end"/>
                    </w:r>
                  </w:p>
                </w:txbxContent>
              </v:textbox>
            </v:shape>
          </w:pict>
        </mc:Fallback>
      </mc:AlternateContent>
    </w:r>
  </w:p>
  <w:p>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left"/>
      <w:rPr>
        <w:rFonts w:ascii="Times New Roman" w:hAnsi="Times New Roman" w:eastAsia="宋体" w:cs="Times New Roman"/>
        <w:sz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143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none" w:color="auto" w:sz="0" w:space="1"/>
        <w:right w:val="none" w:color="auto" w:sz="0" w:space="4"/>
      </w:pBdr>
      <w:tabs>
        <w:tab w:val="center" w:pos="4153"/>
        <w:tab w:val="right" w:pos="8306"/>
      </w:tabs>
      <w:snapToGrid w:val="0"/>
      <w:rPr>
        <w:rFonts w:ascii="Times New Roman" w:hAnsi="Times New Roman" w:eastAsia="宋体" w:cs="Times New Roman"/>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273A3"/>
    <w:multiLevelType w:val="singleLevel"/>
    <w:tmpl w:val="85C273A3"/>
    <w:lvl w:ilvl="0" w:tentative="0">
      <w:start w:val="1"/>
      <w:numFmt w:val="decimal"/>
      <w:suff w:val="nothing"/>
      <w:lvlText w:val="（%1）"/>
      <w:lvlJc w:val="left"/>
    </w:lvl>
  </w:abstractNum>
  <w:abstractNum w:abstractNumId="1">
    <w:nsid w:val="88F2BE11"/>
    <w:multiLevelType w:val="singleLevel"/>
    <w:tmpl w:val="88F2BE11"/>
    <w:lvl w:ilvl="0" w:tentative="0">
      <w:start w:val="3"/>
      <w:numFmt w:val="chineseCounting"/>
      <w:suff w:val="space"/>
      <w:lvlText w:val="第%1章"/>
      <w:lvlJc w:val="left"/>
      <w:rPr>
        <w:rFonts w:hint="eastAsia"/>
      </w:rPr>
    </w:lvl>
  </w:abstractNum>
  <w:abstractNum w:abstractNumId="2">
    <w:nsid w:val="8C9FE814"/>
    <w:multiLevelType w:val="singleLevel"/>
    <w:tmpl w:val="8C9FE814"/>
    <w:lvl w:ilvl="0" w:tentative="0">
      <w:start w:val="1"/>
      <w:numFmt w:val="decimal"/>
      <w:suff w:val="space"/>
      <w:lvlText w:val="%1."/>
      <w:lvlJc w:val="left"/>
    </w:lvl>
  </w:abstractNum>
  <w:abstractNum w:abstractNumId="3">
    <w:nsid w:val="8CC838CB"/>
    <w:multiLevelType w:val="singleLevel"/>
    <w:tmpl w:val="8CC838CB"/>
    <w:lvl w:ilvl="0" w:tentative="0">
      <w:start w:val="1"/>
      <w:numFmt w:val="decimal"/>
      <w:suff w:val="nothing"/>
      <w:lvlText w:val="（%1）"/>
      <w:lvlJc w:val="left"/>
    </w:lvl>
  </w:abstractNum>
  <w:abstractNum w:abstractNumId="4">
    <w:nsid w:val="9DFEBEE4"/>
    <w:multiLevelType w:val="singleLevel"/>
    <w:tmpl w:val="9DFEBEE4"/>
    <w:lvl w:ilvl="0" w:tentative="0">
      <w:start w:val="1"/>
      <w:numFmt w:val="decimal"/>
      <w:suff w:val="nothing"/>
      <w:lvlText w:val="%1、"/>
      <w:lvlJc w:val="left"/>
    </w:lvl>
  </w:abstractNum>
  <w:abstractNum w:abstractNumId="5">
    <w:nsid w:val="BF6BC116"/>
    <w:multiLevelType w:val="singleLevel"/>
    <w:tmpl w:val="BF6BC116"/>
    <w:lvl w:ilvl="0" w:tentative="0">
      <w:start w:val="16"/>
      <w:numFmt w:val="decimal"/>
      <w:suff w:val="space"/>
      <w:lvlText w:val="%1."/>
      <w:lvlJc w:val="left"/>
    </w:lvl>
  </w:abstractNum>
  <w:abstractNum w:abstractNumId="6">
    <w:nsid w:val="CFE7C3F8"/>
    <w:multiLevelType w:val="singleLevel"/>
    <w:tmpl w:val="CFE7C3F8"/>
    <w:lvl w:ilvl="0" w:tentative="0">
      <w:start w:val="1"/>
      <w:numFmt w:val="decimal"/>
      <w:suff w:val="nothing"/>
      <w:lvlText w:val="（%1）"/>
      <w:lvlJc w:val="left"/>
    </w:lvl>
  </w:abstractNum>
  <w:abstractNum w:abstractNumId="7">
    <w:nsid w:val="DDECD3BC"/>
    <w:multiLevelType w:val="singleLevel"/>
    <w:tmpl w:val="DDECD3BC"/>
    <w:lvl w:ilvl="0" w:tentative="0">
      <w:start w:val="6"/>
      <w:numFmt w:val="decimal"/>
      <w:suff w:val="space"/>
      <w:lvlText w:val="%1."/>
      <w:lvlJc w:val="left"/>
    </w:lvl>
  </w:abstractNum>
  <w:abstractNum w:abstractNumId="8">
    <w:nsid w:val="DE759F4B"/>
    <w:multiLevelType w:val="singleLevel"/>
    <w:tmpl w:val="DE759F4B"/>
    <w:lvl w:ilvl="0" w:tentative="0">
      <w:start w:val="2"/>
      <w:numFmt w:val="decimal"/>
      <w:suff w:val="space"/>
      <w:lvlText w:val="%1."/>
      <w:lvlJc w:val="left"/>
    </w:lvl>
  </w:abstractNum>
  <w:abstractNum w:abstractNumId="9">
    <w:nsid w:val="DEABE1DB"/>
    <w:multiLevelType w:val="singleLevel"/>
    <w:tmpl w:val="DEABE1DB"/>
    <w:lvl w:ilvl="0" w:tentative="0">
      <w:start w:val="23"/>
      <w:numFmt w:val="decimal"/>
      <w:suff w:val="space"/>
      <w:lvlText w:val="%1."/>
      <w:lvlJc w:val="left"/>
    </w:lvl>
  </w:abstractNum>
  <w:abstractNum w:abstractNumId="10">
    <w:nsid w:val="FFEFC674"/>
    <w:multiLevelType w:val="singleLevel"/>
    <w:tmpl w:val="FFEFC674"/>
    <w:lvl w:ilvl="0" w:tentative="0">
      <w:start w:val="1"/>
      <w:numFmt w:val="decimal"/>
      <w:suff w:val="nothing"/>
      <w:lvlText w:val="（%1）"/>
      <w:lvlJc w:val="left"/>
    </w:lvl>
  </w:abstractNum>
  <w:abstractNum w:abstractNumId="11">
    <w:nsid w:val="01F2394D"/>
    <w:multiLevelType w:val="singleLevel"/>
    <w:tmpl w:val="01F2394D"/>
    <w:lvl w:ilvl="0" w:tentative="0">
      <w:start w:val="1"/>
      <w:numFmt w:val="decimal"/>
      <w:suff w:val="nothing"/>
      <w:lvlText w:val="（%1）"/>
      <w:lvlJc w:val="left"/>
    </w:lvl>
  </w:abstractNum>
  <w:abstractNum w:abstractNumId="12">
    <w:nsid w:val="02A5A4FB"/>
    <w:multiLevelType w:val="singleLevel"/>
    <w:tmpl w:val="02A5A4FB"/>
    <w:lvl w:ilvl="0" w:tentative="0">
      <w:start w:val="7"/>
      <w:numFmt w:val="chineseCounting"/>
      <w:suff w:val="nothing"/>
      <w:lvlText w:val="（%1）"/>
      <w:lvlJc w:val="left"/>
      <w:rPr>
        <w:rFonts w:hint="eastAsia"/>
      </w:rPr>
    </w:lvl>
  </w:abstractNum>
  <w:abstractNum w:abstractNumId="13">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4">
    <w:nsid w:val="0B766B86"/>
    <w:multiLevelType w:val="multilevel"/>
    <w:tmpl w:val="0B766B86"/>
    <w:lvl w:ilvl="0" w:tentative="0">
      <w:start w:val="1"/>
      <w:numFmt w:val="decimalEnclosedCircle"/>
      <w:lvlText w:val="%1"/>
      <w:lvlJc w:val="left"/>
      <w:pPr>
        <w:ind w:left="360" w:hanging="360"/>
      </w:pPr>
      <w:rPr>
        <w:rFonts w:hint="default"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2896522"/>
    <w:multiLevelType w:val="singleLevel"/>
    <w:tmpl w:val="12896522"/>
    <w:lvl w:ilvl="0" w:tentative="0">
      <w:start w:val="5"/>
      <w:numFmt w:val="chineseCounting"/>
      <w:suff w:val="space"/>
      <w:lvlText w:val="第%1章"/>
      <w:lvlJc w:val="left"/>
      <w:rPr>
        <w:rFonts w:hint="eastAsia"/>
      </w:rPr>
    </w:lvl>
  </w:abstractNum>
  <w:abstractNum w:abstractNumId="16">
    <w:nsid w:val="1E4EBA8E"/>
    <w:multiLevelType w:val="singleLevel"/>
    <w:tmpl w:val="1E4EBA8E"/>
    <w:lvl w:ilvl="0" w:tentative="0">
      <w:start w:val="1"/>
      <w:numFmt w:val="decimal"/>
      <w:suff w:val="nothing"/>
      <w:lvlText w:val="（%1）"/>
      <w:lvlJc w:val="left"/>
    </w:lvl>
  </w:abstractNum>
  <w:abstractNum w:abstractNumId="17">
    <w:nsid w:val="24557E30"/>
    <w:multiLevelType w:val="singleLevel"/>
    <w:tmpl w:val="24557E30"/>
    <w:lvl w:ilvl="0" w:tentative="0">
      <w:start w:val="1"/>
      <w:numFmt w:val="decimal"/>
      <w:suff w:val="nothing"/>
      <w:lvlText w:val="%1、"/>
      <w:lvlJc w:val="left"/>
    </w:lvl>
  </w:abstractNum>
  <w:abstractNum w:abstractNumId="18">
    <w:nsid w:val="253C8EE0"/>
    <w:multiLevelType w:val="singleLevel"/>
    <w:tmpl w:val="253C8EE0"/>
    <w:lvl w:ilvl="0" w:tentative="0">
      <w:start w:val="1"/>
      <w:numFmt w:val="decimal"/>
      <w:suff w:val="nothing"/>
      <w:lvlText w:val="（%1）"/>
      <w:lvlJc w:val="left"/>
    </w:lvl>
  </w:abstractNum>
  <w:abstractNum w:abstractNumId="19">
    <w:nsid w:val="33E7313D"/>
    <w:multiLevelType w:val="singleLevel"/>
    <w:tmpl w:val="33E7313D"/>
    <w:lvl w:ilvl="0" w:tentative="0">
      <w:start w:val="4"/>
      <w:numFmt w:val="decimal"/>
      <w:suff w:val="nothing"/>
      <w:lvlText w:val="（%1）"/>
      <w:lvlJc w:val="left"/>
    </w:lvl>
  </w:abstractNum>
  <w:abstractNum w:abstractNumId="20">
    <w:nsid w:val="6434F0BC"/>
    <w:multiLevelType w:val="singleLevel"/>
    <w:tmpl w:val="6434F0BC"/>
    <w:lvl w:ilvl="0" w:tentative="0">
      <w:start w:val="1"/>
      <w:numFmt w:val="decimal"/>
      <w:suff w:val="nothing"/>
      <w:lvlText w:val="（%1）"/>
      <w:lvlJc w:val="left"/>
    </w:lvl>
  </w:abstractNum>
  <w:abstractNum w:abstractNumId="21">
    <w:nsid w:val="6A4941F9"/>
    <w:multiLevelType w:val="multilevel"/>
    <w:tmpl w:val="6A4941F9"/>
    <w:lvl w:ilvl="0" w:tentative="0">
      <w:start w:val="1"/>
      <w:numFmt w:val="decimal"/>
      <w:lvlText w:val="%1."/>
      <w:lvlJc w:val="left"/>
      <w:pPr>
        <w:ind w:left="740" w:hanging="420"/>
      </w:pPr>
      <w:rPr>
        <w:rFonts w:hint="eastAsia"/>
      </w:rPr>
    </w:lvl>
    <w:lvl w:ilvl="1" w:tentative="0">
      <w:start w:val="1"/>
      <w:numFmt w:val="lowerLetter"/>
      <w:lvlText w:val="%2)"/>
      <w:lvlJc w:val="left"/>
      <w:pPr>
        <w:ind w:left="1160" w:hanging="420"/>
      </w:pPr>
    </w:lvl>
    <w:lvl w:ilvl="2" w:tentative="0">
      <w:start w:val="1"/>
      <w:numFmt w:val="lowerRoman"/>
      <w:lvlText w:val="%3."/>
      <w:lvlJc w:val="right"/>
      <w:pPr>
        <w:ind w:left="1580" w:hanging="420"/>
      </w:pPr>
    </w:lvl>
    <w:lvl w:ilvl="3" w:tentative="0">
      <w:start w:val="1"/>
      <w:numFmt w:val="decimal"/>
      <w:pStyle w:val="48"/>
      <w:suff w:val="nothing"/>
      <w:lvlText w:val="%4."/>
      <w:lvlJc w:val="left"/>
      <w:pPr>
        <w:ind w:left="2000" w:hanging="420"/>
      </w:pPr>
      <w:rPr>
        <w:rFonts w:hint="eastAsia"/>
      </w:rPr>
    </w:lvl>
    <w:lvl w:ilvl="4" w:tentative="0">
      <w:start w:val="1"/>
      <w:numFmt w:val="lowerLetter"/>
      <w:lvlText w:val="%5)"/>
      <w:lvlJc w:val="left"/>
      <w:pPr>
        <w:ind w:left="2420" w:hanging="420"/>
      </w:pPr>
    </w:lvl>
    <w:lvl w:ilvl="5" w:tentative="0">
      <w:start w:val="1"/>
      <w:numFmt w:val="lowerRoman"/>
      <w:lvlText w:val="%6."/>
      <w:lvlJc w:val="right"/>
      <w:pPr>
        <w:ind w:left="2840" w:hanging="420"/>
      </w:pPr>
    </w:lvl>
    <w:lvl w:ilvl="6" w:tentative="0">
      <w:start w:val="1"/>
      <w:numFmt w:val="decimal"/>
      <w:lvlText w:val="%7."/>
      <w:lvlJc w:val="left"/>
      <w:pPr>
        <w:ind w:left="3260" w:hanging="420"/>
      </w:pPr>
    </w:lvl>
    <w:lvl w:ilvl="7" w:tentative="0">
      <w:start w:val="1"/>
      <w:numFmt w:val="lowerLetter"/>
      <w:lvlText w:val="%8)"/>
      <w:lvlJc w:val="left"/>
      <w:pPr>
        <w:ind w:left="3680" w:hanging="420"/>
      </w:pPr>
    </w:lvl>
    <w:lvl w:ilvl="8" w:tentative="0">
      <w:start w:val="1"/>
      <w:numFmt w:val="lowerRoman"/>
      <w:lvlText w:val="%9."/>
      <w:lvlJc w:val="right"/>
      <w:pPr>
        <w:ind w:left="4100" w:hanging="420"/>
      </w:pPr>
    </w:lvl>
  </w:abstractNum>
  <w:abstractNum w:abstractNumId="22">
    <w:nsid w:val="7A0F6431"/>
    <w:multiLevelType w:val="singleLevel"/>
    <w:tmpl w:val="7A0F6431"/>
    <w:lvl w:ilvl="0" w:tentative="0">
      <w:start w:val="1"/>
      <w:numFmt w:val="decimal"/>
      <w:suff w:val="space"/>
      <w:lvlText w:val="%1."/>
      <w:lvlJc w:val="left"/>
    </w:lvl>
  </w:abstractNum>
  <w:num w:numId="1">
    <w:abstractNumId w:val="13"/>
  </w:num>
  <w:num w:numId="2">
    <w:abstractNumId w:val="21"/>
  </w:num>
  <w:num w:numId="3">
    <w:abstractNumId w:val="1"/>
  </w:num>
  <w:num w:numId="4">
    <w:abstractNumId w:val="22"/>
  </w:num>
  <w:num w:numId="5">
    <w:abstractNumId w:val="6"/>
  </w:num>
  <w:num w:numId="6">
    <w:abstractNumId w:val="10"/>
  </w:num>
  <w:num w:numId="7">
    <w:abstractNumId w:val="19"/>
  </w:num>
  <w:num w:numId="8">
    <w:abstractNumId w:val="8"/>
  </w:num>
  <w:num w:numId="9">
    <w:abstractNumId w:val="7"/>
  </w:num>
  <w:num w:numId="10">
    <w:abstractNumId w:val="5"/>
  </w:num>
  <w:num w:numId="11">
    <w:abstractNumId w:val="9"/>
  </w:num>
  <w:num w:numId="12">
    <w:abstractNumId w:val="2"/>
  </w:num>
  <w:num w:numId="13">
    <w:abstractNumId w:val="12"/>
  </w:num>
  <w:num w:numId="14">
    <w:abstractNumId w:val="15"/>
  </w:num>
  <w:num w:numId="15">
    <w:abstractNumId w:val="17"/>
  </w:num>
  <w:num w:numId="16">
    <w:abstractNumId w:val="4"/>
  </w:num>
  <w:num w:numId="17">
    <w:abstractNumId w:val="14"/>
  </w:num>
  <w:num w:numId="18">
    <w:abstractNumId w:val="20"/>
  </w:num>
  <w:num w:numId="19">
    <w:abstractNumId w:val="3"/>
  </w:num>
  <w:num w:numId="20">
    <w:abstractNumId w:val="16"/>
  </w:num>
  <w:num w:numId="21">
    <w:abstractNumId w:val="18"/>
  </w:num>
  <w:num w:numId="22">
    <w:abstractNumId w:val="1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HorizontalSpacing w:val="105"/>
  <w:drawingGridVerticalSpacing w:val="33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0NjJkNTIyZjZkYjgzODIxNzY1MDBmNGYyZTdlYWYifQ=="/>
  </w:docVars>
  <w:rsids>
    <w:rsidRoot w:val="35393C9F"/>
    <w:rsid w:val="00000427"/>
    <w:rsid w:val="000011F8"/>
    <w:rsid w:val="0000133A"/>
    <w:rsid w:val="0000134E"/>
    <w:rsid w:val="00001A7B"/>
    <w:rsid w:val="00001DDA"/>
    <w:rsid w:val="00002305"/>
    <w:rsid w:val="00002DBB"/>
    <w:rsid w:val="00003202"/>
    <w:rsid w:val="00003576"/>
    <w:rsid w:val="000036F3"/>
    <w:rsid w:val="00003B01"/>
    <w:rsid w:val="00004302"/>
    <w:rsid w:val="00005CCE"/>
    <w:rsid w:val="0000632B"/>
    <w:rsid w:val="00007120"/>
    <w:rsid w:val="00007CA8"/>
    <w:rsid w:val="000101D0"/>
    <w:rsid w:val="00011F57"/>
    <w:rsid w:val="00011F9C"/>
    <w:rsid w:val="000126C9"/>
    <w:rsid w:val="0001350A"/>
    <w:rsid w:val="000136E7"/>
    <w:rsid w:val="00013F1E"/>
    <w:rsid w:val="000143EA"/>
    <w:rsid w:val="0001593E"/>
    <w:rsid w:val="00015A3F"/>
    <w:rsid w:val="00016365"/>
    <w:rsid w:val="000168F0"/>
    <w:rsid w:val="00017257"/>
    <w:rsid w:val="00020048"/>
    <w:rsid w:val="00021455"/>
    <w:rsid w:val="00021C05"/>
    <w:rsid w:val="00021CEF"/>
    <w:rsid w:val="0002223E"/>
    <w:rsid w:val="00022662"/>
    <w:rsid w:val="00023254"/>
    <w:rsid w:val="00023618"/>
    <w:rsid w:val="000241DB"/>
    <w:rsid w:val="00024670"/>
    <w:rsid w:val="00024BE2"/>
    <w:rsid w:val="000269D5"/>
    <w:rsid w:val="0002717E"/>
    <w:rsid w:val="00027890"/>
    <w:rsid w:val="00030D0E"/>
    <w:rsid w:val="00031FE8"/>
    <w:rsid w:val="000326A5"/>
    <w:rsid w:val="000327DC"/>
    <w:rsid w:val="00032A25"/>
    <w:rsid w:val="00032E3F"/>
    <w:rsid w:val="00032E57"/>
    <w:rsid w:val="00033E93"/>
    <w:rsid w:val="0003486C"/>
    <w:rsid w:val="00035310"/>
    <w:rsid w:val="000356B9"/>
    <w:rsid w:val="000359F7"/>
    <w:rsid w:val="0003602D"/>
    <w:rsid w:val="00036276"/>
    <w:rsid w:val="00036A7C"/>
    <w:rsid w:val="00036CAB"/>
    <w:rsid w:val="00036E3C"/>
    <w:rsid w:val="00037890"/>
    <w:rsid w:val="000379D8"/>
    <w:rsid w:val="000402ED"/>
    <w:rsid w:val="000402F8"/>
    <w:rsid w:val="00040484"/>
    <w:rsid w:val="00041130"/>
    <w:rsid w:val="00041CEB"/>
    <w:rsid w:val="00041E4B"/>
    <w:rsid w:val="00042095"/>
    <w:rsid w:val="000422B4"/>
    <w:rsid w:val="000428DA"/>
    <w:rsid w:val="00042DFA"/>
    <w:rsid w:val="0004307C"/>
    <w:rsid w:val="00043367"/>
    <w:rsid w:val="00043DF7"/>
    <w:rsid w:val="00043E8D"/>
    <w:rsid w:val="00043FC4"/>
    <w:rsid w:val="000446B6"/>
    <w:rsid w:val="00044945"/>
    <w:rsid w:val="00044F36"/>
    <w:rsid w:val="0004567E"/>
    <w:rsid w:val="00045F91"/>
    <w:rsid w:val="00046145"/>
    <w:rsid w:val="0004657F"/>
    <w:rsid w:val="00046863"/>
    <w:rsid w:val="000468D6"/>
    <w:rsid w:val="000468F1"/>
    <w:rsid w:val="00047C9C"/>
    <w:rsid w:val="00050965"/>
    <w:rsid w:val="0005276C"/>
    <w:rsid w:val="00054268"/>
    <w:rsid w:val="00055569"/>
    <w:rsid w:val="00055897"/>
    <w:rsid w:val="00055C23"/>
    <w:rsid w:val="00055CB9"/>
    <w:rsid w:val="000561F8"/>
    <w:rsid w:val="00056A0B"/>
    <w:rsid w:val="00057D12"/>
    <w:rsid w:val="00062B17"/>
    <w:rsid w:val="00062CF1"/>
    <w:rsid w:val="0006341B"/>
    <w:rsid w:val="000637F0"/>
    <w:rsid w:val="00063CC2"/>
    <w:rsid w:val="00064188"/>
    <w:rsid w:val="00064F59"/>
    <w:rsid w:val="00065FAD"/>
    <w:rsid w:val="00066544"/>
    <w:rsid w:val="00066A27"/>
    <w:rsid w:val="00066EFD"/>
    <w:rsid w:val="000672A7"/>
    <w:rsid w:val="000676D2"/>
    <w:rsid w:val="00067D5F"/>
    <w:rsid w:val="00067E2B"/>
    <w:rsid w:val="0007027C"/>
    <w:rsid w:val="00070DCF"/>
    <w:rsid w:val="00070E36"/>
    <w:rsid w:val="000710AE"/>
    <w:rsid w:val="00071546"/>
    <w:rsid w:val="0007159F"/>
    <w:rsid w:val="000715FF"/>
    <w:rsid w:val="000717A6"/>
    <w:rsid w:val="00071DAC"/>
    <w:rsid w:val="000722A7"/>
    <w:rsid w:val="00072AA4"/>
    <w:rsid w:val="00072C46"/>
    <w:rsid w:val="00073B0E"/>
    <w:rsid w:val="00073D2D"/>
    <w:rsid w:val="000746C9"/>
    <w:rsid w:val="00074E20"/>
    <w:rsid w:val="000754A5"/>
    <w:rsid w:val="00075822"/>
    <w:rsid w:val="00075C5F"/>
    <w:rsid w:val="0007696A"/>
    <w:rsid w:val="00076F55"/>
    <w:rsid w:val="0007789C"/>
    <w:rsid w:val="000800CF"/>
    <w:rsid w:val="00080BCB"/>
    <w:rsid w:val="00080C21"/>
    <w:rsid w:val="00080F3A"/>
    <w:rsid w:val="00081086"/>
    <w:rsid w:val="00082615"/>
    <w:rsid w:val="0008264D"/>
    <w:rsid w:val="00082DB6"/>
    <w:rsid w:val="00082E7D"/>
    <w:rsid w:val="000835E7"/>
    <w:rsid w:val="00083BD7"/>
    <w:rsid w:val="00083F4A"/>
    <w:rsid w:val="0008476F"/>
    <w:rsid w:val="00084C36"/>
    <w:rsid w:val="000852D6"/>
    <w:rsid w:val="0008638B"/>
    <w:rsid w:val="00086880"/>
    <w:rsid w:val="00090332"/>
    <w:rsid w:val="00090D58"/>
    <w:rsid w:val="00092F17"/>
    <w:rsid w:val="000932A5"/>
    <w:rsid w:val="00094119"/>
    <w:rsid w:val="000964AC"/>
    <w:rsid w:val="00097020"/>
    <w:rsid w:val="00097120"/>
    <w:rsid w:val="00097700"/>
    <w:rsid w:val="000A02E9"/>
    <w:rsid w:val="000A0737"/>
    <w:rsid w:val="000A1131"/>
    <w:rsid w:val="000A1E1B"/>
    <w:rsid w:val="000A212B"/>
    <w:rsid w:val="000A2276"/>
    <w:rsid w:val="000A30B9"/>
    <w:rsid w:val="000A3863"/>
    <w:rsid w:val="000A48C0"/>
    <w:rsid w:val="000A4AAF"/>
    <w:rsid w:val="000A57D9"/>
    <w:rsid w:val="000A657C"/>
    <w:rsid w:val="000A65E9"/>
    <w:rsid w:val="000A66D2"/>
    <w:rsid w:val="000A6719"/>
    <w:rsid w:val="000A6D5E"/>
    <w:rsid w:val="000A7646"/>
    <w:rsid w:val="000A76B4"/>
    <w:rsid w:val="000A7A1E"/>
    <w:rsid w:val="000A7D4B"/>
    <w:rsid w:val="000B0276"/>
    <w:rsid w:val="000B08A9"/>
    <w:rsid w:val="000B0F0E"/>
    <w:rsid w:val="000B12F7"/>
    <w:rsid w:val="000B157A"/>
    <w:rsid w:val="000B1E32"/>
    <w:rsid w:val="000B2A1E"/>
    <w:rsid w:val="000B2E7D"/>
    <w:rsid w:val="000B44E7"/>
    <w:rsid w:val="000B487E"/>
    <w:rsid w:val="000B5F62"/>
    <w:rsid w:val="000B6529"/>
    <w:rsid w:val="000B6809"/>
    <w:rsid w:val="000B7562"/>
    <w:rsid w:val="000B7604"/>
    <w:rsid w:val="000B7D44"/>
    <w:rsid w:val="000B7E8F"/>
    <w:rsid w:val="000C0325"/>
    <w:rsid w:val="000C03C1"/>
    <w:rsid w:val="000C09E0"/>
    <w:rsid w:val="000C0E94"/>
    <w:rsid w:val="000C1698"/>
    <w:rsid w:val="000C34E9"/>
    <w:rsid w:val="000C39B7"/>
    <w:rsid w:val="000C3D17"/>
    <w:rsid w:val="000C4272"/>
    <w:rsid w:val="000C5AC1"/>
    <w:rsid w:val="000C5DC3"/>
    <w:rsid w:val="000C5EF6"/>
    <w:rsid w:val="000C652D"/>
    <w:rsid w:val="000C67AC"/>
    <w:rsid w:val="000C6C57"/>
    <w:rsid w:val="000C6FF7"/>
    <w:rsid w:val="000C752B"/>
    <w:rsid w:val="000C7D54"/>
    <w:rsid w:val="000D08CA"/>
    <w:rsid w:val="000D0BAD"/>
    <w:rsid w:val="000D0C2F"/>
    <w:rsid w:val="000D0DC4"/>
    <w:rsid w:val="000D0EE8"/>
    <w:rsid w:val="000D1063"/>
    <w:rsid w:val="000D1655"/>
    <w:rsid w:val="000D1946"/>
    <w:rsid w:val="000D317B"/>
    <w:rsid w:val="000D33BF"/>
    <w:rsid w:val="000D3BA6"/>
    <w:rsid w:val="000D3E90"/>
    <w:rsid w:val="000D4029"/>
    <w:rsid w:val="000D4104"/>
    <w:rsid w:val="000D5ED4"/>
    <w:rsid w:val="000D64DA"/>
    <w:rsid w:val="000D6796"/>
    <w:rsid w:val="000D6B57"/>
    <w:rsid w:val="000D6BAB"/>
    <w:rsid w:val="000D6FC2"/>
    <w:rsid w:val="000D71B1"/>
    <w:rsid w:val="000D7BDB"/>
    <w:rsid w:val="000D7C88"/>
    <w:rsid w:val="000E092D"/>
    <w:rsid w:val="000E1F66"/>
    <w:rsid w:val="000E28DE"/>
    <w:rsid w:val="000E29C2"/>
    <w:rsid w:val="000E3733"/>
    <w:rsid w:val="000E3B0C"/>
    <w:rsid w:val="000E423B"/>
    <w:rsid w:val="000E498A"/>
    <w:rsid w:val="000E4BB2"/>
    <w:rsid w:val="000E4E4C"/>
    <w:rsid w:val="000E543E"/>
    <w:rsid w:val="000E544C"/>
    <w:rsid w:val="000E62BE"/>
    <w:rsid w:val="000E62C6"/>
    <w:rsid w:val="000E6A0F"/>
    <w:rsid w:val="000E6A5F"/>
    <w:rsid w:val="000E6E38"/>
    <w:rsid w:val="000E6E84"/>
    <w:rsid w:val="000E7385"/>
    <w:rsid w:val="000E76CB"/>
    <w:rsid w:val="000E7B67"/>
    <w:rsid w:val="000F0A54"/>
    <w:rsid w:val="000F0F47"/>
    <w:rsid w:val="000F1D88"/>
    <w:rsid w:val="000F28D3"/>
    <w:rsid w:val="000F2CA9"/>
    <w:rsid w:val="000F35D1"/>
    <w:rsid w:val="000F3903"/>
    <w:rsid w:val="000F3BD4"/>
    <w:rsid w:val="000F46E9"/>
    <w:rsid w:val="000F4C60"/>
    <w:rsid w:val="000F528B"/>
    <w:rsid w:val="000F55A5"/>
    <w:rsid w:val="000F5CC6"/>
    <w:rsid w:val="000F5F36"/>
    <w:rsid w:val="000F6458"/>
    <w:rsid w:val="000F64F0"/>
    <w:rsid w:val="000F6B0C"/>
    <w:rsid w:val="000F6E33"/>
    <w:rsid w:val="000F7516"/>
    <w:rsid w:val="000F79B3"/>
    <w:rsid w:val="000F7A9B"/>
    <w:rsid w:val="00100580"/>
    <w:rsid w:val="001012FC"/>
    <w:rsid w:val="00101F77"/>
    <w:rsid w:val="00102412"/>
    <w:rsid w:val="001025C7"/>
    <w:rsid w:val="001039CC"/>
    <w:rsid w:val="00104505"/>
    <w:rsid w:val="00105059"/>
    <w:rsid w:val="00107829"/>
    <w:rsid w:val="00107840"/>
    <w:rsid w:val="00107878"/>
    <w:rsid w:val="00107ABB"/>
    <w:rsid w:val="0011084E"/>
    <w:rsid w:val="00110B15"/>
    <w:rsid w:val="00112EFB"/>
    <w:rsid w:val="00113293"/>
    <w:rsid w:val="001134A8"/>
    <w:rsid w:val="0011449F"/>
    <w:rsid w:val="00114B7C"/>
    <w:rsid w:val="00114BB6"/>
    <w:rsid w:val="001171CF"/>
    <w:rsid w:val="00117D66"/>
    <w:rsid w:val="001211BD"/>
    <w:rsid w:val="0012132D"/>
    <w:rsid w:val="001217F9"/>
    <w:rsid w:val="00121960"/>
    <w:rsid w:val="00122A72"/>
    <w:rsid w:val="00123907"/>
    <w:rsid w:val="00123961"/>
    <w:rsid w:val="0012554A"/>
    <w:rsid w:val="00126C5E"/>
    <w:rsid w:val="00126CE6"/>
    <w:rsid w:val="001279CE"/>
    <w:rsid w:val="0013070D"/>
    <w:rsid w:val="001308B8"/>
    <w:rsid w:val="00130A3F"/>
    <w:rsid w:val="00130EAF"/>
    <w:rsid w:val="001322E9"/>
    <w:rsid w:val="0013450F"/>
    <w:rsid w:val="00134602"/>
    <w:rsid w:val="00134786"/>
    <w:rsid w:val="001347BC"/>
    <w:rsid w:val="0013483D"/>
    <w:rsid w:val="00135508"/>
    <w:rsid w:val="00135D81"/>
    <w:rsid w:val="001365EB"/>
    <w:rsid w:val="00136767"/>
    <w:rsid w:val="00136C11"/>
    <w:rsid w:val="001372B7"/>
    <w:rsid w:val="001379E5"/>
    <w:rsid w:val="00140710"/>
    <w:rsid w:val="001407AB"/>
    <w:rsid w:val="0014088D"/>
    <w:rsid w:val="001408C4"/>
    <w:rsid w:val="00141326"/>
    <w:rsid w:val="00141578"/>
    <w:rsid w:val="00141719"/>
    <w:rsid w:val="00141E91"/>
    <w:rsid w:val="00142D1C"/>
    <w:rsid w:val="001439CF"/>
    <w:rsid w:val="00143C6B"/>
    <w:rsid w:val="00143D98"/>
    <w:rsid w:val="001441D0"/>
    <w:rsid w:val="001444A1"/>
    <w:rsid w:val="00144689"/>
    <w:rsid w:val="00144755"/>
    <w:rsid w:val="00145EAA"/>
    <w:rsid w:val="0014600D"/>
    <w:rsid w:val="0014652B"/>
    <w:rsid w:val="00147C0F"/>
    <w:rsid w:val="001500A7"/>
    <w:rsid w:val="00151749"/>
    <w:rsid w:val="00151F18"/>
    <w:rsid w:val="00152CA8"/>
    <w:rsid w:val="00152E9D"/>
    <w:rsid w:val="00152F0D"/>
    <w:rsid w:val="00152FEE"/>
    <w:rsid w:val="001536B6"/>
    <w:rsid w:val="00153CF7"/>
    <w:rsid w:val="00153F7F"/>
    <w:rsid w:val="00154449"/>
    <w:rsid w:val="00154645"/>
    <w:rsid w:val="00155DB9"/>
    <w:rsid w:val="0015656A"/>
    <w:rsid w:val="00157445"/>
    <w:rsid w:val="00161AC5"/>
    <w:rsid w:val="00161F5A"/>
    <w:rsid w:val="00162DDF"/>
    <w:rsid w:val="00165574"/>
    <w:rsid w:val="001664CB"/>
    <w:rsid w:val="00167CAA"/>
    <w:rsid w:val="00171CD9"/>
    <w:rsid w:val="001724DE"/>
    <w:rsid w:val="0017272B"/>
    <w:rsid w:val="00172B9C"/>
    <w:rsid w:val="001735E3"/>
    <w:rsid w:val="001739CD"/>
    <w:rsid w:val="00174758"/>
    <w:rsid w:val="00174A99"/>
    <w:rsid w:val="001752A6"/>
    <w:rsid w:val="00175CC3"/>
    <w:rsid w:val="001768E2"/>
    <w:rsid w:val="00176EE7"/>
    <w:rsid w:val="001778C4"/>
    <w:rsid w:val="00180635"/>
    <w:rsid w:val="00180E0B"/>
    <w:rsid w:val="00182253"/>
    <w:rsid w:val="00182931"/>
    <w:rsid w:val="00182BE4"/>
    <w:rsid w:val="001837B8"/>
    <w:rsid w:val="00183FF8"/>
    <w:rsid w:val="00184759"/>
    <w:rsid w:val="001849A4"/>
    <w:rsid w:val="00184BB5"/>
    <w:rsid w:val="00184C9B"/>
    <w:rsid w:val="0018503D"/>
    <w:rsid w:val="001866EF"/>
    <w:rsid w:val="00187961"/>
    <w:rsid w:val="00190E8C"/>
    <w:rsid w:val="00191020"/>
    <w:rsid w:val="001927FD"/>
    <w:rsid w:val="00192816"/>
    <w:rsid w:val="00192AAE"/>
    <w:rsid w:val="001931A9"/>
    <w:rsid w:val="001936E4"/>
    <w:rsid w:val="00193AE9"/>
    <w:rsid w:val="00193F37"/>
    <w:rsid w:val="00194346"/>
    <w:rsid w:val="00195541"/>
    <w:rsid w:val="0019637C"/>
    <w:rsid w:val="00197660"/>
    <w:rsid w:val="001A0119"/>
    <w:rsid w:val="001A0417"/>
    <w:rsid w:val="001A0677"/>
    <w:rsid w:val="001A0BAB"/>
    <w:rsid w:val="001A1966"/>
    <w:rsid w:val="001A2021"/>
    <w:rsid w:val="001A22AC"/>
    <w:rsid w:val="001A2D56"/>
    <w:rsid w:val="001A4165"/>
    <w:rsid w:val="001A5BCA"/>
    <w:rsid w:val="001A5CFE"/>
    <w:rsid w:val="001A5DEE"/>
    <w:rsid w:val="001A5ED7"/>
    <w:rsid w:val="001A6187"/>
    <w:rsid w:val="001A6484"/>
    <w:rsid w:val="001A7B1C"/>
    <w:rsid w:val="001B013B"/>
    <w:rsid w:val="001B0BFA"/>
    <w:rsid w:val="001B12EE"/>
    <w:rsid w:val="001B216D"/>
    <w:rsid w:val="001B358A"/>
    <w:rsid w:val="001B3CFF"/>
    <w:rsid w:val="001B44BC"/>
    <w:rsid w:val="001B4682"/>
    <w:rsid w:val="001B4FCE"/>
    <w:rsid w:val="001B60D5"/>
    <w:rsid w:val="001B60F8"/>
    <w:rsid w:val="001B630A"/>
    <w:rsid w:val="001B7195"/>
    <w:rsid w:val="001B78A6"/>
    <w:rsid w:val="001C07AB"/>
    <w:rsid w:val="001C087A"/>
    <w:rsid w:val="001C0A92"/>
    <w:rsid w:val="001C1403"/>
    <w:rsid w:val="001C17CA"/>
    <w:rsid w:val="001C2A66"/>
    <w:rsid w:val="001C2BA0"/>
    <w:rsid w:val="001C2FF1"/>
    <w:rsid w:val="001C366F"/>
    <w:rsid w:val="001C485D"/>
    <w:rsid w:val="001C48FD"/>
    <w:rsid w:val="001C4C1F"/>
    <w:rsid w:val="001C6C43"/>
    <w:rsid w:val="001C75FE"/>
    <w:rsid w:val="001D0ADD"/>
    <w:rsid w:val="001D0D23"/>
    <w:rsid w:val="001D1D5F"/>
    <w:rsid w:val="001D1E26"/>
    <w:rsid w:val="001D1E87"/>
    <w:rsid w:val="001D2C55"/>
    <w:rsid w:val="001D3C59"/>
    <w:rsid w:val="001D4668"/>
    <w:rsid w:val="001D471C"/>
    <w:rsid w:val="001D4B48"/>
    <w:rsid w:val="001D5513"/>
    <w:rsid w:val="001D566E"/>
    <w:rsid w:val="001D7E0F"/>
    <w:rsid w:val="001E0695"/>
    <w:rsid w:val="001E0771"/>
    <w:rsid w:val="001E089F"/>
    <w:rsid w:val="001E105B"/>
    <w:rsid w:val="001E1628"/>
    <w:rsid w:val="001E19F9"/>
    <w:rsid w:val="001E1D5C"/>
    <w:rsid w:val="001E21E5"/>
    <w:rsid w:val="001E2659"/>
    <w:rsid w:val="001E2BCF"/>
    <w:rsid w:val="001E30F5"/>
    <w:rsid w:val="001E3E83"/>
    <w:rsid w:val="001E47FE"/>
    <w:rsid w:val="001E555C"/>
    <w:rsid w:val="001E57C0"/>
    <w:rsid w:val="001E5B8E"/>
    <w:rsid w:val="001E6420"/>
    <w:rsid w:val="001E64CF"/>
    <w:rsid w:val="001E6666"/>
    <w:rsid w:val="001E69FB"/>
    <w:rsid w:val="001E6E9E"/>
    <w:rsid w:val="001E7169"/>
    <w:rsid w:val="001E77FC"/>
    <w:rsid w:val="001E7D45"/>
    <w:rsid w:val="001F006E"/>
    <w:rsid w:val="001F09C4"/>
    <w:rsid w:val="001F0EE4"/>
    <w:rsid w:val="001F1419"/>
    <w:rsid w:val="001F15DC"/>
    <w:rsid w:val="001F1E33"/>
    <w:rsid w:val="001F21D6"/>
    <w:rsid w:val="001F330D"/>
    <w:rsid w:val="001F360F"/>
    <w:rsid w:val="001F4C82"/>
    <w:rsid w:val="001F6111"/>
    <w:rsid w:val="001F617D"/>
    <w:rsid w:val="001F62FB"/>
    <w:rsid w:val="00200091"/>
    <w:rsid w:val="00200A51"/>
    <w:rsid w:val="00201472"/>
    <w:rsid w:val="00201676"/>
    <w:rsid w:val="00203366"/>
    <w:rsid w:val="00203F72"/>
    <w:rsid w:val="00204441"/>
    <w:rsid w:val="00204E73"/>
    <w:rsid w:val="00205A35"/>
    <w:rsid w:val="00205BBA"/>
    <w:rsid w:val="002062A0"/>
    <w:rsid w:val="00206D9A"/>
    <w:rsid w:val="00206FFD"/>
    <w:rsid w:val="002076AC"/>
    <w:rsid w:val="002100DB"/>
    <w:rsid w:val="002100E1"/>
    <w:rsid w:val="00210609"/>
    <w:rsid w:val="00210C8E"/>
    <w:rsid w:val="00210D1F"/>
    <w:rsid w:val="00210FA3"/>
    <w:rsid w:val="0021179A"/>
    <w:rsid w:val="00211AAF"/>
    <w:rsid w:val="002125FC"/>
    <w:rsid w:val="00212B13"/>
    <w:rsid w:val="002131B9"/>
    <w:rsid w:val="002135EC"/>
    <w:rsid w:val="0021362E"/>
    <w:rsid w:val="00213C9B"/>
    <w:rsid w:val="00214460"/>
    <w:rsid w:val="00214585"/>
    <w:rsid w:val="00214BFC"/>
    <w:rsid w:val="0021510D"/>
    <w:rsid w:val="00215360"/>
    <w:rsid w:val="00215D38"/>
    <w:rsid w:val="00215DD1"/>
    <w:rsid w:val="00216D1B"/>
    <w:rsid w:val="0021702B"/>
    <w:rsid w:val="00217116"/>
    <w:rsid w:val="0021725E"/>
    <w:rsid w:val="0021730C"/>
    <w:rsid w:val="0021739E"/>
    <w:rsid w:val="00217E76"/>
    <w:rsid w:val="00217FDE"/>
    <w:rsid w:val="00220557"/>
    <w:rsid w:val="00220841"/>
    <w:rsid w:val="002218AE"/>
    <w:rsid w:val="0022244D"/>
    <w:rsid w:val="002226ED"/>
    <w:rsid w:val="00222C56"/>
    <w:rsid w:val="00222D9E"/>
    <w:rsid w:val="0022307E"/>
    <w:rsid w:val="0022323E"/>
    <w:rsid w:val="002233EA"/>
    <w:rsid w:val="00224E07"/>
    <w:rsid w:val="002255D1"/>
    <w:rsid w:val="00225752"/>
    <w:rsid w:val="00225EBF"/>
    <w:rsid w:val="002264E7"/>
    <w:rsid w:val="00226641"/>
    <w:rsid w:val="00226A09"/>
    <w:rsid w:val="00227212"/>
    <w:rsid w:val="00227D11"/>
    <w:rsid w:val="00231842"/>
    <w:rsid w:val="0023192C"/>
    <w:rsid w:val="002334BD"/>
    <w:rsid w:val="00233A33"/>
    <w:rsid w:val="00234421"/>
    <w:rsid w:val="00234564"/>
    <w:rsid w:val="002349BB"/>
    <w:rsid w:val="002356E9"/>
    <w:rsid w:val="00235731"/>
    <w:rsid w:val="00236669"/>
    <w:rsid w:val="002407E7"/>
    <w:rsid w:val="00240F5D"/>
    <w:rsid w:val="00241739"/>
    <w:rsid w:val="00241EF1"/>
    <w:rsid w:val="00241F0E"/>
    <w:rsid w:val="0024247E"/>
    <w:rsid w:val="0024269C"/>
    <w:rsid w:val="002437A2"/>
    <w:rsid w:val="0024398D"/>
    <w:rsid w:val="00243BF8"/>
    <w:rsid w:val="00243DE7"/>
    <w:rsid w:val="00244424"/>
    <w:rsid w:val="00244431"/>
    <w:rsid w:val="00244BDD"/>
    <w:rsid w:val="00244FF5"/>
    <w:rsid w:val="00245198"/>
    <w:rsid w:val="00246741"/>
    <w:rsid w:val="0024694A"/>
    <w:rsid w:val="00246CEB"/>
    <w:rsid w:val="00247F47"/>
    <w:rsid w:val="00250C22"/>
    <w:rsid w:val="0025173D"/>
    <w:rsid w:val="00252955"/>
    <w:rsid w:val="00253D50"/>
    <w:rsid w:val="002544FF"/>
    <w:rsid w:val="002548D9"/>
    <w:rsid w:val="00254D7F"/>
    <w:rsid w:val="00254FFD"/>
    <w:rsid w:val="0025526D"/>
    <w:rsid w:val="00256A5B"/>
    <w:rsid w:val="00256B80"/>
    <w:rsid w:val="00256C70"/>
    <w:rsid w:val="00256FC4"/>
    <w:rsid w:val="00257285"/>
    <w:rsid w:val="002573AF"/>
    <w:rsid w:val="00257C7B"/>
    <w:rsid w:val="00257D13"/>
    <w:rsid w:val="002615FC"/>
    <w:rsid w:val="002619FF"/>
    <w:rsid w:val="00261FC9"/>
    <w:rsid w:val="00262F56"/>
    <w:rsid w:val="002636A7"/>
    <w:rsid w:val="002640DF"/>
    <w:rsid w:val="002641B6"/>
    <w:rsid w:val="002655EB"/>
    <w:rsid w:val="0026728B"/>
    <w:rsid w:val="002674A7"/>
    <w:rsid w:val="00267AB1"/>
    <w:rsid w:val="00267BCD"/>
    <w:rsid w:val="00267BDD"/>
    <w:rsid w:val="002702FC"/>
    <w:rsid w:val="00270D48"/>
    <w:rsid w:val="00271C37"/>
    <w:rsid w:val="00271D8A"/>
    <w:rsid w:val="002723BA"/>
    <w:rsid w:val="0027255F"/>
    <w:rsid w:val="0027322E"/>
    <w:rsid w:val="0027349C"/>
    <w:rsid w:val="002758B1"/>
    <w:rsid w:val="00275C2B"/>
    <w:rsid w:val="00275CF8"/>
    <w:rsid w:val="00276008"/>
    <w:rsid w:val="00276EDC"/>
    <w:rsid w:val="002773B7"/>
    <w:rsid w:val="00280142"/>
    <w:rsid w:val="00281E55"/>
    <w:rsid w:val="00283742"/>
    <w:rsid w:val="002840A1"/>
    <w:rsid w:val="00284237"/>
    <w:rsid w:val="00284705"/>
    <w:rsid w:val="00284D33"/>
    <w:rsid w:val="002852ED"/>
    <w:rsid w:val="00285E25"/>
    <w:rsid w:val="00286096"/>
    <w:rsid w:val="00286FCE"/>
    <w:rsid w:val="00287758"/>
    <w:rsid w:val="00287B9F"/>
    <w:rsid w:val="00290CF5"/>
    <w:rsid w:val="00290FD5"/>
    <w:rsid w:val="00291F58"/>
    <w:rsid w:val="00292417"/>
    <w:rsid w:val="0029333A"/>
    <w:rsid w:val="002938E2"/>
    <w:rsid w:val="002939A0"/>
    <w:rsid w:val="00293FA3"/>
    <w:rsid w:val="002947BA"/>
    <w:rsid w:val="00294C91"/>
    <w:rsid w:val="00294D7C"/>
    <w:rsid w:val="00294FDC"/>
    <w:rsid w:val="00295893"/>
    <w:rsid w:val="0029646D"/>
    <w:rsid w:val="00296B99"/>
    <w:rsid w:val="00297451"/>
    <w:rsid w:val="00297EAB"/>
    <w:rsid w:val="002A0F3C"/>
    <w:rsid w:val="002A1016"/>
    <w:rsid w:val="002A1553"/>
    <w:rsid w:val="002A1D77"/>
    <w:rsid w:val="002A1E74"/>
    <w:rsid w:val="002A2E5C"/>
    <w:rsid w:val="002A33D7"/>
    <w:rsid w:val="002A34FD"/>
    <w:rsid w:val="002A486D"/>
    <w:rsid w:val="002A50CF"/>
    <w:rsid w:val="002A59B6"/>
    <w:rsid w:val="002A5E05"/>
    <w:rsid w:val="002A619C"/>
    <w:rsid w:val="002A633A"/>
    <w:rsid w:val="002A72E6"/>
    <w:rsid w:val="002A7328"/>
    <w:rsid w:val="002A7558"/>
    <w:rsid w:val="002B09C6"/>
    <w:rsid w:val="002B1DEB"/>
    <w:rsid w:val="002B2210"/>
    <w:rsid w:val="002B3EAA"/>
    <w:rsid w:val="002B41D6"/>
    <w:rsid w:val="002B48CA"/>
    <w:rsid w:val="002B4DDD"/>
    <w:rsid w:val="002B67FA"/>
    <w:rsid w:val="002B68C4"/>
    <w:rsid w:val="002B75F4"/>
    <w:rsid w:val="002C0B76"/>
    <w:rsid w:val="002C0DBA"/>
    <w:rsid w:val="002C19AE"/>
    <w:rsid w:val="002C2973"/>
    <w:rsid w:val="002C2A56"/>
    <w:rsid w:val="002C32E4"/>
    <w:rsid w:val="002C3D47"/>
    <w:rsid w:val="002C3F67"/>
    <w:rsid w:val="002C4833"/>
    <w:rsid w:val="002C4B4D"/>
    <w:rsid w:val="002C4DAA"/>
    <w:rsid w:val="002C4FBF"/>
    <w:rsid w:val="002C5837"/>
    <w:rsid w:val="002C5E53"/>
    <w:rsid w:val="002C6852"/>
    <w:rsid w:val="002C69FE"/>
    <w:rsid w:val="002C755B"/>
    <w:rsid w:val="002C7673"/>
    <w:rsid w:val="002C7E57"/>
    <w:rsid w:val="002D099C"/>
    <w:rsid w:val="002D0BB9"/>
    <w:rsid w:val="002D0CD3"/>
    <w:rsid w:val="002D17FA"/>
    <w:rsid w:val="002D24D9"/>
    <w:rsid w:val="002D2D75"/>
    <w:rsid w:val="002D2F61"/>
    <w:rsid w:val="002D4673"/>
    <w:rsid w:val="002D46D0"/>
    <w:rsid w:val="002D484E"/>
    <w:rsid w:val="002D4A87"/>
    <w:rsid w:val="002D59C4"/>
    <w:rsid w:val="002D5FE9"/>
    <w:rsid w:val="002D60EF"/>
    <w:rsid w:val="002D664C"/>
    <w:rsid w:val="002D7609"/>
    <w:rsid w:val="002D7716"/>
    <w:rsid w:val="002D776A"/>
    <w:rsid w:val="002E00F8"/>
    <w:rsid w:val="002E1570"/>
    <w:rsid w:val="002E1C85"/>
    <w:rsid w:val="002E25B9"/>
    <w:rsid w:val="002E28E2"/>
    <w:rsid w:val="002E332A"/>
    <w:rsid w:val="002E36E9"/>
    <w:rsid w:val="002E37DF"/>
    <w:rsid w:val="002E3CB2"/>
    <w:rsid w:val="002E3E7D"/>
    <w:rsid w:val="002E4169"/>
    <w:rsid w:val="002E4F28"/>
    <w:rsid w:val="002E5C9E"/>
    <w:rsid w:val="002E62D3"/>
    <w:rsid w:val="002E7261"/>
    <w:rsid w:val="002E783A"/>
    <w:rsid w:val="002E7BE1"/>
    <w:rsid w:val="002E7F64"/>
    <w:rsid w:val="002F0565"/>
    <w:rsid w:val="002F0C7E"/>
    <w:rsid w:val="002F0DB3"/>
    <w:rsid w:val="002F1439"/>
    <w:rsid w:val="002F1A91"/>
    <w:rsid w:val="002F1DB5"/>
    <w:rsid w:val="002F1E10"/>
    <w:rsid w:val="002F1FB8"/>
    <w:rsid w:val="002F2911"/>
    <w:rsid w:val="002F35E3"/>
    <w:rsid w:val="002F4785"/>
    <w:rsid w:val="002F4B77"/>
    <w:rsid w:val="002F4F2D"/>
    <w:rsid w:val="002F507D"/>
    <w:rsid w:val="002F5298"/>
    <w:rsid w:val="002F56B2"/>
    <w:rsid w:val="002F649B"/>
    <w:rsid w:val="002F67EB"/>
    <w:rsid w:val="003000C7"/>
    <w:rsid w:val="003003DE"/>
    <w:rsid w:val="00300850"/>
    <w:rsid w:val="00301278"/>
    <w:rsid w:val="003013C8"/>
    <w:rsid w:val="003014A0"/>
    <w:rsid w:val="00301EBF"/>
    <w:rsid w:val="00301ED9"/>
    <w:rsid w:val="00303441"/>
    <w:rsid w:val="003038E9"/>
    <w:rsid w:val="00304111"/>
    <w:rsid w:val="003046C1"/>
    <w:rsid w:val="00304B40"/>
    <w:rsid w:val="00305E6A"/>
    <w:rsid w:val="00306186"/>
    <w:rsid w:val="00306BDD"/>
    <w:rsid w:val="00307511"/>
    <w:rsid w:val="00307811"/>
    <w:rsid w:val="0030790D"/>
    <w:rsid w:val="00307B47"/>
    <w:rsid w:val="003104F2"/>
    <w:rsid w:val="003106E7"/>
    <w:rsid w:val="00310EDF"/>
    <w:rsid w:val="003115D3"/>
    <w:rsid w:val="003121AA"/>
    <w:rsid w:val="00312331"/>
    <w:rsid w:val="003128D9"/>
    <w:rsid w:val="003129D6"/>
    <w:rsid w:val="00313219"/>
    <w:rsid w:val="003132D3"/>
    <w:rsid w:val="00313301"/>
    <w:rsid w:val="003144D0"/>
    <w:rsid w:val="00314550"/>
    <w:rsid w:val="00315A73"/>
    <w:rsid w:val="00315ED1"/>
    <w:rsid w:val="003160D2"/>
    <w:rsid w:val="00316116"/>
    <w:rsid w:val="003162ED"/>
    <w:rsid w:val="00316CFA"/>
    <w:rsid w:val="003200EF"/>
    <w:rsid w:val="00320F34"/>
    <w:rsid w:val="0032409C"/>
    <w:rsid w:val="003246E0"/>
    <w:rsid w:val="003246E3"/>
    <w:rsid w:val="00324723"/>
    <w:rsid w:val="0032474D"/>
    <w:rsid w:val="00325287"/>
    <w:rsid w:val="00325513"/>
    <w:rsid w:val="003259F5"/>
    <w:rsid w:val="003266B7"/>
    <w:rsid w:val="00326E96"/>
    <w:rsid w:val="00326ED6"/>
    <w:rsid w:val="00330768"/>
    <w:rsid w:val="00332474"/>
    <w:rsid w:val="003324E8"/>
    <w:rsid w:val="003326C0"/>
    <w:rsid w:val="00332AEC"/>
    <w:rsid w:val="00332B13"/>
    <w:rsid w:val="00332F80"/>
    <w:rsid w:val="00333646"/>
    <w:rsid w:val="0033411A"/>
    <w:rsid w:val="003343EE"/>
    <w:rsid w:val="003349E6"/>
    <w:rsid w:val="00334E98"/>
    <w:rsid w:val="00335036"/>
    <w:rsid w:val="00335F70"/>
    <w:rsid w:val="00336112"/>
    <w:rsid w:val="003366DD"/>
    <w:rsid w:val="00336CBD"/>
    <w:rsid w:val="0033714E"/>
    <w:rsid w:val="003371DA"/>
    <w:rsid w:val="0033799E"/>
    <w:rsid w:val="00337B4A"/>
    <w:rsid w:val="00340252"/>
    <w:rsid w:val="00340896"/>
    <w:rsid w:val="003408AD"/>
    <w:rsid w:val="00341B48"/>
    <w:rsid w:val="00342746"/>
    <w:rsid w:val="00344663"/>
    <w:rsid w:val="00344800"/>
    <w:rsid w:val="00344956"/>
    <w:rsid w:val="00344FE3"/>
    <w:rsid w:val="00346189"/>
    <w:rsid w:val="00347365"/>
    <w:rsid w:val="00347433"/>
    <w:rsid w:val="00350075"/>
    <w:rsid w:val="0035105D"/>
    <w:rsid w:val="00351542"/>
    <w:rsid w:val="00351C85"/>
    <w:rsid w:val="0035210C"/>
    <w:rsid w:val="00352139"/>
    <w:rsid w:val="003539A2"/>
    <w:rsid w:val="00354864"/>
    <w:rsid w:val="00354885"/>
    <w:rsid w:val="00356539"/>
    <w:rsid w:val="00356BD2"/>
    <w:rsid w:val="0035707E"/>
    <w:rsid w:val="003573B1"/>
    <w:rsid w:val="0036023A"/>
    <w:rsid w:val="0036072D"/>
    <w:rsid w:val="00360D25"/>
    <w:rsid w:val="00360E6D"/>
    <w:rsid w:val="00361749"/>
    <w:rsid w:val="00361E45"/>
    <w:rsid w:val="00362073"/>
    <w:rsid w:val="00362673"/>
    <w:rsid w:val="00362841"/>
    <w:rsid w:val="003632C5"/>
    <w:rsid w:val="003633F8"/>
    <w:rsid w:val="003641CD"/>
    <w:rsid w:val="00364364"/>
    <w:rsid w:val="00364B2D"/>
    <w:rsid w:val="003650B8"/>
    <w:rsid w:val="003650F1"/>
    <w:rsid w:val="00365111"/>
    <w:rsid w:val="0036571C"/>
    <w:rsid w:val="00365D3C"/>
    <w:rsid w:val="00365ECF"/>
    <w:rsid w:val="003666D7"/>
    <w:rsid w:val="0036713D"/>
    <w:rsid w:val="0036799E"/>
    <w:rsid w:val="00367E17"/>
    <w:rsid w:val="00371144"/>
    <w:rsid w:val="00371BD4"/>
    <w:rsid w:val="0037227C"/>
    <w:rsid w:val="003736D2"/>
    <w:rsid w:val="00373CF5"/>
    <w:rsid w:val="00373EFC"/>
    <w:rsid w:val="0037453F"/>
    <w:rsid w:val="00374CB8"/>
    <w:rsid w:val="003756DD"/>
    <w:rsid w:val="00375E1D"/>
    <w:rsid w:val="0037646F"/>
    <w:rsid w:val="00377000"/>
    <w:rsid w:val="00377460"/>
    <w:rsid w:val="0037777E"/>
    <w:rsid w:val="00377C38"/>
    <w:rsid w:val="003803F3"/>
    <w:rsid w:val="00380722"/>
    <w:rsid w:val="003808A6"/>
    <w:rsid w:val="00380C4B"/>
    <w:rsid w:val="00380D7D"/>
    <w:rsid w:val="00380F6C"/>
    <w:rsid w:val="00381129"/>
    <w:rsid w:val="003819C9"/>
    <w:rsid w:val="00381E82"/>
    <w:rsid w:val="00382926"/>
    <w:rsid w:val="00382E26"/>
    <w:rsid w:val="003842C1"/>
    <w:rsid w:val="003860CC"/>
    <w:rsid w:val="00386E92"/>
    <w:rsid w:val="0038795D"/>
    <w:rsid w:val="00390CF3"/>
    <w:rsid w:val="00391706"/>
    <w:rsid w:val="003919BD"/>
    <w:rsid w:val="00391ED3"/>
    <w:rsid w:val="00392175"/>
    <w:rsid w:val="00392815"/>
    <w:rsid w:val="003937E3"/>
    <w:rsid w:val="003943AF"/>
    <w:rsid w:val="003943F5"/>
    <w:rsid w:val="00395388"/>
    <w:rsid w:val="0039585C"/>
    <w:rsid w:val="00395B1B"/>
    <w:rsid w:val="00395D22"/>
    <w:rsid w:val="00397525"/>
    <w:rsid w:val="003975D4"/>
    <w:rsid w:val="00397B26"/>
    <w:rsid w:val="003A025D"/>
    <w:rsid w:val="003A0535"/>
    <w:rsid w:val="003A0933"/>
    <w:rsid w:val="003A0B73"/>
    <w:rsid w:val="003A0D0D"/>
    <w:rsid w:val="003A2405"/>
    <w:rsid w:val="003A2770"/>
    <w:rsid w:val="003A2A6D"/>
    <w:rsid w:val="003A2FCE"/>
    <w:rsid w:val="003A39F8"/>
    <w:rsid w:val="003A3CB1"/>
    <w:rsid w:val="003A4193"/>
    <w:rsid w:val="003A5C8D"/>
    <w:rsid w:val="003A6275"/>
    <w:rsid w:val="003A6E09"/>
    <w:rsid w:val="003B01F6"/>
    <w:rsid w:val="003B0415"/>
    <w:rsid w:val="003B0C07"/>
    <w:rsid w:val="003B10F1"/>
    <w:rsid w:val="003B14BC"/>
    <w:rsid w:val="003B1DAD"/>
    <w:rsid w:val="003B25F5"/>
    <w:rsid w:val="003B3D32"/>
    <w:rsid w:val="003B3F78"/>
    <w:rsid w:val="003B407D"/>
    <w:rsid w:val="003B4673"/>
    <w:rsid w:val="003B4991"/>
    <w:rsid w:val="003B4B6D"/>
    <w:rsid w:val="003B5829"/>
    <w:rsid w:val="003B58DE"/>
    <w:rsid w:val="003B5CB1"/>
    <w:rsid w:val="003B66E8"/>
    <w:rsid w:val="003B7EA2"/>
    <w:rsid w:val="003C0C1D"/>
    <w:rsid w:val="003C0ECF"/>
    <w:rsid w:val="003C21AE"/>
    <w:rsid w:val="003C29B4"/>
    <w:rsid w:val="003C3AA4"/>
    <w:rsid w:val="003C3F9B"/>
    <w:rsid w:val="003C486B"/>
    <w:rsid w:val="003C49EE"/>
    <w:rsid w:val="003C4C48"/>
    <w:rsid w:val="003C5D95"/>
    <w:rsid w:val="003C6501"/>
    <w:rsid w:val="003C65CE"/>
    <w:rsid w:val="003C6AE3"/>
    <w:rsid w:val="003C6EB8"/>
    <w:rsid w:val="003C7EF1"/>
    <w:rsid w:val="003D11A4"/>
    <w:rsid w:val="003D152F"/>
    <w:rsid w:val="003D1CA2"/>
    <w:rsid w:val="003D2363"/>
    <w:rsid w:val="003D28DA"/>
    <w:rsid w:val="003D31AC"/>
    <w:rsid w:val="003D37DA"/>
    <w:rsid w:val="003D382B"/>
    <w:rsid w:val="003D4001"/>
    <w:rsid w:val="003D492F"/>
    <w:rsid w:val="003D4DDC"/>
    <w:rsid w:val="003D4E7D"/>
    <w:rsid w:val="003D65B2"/>
    <w:rsid w:val="003D673D"/>
    <w:rsid w:val="003D6D27"/>
    <w:rsid w:val="003D711F"/>
    <w:rsid w:val="003D7568"/>
    <w:rsid w:val="003D7896"/>
    <w:rsid w:val="003E200F"/>
    <w:rsid w:val="003E233E"/>
    <w:rsid w:val="003E33E8"/>
    <w:rsid w:val="003E347B"/>
    <w:rsid w:val="003E3CF8"/>
    <w:rsid w:val="003E414F"/>
    <w:rsid w:val="003E4245"/>
    <w:rsid w:val="003E4275"/>
    <w:rsid w:val="003E4336"/>
    <w:rsid w:val="003E4DE1"/>
    <w:rsid w:val="003E5FB1"/>
    <w:rsid w:val="003E5FFA"/>
    <w:rsid w:val="003E623F"/>
    <w:rsid w:val="003E6241"/>
    <w:rsid w:val="003E6877"/>
    <w:rsid w:val="003E6C08"/>
    <w:rsid w:val="003F2678"/>
    <w:rsid w:val="003F26C8"/>
    <w:rsid w:val="003F2A76"/>
    <w:rsid w:val="003F345E"/>
    <w:rsid w:val="003F49E3"/>
    <w:rsid w:val="003F4F9E"/>
    <w:rsid w:val="003F5AA9"/>
    <w:rsid w:val="003F5CA9"/>
    <w:rsid w:val="003F651C"/>
    <w:rsid w:val="003F6B3B"/>
    <w:rsid w:val="003F7466"/>
    <w:rsid w:val="003F7DE3"/>
    <w:rsid w:val="003F7F30"/>
    <w:rsid w:val="0040026E"/>
    <w:rsid w:val="00400B37"/>
    <w:rsid w:val="00401C6B"/>
    <w:rsid w:val="00402B06"/>
    <w:rsid w:val="00403F82"/>
    <w:rsid w:val="004054B3"/>
    <w:rsid w:val="0040562B"/>
    <w:rsid w:val="004062DA"/>
    <w:rsid w:val="004065FA"/>
    <w:rsid w:val="00407713"/>
    <w:rsid w:val="00407865"/>
    <w:rsid w:val="00407E10"/>
    <w:rsid w:val="00410772"/>
    <w:rsid w:val="00410DA3"/>
    <w:rsid w:val="00410DB4"/>
    <w:rsid w:val="004111A1"/>
    <w:rsid w:val="004117A7"/>
    <w:rsid w:val="004123BE"/>
    <w:rsid w:val="004152BD"/>
    <w:rsid w:val="00415780"/>
    <w:rsid w:val="00415ADB"/>
    <w:rsid w:val="00416518"/>
    <w:rsid w:val="0041673A"/>
    <w:rsid w:val="0041755E"/>
    <w:rsid w:val="00417571"/>
    <w:rsid w:val="00420B6D"/>
    <w:rsid w:val="00420D24"/>
    <w:rsid w:val="00420DFC"/>
    <w:rsid w:val="00421801"/>
    <w:rsid w:val="0042229B"/>
    <w:rsid w:val="00422571"/>
    <w:rsid w:val="00422B95"/>
    <w:rsid w:val="00422C02"/>
    <w:rsid w:val="00422CE8"/>
    <w:rsid w:val="00423E1C"/>
    <w:rsid w:val="00424319"/>
    <w:rsid w:val="00425242"/>
    <w:rsid w:val="004253C2"/>
    <w:rsid w:val="00425859"/>
    <w:rsid w:val="00425C68"/>
    <w:rsid w:val="0042619F"/>
    <w:rsid w:val="00426C6E"/>
    <w:rsid w:val="004270F3"/>
    <w:rsid w:val="00427285"/>
    <w:rsid w:val="004274AF"/>
    <w:rsid w:val="004275F5"/>
    <w:rsid w:val="00427951"/>
    <w:rsid w:val="00427A88"/>
    <w:rsid w:val="004301A5"/>
    <w:rsid w:val="004308CC"/>
    <w:rsid w:val="00430D9C"/>
    <w:rsid w:val="004317E9"/>
    <w:rsid w:val="00431F4A"/>
    <w:rsid w:val="00431FE8"/>
    <w:rsid w:val="004327D9"/>
    <w:rsid w:val="00432964"/>
    <w:rsid w:val="004332B5"/>
    <w:rsid w:val="00434D78"/>
    <w:rsid w:val="004354A0"/>
    <w:rsid w:val="00436A17"/>
    <w:rsid w:val="00436A5C"/>
    <w:rsid w:val="00436AD2"/>
    <w:rsid w:val="00437071"/>
    <w:rsid w:val="0043756D"/>
    <w:rsid w:val="00437B88"/>
    <w:rsid w:val="00440BCD"/>
    <w:rsid w:val="00441FAC"/>
    <w:rsid w:val="004422EF"/>
    <w:rsid w:val="00442645"/>
    <w:rsid w:val="00442876"/>
    <w:rsid w:val="00442B7E"/>
    <w:rsid w:val="00443688"/>
    <w:rsid w:val="004438AD"/>
    <w:rsid w:val="00443A72"/>
    <w:rsid w:val="00443CE1"/>
    <w:rsid w:val="00443FE8"/>
    <w:rsid w:val="004445FC"/>
    <w:rsid w:val="00444A9F"/>
    <w:rsid w:val="00444F0E"/>
    <w:rsid w:val="00447F0B"/>
    <w:rsid w:val="00447FA3"/>
    <w:rsid w:val="004506A2"/>
    <w:rsid w:val="00450CFB"/>
    <w:rsid w:val="00450E58"/>
    <w:rsid w:val="00450E91"/>
    <w:rsid w:val="0045241D"/>
    <w:rsid w:val="0045261F"/>
    <w:rsid w:val="004537E5"/>
    <w:rsid w:val="00453986"/>
    <w:rsid w:val="00453B3B"/>
    <w:rsid w:val="00453BA6"/>
    <w:rsid w:val="004544F4"/>
    <w:rsid w:val="004556F4"/>
    <w:rsid w:val="00455EC9"/>
    <w:rsid w:val="00456AA8"/>
    <w:rsid w:val="00457C49"/>
    <w:rsid w:val="0046063E"/>
    <w:rsid w:val="00461114"/>
    <w:rsid w:val="00461F37"/>
    <w:rsid w:val="00463481"/>
    <w:rsid w:val="0046392D"/>
    <w:rsid w:val="0046416E"/>
    <w:rsid w:val="004652C5"/>
    <w:rsid w:val="004670E2"/>
    <w:rsid w:val="0046736B"/>
    <w:rsid w:val="00467903"/>
    <w:rsid w:val="0047001B"/>
    <w:rsid w:val="004701EC"/>
    <w:rsid w:val="00470BE8"/>
    <w:rsid w:val="00471C90"/>
    <w:rsid w:val="004720DA"/>
    <w:rsid w:val="00472B51"/>
    <w:rsid w:val="00473CF1"/>
    <w:rsid w:val="004750DB"/>
    <w:rsid w:val="00475427"/>
    <w:rsid w:val="004759E3"/>
    <w:rsid w:val="004769EA"/>
    <w:rsid w:val="00476D28"/>
    <w:rsid w:val="004771F3"/>
    <w:rsid w:val="00477BCD"/>
    <w:rsid w:val="0048075E"/>
    <w:rsid w:val="004807BA"/>
    <w:rsid w:val="00480C5D"/>
    <w:rsid w:val="00480E1A"/>
    <w:rsid w:val="00480ED9"/>
    <w:rsid w:val="00481010"/>
    <w:rsid w:val="004817BD"/>
    <w:rsid w:val="0048195E"/>
    <w:rsid w:val="00481D14"/>
    <w:rsid w:val="0048421C"/>
    <w:rsid w:val="0048445A"/>
    <w:rsid w:val="004844DA"/>
    <w:rsid w:val="00484663"/>
    <w:rsid w:val="00484F98"/>
    <w:rsid w:val="0048506F"/>
    <w:rsid w:val="004850F7"/>
    <w:rsid w:val="0048574A"/>
    <w:rsid w:val="00485830"/>
    <w:rsid w:val="004858EE"/>
    <w:rsid w:val="00486FA3"/>
    <w:rsid w:val="00486FC0"/>
    <w:rsid w:val="00487850"/>
    <w:rsid w:val="00487C0A"/>
    <w:rsid w:val="00487DB8"/>
    <w:rsid w:val="00490C8B"/>
    <w:rsid w:val="00492270"/>
    <w:rsid w:val="00492779"/>
    <w:rsid w:val="00492C10"/>
    <w:rsid w:val="00493861"/>
    <w:rsid w:val="0049450B"/>
    <w:rsid w:val="00494B13"/>
    <w:rsid w:val="00495BF0"/>
    <w:rsid w:val="00496149"/>
    <w:rsid w:val="00496221"/>
    <w:rsid w:val="004967A2"/>
    <w:rsid w:val="00496CD3"/>
    <w:rsid w:val="004977E6"/>
    <w:rsid w:val="004A0E3A"/>
    <w:rsid w:val="004A0E4C"/>
    <w:rsid w:val="004A10B3"/>
    <w:rsid w:val="004A155C"/>
    <w:rsid w:val="004A1E89"/>
    <w:rsid w:val="004A1F89"/>
    <w:rsid w:val="004A343A"/>
    <w:rsid w:val="004A3CD1"/>
    <w:rsid w:val="004A42AF"/>
    <w:rsid w:val="004A4728"/>
    <w:rsid w:val="004A4E90"/>
    <w:rsid w:val="004A4F58"/>
    <w:rsid w:val="004A5FF1"/>
    <w:rsid w:val="004A6ACA"/>
    <w:rsid w:val="004A6DC6"/>
    <w:rsid w:val="004A6E09"/>
    <w:rsid w:val="004A7DFE"/>
    <w:rsid w:val="004B01C8"/>
    <w:rsid w:val="004B0228"/>
    <w:rsid w:val="004B045D"/>
    <w:rsid w:val="004B07CA"/>
    <w:rsid w:val="004B244C"/>
    <w:rsid w:val="004B264B"/>
    <w:rsid w:val="004B2C93"/>
    <w:rsid w:val="004B2DCC"/>
    <w:rsid w:val="004B39DC"/>
    <w:rsid w:val="004B3B4E"/>
    <w:rsid w:val="004B3EB3"/>
    <w:rsid w:val="004B51C2"/>
    <w:rsid w:val="004B563E"/>
    <w:rsid w:val="004B6162"/>
    <w:rsid w:val="004B6A37"/>
    <w:rsid w:val="004B6AD6"/>
    <w:rsid w:val="004B6BBE"/>
    <w:rsid w:val="004B7202"/>
    <w:rsid w:val="004B79E8"/>
    <w:rsid w:val="004C28A7"/>
    <w:rsid w:val="004C2C6B"/>
    <w:rsid w:val="004C3BEB"/>
    <w:rsid w:val="004C3BF3"/>
    <w:rsid w:val="004C4D96"/>
    <w:rsid w:val="004C5321"/>
    <w:rsid w:val="004C5489"/>
    <w:rsid w:val="004C54F5"/>
    <w:rsid w:val="004C5E30"/>
    <w:rsid w:val="004C636B"/>
    <w:rsid w:val="004C6B26"/>
    <w:rsid w:val="004C6B6E"/>
    <w:rsid w:val="004C6BA8"/>
    <w:rsid w:val="004C7DCD"/>
    <w:rsid w:val="004D02A9"/>
    <w:rsid w:val="004D090C"/>
    <w:rsid w:val="004D0CA5"/>
    <w:rsid w:val="004D0DBF"/>
    <w:rsid w:val="004D125D"/>
    <w:rsid w:val="004D17EE"/>
    <w:rsid w:val="004D1EE8"/>
    <w:rsid w:val="004D227B"/>
    <w:rsid w:val="004D2860"/>
    <w:rsid w:val="004D302B"/>
    <w:rsid w:val="004D30ED"/>
    <w:rsid w:val="004D350D"/>
    <w:rsid w:val="004D3A6F"/>
    <w:rsid w:val="004D3BEA"/>
    <w:rsid w:val="004D3C56"/>
    <w:rsid w:val="004D4035"/>
    <w:rsid w:val="004D4112"/>
    <w:rsid w:val="004D4AA0"/>
    <w:rsid w:val="004D4C5E"/>
    <w:rsid w:val="004D4CD0"/>
    <w:rsid w:val="004D4F76"/>
    <w:rsid w:val="004D4F87"/>
    <w:rsid w:val="004D6311"/>
    <w:rsid w:val="004D73BD"/>
    <w:rsid w:val="004D7505"/>
    <w:rsid w:val="004D78A3"/>
    <w:rsid w:val="004E04C0"/>
    <w:rsid w:val="004E0E78"/>
    <w:rsid w:val="004E20B0"/>
    <w:rsid w:val="004E2A8B"/>
    <w:rsid w:val="004E300B"/>
    <w:rsid w:val="004E415F"/>
    <w:rsid w:val="004E4175"/>
    <w:rsid w:val="004E57D8"/>
    <w:rsid w:val="004E625B"/>
    <w:rsid w:val="004E65E7"/>
    <w:rsid w:val="004E693F"/>
    <w:rsid w:val="004E7865"/>
    <w:rsid w:val="004F0ABB"/>
    <w:rsid w:val="004F0FFF"/>
    <w:rsid w:val="004F15E1"/>
    <w:rsid w:val="004F18F2"/>
    <w:rsid w:val="004F1C56"/>
    <w:rsid w:val="004F2561"/>
    <w:rsid w:val="004F26FE"/>
    <w:rsid w:val="004F2F5A"/>
    <w:rsid w:val="004F3CF1"/>
    <w:rsid w:val="004F3D58"/>
    <w:rsid w:val="004F4142"/>
    <w:rsid w:val="004F436E"/>
    <w:rsid w:val="004F717F"/>
    <w:rsid w:val="004F76E7"/>
    <w:rsid w:val="004F77D5"/>
    <w:rsid w:val="004F78C4"/>
    <w:rsid w:val="00501041"/>
    <w:rsid w:val="00501364"/>
    <w:rsid w:val="005014B2"/>
    <w:rsid w:val="00502208"/>
    <w:rsid w:val="00502331"/>
    <w:rsid w:val="00502AA3"/>
    <w:rsid w:val="005034B9"/>
    <w:rsid w:val="005035F4"/>
    <w:rsid w:val="005037E3"/>
    <w:rsid w:val="00504554"/>
    <w:rsid w:val="00506B9D"/>
    <w:rsid w:val="005072B9"/>
    <w:rsid w:val="00507BA6"/>
    <w:rsid w:val="00507FB4"/>
    <w:rsid w:val="005101A3"/>
    <w:rsid w:val="00510C29"/>
    <w:rsid w:val="0051107E"/>
    <w:rsid w:val="0051175D"/>
    <w:rsid w:val="00511DDA"/>
    <w:rsid w:val="005121CB"/>
    <w:rsid w:val="005122A2"/>
    <w:rsid w:val="00513279"/>
    <w:rsid w:val="00513523"/>
    <w:rsid w:val="0051465E"/>
    <w:rsid w:val="00515125"/>
    <w:rsid w:val="0051592E"/>
    <w:rsid w:val="00516118"/>
    <w:rsid w:val="00516875"/>
    <w:rsid w:val="00517641"/>
    <w:rsid w:val="00520474"/>
    <w:rsid w:val="00520A39"/>
    <w:rsid w:val="00520AB9"/>
    <w:rsid w:val="00520C84"/>
    <w:rsid w:val="00520ED1"/>
    <w:rsid w:val="0052143E"/>
    <w:rsid w:val="00521961"/>
    <w:rsid w:val="00522CDB"/>
    <w:rsid w:val="005236B8"/>
    <w:rsid w:val="005247A7"/>
    <w:rsid w:val="00525070"/>
    <w:rsid w:val="00525373"/>
    <w:rsid w:val="005259D7"/>
    <w:rsid w:val="0052623B"/>
    <w:rsid w:val="005267E5"/>
    <w:rsid w:val="005269F4"/>
    <w:rsid w:val="00526C5C"/>
    <w:rsid w:val="00527457"/>
    <w:rsid w:val="0052766C"/>
    <w:rsid w:val="005300C5"/>
    <w:rsid w:val="00530240"/>
    <w:rsid w:val="00531693"/>
    <w:rsid w:val="00531A53"/>
    <w:rsid w:val="00531C85"/>
    <w:rsid w:val="005347D5"/>
    <w:rsid w:val="005349A9"/>
    <w:rsid w:val="00534D0B"/>
    <w:rsid w:val="00534E42"/>
    <w:rsid w:val="005353D2"/>
    <w:rsid w:val="00535E7A"/>
    <w:rsid w:val="00536351"/>
    <w:rsid w:val="005364B8"/>
    <w:rsid w:val="00537158"/>
    <w:rsid w:val="00537C79"/>
    <w:rsid w:val="00537D4E"/>
    <w:rsid w:val="00541AD7"/>
    <w:rsid w:val="00541FC0"/>
    <w:rsid w:val="005425CD"/>
    <w:rsid w:val="00542746"/>
    <w:rsid w:val="00542A41"/>
    <w:rsid w:val="00543969"/>
    <w:rsid w:val="00543D73"/>
    <w:rsid w:val="0054439C"/>
    <w:rsid w:val="00545306"/>
    <w:rsid w:val="00545921"/>
    <w:rsid w:val="00546488"/>
    <w:rsid w:val="00546EBC"/>
    <w:rsid w:val="00546F20"/>
    <w:rsid w:val="005476CB"/>
    <w:rsid w:val="00547B3A"/>
    <w:rsid w:val="00550075"/>
    <w:rsid w:val="005507E2"/>
    <w:rsid w:val="00550D81"/>
    <w:rsid w:val="00552946"/>
    <w:rsid w:val="00553ECC"/>
    <w:rsid w:val="00554007"/>
    <w:rsid w:val="005541A0"/>
    <w:rsid w:val="005547BE"/>
    <w:rsid w:val="00554DD1"/>
    <w:rsid w:val="00554F3A"/>
    <w:rsid w:val="0055501D"/>
    <w:rsid w:val="005556B4"/>
    <w:rsid w:val="005557A4"/>
    <w:rsid w:val="00555869"/>
    <w:rsid w:val="005560B6"/>
    <w:rsid w:val="00556133"/>
    <w:rsid w:val="00556BC0"/>
    <w:rsid w:val="00557615"/>
    <w:rsid w:val="005600AD"/>
    <w:rsid w:val="005600BD"/>
    <w:rsid w:val="00560536"/>
    <w:rsid w:val="005605A6"/>
    <w:rsid w:val="005609AC"/>
    <w:rsid w:val="00560F24"/>
    <w:rsid w:val="00561F79"/>
    <w:rsid w:val="005620CC"/>
    <w:rsid w:val="00563302"/>
    <w:rsid w:val="0056376B"/>
    <w:rsid w:val="005648D3"/>
    <w:rsid w:val="00564961"/>
    <w:rsid w:val="00564FCE"/>
    <w:rsid w:val="0056556F"/>
    <w:rsid w:val="005656D6"/>
    <w:rsid w:val="00565F62"/>
    <w:rsid w:val="0056619A"/>
    <w:rsid w:val="00566C99"/>
    <w:rsid w:val="00567D41"/>
    <w:rsid w:val="00570D9F"/>
    <w:rsid w:val="005714FF"/>
    <w:rsid w:val="005722DB"/>
    <w:rsid w:val="00572513"/>
    <w:rsid w:val="00572A3D"/>
    <w:rsid w:val="00572C5A"/>
    <w:rsid w:val="0057320A"/>
    <w:rsid w:val="0057326C"/>
    <w:rsid w:val="00573DEB"/>
    <w:rsid w:val="005750E9"/>
    <w:rsid w:val="005751A8"/>
    <w:rsid w:val="00575573"/>
    <w:rsid w:val="00575D1F"/>
    <w:rsid w:val="00576A0A"/>
    <w:rsid w:val="00576A88"/>
    <w:rsid w:val="005800E1"/>
    <w:rsid w:val="005804A7"/>
    <w:rsid w:val="0058102A"/>
    <w:rsid w:val="00581A77"/>
    <w:rsid w:val="005827CC"/>
    <w:rsid w:val="00582973"/>
    <w:rsid w:val="00582999"/>
    <w:rsid w:val="0058404E"/>
    <w:rsid w:val="005852AB"/>
    <w:rsid w:val="00585968"/>
    <w:rsid w:val="00585B51"/>
    <w:rsid w:val="00586257"/>
    <w:rsid w:val="005863E7"/>
    <w:rsid w:val="00586C80"/>
    <w:rsid w:val="00587355"/>
    <w:rsid w:val="005879AB"/>
    <w:rsid w:val="00590C06"/>
    <w:rsid w:val="005914C9"/>
    <w:rsid w:val="0059315F"/>
    <w:rsid w:val="0059544A"/>
    <w:rsid w:val="0059630E"/>
    <w:rsid w:val="00596850"/>
    <w:rsid w:val="005969BA"/>
    <w:rsid w:val="005972FD"/>
    <w:rsid w:val="0059757C"/>
    <w:rsid w:val="00597906"/>
    <w:rsid w:val="00597F4D"/>
    <w:rsid w:val="005A0875"/>
    <w:rsid w:val="005A15F6"/>
    <w:rsid w:val="005A2890"/>
    <w:rsid w:val="005A2DCF"/>
    <w:rsid w:val="005A307D"/>
    <w:rsid w:val="005A3392"/>
    <w:rsid w:val="005A3E9B"/>
    <w:rsid w:val="005A466A"/>
    <w:rsid w:val="005A5799"/>
    <w:rsid w:val="005A57BA"/>
    <w:rsid w:val="005A5FAC"/>
    <w:rsid w:val="005A6BB7"/>
    <w:rsid w:val="005A6FAF"/>
    <w:rsid w:val="005A7599"/>
    <w:rsid w:val="005B093B"/>
    <w:rsid w:val="005B0C09"/>
    <w:rsid w:val="005B195D"/>
    <w:rsid w:val="005B3630"/>
    <w:rsid w:val="005B3FF5"/>
    <w:rsid w:val="005B4349"/>
    <w:rsid w:val="005B51E4"/>
    <w:rsid w:val="005B5636"/>
    <w:rsid w:val="005B6940"/>
    <w:rsid w:val="005B6DE9"/>
    <w:rsid w:val="005B6EC1"/>
    <w:rsid w:val="005B719E"/>
    <w:rsid w:val="005B71FA"/>
    <w:rsid w:val="005B72F5"/>
    <w:rsid w:val="005B73BF"/>
    <w:rsid w:val="005C008F"/>
    <w:rsid w:val="005C03F3"/>
    <w:rsid w:val="005C0941"/>
    <w:rsid w:val="005C0E60"/>
    <w:rsid w:val="005C0EF6"/>
    <w:rsid w:val="005C154D"/>
    <w:rsid w:val="005C2BDB"/>
    <w:rsid w:val="005C3B25"/>
    <w:rsid w:val="005C4655"/>
    <w:rsid w:val="005C4E04"/>
    <w:rsid w:val="005C6584"/>
    <w:rsid w:val="005C790C"/>
    <w:rsid w:val="005C7F63"/>
    <w:rsid w:val="005D00B5"/>
    <w:rsid w:val="005D01F3"/>
    <w:rsid w:val="005D08B7"/>
    <w:rsid w:val="005D1023"/>
    <w:rsid w:val="005D12AA"/>
    <w:rsid w:val="005D1B30"/>
    <w:rsid w:val="005D2204"/>
    <w:rsid w:val="005D338C"/>
    <w:rsid w:val="005D3B35"/>
    <w:rsid w:val="005D582B"/>
    <w:rsid w:val="005D7B06"/>
    <w:rsid w:val="005E0D57"/>
    <w:rsid w:val="005E105D"/>
    <w:rsid w:val="005E19EB"/>
    <w:rsid w:val="005E1DBC"/>
    <w:rsid w:val="005E294A"/>
    <w:rsid w:val="005E2F4B"/>
    <w:rsid w:val="005E5BD2"/>
    <w:rsid w:val="005E60CA"/>
    <w:rsid w:val="005E6183"/>
    <w:rsid w:val="005E61FA"/>
    <w:rsid w:val="005E6D6B"/>
    <w:rsid w:val="005E6F72"/>
    <w:rsid w:val="005E77FA"/>
    <w:rsid w:val="005E7AEA"/>
    <w:rsid w:val="005F01EA"/>
    <w:rsid w:val="005F1359"/>
    <w:rsid w:val="005F141E"/>
    <w:rsid w:val="005F2017"/>
    <w:rsid w:val="005F2067"/>
    <w:rsid w:val="005F2469"/>
    <w:rsid w:val="005F250D"/>
    <w:rsid w:val="005F253B"/>
    <w:rsid w:val="005F2CCC"/>
    <w:rsid w:val="005F32E0"/>
    <w:rsid w:val="005F3C41"/>
    <w:rsid w:val="005F5355"/>
    <w:rsid w:val="005F5BD2"/>
    <w:rsid w:val="005F5BF4"/>
    <w:rsid w:val="005F6DC0"/>
    <w:rsid w:val="005F6F59"/>
    <w:rsid w:val="005F70BF"/>
    <w:rsid w:val="005F79A6"/>
    <w:rsid w:val="006014F6"/>
    <w:rsid w:val="0060158A"/>
    <w:rsid w:val="00601E0E"/>
    <w:rsid w:val="00601E82"/>
    <w:rsid w:val="00604304"/>
    <w:rsid w:val="00604664"/>
    <w:rsid w:val="00604AF8"/>
    <w:rsid w:val="00605079"/>
    <w:rsid w:val="006059EC"/>
    <w:rsid w:val="00605BEC"/>
    <w:rsid w:val="00605E6F"/>
    <w:rsid w:val="00606D4D"/>
    <w:rsid w:val="00607593"/>
    <w:rsid w:val="006076BD"/>
    <w:rsid w:val="00610180"/>
    <w:rsid w:val="00610283"/>
    <w:rsid w:val="00611A42"/>
    <w:rsid w:val="00611C85"/>
    <w:rsid w:val="006120A5"/>
    <w:rsid w:val="00612468"/>
    <w:rsid w:val="00612819"/>
    <w:rsid w:val="00613A11"/>
    <w:rsid w:val="00614847"/>
    <w:rsid w:val="00614E8D"/>
    <w:rsid w:val="006158DE"/>
    <w:rsid w:val="006162B1"/>
    <w:rsid w:val="00616821"/>
    <w:rsid w:val="00616999"/>
    <w:rsid w:val="006170C1"/>
    <w:rsid w:val="006215CF"/>
    <w:rsid w:val="00621C42"/>
    <w:rsid w:val="00621FE7"/>
    <w:rsid w:val="00622120"/>
    <w:rsid w:val="00623220"/>
    <w:rsid w:val="00623B91"/>
    <w:rsid w:val="00624101"/>
    <w:rsid w:val="00624699"/>
    <w:rsid w:val="00626395"/>
    <w:rsid w:val="00627325"/>
    <w:rsid w:val="006274D9"/>
    <w:rsid w:val="00627C02"/>
    <w:rsid w:val="00627C78"/>
    <w:rsid w:val="00627FD0"/>
    <w:rsid w:val="006306DC"/>
    <w:rsid w:val="00630950"/>
    <w:rsid w:val="00630C9E"/>
    <w:rsid w:val="00631A0B"/>
    <w:rsid w:val="00631D78"/>
    <w:rsid w:val="00631EAA"/>
    <w:rsid w:val="00632157"/>
    <w:rsid w:val="00632A53"/>
    <w:rsid w:val="006334AB"/>
    <w:rsid w:val="006336C9"/>
    <w:rsid w:val="00633FCA"/>
    <w:rsid w:val="006343CD"/>
    <w:rsid w:val="006345FA"/>
    <w:rsid w:val="006360C3"/>
    <w:rsid w:val="00636650"/>
    <w:rsid w:val="00636663"/>
    <w:rsid w:val="00637076"/>
    <w:rsid w:val="0063715B"/>
    <w:rsid w:val="00637539"/>
    <w:rsid w:val="0063772A"/>
    <w:rsid w:val="00637D22"/>
    <w:rsid w:val="006406E7"/>
    <w:rsid w:val="00640A08"/>
    <w:rsid w:val="00640E7C"/>
    <w:rsid w:val="006411D8"/>
    <w:rsid w:val="00641AD9"/>
    <w:rsid w:val="00641BF4"/>
    <w:rsid w:val="00641E46"/>
    <w:rsid w:val="006421E0"/>
    <w:rsid w:val="00642428"/>
    <w:rsid w:val="006425C7"/>
    <w:rsid w:val="006429E0"/>
    <w:rsid w:val="00642DAE"/>
    <w:rsid w:val="00643515"/>
    <w:rsid w:val="0064390F"/>
    <w:rsid w:val="00643965"/>
    <w:rsid w:val="00644139"/>
    <w:rsid w:val="0064429C"/>
    <w:rsid w:val="00644412"/>
    <w:rsid w:val="00644982"/>
    <w:rsid w:val="00644F50"/>
    <w:rsid w:val="00645C6C"/>
    <w:rsid w:val="0064630E"/>
    <w:rsid w:val="00646B89"/>
    <w:rsid w:val="0064755C"/>
    <w:rsid w:val="00650144"/>
    <w:rsid w:val="006508E6"/>
    <w:rsid w:val="00650985"/>
    <w:rsid w:val="00650A45"/>
    <w:rsid w:val="00650A96"/>
    <w:rsid w:val="0065119C"/>
    <w:rsid w:val="00651616"/>
    <w:rsid w:val="00651624"/>
    <w:rsid w:val="00651AC2"/>
    <w:rsid w:val="00652266"/>
    <w:rsid w:val="0065253E"/>
    <w:rsid w:val="00652EB8"/>
    <w:rsid w:val="00652F91"/>
    <w:rsid w:val="00653338"/>
    <w:rsid w:val="00653FE5"/>
    <w:rsid w:val="006546EC"/>
    <w:rsid w:val="006547B7"/>
    <w:rsid w:val="0065499B"/>
    <w:rsid w:val="0065642C"/>
    <w:rsid w:val="006567E6"/>
    <w:rsid w:val="00657D7D"/>
    <w:rsid w:val="00661068"/>
    <w:rsid w:val="0066289B"/>
    <w:rsid w:val="00663556"/>
    <w:rsid w:val="00663578"/>
    <w:rsid w:val="00663C35"/>
    <w:rsid w:val="00663D20"/>
    <w:rsid w:val="00663F6A"/>
    <w:rsid w:val="006644E7"/>
    <w:rsid w:val="006648DB"/>
    <w:rsid w:val="00666208"/>
    <w:rsid w:val="006666D9"/>
    <w:rsid w:val="00666A28"/>
    <w:rsid w:val="00666F84"/>
    <w:rsid w:val="006674C6"/>
    <w:rsid w:val="0066791A"/>
    <w:rsid w:val="00667AA1"/>
    <w:rsid w:val="00670025"/>
    <w:rsid w:val="00670289"/>
    <w:rsid w:val="00670C4E"/>
    <w:rsid w:val="00670E55"/>
    <w:rsid w:val="00670FDE"/>
    <w:rsid w:val="00670FFD"/>
    <w:rsid w:val="00671C42"/>
    <w:rsid w:val="006725CF"/>
    <w:rsid w:val="00672DBB"/>
    <w:rsid w:val="00672E87"/>
    <w:rsid w:val="006733AC"/>
    <w:rsid w:val="006735AB"/>
    <w:rsid w:val="00674234"/>
    <w:rsid w:val="00674E0F"/>
    <w:rsid w:val="00674FFC"/>
    <w:rsid w:val="00675C9A"/>
    <w:rsid w:val="00675CBE"/>
    <w:rsid w:val="00675ECA"/>
    <w:rsid w:val="00676160"/>
    <w:rsid w:val="00676AFB"/>
    <w:rsid w:val="0067730D"/>
    <w:rsid w:val="00677503"/>
    <w:rsid w:val="00677A97"/>
    <w:rsid w:val="00680C51"/>
    <w:rsid w:val="00681259"/>
    <w:rsid w:val="0068139A"/>
    <w:rsid w:val="00681DED"/>
    <w:rsid w:val="0068258F"/>
    <w:rsid w:val="00683097"/>
    <w:rsid w:val="006832C2"/>
    <w:rsid w:val="00683D5F"/>
    <w:rsid w:val="0068446E"/>
    <w:rsid w:val="006851B5"/>
    <w:rsid w:val="0068527B"/>
    <w:rsid w:val="00686064"/>
    <w:rsid w:val="0068618E"/>
    <w:rsid w:val="00686AC6"/>
    <w:rsid w:val="00686B18"/>
    <w:rsid w:val="0069097B"/>
    <w:rsid w:val="00690FEB"/>
    <w:rsid w:val="0069129F"/>
    <w:rsid w:val="006915B3"/>
    <w:rsid w:val="00691A30"/>
    <w:rsid w:val="00692E6F"/>
    <w:rsid w:val="00694296"/>
    <w:rsid w:val="00694422"/>
    <w:rsid w:val="00694A5E"/>
    <w:rsid w:val="00694D7A"/>
    <w:rsid w:val="00694F18"/>
    <w:rsid w:val="006A06BD"/>
    <w:rsid w:val="006A0B91"/>
    <w:rsid w:val="006A0D22"/>
    <w:rsid w:val="006A1418"/>
    <w:rsid w:val="006A1E82"/>
    <w:rsid w:val="006A2530"/>
    <w:rsid w:val="006A286B"/>
    <w:rsid w:val="006A2ACF"/>
    <w:rsid w:val="006A2B31"/>
    <w:rsid w:val="006A379E"/>
    <w:rsid w:val="006A3BC3"/>
    <w:rsid w:val="006A52DD"/>
    <w:rsid w:val="006A5A54"/>
    <w:rsid w:val="006A6670"/>
    <w:rsid w:val="006A6B94"/>
    <w:rsid w:val="006A6D0B"/>
    <w:rsid w:val="006A7BD8"/>
    <w:rsid w:val="006B0144"/>
    <w:rsid w:val="006B0F60"/>
    <w:rsid w:val="006B1B57"/>
    <w:rsid w:val="006B29E1"/>
    <w:rsid w:val="006B3163"/>
    <w:rsid w:val="006B322F"/>
    <w:rsid w:val="006B42E3"/>
    <w:rsid w:val="006B4CCF"/>
    <w:rsid w:val="006B675E"/>
    <w:rsid w:val="006B67DB"/>
    <w:rsid w:val="006B6B0E"/>
    <w:rsid w:val="006B74FC"/>
    <w:rsid w:val="006B7F36"/>
    <w:rsid w:val="006C0C72"/>
    <w:rsid w:val="006C16B7"/>
    <w:rsid w:val="006C1940"/>
    <w:rsid w:val="006C2C21"/>
    <w:rsid w:val="006C35F6"/>
    <w:rsid w:val="006C3DEF"/>
    <w:rsid w:val="006C488E"/>
    <w:rsid w:val="006C4EB4"/>
    <w:rsid w:val="006C5446"/>
    <w:rsid w:val="006C554D"/>
    <w:rsid w:val="006C6095"/>
    <w:rsid w:val="006C6607"/>
    <w:rsid w:val="006C6E9D"/>
    <w:rsid w:val="006C6EC8"/>
    <w:rsid w:val="006C6F46"/>
    <w:rsid w:val="006C7127"/>
    <w:rsid w:val="006C7197"/>
    <w:rsid w:val="006C73B4"/>
    <w:rsid w:val="006C73E8"/>
    <w:rsid w:val="006C7843"/>
    <w:rsid w:val="006C79FD"/>
    <w:rsid w:val="006D0799"/>
    <w:rsid w:val="006D0832"/>
    <w:rsid w:val="006D09ED"/>
    <w:rsid w:val="006D0B8F"/>
    <w:rsid w:val="006D0F4E"/>
    <w:rsid w:val="006D2416"/>
    <w:rsid w:val="006D28D6"/>
    <w:rsid w:val="006D2A53"/>
    <w:rsid w:val="006D3AE5"/>
    <w:rsid w:val="006D4021"/>
    <w:rsid w:val="006D404E"/>
    <w:rsid w:val="006D419C"/>
    <w:rsid w:val="006D480A"/>
    <w:rsid w:val="006D4847"/>
    <w:rsid w:val="006D48A9"/>
    <w:rsid w:val="006D4918"/>
    <w:rsid w:val="006D4CDE"/>
    <w:rsid w:val="006D559D"/>
    <w:rsid w:val="006D5B08"/>
    <w:rsid w:val="006D5B1E"/>
    <w:rsid w:val="006D6C08"/>
    <w:rsid w:val="006D72DE"/>
    <w:rsid w:val="006D7FF4"/>
    <w:rsid w:val="006E0501"/>
    <w:rsid w:val="006E0576"/>
    <w:rsid w:val="006E0770"/>
    <w:rsid w:val="006E2214"/>
    <w:rsid w:val="006E34F4"/>
    <w:rsid w:val="006E3A49"/>
    <w:rsid w:val="006E3DEB"/>
    <w:rsid w:val="006E4056"/>
    <w:rsid w:val="006E437E"/>
    <w:rsid w:val="006E5370"/>
    <w:rsid w:val="006E594D"/>
    <w:rsid w:val="006E6652"/>
    <w:rsid w:val="006E6E08"/>
    <w:rsid w:val="006E736E"/>
    <w:rsid w:val="006E7463"/>
    <w:rsid w:val="006F07B8"/>
    <w:rsid w:val="006F0B3D"/>
    <w:rsid w:val="006F0EC9"/>
    <w:rsid w:val="006F19AD"/>
    <w:rsid w:val="006F20E9"/>
    <w:rsid w:val="006F2DEE"/>
    <w:rsid w:val="006F37DE"/>
    <w:rsid w:val="006F37E5"/>
    <w:rsid w:val="006F3E7C"/>
    <w:rsid w:val="006F461E"/>
    <w:rsid w:val="006F4A6A"/>
    <w:rsid w:val="006F7D3F"/>
    <w:rsid w:val="007002C4"/>
    <w:rsid w:val="007005DD"/>
    <w:rsid w:val="00700E57"/>
    <w:rsid w:val="007013B4"/>
    <w:rsid w:val="00701AE5"/>
    <w:rsid w:val="00701DFA"/>
    <w:rsid w:val="00702354"/>
    <w:rsid w:val="00703332"/>
    <w:rsid w:val="00703EA6"/>
    <w:rsid w:val="00703FC9"/>
    <w:rsid w:val="00704B4B"/>
    <w:rsid w:val="00705EDA"/>
    <w:rsid w:val="007060B8"/>
    <w:rsid w:val="00707E9B"/>
    <w:rsid w:val="0071021C"/>
    <w:rsid w:val="0071036F"/>
    <w:rsid w:val="00710AC8"/>
    <w:rsid w:val="00711209"/>
    <w:rsid w:val="0071190F"/>
    <w:rsid w:val="00711E8C"/>
    <w:rsid w:val="00712AFA"/>
    <w:rsid w:val="00712FB6"/>
    <w:rsid w:val="00714878"/>
    <w:rsid w:val="00714CC2"/>
    <w:rsid w:val="00714FB5"/>
    <w:rsid w:val="0071539A"/>
    <w:rsid w:val="00716251"/>
    <w:rsid w:val="00716A41"/>
    <w:rsid w:val="00716C4C"/>
    <w:rsid w:val="00716DE7"/>
    <w:rsid w:val="00720700"/>
    <w:rsid w:val="00720832"/>
    <w:rsid w:val="00721018"/>
    <w:rsid w:val="00721203"/>
    <w:rsid w:val="00721307"/>
    <w:rsid w:val="00721A6C"/>
    <w:rsid w:val="00721A85"/>
    <w:rsid w:val="00722791"/>
    <w:rsid w:val="00722AB3"/>
    <w:rsid w:val="00723E69"/>
    <w:rsid w:val="007244F7"/>
    <w:rsid w:val="0072481C"/>
    <w:rsid w:val="00724ADA"/>
    <w:rsid w:val="007262AD"/>
    <w:rsid w:val="00726606"/>
    <w:rsid w:val="007302ED"/>
    <w:rsid w:val="0073087B"/>
    <w:rsid w:val="00730A97"/>
    <w:rsid w:val="00730FD5"/>
    <w:rsid w:val="007312A0"/>
    <w:rsid w:val="00733502"/>
    <w:rsid w:val="0073399D"/>
    <w:rsid w:val="007340EA"/>
    <w:rsid w:val="00734B0E"/>
    <w:rsid w:val="00735583"/>
    <w:rsid w:val="0073675A"/>
    <w:rsid w:val="00736C5D"/>
    <w:rsid w:val="0073749F"/>
    <w:rsid w:val="0073777F"/>
    <w:rsid w:val="00737D85"/>
    <w:rsid w:val="00740221"/>
    <w:rsid w:val="00740C91"/>
    <w:rsid w:val="0074119F"/>
    <w:rsid w:val="0074190E"/>
    <w:rsid w:val="007423E2"/>
    <w:rsid w:val="00742E33"/>
    <w:rsid w:val="007433A2"/>
    <w:rsid w:val="007446FF"/>
    <w:rsid w:val="00744D70"/>
    <w:rsid w:val="00744FA0"/>
    <w:rsid w:val="007459DB"/>
    <w:rsid w:val="00745D2F"/>
    <w:rsid w:val="00746861"/>
    <w:rsid w:val="0074690D"/>
    <w:rsid w:val="007471D9"/>
    <w:rsid w:val="00747D80"/>
    <w:rsid w:val="00747E9D"/>
    <w:rsid w:val="00747FC3"/>
    <w:rsid w:val="0075038F"/>
    <w:rsid w:val="00750BD5"/>
    <w:rsid w:val="00750E10"/>
    <w:rsid w:val="0075131D"/>
    <w:rsid w:val="007513BF"/>
    <w:rsid w:val="00751F65"/>
    <w:rsid w:val="007535F5"/>
    <w:rsid w:val="007537D1"/>
    <w:rsid w:val="007541CF"/>
    <w:rsid w:val="00755D22"/>
    <w:rsid w:val="007569D7"/>
    <w:rsid w:val="0075751E"/>
    <w:rsid w:val="00757B6F"/>
    <w:rsid w:val="00757FF8"/>
    <w:rsid w:val="00760600"/>
    <w:rsid w:val="0076127A"/>
    <w:rsid w:val="00761998"/>
    <w:rsid w:val="007623CB"/>
    <w:rsid w:val="007624AF"/>
    <w:rsid w:val="00762665"/>
    <w:rsid w:val="0076316C"/>
    <w:rsid w:val="0076357E"/>
    <w:rsid w:val="00763753"/>
    <w:rsid w:val="00764371"/>
    <w:rsid w:val="00764B83"/>
    <w:rsid w:val="007657A2"/>
    <w:rsid w:val="00765E22"/>
    <w:rsid w:val="00765F63"/>
    <w:rsid w:val="00766412"/>
    <w:rsid w:val="00766580"/>
    <w:rsid w:val="007666EA"/>
    <w:rsid w:val="00766BA5"/>
    <w:rsid w:val="007672C5"/>
    <w:rsid w:val="00770023"/>
    <w:rsid w:val="0077022A"/>
    <w:rsid w:val="0077083D"/>
    <w:rsid w:val="00770A6A"/>
    <w:rsid w:val="00771362"/>
    <w:rsid w:val="007720A8"/>
    <w:rsid w:val="0077260C"/>
    <w:rsid w:val="0077302F"/>
    <w:rsid w:val="00773119"/>
    <w:rsid w:val="00773625"/>
    <w:rsid w:val="007736ED"/>
    <w:rsid w:val="00773815"/>
    <w:rsid w:val="007757A2"/>
    <w:rsid w:val="00776AFA"/>
    <w:rsid w:val="00776CED"/>
    <w:rsid w:val="007770BC"/>
    <w:rsid w:val="0077756F"/>
    <w:rsid w:val="007777EC"/>
    <w:rsid w:val="0077788F"/>
    <w:rsid w:val="00777D5B"/>
    <w:rsid w:val="00780AF0"/>
    <w:rsid w:val="00780E84"/>
    <w:rsid w:val="0078152B"/>
    <w:rsid w:val="007815A4"/>
    <w:rsid w:val="00781BB0"/>
    <w:rsid w:val="00781C2A"/>
    <w:rsid w:val="00781CCC"/>
    <w:rsid w:val="007824DD"/>
    <w:rsid w:val="007825D3"/>
    <w:rsid w:val="00782715"/>
    <w:rsid w:val="00782DE7"/>
    <w:rsid w:val="00783C27"/>
    <w:rsid w:val="00783DE9"/>
    <w:rsid w:val="00785598"/>
    <w:rsid w:val="00785FD8"/>
    <w:rsid w:val="007871AF"/>
    <w:rsid w:val="00787646"/>
    <w:rsid w:val="00790BD6"/>
    <w:rsid w:val="00790F93"/>
    <w:rsid w:val="00791354"/>
    <w:rsid w:val="00791C46"/>
    <w:rsid w:val="007929AB"/>
    <w:rsid w:val="007933E9"/>
    <w:rsid w:val="00793C4C"/>
    <w:rsid w:val="00794C63"/>
    <w:rsid w:val="00795B6B"/>
    <w:rsid w:val="00795C8F"/>
    <w:rsid w:val="007962C2"/>
    <w:rsid w:val="007968A6"/>
    <w:rsid w:val="0079715C"/>
    <w:rsid w:val="0079740A"/>
    <w:rsid w:val="007975FC"/>
    <w:rsid w:val="007A0AF1"/>
    <w:rsid w:val="007A170B"/>
    <w:rsid w:val="007A17FE"/>
    <w:rsid w:val="007A1D6F"/>
    <w:rsid w:val="007A2B37"/>
    <w:rsid w:val="007A3486"/>
    <w:rsid w:val="007A35E5"/>
    <w:rsid w:val="007A4124"/>
    <w:rsid w:val="007A4426"/>
    <w:rsid w:val="007A53D0"/>
    <w:rsid w:val="007A624D"/>
    <w:rsid w:val="007A62C8"/>
    <w:rsid w:val="007A6C16"/>
    <w:rsid w:val="007A75E7"/>
    <w:rsid w:val="007A7613"/>
    <w:rsid w:val="007A7BCA"/>
    <w:rsid w:val="007B07E5"/>
    <w:rsid w:val="007B09BC"/>
    <w:rsid w:val="007B1623"/>
    <w:rsid w:val="007B1D78"/>
    <w:rsid w:val="007B1EB5"/>
    <w:rsid w:val="007B2D1C"/>
    <w:rsid w:val="007B2E86"/>
    <w:rsid w:val="007B3058"/>
    <w:rsid w:val="007B326E"/>
    <w:rsid w:val="007B4739"/>
    <w:rsid w:val="007B510A"/>
    <w:rsid w:val="007B5429"/>
    <w:rsid w:val="007B5BC7"/>
    <w:rsid w:val="007B5CE5"/>
    <w:rsid w:val="007B5E13"/>
    <w:rsid w:val="007B63B1"/>
    <w:rsid w:val="007B63DE"/>
    <w:rsid w:val="007C0444"/>
    <w:rsid w:val="007C0930"/>
    <w:rsid w:val="007C1414"/>
    <w:rsid w:val="007C17E4"/>
    <w:rsid w:val="007C286A"/>
    <w:rsid w:val="007C3B5E"/>
    <w:rsid w:val="007C4292"/>
    <w:rsid w:val="007C4E84"/>
    <w:rsid w:val="007C51FF"/>
    <w:rsid w:val="007C52BF"/>
    <w:rsid w:val="007C5C0D"/>
    <w:rsid w:val="007C6009"/>
    <w:rsid w:val="007C7C4B"/>
    <w:rsid w:val="007C7F27"/>
    <w:rsid w:val="007D0AF8"/>
    <w:rsid w:val="007D0C25"/>
    <w:rsid w:val="007D0ED1"/>
    <w:rsid w:val="007D2059"/>
    <w:rsid w:val="007D2118"/>
    <w:rsid w:val="007D2F03"/>
    <w:rsid w:val="007D367E"/>
    <w:rsid w:val="007D386E"/>
    <w:rsid w:val="007D3DC8"/>
    <w:rsid w:val="007D3E19"/>
    <w:rsid w:val="007D56DF"/>
    <w:rsid w:val="007D573D"/>
    <w:rsid w:val="007D5C83"/>
    <w:rsid w:val="007D7BE0"/>
    <w:rsid w:val="007D7E4E"/>
    <w:rsid w:val="007E03CD"/>
    <w:rsid w:val="007E0DE0"/>
    <w:rsid w:val="007E1CD5"/>
    <w:rsid w:val="007E1DC5"/>
    <w:rsid w:val="007E211A"/>
    <w:rsid w:val="007E225C"/>
    <w:rsid w:val="007E244C"/>
    <w:rsid w:val="007E2588"/>
    <w:rsid w:val="007E2A0C"/>
    <w:rsid w:val="007E2A65"/>
    <w:rsid w:val="007E2DC4"/>
    <w:rsid w:val="007E31B8"/>
    <w:rsid w:val="007E32AB"/>
    <w:rsid w:val="007E35AA"/>
    <w:rsid w:val="007E35D1"/>
    <w:rsid w:val="007E46FE"/>
    <w:rsid w:val="007E5521"/>
    <w:rsid w:val="007E5C25"/>
    <w:rsid w:val="007E6EFC"/>
    <w:rsid w:val="007E732C"/>
    <w:rsid w:val="007F02FB"/>
    <w:rsid w:val="007F037C"/>
    <w:rsid w:val="007F12BE"/>
    <w:rsid w:val="007F1D49"/>
    <w:rsid w:val="007F2B78"/>
    <w:rsid w:val="007F2F25"/>
    <w:rsid w:val="007F4634"/>
    <w:rsid w:val="007F6A14"/>
    <w:rsid w:val="007F706B"/>
    <w:rsid w:val="0080064E"/>
    <w:rsid w:val="00800B6A"/>
    <w:rsid w:val="00800F24"/>
    <w:rsid w:val="0080138F"/>
    <w:rsid w:val="008018B3"/>
    <w:rsid w:val="008020D1"/>
    <w:rsid w:val="0080289A"/>
    <w:rsid w:val="008029BA"/>
    <w:rsid w:val="00802D5B"/>
    <w:rsid w:val="008030ED"/>
    <w:rsid w:val="0080337A"/>
    <w:rsid w:val="00804CC1"/>
    <w:rsid w:val="008054AC"/>
    <w:rsid w:val="0080554E"/>
    <w:rsid w:val="00806069"/>
    <w:rsid w:val="00806B32"/>
    <w:rsid w:val="0080785A"/>
    <w:rsid w:val="00810C52"/>
    <w:rsid w:val="00811257"/>
    <w:rsid w:val="00811BA2"/>
    <w:rsid w:val="00811CE7"/>
    <w:rsid w:val="00812124"/>
    <w:rsid w:val="00813931"/>
    <w:rsid w:val="00813A15"/>
    <w:rsid w:val="00813C56"/>
    <w:rsid w:val="00813FDC"/>
    <w:rsid w:val="008147EA"/>
    <w:rsid w:val="00814FE4"/>
    <w:rsid w:val="00816452"/>
    <w:rsid w:val="00816A8F"/>
    <w:rsid w:val="00816C08"/>
    <w:rsid w:val="00816D34"/>
    <w:rsid w:val="00820DF0"/>
    <w:rsid w:val="00821328"/>
    <w:rsid w:val="00821E06"/>
    <w:rsid w:val="00822694"/>
    <w:rsid w:val="008226DC"/>
    <w:rsid w:val="00823233"/>
    <w:rsid w:val="008233A8"/>
    <w:rsid w:val="008234AD"/>
    <w:rsid w:val="00823EA6"/>
    <w:rsid w:val="008247C6"/>
    <w:rsid w:val="00825669"/>
    <w:rsid w:val="00825AFA"/>
    <w:rsid w:val="00825FE9"/>
    <w:rsid w:val="00826126"/>
    <w:rsid w:val="0082661D"/>
    <w:rsid w:val="00827AFA"/>
    <w:rsid w:val="00830464"/>
    <w:rsid w:val="00832512"/>
    <w:rsid w:val="008325A3"/>
    <w:rsid w:val="0083331F"/>
    <w:rsid w:val="00833949"/>
    <w:rsid w:val="00833C5D"/>
    <w:rsid w:val="0083453F"/>
    <w:rsid w:val="008348F4"/>
    <w:rsid w:val="00834FDA"/>
    <w:rsid w:val="00835763"/>
    <w:rsid w:val="00835AA4"/>
    <w:rsid w:val="00835C7B"/>
    <w:rsid w:val="008370A3"/>
    <w:rsid w:val="00837166"/>
    <w:rsid w:val="00837AFB"/>
    <w:rsid w:val="0084058E"/>
    <w:rsid w:val="0084222E"/>
    <w:rsid w:val="008423FE"/>
    <w:rsid w:val="00842F3C"/>
    <w:rsid w:val="00843868"/>
    <w:rsid w:val="00844085"/>
    <w:rsid w:val="00844BD8"/>
    <w:rsid w:val="00845103"/>
    <w:rsid w:val="0084517F"/>
    <w:rsid w:val="008454A5"/>
    <w:rsid w:val="008455B8"/>
    <w:rsid w:val="00845685"/>
    <w:rsid w:val="008456F9"/>
    <w:rsid w:val="00845EF9"/>
    <w:rsid w:val="00846A2A"/>
    <w:rsid w:val="00846C9C"/>
    <w:rsid w:val="00846CC8"/>
    <w:rsid w:val="0084752F"/>
    <w:rsid w:val="00850655"/>
    <w:rsid w:val="008508C6"/>
    <w:rsid w:val="00850FBF"/>
    <w:rsid w:val="00851B0E"/>
    <w:rsid w:val="00851EB7"/>
    <w:rsid w:val="0085255E"/>
    <w:rsid w:val="008526F8"/>
    <w:rsid w:val="00852CF3"/>
    <w:rsid w:val="00853316"/>
    <w:rsid w:val="00853D8D"/>
    <w:rsid w:val="008547E7"/>
    <w:rsid w:val="00855C2D"/>
    <w:rsid w:val="008560A9"/>
    <w:rsid w:val="00856C95"/>
    <w:rsid w:val="0085761F"/>
    <w:rsid w:val="00861A35"/>
    <w:rsid w:val="0086216D"/>
    <w:rsid w:val="00862669"/>
    <w:rsid w:val="0086279E"/>
    <w:rsid w:val="008628EE"/>
    <w:rsid w:val="00862C32"/>
    <w:rsid w:val="00863B59"/>
    <w:rsid w:val="0086439E"/>
    <w:rsid w:val="0086684D"/>
    <w:rsid w:val="0086710D"/>
    <w:rsid w:val="00867BAE"/>
    <w:rsid w:val="00870D7F"/>
    <w:rsid w:val="00870F17"/>
    <w:rsid w:val="00871BC7"/>
    <w:rsid w:val="008728D1"/>
    <w:rsid w:val="00872981"/>
    <w:rsid w:val="0087307B"/>
    <w:rsid w:val="0087401E"/>
    <w:rsid w:val="00874D08"/>
    <w:rsid w:val="008752CE"/>
    <w:rsid w:val="00875BB8"/>
    <w:rsid w:val="00875BCC"/>
    <w:rsid w:val="008760BB"/>
    <w:rsid w:val="00876444"/>
    <w:rsid w:val="0087664C"/>
    <w:rsid w:val="00876C15"/>
    <w:rsid w:val="00876FAD"/>
    <w:rsid w:val="0087708C"/>
    <w:rsid w:val="008775BE"/>
    <w:rsid w:val="008779BC"/>
    <w:rsid w:val="00877B24"/>
    <w:rsid w:val="00877DDA"/>
    <w:rsid w:val="00877F99"/>
    <w:rsid w:val="00880050"/>
    <w:rsid w:val="00880087"/>
    <w:rsid w:val="0088021B"/>
    <w:rsid w:val="00880231"/>
    <w:rsid w:val="008806C9"/>
    <w:rsid w:val="0088077E"/>
    <w:rsid w:val="008816BC"/>
    <w:rsid w:val="00881808"/>
    <w:rsid w:val="0088266A"/>
    <w:rsid w:val="00883939"/>
    <w:rsid w:val="00883A96"/>
    <w:rsid w:val="00883DD1"/>
    <w:rsid w:val="008849FC"/>
    <w:rsid w:val="00884EAC"/>
    <w:rsid w:val="008850A4"/>
    <w:rsid w:val="008854ED"/>
    <w:rsid w:val="00885AB6"/>
    <w:rsid w:val="00885BCA"/>
    <w:rsid w:val="00885D43"/>
    <w:rsid w:val="00885EB4"/>
    <w:rsid w:val="00886603"/>
    <w:rsid w:val="0088691E"/>
    <w:rsid w:val="00887CAA"/>
    <w:rsid w:val="0089017C"/>
    <w:rsid w:val="00890447"/>
    <w:rsid w:val="008918C4"/>
    <w:rsid w:val="008921E8"/>
    <w:rsid w:val="008929E0"/>
    <w:rsid w:val="00892D5F"/>
    <w:rsid w:val="00892DD0"/>
    <w:rsid w:val="00892E05"/>
    <w:rsid w:val="0089322A"/>
    <w:rsid w:val="00893500"/>
    <w:rsid w:val="008955E1"/>
    <w:rsid w:val="00895E45"/>
    <w:rsid w:val="008962E2"/>
    <w:rsid w:val="00896570"/>
    <w:rsid w:val="008965AD"/>
    <w:rsid w:val="008968FD"/>
    <w:rsid w:val="00896A71"/>
    <w:rsid w:val="00896D0D"/>
    <w:rsid w:val="0089715C"/>
    <w:rsid w:val="00897F5A"/>
    <w:rsid w:val="008A105D"/>
    <w:rsid w:val="008A1224"/>
    <w:rsid w:val="008A210F"/>
    <w:rsid w:val="008A2501"/>
    <w:rsid w:val="008A2629"/>
    <w:rsid w:val="008A2CBE"/>
    <w:rsid w:val="008A2D5D"/>
    <w:rsid w:val="008A37E9"/>
    <w:rsid w:val="008A3BD2"/>
    <w:rsid w:val="008A4830"/>
    <w:rsid w:val="008A4A41"/>
    <w:rsid w:val="008A4BA9"/>
    <w:rsid w:val="008A4D73"/>
    <w:rsid w:val="008A5741"/>
    <w:rsid w:val="008A57BE"/>
    <w:rsid w:val="008A6099"/>
    <w:rsid w:val="008A775C"/>
    <w:rsid w:val="008A7C3B"/>
    <w:rsid w:val="008A7D7E"/>
    <w:rsid w:val="008B053B"/>
    <w:rsid w:val="008B0C91"/>
    <w:rsid w:val="008B0CD7"/>
    <w:rsid w:val="008B0E0F"/>
    <w:rsid w:val="008B1AB9"/>
    <w:rsid w:val="008B2943"/>
    <w:rsid w:val="008B315D"/>
    <w:rsid w:val="008B33DF"/>
    <w:rsid w:val="008B3EE8"/>
    <w:rsid w:val="008B41EC"/>
    <w:rsid w:val="008B4BAC"/>
    <w:rsid w:val="008B5FDC"/>
    <w:rsid w:val="008B6EE7"/>
    <w:rsid w:val="008B729A"/>
    <w:rsid w:val="008C04D5"/>
    <w:rsid w:val="008C068D"/>
    <w:rsid w:val="008C06A7"/>
    <w:rsid w:val="008C0BF1"/>
    <w:rsid w:val="008C0D80"/>
    <w:rsid w:val="008C1471"/>
    <w:rsid w:val="008C1AFA"/>
    <w:rsid w:val="008C21D7"/>
    <w:rsid w:val="008C378D"/>
    <w:rsid w:val="008C3B03"/>
    <w:rsid w:val="008C4121"/>
    <w:rsid w:val="008C4324"/>
    <w:rsid w:val="008C5183"/>
    <w:rsid w:val="008C5300"/>
    <w:rsid w:val="008C5C4B"/>
    <w:rsid w:val="008C6981"/>
    <w:rsid w:val="008C7423"/>
    <w:rsid w:val="008C780D"/>
    <w:rsid w:val="008D16FE"/>
    <w:rsid w:val="008D19C6"/>
    <w:rsid w:val="008D1CBD"/>
    <w:rsid w:val="008D1EB3"/>
    <w:rsid w:val="008D2B87"/>
    <w:rsid w:val="008D2C8A"/>
    <w:rsid w:val="008D38A2"/>
    <w:rsid w:val="008D3F05"/>
    <w:rsid w:val="008D4071"/>
    <w:rsid w:val="008D4144"/>
    <w:rsid w:val="008D42D5"/>
    <w:rsid w:val="008D4898"/>
    <w:rsid w:val="008D4A25"/>
    <w:rsid w:val="008D4C11"/>
    <w:rsid w:val="008D4CCB"/>
    <w:rsid w:val="008D5D55"/>
    <w:rsid w:val="008D6598"/>
    <w:rsid w:val="008D78EA"/>
    <w:rsid w:val="008E0D0A"/>
    <w:rsid w:val="008E18D1"/>
    <w:rsid w:val="008E2CDF"/>
    <w:rsid w:val="008E41CB"/>
    <w:rsid w:val="008E465E"/>
    <w:rsid w:val="008E4CEE"/>
    <w:rsid w:val="008E60FD"/>
    <w:rsid w:val="008E6338"/>
    <w:rsid w:val="008E66B6"/>
    <w:rsid w:val="008E71D2"/>
    <w:rsid w:val="008E731C"/>
    <w:rsid w:val="008E7900"/>
    <w:rsid w:val="008E7950"/>
    <w:rsid w:val="008F017A"/>
    <w:rsid w:val="008F22D0"/>
    <w:rsid w:val="008F34A8"/>
    <w:rsid w:val="008F3F07"/>
    <w:rsid w:val="008F406C"/>
    <w:rsid w:val="008F408B"/>
    <w:rsid w:val="008F4ECE"/>
    <w:rsid w:val="008F523B"/>
    <w:rsid w:val="008F5283"/>
    <w:rsid w:val="008F5818"/>
    <w:rsid w:val="008F621C"/>
    <w:rsid w:val="008F6C8A"/>
    <w:rsid w:val="008F6DC3"/>
    <w:rsid w:val="008F7475"/>
    <w:rsid w:val="00900FC1"/>
    <w:rsid w:val="00901D85"/>
    <w:rsid w:val="009038FE"/>
    <w:rsid w:val="00903B07"/>
    <w:rsid w:val="00903F31"/>
    <w:rsid w:val="0090405A"/>
    <w:rsid w:val="0090496F"/>
    <w:rsid w:val="00905160"/>
    <w:rsid w:val="00905AD2"/>
    <w:rsid w:val="00906315"/>
    <w:rsid w:val="00906CDF"/>
    <w:rsid w:val="00906F82"/>
    <w:rsid w:val="009077A2"/>
    <w:rsid w:val="00907B49"/>
    <w:rsid w:val="00907C6B"/>
    <w:rsid w:val="00911479"/>
    <w:rsid w:val="0091208B"/>
    <w:rsid w:val="009128DD"/>
    <w:rsid w:val="00912F98"/>
    <w:rsid w:val="00912FF4"/>
    <w:rsid w:val="00913039"/>
    <w:rsid w:val="009148AC"/>
    <w:rsid w:val="009152E3"/>
    <w:rsid w:val="009152F9"/>
    <w:rsid w:val="00915D77"/>
    <w:rsid w:val="0091620F"/>
    <w:rsid w:val="00917034"/>
    <w:rsid w:val="0091710B"/>
    <w:rsid w:val="009200B6"/>
    <w:rsid w:val="00920861"/>
    <w:rsid w:val="00920C9A"/>
    <w:rsid w:val="00921F9D"/>
    <w:rsid w:val="00922077"/>
    <w:rsid w:val="009229A0"/>
    <w:rsid w:val="00922D41"/>
    <w:rsid w:val="00923B0B"/>
    <w:rsid w:val="00923E2B"/>
    <w:rsid w:val="0092421E"/>
    <w:rsid w:val="00924A3A"/>
    <w:rsid w:val="00925EA0"/>
    <w:rsid w:val="00927D97"/>
    <w:rsid w:val="00927FDF"/>
    <w:rsid w:val="0093027D"/>
    <w:rsid w:val="00930636"/>
    <w:rsid w:val="00930A29"/>
    <w:rsid w:val="009310A4"/>
    <w:rsid w:val="00931192"/>
    <w:rsid w:val="00931A6F"/>
    <w:rsid w:val="00931ADB"/>
    <w:rsid w:val="0093257D"/>
    <w:rsid w:val="00932B85"/>
    <w:rsid w:val="00932FDB"/>
    <w:rsid w:val="009334E9"/>
    <w:rsid w:val="0093442D"/>
    <w:rsid w:val="00934B2C"/>
    <w:rsid w:val="00934C67"/>
    <w:rsid w:val="00935768"/>
    <w:rsid w:val="009359F0"/>
    <w:rsid w:val="00936988"/>
    <w:rsid w:val="00936C72"/>
    <w:rsid w:val="00936D57"/>
    <w:rsid w:val="00937FEC"/>
    <w:rsid w:val="00940313"/>
    <w:rsid w:val="00941348"/>
    <w:rsid w:val="00942B5B"/>
    <w:rsid w:val="00943AF2"/>
    <w:rsid w:val="00944412"/>
    <w:rsid w:val="00944A49"/>
    <w:rsid w:val="00944B8F"/>
    <w:rsid w:val="00944FAF"/>
    <w:rsid w:val="009467C5"/>
    <w:rsid w:val="009468A0"/>
    <w:rsid w:val="00950741"/>
    <w:rsid w:val="009508CA"/>
    <w:rsid w:val="00951837"/>
    <w:rsid w:val="00951B1E"/>
    <w:rsid w:val="00951C33"/>
    <w:rsid w:val="00952502"/>
    <w:rsid w:val="00952620"/>
    <w:rsid w:val="00952E67"/>
    <w:rsid w:val="009543B2"/>
    <w:rsid w:val="00954471"/>
    <w:rsid w:val="0095586F"/>
    <w:rsid w:val="0095597A"/>
    <w:rsid w:val="009562C5"/>
    <w:rsid w:val="009565D3"/>
    <w:rsid w:val="0095662A"/>
    <w:rsid w:val="0095745A"/>
    <w:rsid w:val="00957BC8"/>
    <w:rsid w:val="00960886"/>
    <w:rsid w:val="00961B21"/>
    <w:rsid w:val="0096311A"/>
    <w:rsid w:val="00963262"/>
    <w:rsid w:val="00963636"/>
    <w:rsid w:val="0096379B"/>
    <w:rsid w:val="0096477E"/>
    <w:rsid w:val="009652EB"/>
    <w:rsid w:val="00965508"/>
    <w:rsid w:val="00965C9D"/>
    <w:rsid w:val="00965ECB"/>
    <w:rsid w:val="00966C2F"/>
    <w:rsid w:val="00967341"/>
    <w:rsid w:val="0097128E"/>
    <w:rsid w:val="00972044"/>
    <w:rsid w:val="009751C8"/>
    <w:rsid w:val="009755AF"/>
    <w:rsid w:val="009766C8"/>
    <w:rsid w:val="00976C0D"/>
    <w:rsid w:val="00976FF8"/>
    <w:rsid w:val="0097728E"/>
    <w:rsid w:val="009772CC"/>
    <w:rsid w:val="00977A52"/>
    <w:rsid w:val="00977E0C"/>
    <w:rsid w:val="009808F0"/>
    <w:rsid w:val="00980D64"/>
    <w:rsid w:val="00980E23"/>
    <w:rsid w:val="00981199"/>
    <w:rsid w:val="00981828"/>
    <w:rsid w:val="00981863"/>
    <w:rsid w:val="009818AA"/>
    <w:rsid w:val="00981BEE"/>
    <w:rsid w:val="009821C4"/>
    <w:rsid w:val="00984BEF"/>
    <w:rsid w:val="009852B2"/>
    <w:rsid w:val="009852EE"/>
    <w:rsid w:val="009855FC"/>
    <w:rsid w:val="00986A15"/>
    <w:rsid w:val="00986CCB"/>
    <w:rsid w:val="00987B81"/>
    <w:rsid w:val="00987D53"/>
    <w:rsid w:val="009902F2"/>
    <w:rsid w:val="009909E8"/>
    <w:rsid w:val="009916DD"/>
    <w:rsid w:val="009922FC"/>
    <w:rsid w:val="009937C3"/>
    <w:rsid w:val="00993D6D"/>
    <w:rsid w:val="00993F0B"/>
    <w:rsid w:val="00994765"/>
    <w:rsid w:val="00994A7F"/>
    <w:rsid w:val="0099567A"/>
    <w:rsid w:val="00995EE7"/>
    <w:rsid w:val="0099656E"/>
    <w:rsid w:val="00996AD8"/>
    <w:rsid w:val="00997030"/>
    <w:rsid w:val="009A0238"/>
    <w:rsid w:val="009A0679"/>
    <w:rsid w:val="009A0ABB"/>
    <w:rsid w:val="009A1117"/>
    <w:rsid w:val="009A1451"/>
    <w:rsid w:val="009A19A0"/>
    <w:rsid w:val="009A246A"/>
    <w:rsid w:val="009A2ED3"/>
    <w:rsid w:val="009A31F4"/>
    <w:rsid w:val="009A3371"/>
    <w:rsid w:val="009A3FBF"/>
    <w:rsid w:val="009A4423"/>
    <w:rsid w:val="009A4EC4"/>
    <w:rsid w:val="009A5D80"/>
    <w:rsid w:val="009A5F7E"/>
    <w:rsid w:val="009A6AB0"/>
    <w:rsid w:val="009A78E3"/>
    <w:rsid w:val="009B0DCE"/>
    <w:rsid w:val="009B1E66"/>
    <w:rsid w:val="009B46AD"/>
    <w:rsid w:val="009B56C4"/>
    <w:rsid w:val="009B6610"/>
    <w:rsid w:val="009B6623"/>
    <w:rsid w:val="009B6857"/>
    <w:rsid w:val="009B6941"/>
    <w:rsid w:val="009B765B"/>
    <w:rsid w:val="009B7A4C"/>
    <w:rsid w:val="009C0F53"/>
    <w:rsid w:val="009C2004"/>
    <w:rsid w:val="009C240D"/>
    <w:rsid w:val="009C2C65"/>
    <w:rsid w:val="009C3DEF"/>
    <w:rsid w:val="009C3EAF"/>
    <w:rsid w:val="009C40DD"/>
    <w:rsid w:val="009C4552"/>
    <w:rsid w:val="009C509B"/>
    <w:rsid w:val="009C5126"/>
    <w:rsid w:val="009C5591"/>
    <w:rsid w:val="009C55B2"/>
    <w:rsid w:val="009C568E"/>
    <w:rsid w:val="009C5D45"/>
    <w:rsid w:val="009C5EA1"/>
    <w:rsid w:val="009C7A22"/>
    <w:rsid w:val="009C7B1A"/>
    <w:rsid w:val="009C7B6E"/>
    <w:rsid w:val="009D033E"/>
    <w:rsid w:val="009D0CAF"/>
    <w:rsid w:val="009D1D07"/>
    <w:rsid w:val="009D1FE2"/>
    <w:rsid w:val="009D3D25"/>
    <w:rsid w:val="009D430A"/>
    <w:rsid w:val="009D457E"/>
    <w:rsid w:val="009D4AF5"/>
    <w:rsid w:val="009D5149"/>
    <w:rsid w:val="009D5315"/>
    <w:rsid w:val="009D55A6"/>
    <w:rsid w:val="009D575B"/>
    <w:rsid w:val="009D57D5"/>
    <w:rsid w:val="009D5984"/>
    <w:rsid w:val="009D5AB0"/>
    <w:rsid w:val="009D61DB"/>
    <w:rsid w:val="009D77EF"/>
    <w:rsid w:val="009D7B49"/>
    <w:rsid w:val="009E0636"/>
    <w:rsid w:val="009E2CF1"/>
    <w:rsid w:val="009E2D29"/>
    <w:rsid w:val="009E3D97"/>
    <w:rsid w:val="009E5F12"/>
    <w:rsid w:val="009E6248"/>
    <w:rsid w:val="009E6551"/>
    <w:rsid w:val="009E6AEB"/>
    <w:rsid w:val="009E7B9B"/>
    <w:rsid w:val="009F04DF"/>
    <w:rsid w:val="009F0B1A"/>
    <w:rsid w:val="009F13B3"/>
    <w:rsid w:val="009F1B7B"/>
    <w:rsid w:val="009F2AD8"/>
    <w:rsid w:val="009F2C63"/>
    <w:rsid w:val="009F2D6A"/>
    <w:rsid w:val="009F35B2"/>
    <w:rsid w:val="009F3614"/>
    <w:rsid w:val="009F3B97"/>
    <w:rsid w:val="009F3C7C"/>
    <w:rsid w:val="009F3E1D"/>
    <w:rsid w:val="009F4420"/>
    <w:rsid w:val="009F5196"/>
    <w:rsid w:val="009F547D"/>
    <w:rsid w:val="009F61F4"/>
    <w:rsid w:val="009F6343"/>
    <w:rsid w:val="009F688B"/>
    <w:rsid w:val="009F68E9"/>
    <w:rsid w:val="009F73A8"/>
    <w:rsid w:val="009F765C"/>
    <w:rsid w:val="009F7EDF"/>
    <w:rsid w:val="00A00AEB"/>
    <w:rsid w:val="00A02E33"/>
    <w:rsid w:val="00A03B40"/>
    <w:rsid w:val="00A042A8"/>
    <w:rsid w:val="00A04433"/>
    <w:rsid w:val="00A049DD"/>
    <w:rsid w:val="00A04A50"/>
    <w:rsid w:val="00A05B32"/>
    <w:rsid w:val="00A05BD7"/>
    <w:rsid w:val="00A07453"/>
    <w:rsid w:val="00A107E4"/>
    <w:rsid w:val="00A10828"/>
    <w:rsid w:val="00A10A28"/>
    <w:rsid w:val="00A1112E"/>
    <w:rsid w:val="00A125D9"/>
    <w:rsid w:val="00A1317B"/>
    <w:rsid w:val="00A1340A"/>
    <w:rsid w:val="00A136D2"/>
    <w:rsid w:val="00A152A5"/>
    <w:rsid w:val="00A15C52"/>
    <w:rsid w:val="00A16764"/>
    <w:rsid w:val="00A16DE2"/>
    <w:rsid w:val="00A171E2"/>
    <w:rsid w:val="00A17A27"/>
    <w:rsid w:val="00A20E00"/>
    <w:rsid w:val="00A216DA"/>
    <w:rsid w:val="00A2197A"/>
    <w:rsid w:val="00A21B7C"/>
    <w:rsid w:val="00A21F6F"/>
    <w:rsid w:val="00A223A2"/>
    <w:rsid w:val="00A22483"/>
    <w:rsid w:val="00A22BF3"/>
    <w:rsid w:val="00A22CCE"/>
    <w:rsid w:val="00A23052"/>
    <w:rsid w:val="00A243EE"/>
    <w:rsid w:val="00A253B6"/>
    <w:rsid w:val="00A255B0"/>
    <w:rsid w:val="00A25AD8"/>
    <w:rsid w:val="00A27A95"/>
    <w:rsid w:val="00A27F4D"/>
    <w:rsid w:val="00A30116"/>
    <w:rsid w:val="00A306EF"/>
    <w:rsid w:val="00A31DFC"/>
    <w:rsid w:val="00A31FAE"/>
    <w:rsid w:val="00A320E0"/>
    <w:rsid w:val="00A321B0"/>
    <w:rsid w:val="00A3280C"/>
    <w:rsid w:val="00A33A9C"/>
    <w:rsid w:val="00A33C11"/>
    <w:rsid w:val="00A33EBC"/>
    <w:rsid w:val="00A34406"/>
    <w:rsid w:val="00A34C0B"/>
    <w:rsid w:val="00A34C7A"/>
    <w:rsid w:val="00A35881"/>
    <w:rsid w:val="00A36207"/>
    <w:rsid w:val="00A37F80"/>
    <w:rsid w:val="00A40A6E"/>
    <w:rsid w:val="00A425BB"/>
    <w:rsid w:val="00A4300B"/>
    <w:rsid w:val="00A4300D"/>
    <w:rsid w:val="00A43EF1"/>
    <w:rsid w:val="00A449DD"/>
    <w:rsid w:val="00A45876"/>
    <w:rsid w:val="00A45A69"/>
    <w:rsid w:val="00A45B9D"/>
    <w:rsid w:val="00A45C1C"/>
    <w:rsid w:val="00A461A6"/>
    <w:rsid w:val="00A46D4D"/>
    <w:rsid w:val="00A47972"/>
    <w:rsid w:val="00A47B57"/>
    <w:rsid w:val="00A506E1"/>
    <w:rsid w:val="00A50F5D"/>
    <w:rsid w:val="00A522DB"/>
    <w:rsid w:val="00A562D8"/>
    <w:rsid w:val="00A564E5"/>
    <w:rsid w:val="00A57235"/>
    <w:rsid w:val="00A573B4"/>
    <w:rsid w:val="00A603B8"/>
    <w:rsid w:val="00A60BDD"/>
    <w:rsid w:val="00A62480"/>
    <w:rsid w:val="00A626A0"/>
    <w:rsid w:val="00A63162"/>
    <w:rsid w:val="00A63874"/>
    <w:rsid w:val="00A63E98"/>
    <w:rsid w:val="00A651D7"/>
    <w:rsid w:val="00A65A94"/>
    <w:rsid w:val="00A66483"/>
    <w:rsid w:val="00A6775E"/>
    <w:rsid w:val="00A67DE6"/>
    <w:rsid w:val="00A70444"/>
    <w:rsid w:val="00A7081D"/>
    <w:rsid w:val="00A70B2C"/>
    <w:rsid w:val="00A71F9D"/>
    <w:rsid w:val="00A72076"/>
    <w:rsid w:val="00A72A52"/>
    <w:rsid w:val="00A73986"/>
    <w:rsid w:val="00A73B39"/>
    <w:rsid w:val="00A747A7"/>
    <w:rsid w:val="00A74E0D"/>
    <w:rsid w:val="00A7672E"/>
    <w:rsid w:val="00A76EB8"/>
    <w:rsid w:val="00A77B7A"/>
    <w:rsid w:val="00A802D1"/>
    <w:rsid w:val="00A810B3"/>
    <w:rsid w:val="00A810D0"/>
    <w:rsid w:val="00A817B8"/>
    <w:rsid w:val="00A8320B"/>
    <w:rsid w:val="00A8327A"/>
    <w:rsid w:val="00A83959"/>
    <w:rsid w:val="00A83C0C"/>
    <w:rsid w:val="00A844CD"/>
    <w:rsid w:val="00A8452F"/>
    <w:rsid w:val="00A84CA8"/>
    <w:rsid w:val="00A84E9B"/>
    <w:rsid w:val="00A84EB2"/>
    <w:rsid w:val="00A8514D"/>
    <w:rsid w:val="00A85ABB"/>
    <w:rsid w:val="00A87C16"/>
    <w:rsid w:val="00A90415"/>
    <w:rsid w:val="00A91181"/>
    <w:rsid w:val="00A9242C"/>
    <w:rsid w:val="00A924D5"/>
    <w:rsid w:val="00A92860"/>
    <w:rsid w:val="00A92C3B"/>
    <w:rsid w:val="00A94571"/>
    <w:rsid w:val="00A94C37"/>
    <w:rsid w:val="00A950BD"/>
    <w:rsid w:val="00A959A2"/>
    <w:rsid w:val="00A95A13"/>
    <w:rsid w:val="00A96616"/>
    <w:rsid w:val="00A96965"/>
    <w:rsid w:val="00A96CDA"/>
    <w:rsid w:val="00A97225"/>
    <w:rsid w:val="00A9775F"/>
    <w:rsid w:val="00AA0BC9"/>
    <w:rsid w:val="00AA12B8"/>
    <w:rsid w:val="00AA20B6"/>
    <w:rsid w:val="00AA2C59"/>
    <w:rsid w:val="00AA3F8D"/>
    <w:rsid w:val="00AA44B7"/>
    <w:rsid w:val="00AA4A66"/>
    <w:rsid w:val="00AA5237"/>
    <w:rsid w:val="00AA54D3"/>
    <w:rsid w:val="00AA5723"/>
    <w:rsid w:val="00AA5935"/>
    <w:rsid w:val="00AA5DD4"/>
    <w:rsid w:val="00AA6FFC"/>
    <w:rsid w:val="00AA7A59"/>
    <w:rsid w:val="00AA7B61"/>
    <w:rsid w:val="00AA7E27"/>
    <w:rsid w:val="00AA7F2E"/>
    <w:rsid w:val="00AB0724"/>
    <w:rsid w:val="00AB08DD"/>
    <w:rsid w:val="00AB0954"/>
    <w:rsid w:val="00AB0DAD"/>
    <w:rsid w:val="00AB0DEA"/>
    <w:rsid w:val="00AB1291"/>
    <w:rsid w:val="00AB159C"/>
    <w:rsid w:val="00AB1617"/>
    <w:rsid w:val="00AB23AD"/>
    <w:rsid w:val="00AB2C81"/>
    <w:rsid w:val="00AB33E3"/>
    <w:rsid w:val="00AB403B"/>
    <w:rsid w:val="00AB4665"/>
    <w:rsid w:val="00AB5A26"/>
    <w:rsid w:val="00AB6071"/>
    <w:rsid w:val="00AB632D"/>
    <w:rsid w:val="00AB64A3"/>
    <w:rsid w:val="00AB6C31"/>
    <w:rsid w:val="00AB6E52"/>
    <w:rsid w:val="00AB70D0"/>
    <w:rsid w:val="00AB7F38"/>
    <w:rsid w:val="00AC01A3"/>
    <w:rsid w:val="00AC0296"/>
    <w:rsid w:val="00AC04BD"/>
    <w:rsid w:val="00AC0C4C"/>
    <w:rsid w:val="00AC1494"/>
    <w:rsid w:val="00AC14BB"/>
    <w:rsid w:val="00AC1588"/>
    <w:rsid w:val="00AC188B"/>
    <w:rsid w:val="00AC231D"/>
    <w:rsid w:val="00AC260E"/>
    <w:rsid w:val="00AC375F"/>
    <w:rsid w:val="00AC3909"/>
    <w:rsid w:val="00AC3AC1"/>
    <w:rsid w:val="00AC43FF"/>
    <w:rsid w:val="00AC4650"/>
    <w:rsid w:val="00AC5180"/>
    <w:rsid w:val="00AC5916"/>
    <w:rsid w:val="00AC72C0"/>
    <w:rsid w:val="00AC7E3D"/>
    <w:rsid w:val="00AD0ED0"/>
    <w:rsid w:val="00AD0EE9"/>
    <w:rsid w:val="00AD11BD"/>
    <w:rsid w:val="00AD12FB"/>
    <w:rsid w:val="00AD1981"/>
    <w:rsid w:val="00AD1C87"/>
    <w:rsid w:val="00AD1C9F"/>
    <w:rsid w:val="00AD215E"/>
    <w:rsid w:val="00AD2B82"/>
    <w:rsid w:val="00AD327B"/>
    <w:rsid w:val="00AD3866"/>
    <w:rsid w:val="00AD3A28"/>
    <w:rsid w:val="00AD3FF7"/>
    <w:rsid w:val="00AD41BE"/>
    <w:rsid w:val="00AD4292"/>
    <w:rsid w:val="00AD4305"/>
    <w:rsid w:val="00AD53E4"/>
    <w:rsid w:val="00AD568C"/>
    <w:rsid w:val="00AD6448"/>
    <w:rsid w:val="00AD676E"/>
    <w:rsid w:val="00AD6BA3"/>
    <w:rsid w:val="00AD6D6E"/>
    <w:rsid w:val="00AD714E"/>
    <w:rsid w:val="00AD7551"/>
    <w:rsid w:val="00AE0404"/>
    <w:rsid w:val="00AE056E"/>
    <w:rsid w:val="00AE0F2F"/>
    <w:rsid w:val="00AE1538"/>
    <w:rsid w:val="00AE15DE"/>
    <w:rsid w:val="00AE1646"/>
    <w:rsid w:val="00AE2CC5"/>
    <w:rsid w:val="00AE382C"/>
    <w:rsid w:val="00AE3874"/>
    <w:rsid w:val="00AE4934"/>
    <w:rsid w:val="00AE4DA2"/>
    <w:rsid w:val="00AE6817"/>
    <w:rsid w:val="00AE6C13"/>
    <w:rsid w:val="00AE6DD8"/>
    <w:rsid w:val="00AE7845"/>
    <w:rsid w:val="00AE78EE"/>
    <w:rsid w:val="00AE7BAF"/>
    <w:rsid w:val="00AF108D"/>
    <w:rsid w:val="00AF16C4"/>
    <w:rsid w:val="00AF19EB"/>
    <w:rsid w:val="00AF1E6E"/>
    <w:rsid w:val="00AF26D6"/>
    <w:rsid w:val="00AF28C0"/>
    <w:rsid w:val="00AF2BCD"/>
    <w:rsid w:val="00AF2DAF"/>
    <w:rsid w:val="00AF3160"/>
    <w:rsid w:val="00AF3324"/>
    <w:rsid w:val="00AF33E5"/>
    <w:rsid w:val="00AF366F"/>
    <w:rsid w:val="00AF4779"/>
    <w:rsid w:val="00AF5456"/>
    <w:rsid w:val="00AF56ED"/>
    <w:rsid w:val="00AF63F4"/>
    <w:rsid w:val="00AF6692"/>
    <w:rsid w:val="00AF6BC5"/>
    <w:rsid w:val="00AF7FCD"/>
    <w:rsid w:val="00B0057C"/>
    <w:rsid w:val="00B01DAD"/>
    <w:rsid w:val="00B0265F"/>
    <w:rsid w:val="00B02C66"/>
    <w:rsid w:val="00B02F9F"/>
    <w:rsid w:val="00B03732"/>
    <w:rsid w:val="00B037FF"/>
    <w:rsid w:val="00B03874"/>
    <w:rsid w:val="00B04049"/>
    <w:rsid w:val="00B048FE"/>
    <w:rsid w:val="00B05443"/>
    <w:rsid w:val="00B054BC"/>
    <w:rsid w:val="00B056D6"/>
    <w:rsid w:val="00B057C4"/>
    <w:rsid w:val="00B0641C"/>
    <w:rsid w:val="00B06444"/>
    <w:rsid w:val="00B06A4B"/>
    <w:rsid w:val="00B0789E"/>
    <w:rsid w:val="00B07C60"/>
    <w:rsid w:val="00B07DF9"/>
    <w:rsid w:val="00B106A7"/>
    <w:rsid w:val="00B10B3E"/>
    <w:rsid w:val="00B116A5"/>
    <w:rsid w:val="00B11791"/>
    <w:rsid w:val="00B1245B"/>
    <w:rsid w:val="00B12538"/>
    <w:rsid w:val="00B128F6"/>
    <w:rsid w:val="00B12BA7"/>
    <w:rsid w:val="00B13088"/>
    <w:rsid w:val="00B13153"/>
    <w:rsid w:val="00B131D1"/>
    <w:rsid w:val="00B1398D"/>
    <w:rsid w:val="00B1434E"/>
    <w:rsid w:val="00B1503B"/>
    <w:rsid w:val="00B15766"/>
    <w:rsid w:val="00B1604F"/>
    <w:rsid w:val="00B1625B"/>
    <w:rsid w:val="00B17092"/>
    <w:rsid w:val="00B171A6"/>
    <w:rsid w:val="00B1747B"/>
    <w:rsid w:val="00B17E33"/>
    <w:rsid w:val="00B20615"/>
    <w:rsid w:val="00B21500"/>
    <w:rsid w:val="00B219B6"/>
    <w:rsid w:val="00B22D47"/>
    <w:rsid w:val="00B22E6F"/>
    <w:rsid w:val="00B23505"/>
    <w:rsid w:val="00B239DD"/>
    <w:rsid w:val="00B23A03"/>
    <w:rsid w:val="00B247C6"/>
    <w:rsid w:val="00B24B14"/>
    <w:rsid w:val="00B258AE"/>
    <w:rsid w:val="00B25A4D"/>
    <w:rsid w:val="00B25C85"/>
    <w:rsid w:val="00B25D51"/>
    <w:rsid w:val="00B26430"/>
    <w:rsid w:val="00B274AA"/>
    <w:rsid w:val="00B2769E"/>
    <w:rsid w:val="00B27D99"/>
    <w:rsid w:val="00B27F06"/>
    <w:rsid w:val="00B3064F"/>
    <w:rsid w:val="00B30718"/>
    <w:rsid w:val="00B30DAB"/>
    <w:rsid w:val="00B31A98"/>
    <w:rsid w:val="00B31E3E"/>
    <w:rsid w:val="00B325DC"/>
    <w:rsid w:val="00B32F0D"/>
    <w:rsid w:val="00B33C18"/>
    <w:rsid w:val="00B3446D"/>
    <w:rsid w:val="00B347BA"/>
    <w:rsid w:val="00B34B45"/>
    <w:rsid w:val="00B35282"/>
    <w:rsid w:val="00B35C9C"/>
    <w:rsid w:val="00B35DEE"/>
    <w:rsid w:val="00B366A2"/>
    <w:rsid w:val="00B368E6"/>
    <w:rsid w:val="00B377BD"/>
    <w:rsid w:val="00B409E4"/>
    <w:rsid w:val="00B41383"/>
    <w:rsid w:val="00B42B05"/>
    <w:rsid w:val="00B42E1C"/>
    <w:rsid w:val="00B43442"/>
    <w:rsid w:val="00B43B7D"/>
    <w:rsid w:val="00B43C56"/>
    <w:rsid w:val="00B43D7A"/>
    <w:rsid w:val="00B43F84"/>
    <w:rsid w:val="00B44D6E"/>
    <w:rsid w:val="00B4605E"/>
    <w:rsid w:val="00B46809"/>
    <w:rsid w:val="00B46C9A"/>
    <w:rsid w:val="00B47385"/>
    <w:rsid w:val="00B4761E"/>
    <w:rsid w:val="00B477EC"/>
    <w:rsid w:val="00B47F34"/>
    <w:rsid w:val="00B50359"/>
    <w:rsid w:val="00B50663"/>
    <w:rsid w:val="00B514A6"/>
    <w:rsid w:val="00B516A4"/>
    <w:rsid w:val="00B51742"/>
    <w:rsid w:val="00B51925"/>
    <w:rsid w:val="00B51C56"/>
    <w:rsid w:val="00B51E61"/>
    <w:rsid w:val="00B51E98"/>
    <w:rsid w:val="00B51ED7"/>
    <w:rsid w:val="00B533D2"/>
    <w:rsid w:val="00B53EC2"/>
    <w:rsid w:val="00B53FDA"/>
    <w:rsid w:val="00B5438C"/>
    <w:rsid w:val="00B54D61"/>
    <w:rsid w:val="00B5503D"/>
    <w:rsid w:val="00B5617B"/>
    <w:rsid w:val="00B5653E"/>
    <w:rsid w:val="00B5658A"/>
    <w:rsid w:val="00B56B4D"/>
    <w:rsid w:val="00B574B9"/>
    <w:rsid w:val="00B57A92"/>
    <w:rsid w:val="00B60108"/>
    <w:rsid w:val="00B61D2C"/>
    <w:rsid w:val="00B623C5"/>
    <w:rsid w:val="00B62623"/>
    <w:rsid w:val="00B6293A"/>
    <w:rsid w:val="00B62AE1"/>
    <w:rsid w:val="00B62E53"/>
    <w:rsid w:val="00B63970"/>
    <w:rsid w:val="00B64232"/>
    <w:rsid w:val="00B64C66"/>
    <w:rsid w:val="00B64E03"/>
    <w:rsid w:val="00B65B05"/>
    <w:rsid w:val="00B669FF"/>
    <w:rsid w:val="00B67391"/>
    <w:rsid w:val="00B7018B"/>
    <w:rsid w:val="00B71710"/>
    <w:rsid w:val="00B74837"/>
    <w:rsid w:val="00B7534F"/>
    <w:rsid w:val="00B75FAB"/>
    <w:rsid w:val="00B7640B"/>
    <w:rsid w:val="00B77729"/>
    <w:rsid w:val="00B8065F"/>
    <w:rsid w:val="00B80C5A"/>
    <w:rsid w:val="00B80DF7"/>
    <w:rsid w:val="00B832F4"/>
    <w:rsid w:val="00B83895"/>
    <w:rsid w:val="00B84074"/>
    <w:rsid w:val="00B84F4F"/>
    <w:rsid w:val="00B85257"/>
    <w:rsid w:val="00B857F4"/>
    <w:rsid w:val="00B858AD"/>
    <w:rsid w:val="00B85CEC"/>
    <w:rsid w:val="00B85F16"/>
    <w:rsid w:val="00B8614A"/>
    <w:rsid w:val="00B86D46"/>
    <w:rsid w:val="00B86DA5"/>
    <w:rsid w:val="00B90673"/>
    <w:rsid w:val="00B90B93"/>
    <w:rsid w:val="00B9157B"/>
    <w:rsid w:val="00B91A16"/>
    <w:rsid w:val="00B92415"/>
    <w:rsid w:val="00B92A71"/>
    <w:rsid w:val="00B92FE7"/>
    <w:rsid w:val="00B93164"/>
    <w:rsid w:val="00B941B5"/>
    <w:rsid w:val="00B94FCE"/>
    <w:rsid w:val="00B9652E"/>
    <w:rsid w:val="00B96903"/>
    <w:rsid w:val="00B9691A"/>
    <w:rsid w:val="00B96FAA"/>
    <w:rsid w:val="00B977B4"/>
    <w:rsid w:val="00B97C0A"/>
    <w:rsid w:val="00B97D0E"/>
    <w:rsid w:val="00BA0C90"/>
    <w:rsid w:val="00BA2408"/>
    <w:rsid w:val="00BA2A53"/>
    <w:rsid w:val="00BA2D77"/>
    <w:rsid w:val="00BA353E"/>
    <w:rsid w:val="00BA386D"/>
    <w:rsid w:val="00BA408F"/>
    <w:rsid w:val="00BA4621"/>
    <w:rsid w:val="00BA4C80"/>
    <w:rsid w:val="00BA5174"/>
    <w:rsid w:val="00BA5CC7"/>
    <w:rsid w:val="00BA6DAE"/>
    <w:rsid w:val="00BA74EA"/>
    <w:rsid w:val="00BA76FA"/>
    <w:rsid w:val="00BA7925"/>
    <w:rsid w:val="00BA7B45"/>
    <w:rsid w:val="00BB00CA"/>
    <w:rsid w:val="00BB08C5"/>
    <w:rsid w:val="00BB0AC2"/>
    <w:rsid w:val="00BB25A6"/>
    <w:rsid w:val="00BB274D"/>
    <w:rsid w:val="00BB2993"/>
    <w:rsid w:val="00BB308C"/>
    <w:rsid w:val="00BB3A56"/>
    <w:rsid w:val="00BB45B5"/>
    <w:rsid w:val="00BB568F"/>
    <w:rsid w:val="00BB5FDE"/>
    <w:rsid w:val="00BB62F6"/>
    <w:rsid w:val="00BB6CAF"/>
    <w:rsid w:val="00BB7304"/>
    <w:rsid w:val="00BC0B53"/>
    <w:rsid w:val="00BC0BE9"/>
    <w:rsid w:val="00BC11F8"/>
    <w:rsid w:val="00BC1B58"/>
    <w:rsid w:val="00BC1BEF"/>
    <w:rsid w:val="00BC2BDE"/>
    <w:rsid w:val="00BC2D3E"/>
    <w:rsid w:val="00BC2D49"/>
    <w:rsid w:val="00BC5221"/>
    <w:rsid w:val="00BC5C36"/>
    <w:rsid w:val="00BC5CEE"/>
    <w:rsid w:val="00BC7FB9"/>
    <w:rsid w:val="00BD0FD2"/>
    <w:rsid w:val="00BD209F"/>
    <w:rsid w:val="00BD3C22"/>
    <w:rsid w:val="00BD47CE"/>
    <w:rsid w:val="00BD4A09"/>
    <w:rsid w:val="00BD4AC0"/>
    <w:rsid w:val="00BD4E64"/>
    <w:rsid w:val="00BD4E7F"/>
    <w:rsid w:val="00BD50D2"/>
    <w:rsid w:val="00BD51F6"/>
    <w:rsid w:val="00BD5AF3"/>
    <w:rsid w:val="00BD632C"/>
    <w:rsid w:val="00BD70E4"/>
    <w:rsid w:val="00BE0296"/>
    <w:rsid w:val="00BE1B51"/>
    <w:rsid w:val="00BE2089"/>
    <w:rsid w:val="00BE2916"/>
    <w:rsid w:val="00BE2BA0"/>
    <w:rsid w:val="00BE2EED"/>
    <w:rsid w:val="00BE2F0F"/>
    <w:rsid w:val="00BE34F9"/>
    <w:rsid w:val="00BE3AB4"/>
    <w:rsid w:val="00BE4678"/>
    <w:rsid w:val="00BE47F8"/>
    <w:rsid w:val="00BE48D0"/>
    <w:rsid w:val="00BE4B2F"/>
    <w:rsid w:val="00BE6153"/>
    <w:rsid w:val="00BE618C"/>
    <w:rsid w:val="00BE6198"/>
    <w:rsid w:val="00BE656A"/>
    <w:rsid w:val="00BE666B"/>
    <w:rsid w:val="00BE6AF8"/>
    <w:rsid w:val="00BE7B4E"/>
    <w:rsid w:val="00BE7E73"/>
    <w:rsid w:val="00BF05FA"/>
    <w:rsid w:val="00BF06BC"/>
    <w:rsid w:val="00BF14A6"/>
    <w:rsid w:val="00BF1C40"/>
    <w:rsid w:val="00BF22F5"/>
    <w:rsid w:val="00BF257E"/>
    <w:rsid w:val="00BF2C60"/>
    <w:rsid w:val="00BF2EBE"/>
    <w:rsid w:val="00BF33CB"/>
    <w:rsid w:val="00BF3782"/>
    <w:rsid w:val="00BF402D"/>
    <w:rsid w:val="00BF4557"/>
    <w:rsid w:val="00BF636D"/>
    <w:rsid w:val="00BF6485"/>
    <w:rsid w:val="00BF6E4F"/>
    <w:rsid w:val="00BF749E"/>
    <w:rsid w:val="00BF7993"/>
    <w:rsid w:val="00BF7B28"/>
    <w:rsid w:val="00BF7CC1"/>
    <w:rsid w:val="00C0092E"/>
    <w:rsid w:val="00C011B6"/>
    <w:rsid w:val="00C02177"/>
    <w:rsid w:val="00C021F7"/>
    <w:rsid w:val="00C0236E"/>
    <w:rsid w:val="00C02F6B"/>
    <w:rsid w:val="00C0362E"/>
    <w:rsid w:val="00C03AA4"/>
    <w:rsid w:val="00C03AAE"/>
    <w:rsid w:val="00C03BE7"/>
    <w:rsid w:val="00C03F70"/>
    <w:rsid w:val="00C049AB"/>
    <w:rsid w:val="00C04E33"/>
    <w:rsid w:val="00C055D9"/>
    <w:rsid w:val="00C059F6"/>
    <w:rsid w:val="00C06549"/>
    <w:rsid w:val="00C07676"/>
    <w:rsid w:val="00C0780B"/>
    <w:rsid w:val="00C07C35"/>
    <w:rsid w:val="00C10A15"/>
    <w:rsid w:val="00C10EC5"/>
    <w:rsid w:val="00C1122C"/>
    <w:rsid w:val="00C1159D"/>
    <w:rsid w:val="00C11972"/>
    <w:rsid w:val="00C1234F"/>
    <w:rsid w:val="00C126A4"/>
    <w:rsid w:val="00C12BBC"/>
    <w:rsid w:val="00C133E6"/>
    <w:rsid w:val="00C1519E"/>
    <w:rsid w:val="00C160A8"/>
    <w:rsid w:val="00C1759D"/>
    <w:rsid w:val="00C17AEF"/>
    <w:rsid w:val="00C202C0"/>
    <w:rsid w:val="00C20544"/>
    <w:rsid w:val="00C2133B"/>
    <w:rsid w:val="00C21567"/>
    <w:rsid w:val="00C21644"/>
    <w:rsid w:val="00C21758"/>
    <w:rsid w:val="00C21A2D"/>
    <w:rsid w:val="00C2256A"/>
    <w:rsid w:val="00C23273"/>
    <w:rsid w:val="00C233BB"/>
    <w:rsid w:val="00C236FB"/>
    <w:rsid w:val="00C23ABB"/>
    <w:rsid w:val="00C24D29"/>
    <w:rsid w:val="00C2577F"/>
    <w:rsid w:val="00C25BD0"/>
    <w:rsid w:val="00C25E45"/>
    <w:rsid w:val="00C264D4"/>
    <w:rsid w:val="00C2689F"/>
    <w:rsid w:val="00C27242"/>
    <w:rsid w:val="00C2780A"/>
    <w:rsid w:val="00C27847"/>
    <w:rsid w:val="00C278D8"/>
    <w:rsid w:val="00C27C53"/>
    <w:rsid w:val="00C30F61"/>
    <w:rsid w:val="00C31A11"/>
    <w:rsid w:val="00C31C6D"/>
    <w:rsid w:val="00C31D65"/>
    <w:rsid w:val="00C322F0"/>
    <w:rsid w:val="00C3349C"/>
    <w:rsid w:val="00C3368D"/>
    <w:rsid w:val="00C33C82"/>
    <w:rsid w:val="00C34AC3"/>
    <w:rsid w:val="00C351DE"/>
    <w:rsid w:val="00C35520"/>
    <w:rsid w:val="00C3552C"/>
    <w:rsid w:val="00C35893"/>
    <w:rsid w:val="00C367D8"/>
    <w:rsid w:val="00C36CA6"/>
    <w:rsid w:val="00C36F52"/>
    <w:rsid w:val="00C36FBA"/>
    <w:rsid w:val="00C373FC"/>
    <w:rsid w:val="00C379D1"/>
    <w:rsid w:val="00C37F45"/>
    <w:rsid w:val="00C4061E"/>
    <w:rsid w:val="00C41E35"/>
    <w:rsid w:val="00C4306B"/>
    <w:rsid w:val="00C43557"/>
    <w:rsid w:val="00C43634"/>
    <w:rsid w:val="00C43BBC"/>
    <w:rsid w:val="00C43DBD"/>
    <w:rsid w:val="00C44E08"/>
    <w:rsid w:val="00C44FC9"/>
    <w:rsid w:val="00C46564"/>
    <w:rsid w:val="00C46D75"/>
    <w:rsid w:val="00C4723B"/>
    <w:rsid w:val="00C47F11"/>
    <w:rsid w:val="00C504B9"/>
    <w:rsid w:val="00C50DF7"/>
    <w:rsid w:val="00C50F6B"/>
    <w:rsid w:val="00C51378"/>
    <w:rsid w:val="00C514C9"/>
    <w:rsid w:val="00C51915"/>
    <w:rsid w:val="00C51AA2"/>
    <w:rsid w:val="00C52D35"/>
    <w:rsid w:val="00C52E1A"/>
    <w:rsid w:val="00C5367F"/>
    <w:rsid w:val="00C53F28"/>
    <w:rsid w:val="00C54700"/>
    <w:rsid w:val="00C54E73"/>
    <w:rsid w:val="00C55196"/>
    <w:rsid w:val="00C553B9"/>
    <w:rsid w:val="00C557D2"/>
    <w:rsid w:val="00C55943"/>
    <w:rsid w:val="00C55E40"/>
    <w:rsid w:val="00C569CE"/>
    <w:rsid w:val="00C57201"/>
    <w:rsid w:val="00C57D3E"/>
    <w:rsid w:val="00C60370"/>
    <w:rsid w:val="00C60542"/>
    <w:rsid w:val="00C61654"/>
    <w:rsid w:val="00C616ED"/>
    <w:rsid w:val="00C617D8"/>
    <w:rsid w:val="00C61E9B"/>
    <w:rsid w:val="00C623C9"/>
    <w:rsid w:val="00C62CC7"/>
    <w:rsid w:val="00C631C6"/>
    <w:rsid w:val="00C63439"/>
    <w:rsid w:val="00C63585"/>
    <w:rsid w:val="00C63D92"/>
    <w:rsid w:val="00C654DB"/>
    <w:rsid w:val="00C65940"/>
    <w:rsid w:val="00C659CA"/>
    <w:rsid w:val="00C66E45"/>
    <w:rsid w:val="00C70242"/>
    <w:rsid w:val="00C70CB4"/>
    <w:rsid w:val="00C70CE2"/>
    <w:rsid w:val="00C70D2A"/>
    <w:rsid w:val="00C71E75"/>
    <w:rsid w:val="00C72105"/>
    <w:rsid w:val="00C727E8"/>
    <w:rsid w:val="00C72EB5"/>
    <w:rsid w:val="00C73915"/>
    <w:rsid w:val="00C73F39"/>
    <w:rsid w:val="00C7412F"/>
    <w:rsid w:val="00C745A4"/>
    <w:rsid w:val="00C7473F"/>
    <w:rsid w:val="00C7482B"/>
    <w:rsid w:val="00C74AE2"/>
    <w:rsid w:val="00C74BB2"/>
    <w:rsid w:val="00C76257"/>
    <w:rsid w:val="00C76BAB"/>
    <w:rsid w:val="00C80170"/>
    <w:rsid w:val="00C806B2"/>
    <w:rsid w:val="00C81381"/>
    <w:rsid w:val="00C8142A"/>
    <w:rsid w:val="00C81B02"/>
    <w:rsid w:val="00C81FF0"/>
    <w:rsid w:val="00C8246F"/>
    <w:rsid w:val="00C83722"/>
    <w:rsid w:val="00C839CE"/>
    <w:rsid w:val="00C83B5D"/>
    <w:rsid w:val="00C847C5"/>
    <w:rsid w:val="00C85412"/>
    <w:rsid w:val="00C8554C"/>
    <w:rsid w:val="00C85F8A"/>
    <w:rsid w:val="00C868CD"/>
    <w:rsid w:val="00C86CCB"/>
    <w:rsid w:val="00C86EFB"/>
    <w:rsid w:val="00C87316"/>
    <w:rsid w:val="00C87E97"/>
    <w:rsid w:val="00C902BA"/>
    <w:rsid w:val="00C906F8"/>
    <w:rsid w:val="00C90D5F"/>
    <w:rsid w:val="00C926FD"/>
    <w:rsid w:val="00C9272D"/>
    <w:rsid w:val="00C92755"/>
    <w:rsid w:val="00C92A83"/>
    <w:rsid w:val="00C9342E"/>
    <w:rsid w:val="00C9491D"/>
    <w:rsid w:val="00C94C54"/>
    <w:rsid w:val="00C9522E"/>
    <w:rsid w:val="00C954D5"/>
    <w:rsid w:val="00C959CC"/>
    <w:rsid w:val="00C95B0E"/>
    <w:rsid w:val="00C95C25"/>
    <w:rsid w:val="00C95CBA"/>
    <w:rsid w:val="00C95D33"/>
    <w:rsid w:val="00C95F32"/>
    <w:rsid w:val="00C96937"/>
    <w:rsid w:val="00C9695F"/>
    <w:rsid w:val="00C96D5B"/>
    <w:rsid w:val="00C97B57"/>
    <w:rsid w:val="00C97CF8"/>
    <w:rsid w:val="00CA0604"/>
    <w:rsid w:val="00CA066A"/>
    <w:rsid w:val="00CA15D2"/>
    <w:rsid w:val="00CA27B1"/>
    <w:rsid w:val="00CA2B31"/>
    <w:rsid w:val="00CA300F"/>
    <w:rsid w:val="00CA35D8"/>
    <w:rsid w:val="00CA3B79"/>
    <w:rsid w:val="00CA3CDE"/>
    <w:rsid w:val="00CA3DF6"/>
    <w:rsid w:val="00CA4BCC"/>
    <w:rsid w:val="00CA5036"/>
    <w:rsid w:val="00CA5762"/>
    <w:rsid w:val="00CA69B8"/>
    <w:rsid w:val="00CA72C9"/>
    <w:rsid w:val="00CA7C86"/>
    <w:rsid w:val="00CA7F9A"/>
    <w:rsid w:val="00CB187C"/>
    <w:rsid w:val="00CB187F"/>
    <w:rsid w:val="00CB1B9B"/>
    <w:rsid w:val="00CB2069"/>
    <w:rsid w:val="00CB2370"/>
    <w:rsid w:val="00CB25A3"/>
    <w:rsid w:val="00CB27BF"/>
    <w:rsid w:val="00CB4A7B"/>
    <w:rsid w:val="00CB4ABE"/>
    <w:rsid w:val="00CB4FF8"/>
    <w:rsid w:val="00CB5429"/>
    <w:rsid w:val="00CB5F0B"/>
    <w:rsid w:val="00CB62E6"/>
    <w:rsid w:val="00CB69DF"/>
    <w:rsid w:val="00CB6FC4"/>
    <w:rsid w:val="00CB71D7"/>
    <w:rsid w:val="00CB7627"/>
    <w:rsid w:val="00CB7F88"/>
    <w:rsid w:val="00CC0CB0"/>
    <w:rsid w:val="00CC1C05"/>
    <w:rsid w:val="00CC1F83"/>
    <w:rsid w:val="00CC27D5"/>
    <w:rsid w:val="00CC5758"/>
    <w:rsid w:val="00CC5981"/>
    <w:rsid w:val="00CC5B99"/>
    <w:rsid w:val="00CC6716"/>
    <w:rsid w:val="00CC68B3"/>
    <w:rsid w:val="00CC6F6B"/>
    <w:rsid w:val="00CC7169"/>
    <w:rsid w:val="00CC74B0"/>
    <w:rsid w:val="00CC7568"/>
    <w:rsid w:val="00CC7B5C"/>
    <w:rsid w:val="00CD04BA"/>
    <w:rsid w:val="00CD0946"/>
    <w:rsid w:val="00CD102D"/>
    <w:rsid w:val="00CD1663"/>
    <w:rsid w:val="00CD1819"/>
    <w:rsid w:val="00CD2614"/>
    <w:rsid w:val="00CD28B8"/>
    <w:rsid w:val="00CD28D4"/>
    <w:rsid w:val="00CD2BD8"/>
    <w:rsid w:val="00CD2D8C"/>
    <w:rsid w:val="00CD387E"/>
    <w:rsid w:val="00CD6E10"/>
    <w:rsid w:val="00CD70C4"/>
    <w:rsid w:val="00CD73B6"/>
    <w:rsid w:val="00CD7442"/>
    <w:rsid w:val="00CD75EA"/>
    <w:rsid w:val="00CD77F6"/>
    <w:rsid w:val="00CD7D9C"/>
    <w:rsid w:val="00CE07B1"/>
    <w:rsid w:val="00CE087B"/>
    <w:rsid w:val="00CE0CF1"/>
    <w:rsid w:val="00CE113A"/>
    <w:rsid w:val="00CE1211"/>
    <w:rsid w:val="00CE13B6"/>
    <w:rsid w:val="00CE23EA"/>
    <w:rsid w:val="00CE2962"/>
    <w:rsid w:val="00CE4333"/>
    <w:rsid w:val="00CE4700"/>
    <w:rsid w:val="00CE4C6F"/>
    <w:rsid w:val="00CE5747"/>
    <w:rsid w:val="00CE6758"/>
    <w:rsid w:val="00CE70CC"/>
    <w:rsid w:val="00CE721C"/>
    <w:rsid w:val="00CE7423"/>
    <w:rsid w:val="00CE758E"/>
    <w:rsid w:val="00CE7729"/>
    <w:rsid w:val="00CE7CCE"/>
    <w:rsid w:val="00CE7CE6"/>
    <w:rsid w:val="00CE7FAA"/>
    <w:rsid w:val="00CF131C"/>
    <w:rsid w:val="00CF13AA"/>
    <w:rsid w:val="00CF3119"/>
    <w:rsid w:val="00CF35E8"/>
    <w:rsid w:val="00CF3793"/>
    <w:rsid w:val="00CF3A74"/>
    <w:rsid w:val="00CF4508"/>
    <w:rsid w:val="00CF475C"/>
    <w:rsid w:val="00CF496D"/>
    <w:rsid w:val="00CF5964"/>
    <w:rsid w:val="00CF5CC0"/>
    <w:rsid w:val="00CF71E9"/>
    <w:rsid w:val="00CF795B"/>
    <w:rsid w:val="00CF7FFD"/>
    <w:rsid w:val="00D0114C"/>
    <w:rsid w:val="00D011A6"/>
    <w:rsid w:val="00D01843"/>
    <w:rsid w:val="00D01B0F"/>
    <w:rsid w:val="00D02B71"/>
    <w:rsid w:val="00D033FA"/>
    <w:rsid w:val="00D0382A"/>
    <w:rsid w:val="00D03AD8"/>
    <w:rsid w:val="00D04417"/>
    <w:rsid w:val="00D04E00"/>
    <w:rsid w:val="00D05018"/>
    <w:rsid w:val="00D0502C"/>
    <w:rsid w:val="00D05A31"/>
    <w:rsid w:val="00D064E6"/>
    <w:rsid w:val="00D075CD"/>
    <w:rsid w:val="00D0763C"/>
    <w:rsid w:val="00D077E5"/>
    <w:rsid w:val="00D07863"/>
    <w:rsid w:val="00D108AE"/>
    <w:rsid w:val="00D111F5"/>
    <w:rsid w:val="00D11764"/>
    <w:rsid w:val="00D1192D"/>
    <w:rsid w:val="00D11C3B"/>
    <w:rsid w:val="00D129BD"/>
    <w:rsid w:val="00D13D88"/>
    <w:rsid w:val="00D1429C"/>
    <w:rsid w:val="00D15139"/>
    <w:rsid w:val="00D15182"/>
    <w:rsid w:val="00D15267"/>
    <w:rsid w:val="00D1593A"/>
    <w:rsid w:val="00D15A8F"/>
    <w:rsid w:val="00D15CFB"/>
    <w:rsid w:val="00D15CFC"/>
    <w:rsid w:val="00D16A16"/>
    <w:rsid w:val="00D16EDF"/>
    <w:rsid w:val="00D17075"/>
    <w:rsid w:val="00D17D41"/>
    <w:rsid w:val="00D17E7D"/>
    <w:rsid w:val="00D2168A"/>
    <w:rsid w:val="00D216B4"/>
    <w:rsid w:val="00D22819"/>
    <w:rsid w:val="00D22BB0"/>
    <w:rsid w:val="00D22C8B"/>
    <w:rsid w:val="00D22CF7"/>
    <w:rsid w:val="00D23C3F"/>
    <w:rsid w:val="00D2538B"/>
    <w:rsid w:val="00D259F0"/>
    <w:rsid w:val="00D2742D"/>
    <w:rsid w:val="00D27FC1"/>
    <w:rsid w:val="00D32283"/>
    <w:rsid w:val="00D323AE"/>
    <w:rsid w:val="00D32463"/>
    <w:rsid w:val="00D32D34"/>
    <w:rsid w:val="00D32EBA"/>
    <w:rsid w:val="00D32EFA"/>
    <w:rsid w:val="00D33753"/>
    <w:rsid w:val="00D33C4D"/>
    <w:rsid w:val="00D33E31"/>
    <w:rsid w:val="00D34833"/>
    <w:rsid w:val="00D34D13"/>
    <w:rsid w:val="00D35070"/>
    <w:rsid w:val="00D3563B"/>
    <w:rsid w:val="00D35811"/>
    <w:rsid w:val="00D35A1B"/>
    <w:rsid w:val="00D35EBA"/>
    <w:rsid w:val="00D37F81"/>
    <w:rsid w:val="00D4214E"/>
    <w:rsid w:val="00D4242E"/>
    <w:rsid w:val="00D42E8A"/>
    <w:rsid w:val="00D42F6A"/>
    <w:rsid w:val="00D43116"/>
    <w:rsid w:val="00D4331D"/>
    <w:rsid w:val="00D44200"/>
    <w:rsid w:val="00D456D9"/>
    <w:rsid w:val="00D45725"/>
    <w:rsid w:val="00D45811"/>
    <w:rsid w:val="00D4586E"/>
    <w:rsid w:val="00D458EA"/>
    <w:rsid w:val="00D45CF6"/>
    <w:rsid w:val="00D45FCF"/>
    <w:rsid w:val="00D464FD"/>
    <w:rsid w:val="00D4700C"/>
    <w:rsid w:val="00D47A46"/>
    <w:rsid w:val="00D511C5"/>
    <w:rsid w:val="00D51BB2"/>
    <w:rsid w:val="00D51DE3"/>
    <w:rsid w:val="00D52B39"/>
    <w:rsid w:val="00D53410"/>
    <w:rsid w:val="00D5346B"/>
    <w:rsid w:val="00D53C20"/>
    <w:rsid w:val="00D54EDC"/>
    <w:rsid w:val="00D55055"/>
    <w:rsid w:val="00D55722"/>
    <w:rsid w:val="00D55ECD"/>
    <w:rsid w:val="00D56237"/>
    <w:rsid w:val="00D571FE"/>
    <w:rsid w:val="00D57418"/>
    <w:rsid w:val="00D57BC2"/>
    <w:rsid w:val="00D62579"/>
    <w:rsid w:val="00D63A0C"/>
    <w:rsid w:val="00D64610"/>
    <w:rsid w:val="00D651B9"/>
    <w:rsid w:val="00D65AA2"/>
    <w:rsid w:val="00D65E47"/>
    <w:rsid w:val="00D66622"/>
    <w:rsid w:val="00D66A41"/>
    <w:rsid w:val="00D66E80"/>
    <w:rsid w:val="00D673D9"/>
    <w:rsid w:val="00D6799F"/>
    <w:rsid w:val="00D70327"/>
    <w:rsid w:val="00D7040A"/>
    <w:rsid w:val="00D7059E"/>
    <w:rsid w:val="00D71361"/>
    <w:rsid w:val="00D71FF6"/>
    <w:rsid w:val="00D72164"/>
    <w:rsid w:val="00D727F5"/>
    <w:rsid w:val="00D74A23"/>
    <w:rsid w:val="00D74F55"/>
    <w:rsid w:val="00D75469"/>
    <w:rsid w:val="00D75734"/>
    <w:rsid w:val="00D759F3"/>
    <w:rsid w:val="00D76C48"/>
    <w:rsid w:val="00D77502"/>
    <w:rsid w:val="00D77E5B"/>
    <w:rsid w:val="00D80C30"/>
    <w:rsid w:val="00D8105E"/>
    <w:rsid w:val="00D824F3"/>
    <w:rsid w:val="00D8278A"/>
    <w:rsid w:val="00D83D25"/>
    <w:rsid w:val="00D84833"/>
    <w:rsid w:val="00D84DFC"/>
    <w:rsid w:val="00D858AE"/>
    <w:rsid w:val="00D85CE6"/>
    <w:rsid w:val="00D86A84"/>
    <w:rsid w:val="00D87C6D"/>
    <w:rsid w:val="00D90C83"/>
    <w:rsid w:val="00D91C89"/>
    <w:rsid w:val="00D9250E"/>
    <w:rsid w:val="00D92B86"/>
    <w:rsid w:val="00D92EEA"/>
    <w:rsid w:val="00D94BA7"/>
    <w:rsid w:val="00D95128"/>
    <w:rsid w:val="00D95970"/>
    <w:rsid w:val="00D959D2"/>
    <w:rsid w:val="00D96B56"/>
    <w:rsid w:val="00D97C4C"/>
    <w:rsid w:val="00DA1638"/>
    <w:rsid w:val="00DA1717"/>
    <w:rsid w:val="00DA1EAA"/>
    <w:rsid w:val="00DA249C"/>
    <w:rsid w:val="00DA24BC"/>
    <w:rsid w:val="00DA2892"/>
    <w:rsid w:val="00DA3586"/>
    <w:rsid w:val="00DA36AB"/>
    <w:rsid w:val="00DA3717"/>
    <w:rsid w:val="00DA3BE6"/>
    <w:rsid w:val="00DA3E66"/>
    <w:rsid w:val="00DA4042"/>
    <w:rsid w:val="00DA4344"/>
    <w:rsid w:val="00DA4FFE"/>
    <w:rsid w:val="00DA52D0"/>
    <w:rsid w:val="00DA72E1"/>
    <w:rsid w:val="00DA77DD"/>
    <w:rsid w:val="00DA7DE8"/>
    <w:rsid w:val="00DA7F1F"/>
    <w:rsid w:val="00DA7F45"/>
    <w:rsid w:val="00DB0161"/>
    <w:rsid w:val="00DB0265"/>
    <w:rsid w:val="00DB05C8"/>
    <w:rsid w:val="00DB063C"/>
    <w:rsid w:val="00DB09AA"/>
    <w:rsid w:val="00DB1354"/>
    <w:rsid w:val="00DB13FD"/>
    <w:rsid w:val="00DB14B1"/>
    <w:rsid w:val="00DB1A69"/>
    <w:rsid w:val="00DB1B66"/>
    <w:rsid w:val="00DB21A4"/>
    <w:rsid w:val="00DB2E53"/>
    <w:rsid w:val="00DB315F"/>
    <w:rsid w:val="00DB326B"/>
    <w:rsid w:val="00DB384F"/>
    <w:rsid w:val="00DB3CCA"/>
    <w:rsid w:val="00DB4A1A"/>
    <w:rsid w:val="00DB58F5"/>
    <w:rsid w:val="00DB5B33"/>
    <w:rsid w:val="00DB66CF"/>
    <w:rsid w:val="00DB6DF8"/>
    <w:rsid w:val="00DB6F02"/>
    <w:rsid w:val="00DB7639"/>
    <w:rsid w:val="00DB7736"/>
    <w:rsid w:val="00DC1872"/>
    <w:rsid w:val="00DC2056"/>
    <w:rsid w:val="00DC2318"/>
    <w:rsid w:val="00DC3390"/>
    <w:rsid w:val="00DC375C"/>
    <w:rsid w:val="00DC3AE4"/>
    <w:rsid w:val="00DC4BCE"/>
    <w:rsid w:val="00DC5361"/>
    <w:rsid w:val="00DC57D9"/>
    <w:rsid w:val="00DC5A59"/>
    <w:rsid w:val="00DC5AAF"/>
    <w:rsid w:val="00DC6E35"/>
    <w:rsid w:val="00DC6FAE"/>
    <w:rsid w:val="00DC730E"/>
    <w:rsid w:val="00DD0652"/>
    <w:rsid w:val="00DD089E"/>
    <w:rsid w:val="00DD0A1B"/>
    <w:rsid w:val="00DD0DA6"/>
    <w:rsid w:val="00DD136E"/>
    <w:rsid w:val="00DD2259"/>
    <w:rsid w:val="00DD2548"/>
    <w:rsid w:val="00DD2B71"/>
    <w:rsid w:val="00DD343C"/>
    <w:rsid w:val="00DD4204"/>
    <w:rsid w:val="00DD4D0D"/>
    <w:rsid w:val="00DD5D3F"/>
    <w:rsid w:val="00DD7139"/>
    <w:rsid w:val="00DD7677"/>
    <w:rsid w:val="00DE0646"/>
    <w:rsid w:val="00DE1877"/>
    <w:rsid w:val="00DE18BF"/>
    <w:rsid w:val="00DE24A3"/>
    <w:rsid w:val="00DE250C"/>
    <w:rsid w:val="00DE2880"/>
    <w:rsid w:val="00DE2F83"/>
    <w:rsid w:val="00DE3098"/>
    <w:rsid w:val="00DE3170"/>
    <w:rsid w:val="00DE5DD7"/>
    <w:rsid w:val="00DE6569"/>
    <w:rsid w:val="00DE6852"/>
    <w:rsid w:val="00DE6B61"/>
    <w:rsid w:val="00DE7079"/>
    <w:rsid w:val="00DE7751"/>
    <w:rsid w:val="00DF1DAC"/>
    <w:rsid w:val="00DF1DD1"/>
    <w:rsid w:val="00DF29CD"/>
    <w:rsid w:val="00DF3387"/>
    <w:rsid w:val="00DF3485"/>
    <w:rsid w:val="00DF3C30"/>
    <w:rsid w:val="00DF3EBE"/>
    <w:rsid w:val="00DF4610"/>
    <w:rsid w:val="00DF4D88"/>
    <w:rsid w:val="00DF585F"/>
    <w:rsid w:val="00DF5C1A"/>
    <w:rsid w:val="00DF60C1"/>
    <w:rsid w:val="00DF617D"/>
    <w:rsid w:val="00DF6C46"/>
    <w:rsid w:val="00E00AFF"/>
    <w:rsid w:val="00E00B5D"/>
    <w:rsid w:val="00E01132"/>
    <w:rsid w:val="00E01553"/>
    <w:rsid w:val="00E021E3"/>
    <w:rsid w:val="00E02588"/>
    <w:rsid w:val="00E0261A"/>
    <w:rsid w:val="00E02ECD"/>
    <w:rsid w:val="00E030AB"/>
    <w:rsid w:val="00E030D5"/>
    <w:rsid w:val="00E0344D"/>
    <w:rsid w:val="00E05573"/>
    <w:rsid w:val="00E056CF"/>
    <w:rsid w:val="00E07E64"/>
    <w:rsid w:val="00E10F92"/>
    <w:rsid w:val="00E1122A"/>
    <w:rsid w:val="00E11342"/>
    <w:rsid w:val="00E11477"/>
    <w:rsid w:val="00E117DA"/>
    <w:rsid w:val="00E118B7"/>
    <w:rsid w:val="00E11B09"/>
    <w:rsid w:val="00E1289E"/>
    <w:rsid w:val="00E12B1C"/>
    <w:rsid w:val="00E13093"/>
    <w:rsid w:val="00E13A64"/>
    <w:rsid w:val="00E13CDD"/>
    <w:rsid w:val="00E14135"/>
    <w:rsid w:val="00E142BB"/>
    <w:rsid w:val="00E1532E"/>
    <w:rsid w:val="00E159A0"/>
    <w:rsid w:val="00E15BE3"/>
    <w:rsid w:val="00E15C1F"/>
    <w:rsid w:val="00E160AB"/>
    <w:rsid w:val="00E16176"/>
    <w:rsid w:val="00E161D8"/>
    <w:rsid w:val="00E16333"/>
    <w:rsid w:val="00E16373"/>
    <w:rsid w:val="00E16848"/>
    <w:rsid w:val="00E16CB7"/>
    <w:rsid w:val="00E16F2A"/>
    <w:rsid w:val="00E17048"/>
    <w:rsid w:val="00E17263"/>
    <w:rsid w:val="00E17655"/>
    <w:rsid w:val="00E177FC"/>
    <w:rsid w:val="00E17A4E"/>
    <w:rsid w:val="00E17D0C"/>
    <w:rsid w:val="00E2030A"/>
    <w:rsid w:val="00E20D1A"/>
    <w:rsid w:val="00E21457"/>
    <w:rsid w:val="00E21B0C"/>
    <w:rsid w:val="00E21B5C"/>
    <w:rsid w:val="00E21F79"/>
    <w:rsid w:val="00E22268"/>
    <w:rsid w:val="00E22D81"/>
    <w:rsid w:val="00E234EA"/>
    <w:rsid w:val="00E24174"/>
    <w:rsid w:val="00E245A6"/>
    <w:rsid w:val="00E24CC7"/>
    <w:rsid w:val="00E25141"/>
    <w:rsid w:val="00E25CB7"/>
    <w:rsid w:val="00E25CF8"/>
    <w:rsid w:val="00E27216"/>
    <w:rsid w:val="00E27872"/>
    <w:rsid w:val="00E304FB"/>
    <w:rsid w:val="00E30EA9"/>
    <w:rsid w:val="00E3158D"/>
    <w:rsid w:val="00E31F42"/>
    <w:rsid w:val="00E32928"/>
    <w:rsid w:val="00E32C16"/>
    <w:rsid w:val="00E32F73"/>
    <w:rsid w:val="00E33142"/>
    <w:rsid w:val="00E338A0"/>
    <w:rsid w:val="00E33A57"/>
    <w:rsid w:val="00E33B5A"/>
    <w:rsid w:val="00E33E33"/>
    <w:rsid w:val="00E33FC7"/>
    <w:rsid w:val="00E34207"/>
    <w:rsid w:val="00E359CF"/>
    <w:rsid w:val="00E35B7C"/>
    <w:rsid w:val="00E36DBC"/>
    <w:rsid w:val="00E371AD"/>
    <w:rsid w:val="00E37459"/>
    <w:rsid w:val="00E376EA"/>
    <w:rsid w:val="00E37B1D"/>
    <w:rsid w:val="00E400F5"/>
    <w:rsid w:val="00E40E22"/>
    <w:rsid w:val="00E4101A"/>
    <w:rsid w:val="00E42671"/>
    <w:rsid w:val="00E42B91"/>
    <w:rsid w:val="00E430F0"/>
    <w:rsid w:val="00E437AE"/>
    <w:rsid w:val="00E43DC1"/>
    <w:rsid w:val="00E43F49"/>
    <w:rsid w:val="00E44110"/>
    <w:rsid w:val="00E45000"/>
    <w:rsid w:val="00E45140"/>
    <w:rsid w:val="00E45DE0"/>
    <w:rsid w:val="00E50517"/>
    <w:rsid w:val="00E506FC"/>
    <w:rsid w:val="00E51482"/>
    <w:rsid w:val="00E51B2C"/>
    <w:rsid w:val="00E52679"/>
    <w:rsid w:val="00E5300D"/>
    <w:rsid w:val="00E539EB"/>
    <w:rsid w:val="00E53D51"/>
    <w:rsid w:val="00E541B1"/>
    <w:rsid w:val="00E54CC8"/>
    <w:rsid w:val="00E54D0A"/>
    <w:rsid w:val="00E550D5"/>
    <w:rsid w:val="00E55896"/>
    <w:rsid w:val="00E55964"/>
    <w:rsid w:val="00E55C0E"/>
    <w:rsid w:val="00E577CD"/>
    <w:rsid w:val="00E60348"/>
    <w:rsid w:val="00E607A5"/>
    <w:rsid w:val="00E60B4E"/>
    <w:rsid w:val="00E60C09"/>
    <w:rsid w:val="00E60D30"/>
    <w:rsid w:val="00E613CF"/>
    <w:rsid w:val="00E61763"/>
    <w:rsid w:val="00E61B60"/>
    <w:rsid w:val="00E61BB2"/>
    <w:rsid w:val="00E620A5"/>
    <w:rsid w:val="00E6217D"/>
    <w:rsid w:val="00E624FE"/>
    <w:rsid w:val="00E633E3"/>
    <w:rsid w:val="00E636AC"/>
    <w:rsid w:val="00E63F39"/>
    <w:rsid w:val="00E652CE"/>
    <w:rsid w:val="00E65592"/>
    <w:rsid w:val="00E65709"/>
    <w:rsid w:val="00E65C13"/>
    <w:rsid w:val="00E66BCE"/>
    <w:rsid w:val="00E66E7C"/>
    <w:rsid w:val="00E70372"/>
    <w:rsid w:val="00E70B0A"/>
    <w:rsid w:val="00E717EC"/>
    <w:rsid w:val="00E71EB8"/>
    <w:rsid w:val="00E72210"/>
    <w:rsid w:val="00E72860"/>
    <w:rsid w:val="00E729C0"/>
    <w:rsid w:val="00E72FB9"/>
    <w:rsid w:val="00E72FE3"/>
    <w:rsid w:val="00E73107"/>
    <w:rsid w:val="00E731BC"/>
    <w:rsid w:val="00E73510"/>
    <w:rsid w:val="00E737AE"/>
    <w:rsid w:val="00E741F2"/>
    <w:rsid w:val="00E74DF5"/>
    <w:rsid w:val="00E759D7"/>
    <w:rsid w:val="00E75DAC"/>
    <w:rsid w:val="00E7606A"/>
    <w:rsid w:val="00E77FEB"/>
    <w:rsid w:val="00E80406"/>
    <w:rsid w:val="00E807D6"/>
    <w:rsid w:val="00E80B4F"/>
    <w:rsid w:val="00E80FCB"/>
    <w:rsid w:val="00E81256"/>
    <w:rsid w:val="00E82319"/>
    <w:rsid w:val="00E82A7C"/>
    <w:rsid w:val="00E83497"/>
    <w:rsid w:val="00E83C5E"/>
    <w:rsid w:val="00E83E3A"/>
    <w:rsid w:val="00E8410F"/>
    <w:rsid w:val="00E8543E"/>
    <w:rsid w:val="00E8551B"/>
    <w:rsid w:val="00E856E3"/>
    <w:rsid w:val="00E85F75"/>
    <w:rsid w:val="00E86206"/>
    <w:rsid w:val="00E86B38"/>
    <w:rsid w:val="00E878C3"/>
    <w:rsid w:val="00E903CD"/>
    <w:rsid w:val="00E90C6B"/>
    <w:rsid w:val="00E912CB"/>
    <w:rsid w:val="00E920E1"/>
    <w:rsid w:val="00E925BA"/>
    <w:rsid w:val="00E93255"/>
    <w:rsid w:val="00E932CC"/>
    <w:rsid w:val="00E937A9"/>
    <w:rsid w:val="00E93A96"/>
    <w:rsid w:val="00E93D22"/>
    <w:rsid w:val="00E9587D"/>
    <w:rsid w:val="00E97695"/>
    <w:rsid w:val="00E97DF3"/>
    <w:rsid w:val="00E97E48"/>
    <w:rsid w:val="00E97FB9"/>
    <w:rsid w:val="00EA02A4"/>
    <w:rsid w:val="00EA060B"/>
    <w:rsid w:val="00EA1EE2"/>
    <w:rsid w:val="00EA2534"/>
    <w:rsid w:val="00EA2878"/>
    <w:rsid w:val="00EA2DEA"/>
    <w:rsid w:val="00EA3048"/>
    <w:rsid w:val="00EA387F"/>
    <w:rsid w:val="00EA3AC4"/>
    <w:rsid w:val="00EA44F5"/>
    <w:rsid w:val="00EA4D4B"/>
    <w:rsid w:val="00EA670B"/>
    <w:rsid w:val="00EA7B79"/>
    <w:rsid w:val="00EA7D83"/>
    <w:rsid w:val="00EB00F5"/>
    <w:rsid w:val="00EB0B84"/>
    <w:rsid w:val="00EB0C26"/>
    <w:rsid w:val="00EB0DC8"/>
    <w:rsid w:val="00EB0EE8"/>
    <w:rsid w:val="00EB0FE4"/>
    <w:rsid w:val="00EB1665"/>
    <w:rsid w:val="00EB20C6"/>
    <w:rsid w:val="00EB253D"/>
    <w:rsid w:val="00EB30C2"/>
    <w:rsid w:val="00EB3135"/>
    <w:rsid w:val="00EB3B8E"/>
    <w:rsid w:val="00EB57D5"/>
    <w:rsid w:val="00EB5B79"/>
    <w:rsid w:val="00EB76FF"/>
    <w:rsid w:val="00EB7C11"/>
    <w:rsid w:val="00EB7C66"/>
    <w:rsid w:val="00EC0EEA"/>
    <w:rsid w:val="00EC136C"/>
    <w:rsid w:val="00EC2436"/>
    <w:rsid w:val="00EC3465"/>
    <w:rsid w:val="00EC3884"/>
    <w:rsid w:val="00EC39E6"/>
    <w:rsid w:val="00EC4288"/>
    <w:rsid w:val="00EC430E"/>
    <w:rsid w:val="00EC6E41"/>
    <w:rsid w:val="00EC72EE"/>
    <w:rsid w:val="00ED050C"/>
    <w:rsid w:val="00ED0526"/>
    <w:rsid w:val="00ED08D1"/>
    <w:rsid w:val="00ED0D3E"/>
    <w:rsid w:val="00ED24A9"/>
    <w:rsid w:val="00ED3A14"/>
    <w:rsid w:val="00ED3C2D"/>
    <w:rsid w:val="00ED647E"/>
    <w:rsid w:val="00ED6797"/>
    <w:rsid w:val="00ED67DD"/>
    <w:rsid w:val="00ED78C3"/>
    <w:rsid w:val="00EE003E"/>
    <w:rsid w:val="00EE0A6B"/>
    <w:rsid w:val="00EE0D49"/>
    <w:rsid w:val="00EE0DBC"/>
    <w:rsid w:val="00EE11DD"/>
    <w:rsid w:val="00EE1C00"/>
    <w:rsid w:val="00EE20A5"/>
    <w:rsid w:val="00EE22A0"/>
    <w:rsid w:val="00EE23BE"/>
    <w:rsid w:val="00EE29A4"/>
    <w:rsid w:val="00EE3357"/>
    <w:rsid w:val="00EE34C6"/>
    <w:rsid w:val="00EE3649"/>
    <w:rsid w:val="00EE3773"/>
    <w:rsid w:val="00EE577A"/>
    <w:rsid w:val="00EE61C8"/>
    <w:rsid w:val="00EF1B37"/>
    <w:rsid w:val="00EF2002"/>
    <w:rsid w:val="00EF2E3F"/>
    <w:rsid w:val="00EF32C7"/>
    <w:rsid w:val="00EF37BF"/>
    <w:rsid w:val="00EF38D6"/>
    <w:rsid w:val="00EF4146"/>
    <w:rsid w:val="00EF41BA"/>
    <w:rsid w:val="00EF481B"/>
    <w:rsid w:val="00EF54C3"/>
    <w:rsid w:val="00EF5792"/>
    <w:rsid w:val="00EF65BF"/>
    <w:rsid w:val="00EF66CB"/>
    <w:rsid w:val="00EF6EF1"/>
    <w:rsid w:val="00EF7576"/>
    <w:rsid w:val="00EF7904"/>
    <w:rsid w:val="00EF7C8F"/>
    <w:rsid w:val="00EF7ECE"/>
    <w:rsid w:val="00F000A2"/>
    <w:rsid w:val="00F003BA"/>
    <w:rsid w:val="00F00D26"/>
    <w:rsid w:val="00F01DFB"/>
    <w:rsid w:val="00F01F5A"/>
    <w:rsid w:val="00F02715"/>
    <w:rsid w:val="00F02E5A"/>
    <w:rsid w:val="00F0353E"/>
    <w:rsid w:val="00F04CC8"/>
    <w:rsid w:val="00F04CEE"/>
    <w:rsid w:val="00F04D00"/>
    <w:rsid w:val="00F04FE1"/>
    <w:rsid w:val="00F05312"/>
    <w:rsid w:val="00F05B57"/>
    <w:rsid w:val="00F06011"/>
    <w:rsid w:val="00F06FA6"/>
    <w:rsid w:val="00F077D8"/>
    <w:rsid w:val="00F07861"/>
    <w:rsid w:val="00F10357"/>
    <w:rsid w:val="00F110E5"/>
    <w:rsid w:val="00F111AF"/>
    <w:rsid w:val="00F11BEE"/>
    <w:rsid w:val="00F11D28"/>
    <w:rsid w:val="00F12822"/>
    <w:rsid w:val="00F143C9"/>
    <w:rsid w:val="00F14A48"/>
    <w:rsid w:val="00F14D11"/>
    <w:rsid w:val="00F14E1B"/>
    <w:rsid w:val="00F150E9"/>
    <w:rsid w:val="00F15198"/>
    <w:rsid w:val="00F1567B"/>
    <w:rsid w:val="00F159B7"/>
    <w:rsid w:val="00F16100"/>
    <w:rsid w:val="00F1624E"/>
    <w:rsid w:val="00F17279"/>
    <w:rsid w:val="00F1758B"/>
    <w:rsid w:val="00F2064B"/>
    <w:rsid w:val="00F21D90"/>
    <w:rsid w:val="00F22EBD"/>
    <w:rsid w:val="00F240A3"/>
    <w:rsid w:val="00F24379"/>
    <w:rsid w:val="00F24B4C"/>
    <w:rsid w:val="00F25D99"/>
    <w:rsid w:val="00F27111"/>
    <w:rsid w:val="00F2734D"/>
    <w:rsid w:val="00F27687"/>
    <w:rsid w:val="00F279E8"/>
    <w:rsid w:val="00F27CC2"/>
    <w:rsid w:val="00F27D80"/>
    <w:rsid w:val="00F30B32"/>
    <w:rsid w:val="00F32270"/>
    <w:rsid w:val="00F33F69"/>
    <w:rsid w:val="00F34801"/>
    <w:rsid w:val="00F370A1"/>
    <w:rsid w:val="00F371BE"/>
    <w:rsid w:val="00F4025F"/>
    <w:rsid w:val="00F41094"/>
    <w:rsid w:val="00F41405"/>
    <w:rsid w:val="00F41476"/>
    <w:rsid w:val="00F41671"/>
    <w:rsid w:val="00F41724"/>
    <w:rsid w:val="00F41A5B"/>
    <w:rsid w:val="00F426B0"/>
    <w:rsid w:val="00F42B3F"/>
    <w:rsid w:val="00F4451A"/>
    <w:rsid w:val="00F451D2"/>
    <w:rsid w:val="00F4553E"/>
    <w:rsid w:val="00F4586A"/>
    <w:rsid w:val="00F45DB1"/>
    <w:rsid w:val="00F462C5"/>
    <w:rsid w:val="00F463EB"/>
    <w:rsid w:val="00F46C87"/>
    <w:rsid w:val="00F475C8"/>
    <w:rsid w:val="00F506B2"/>
    <w:rsid w:val="00F51B5A"/>
    <w:rsid w:val="00F5289D"/>
    <w:rsid w:val="00F52BBF"/>
    <w:rsid w:val="00F549C5"/>
    <w:rsid w:val="00F54C8C"/>
    <w:rsid w:val="00F5517F"/>
    <w:rsid w:val="00F55457"/>
    <w:rsid w:val="00F55A99"/>
    <w:rsid w:val="00F55BC3"/>
    <w:rsid w:val="00F5627E"/>
    <w:rsid w:val="00F56D95"/>
    <w:rsid w:val="00F57452"/>
    <w:rsid w:val="00F5757C"/>
    <w:rsid w:val="00F57DE9"/>
    <w:rsid w:val="00F6014F"/>
    <w:rsid w:val="00F63C87"/>
    <w:rsid w:val="00F63EA5"/>
    <w:rsid w:val="00F6503B"/>
    <w:rsid w:val="00F6544F"/>
    <w:rsid w:val="00F65C35"/>
    <w:rsid w:val="00F665DD"/>
    <w:rsid w:val="00F66CBA"/>
    <w:rsid w:val="00F6713B"/>
    <w:rsid w:val="00F67407"/>
    <w:rsid w:val="00F674DA"/>
    <w:rsid w:val="00F67EAE"/>
    <w:rsid w:val="00F70221"/>
    <w:rsid w:val="00F71261"/>
    <w:rsid w:val="00F7156B"/>
    <w:rsid w:val="00F72287"/>
    <w:rsid w:val="00F722AE"/>
    <w:rsid w:val="00F72DB0"/>
    <w:rsid w:val="00F7357C"/>
    <w:rsid w:val="00F73FB5"/>
    <w:rsid w:val="00F74340"/>
    <w:rsid w:val="00F7490F"/>
    <w:rsid w:val="00F7681E"/>
    <w:rsid w:val="00F7712E"/>
    <w:rsid w:val="00F77198"/>
    <w:rsid w:val="00F77385"/>
    <w:rsid w:val="00F773C1"/>
    <w:rsid w:val="00F820CC"/>
    <w:rsid w:val="00F82A21"/>
    <w:rsid w:val="00F83902"/>
    <w:rsid w:val="00F8404B"/>
    <w:rsid w:val="00F84E1F"/>
    <w:rsid w:val="00F85E14"/>
    <w:rsid w:val="00F86265"/>
    <w:rsid w:val="00F865B7"/>
    <w:rsid w:val="00F868A0"/>
    <w:rsid w:val="00F87C10"/>
    <w:rsid w:val="00F90053"/>
    <w:rsid w:val="00F90469"/>
    <w:rsid w:val="00F90A52"/>
    <w:rsid w:val="00F90FBD"/>
    <w:rsid w:val="00F9102D"/>
    <w:rsid w:val="00F9119B"/>
    <w:rsid w:val="00F911EB"/>
    <w:rsid w:val="00F91ADE"/>
    <w:rsid w:val="00F91F93"/>
    <w:rsid w:val="00F92183"/>
    <w:rsid w:val="00F929AB"/>
    <w:rsid w:val="00F93633"/>
    <w:rsid w:val="00F93AF1"/>
    <w:rsid w:val="00F94ED4"/>
    <w:rsid w:val="00F9583E"/>
    <w:rsid w:val="00F95A19"/>
    <w:rsid w:val="00F96C59"/>
    <w:rsid w:val="00F9731B"/>
    <w:rsid w:val="00F9749D"/>
    <w:rsid w:val="00F977F7"/>
    <w:rsid w:val="00F97A85"/>
    <w:rsid w:val="00F97FDC"/>
    <w:rsid w:val="00FA06BB"/>
    <w:rsid w:val="00FA1938"/>
    <w:rsid w:val="00FA1E6B"/>
    <w:rsid w:val="00FA1F1C"/>
    <w:rsid w:val="00FA20E3"/>
    <w:rsid w:val="00FA23E0"/>
    <w:rsid w:val="00FA2714"/>
    <w:rsid w:val="00FA272A"/>
    <w:rsid w:val="00FA29FB"/>
    <w:rsid w:val="00FA2C28"/>
    <w:rsid w:val="00FA3BB8"/>
    <w:rsid w:val="00FA40D6"/>
    <w:rsid w:val="00FA46CF"/>
    <w:rsid w:val="00FA5A7F"/>
    <w:rsid w:val="00FA639C"/>
    <w:rsid w:val="00FA6821"/>
    <w:rsid w:val="00FA6840"/>
    <w:rsid w:val="00FA7328"/>
    <w:rsid w:val="00FA7C3E"/>
    <w:rsid w:val="00FB0ACD"/>
    <w:rsid w:val="00FB0AFF"/>
    <w:rsid w:val="00FB28AB"/>
    <w:rsid w:val="00FB2DCC"/>
    <w:rsid w:val="00FB3D34"/>
    <w:rsid w:val="00FB3F7E"/>
    <w:rsid w:val="00FB4475"/>
    <w:rsid w:val="00FB4A68"/>
    <w:rsid w:val="00FB4ABD"/>
    <w:rsid w:val="00FB4EF9"/>
    <w:rsid w:val="00FB5090"/>
    <w:rsid w:val="00FB55BE"/>
    <w:rsid w:val="00FB5EDF"/>
    <w:rsid w:val="00FB6176"/>
    <w:rsid w:val="00FB62E8"/>
    <w:rsid w:val="00FB6960"/>
    <w:rsid w:val="00FB6E06"/>
    <w:rsid w:val="00FB6F83"/>
    <w:rsid w:val="00FB7BDE"/>
    <w:rsid w:val="00FC0131"/>
    <w:rsid w:val="00FC022A"/>
    <w:rsid w:val="00FC142E"/>
    <w:rsid w:val="00FC1B7A"/>
    <w:rsid w:val="00FC22C1"/>
    <w:rsid w:val="00FC2302"/>
    <w:rsid w:val="00FC2CD0"/>
    <w:rsid w:val="00FC34C7"/>
    <w:rsid w:val="00FC45B5"/>
    <w:rsid w:val="00FC4D7C"/>
    <w:rsid w:val="00FC50DE"/>
    <w:rsid w:val="00FC53FE"/>
    <w:rsid w:val="00FC5827"/>
    <w:rsid w:val="00FC5C94"/>
    <w:rsid w:val="00FC5E1F"/>
    <w:rsid w:val="00FC5F2B"/>
    <w:rsid w:val="00FC6193"/>
    <w:rsid w:val="00FC6245"/>
    <w:rsid w:val="00FC69D1"/>
    <w:rsid w:val="00FC6A86"/>
    <w:rsid w:val="00FC7159"/>
    <w:rsid w:val="00FC77C9"/>
    <w:rsid w:val="00FC781F"/>
    <w:rsid w:val="00FC7F7A"/>
    <w:rsid w:val="00FD1937"/>
    <w:rsid w:val="00FD2B09"/>
    <w:rsid w:val="00FD2E12"/>
    <w:rsid w:val="00FD3203"/>
    <w:rsid w:val="00FD3B9B"/>
    <w:rsid w:val="00FD3D81"/>
    <w:rsid w:val="00FD40A0"/>
    <w:rsid w:val="00FD45DA"/>
    <w:rsid w:val="00FD53C8"/>
    <w:rsid w:val="00FD54C4"/>
    <w:rsid w:val="00FD59B9"/>
    <w:rsid w:val="00FD6260"/>
    <w:rsid w:val="00FD689A"/>
    <w:rsid w:val="00FD6FF4"/>
    <w:rsid w:val="00FD7405"/>
    <w:rsid w:val="00FE06AC"/>
    <w:rsid w:val="00FE0DAB"/>
    <w:rsid w:val="00FE170F"/>
    <w:rsid w:val="00FE18FE"/>
    <w:rsid w:val="00FE22D1"/>
    <w:rsid w:val="00FE2DE1"/>
    <w:rsid w:val="00FE3A98"/>
    <w:rsid w:val="00FE45B9"/>
    <w:rsid w:val="00FE4C66"/>
    <w:rsid w:val="00FE4EE1"/>
    <w:rsid w:val="00FE51F6"/>
    <w:rsid w:val="00FE539B"/>
    <w:rsid w:val="00FE570A"/>
    <w:rsid w:val="00FE59E7"/>
    <w:rsid w:val="00FE5BA6"/>
    <w:rsid w:val="00FE5FBE"/>
    <w:rsid w:val="00FE6C71"/>
    <w:rsid w:val="00FE6C81"/>
    <w:rsid w:val="00FE7261"/>
    <w:rsid w:val="00FE7588"/>
    <w:rsid w:val="00FE7645"/>
    <w:rsid w:val="00FF0A60"/>
    <w:rsid w:val="00FF25AF"/>
    <w:rsid w:val="00FF2F66"/>
    <w:rsid w:val="00FF383D"/>
    <w:rsid w:val="00FF3A71"/>
    <w:rsid w:val="00FF3DF5"/>
    <w:rsid w:val="00FF47CF"/>
    <w:rsid w:val="00FF5EF8"/>
    <w:rsid w:val="00FF6008"/>
    <w:rsid w:val="00FF648F"/>
    <w:rsid w:val="00FF65D6"/>
    <w:rsid w:val="00FF6BCD"/>
    <w:rsid w:val="00FF77E8"/>
    <w:rsid w:val="01336581"/>
    <w:rsid w:val="01802087"/>
    <w:rsid w:val="018502B5"/>
    <w:rsid w:val="01AA1AC9"/>
    <w:rsid w:val="01C07B47"/>
    <w:rsid w:val="01EA7BC0"/>
    <w:rsid w:val="01F3521E"/>
    <w:rsid w:val="020C6BE0"/>
    <w:rsid w:val="026003DA"/>
    <w:rsid w:val="028D3650"/>
    <w:rsid w:val="029562D6"/>
    <w:rsid w:val="02B01361"/>
    <w:rsid w:val="02BA40E3"/>
    <w:rsid w:val="02DF2F1D"/>
    <w:rsid w:val="02F56D74"/>
    <w:rsid w:val="02FF7745"/>
    <w:rsid w:val="034F6FAC"/>
    <w:rsid w:val="035A3F48"/>
    <w:rsid w:val="035A5648"/>
    <w:rsid w:val="038C0EAB"/>
    <w:rsid w:val="040A4444"/>
    <w:rsid w:val="04640655"/>
    <w:rsid w:val="04962290"/>
    <w:rsid w:val="04983E5B"/>
    <w:rsid w:val="04AD1B66"/>
    <w:rsid w:val="04E84DE3"/>
    <w:rsid w:val="050445D6"/>
    <w:rsid w:val="050C783A"/>
    <w:rsid w:val="05863ADD"/>
    <w:rsid w:val="05883ED0"/>
    <w:rsid w:val="059A2623"/>
    <w:rsid w:val="05A54A82"/>
    <w:rsid w:val="05A562A4"/>
    <w:rsid w:val="06421D2B"/>
    <w:rsid w:val="064A658A"/>
    <w:rsid w:val="06A0572A"/>
    <w:rsid w:val="06C34D06"/>
    <w:rsid w:val="07574812"/>
    <w:rsid w:val="07610E7C"/>
    <w:rsid w:val="07911F6B"/>
    <w:rsid w:val="07BE7476"/>
    <w:rsid w:val="0800150E"/>
    <w:rsid w:val="082C4FE6"/>
    <w:rsid w:val="08470D1B"/>
    <w:rsid w:val="08AA44F6"/>
    <w:rsid w:val="08AB757D"/>
    <w:rsid w:val="08ED5A79"/>
    <w:rsid w:val="090441B5"/>
    <w:rsid w:val="09532A47"/>
    <w:rsid w:val="09CA0F5B"/>
    <w:rsid w:val="09E30FC8"/>
    <w:rsid w:val="0A775D4F"/>
    <w:rsid w:val="0A872E9B"/>
    <w:rsid w:val="0AAD5369"/>
    <w:rsid w:val="0ADD625D"/>
    <w:rsid w:val="0B107DDC"/>
    <w:rsid w:val="0B364D09"/>
    <w:rsid w:val="0B36617C"/>
    <w:rsid w:val="0C256BC4"/>
    <w:rsid w:val="0C2F47B2"/>
    <w:rsid w:val="0C6C0378"/>
    <w:rsid w:val="0C6E092A"/>
    <w:rsid w:val="0CD964C0"/>
    <w:rsid w:val="0CEF0052"/>
    <w:rsid w:val="0CFE6F4D"/>
    <w:rsid w:val="0D6954C9"/>
    <w:rsid w:val="0D892CEA"/>
    <w:rsid w:val="0D9149EC"/>
    <w:rsid w:val="0DE93979"/>
    <w:rsid w:val="0E0D58BA"/>
    <w:rsid w:val="0E41541B"/>
    <w:rsid w:val="0E4C0891"/>
    <w:rsid w:val="0E6A4ABA"/>
    <w:rsid w:val="0E906562"/>
    <w:rsid w:val="0EC73CBB"/>
    <w:rsid w:val="0F0B4D77"/>
    <w:rsid w:val="0F1A64E0"/>
    <w:rsid w:val="0F9242C9"/>
    <w:rsid w:val="0FAC34B5"/>
    <w:rsid w:val="0FD111F9"/>
    <w:rsid w:val="0FE72A8E"/>
    <w:rsid w:val="0FE86177"/>
    <w:rsid w:val="100E5C5D"/>
    <w:rsid w:val="108E36A2"/>
    <w:rsid w:val="109C4CD3"/>
    <w:rsid w:val="10B17CB6"/>
    <w:rsid w:val="10B95885"/>
    <w:rsid w:val="10CC55B8"/>
    <w:rsid w:val="10EC17B7"/>
    <w:rsid w:val="113A28AC"/>
    <w:rsid w:val="113E5D8A"/>
    <w:rsid w:val="1173012A"/>
    <w:rsid w:val="12294595"/>
    <w:rsid w:val="12723F3D"/>
    <w:rsid w:val="12D41EA1"/>
    <w:rsid w:val="13160D6D"/>
    <w:rsid w:val="132407EB"/>
    <w:rsid w:val="13267BB2"/>
    <w:rsid w:val="1345175E"/>
    <w:rsid w:val="1356081D"/>
    <w:rsid w:val="136D1018"/>
    <w:rsid w:val="139F6FB4"/>
    <w:rsid w:val="13A61557"/>
    <w:rsid w:val="13FA41EA"/>
    <w:rsid w:val="141A2ADF"/>
    <w:rsid w:val="14305E5E"/>
    <w:rsid w:val="14410636"/>
    <w:rsid w:val="14D54E43"/>
    <w:rsid w:val="14E5136C"/>
    <w:rsid w:val="14ED470C"/>
    <w:rsid w:val="14F304D9"/>
    <w:rsid w:val="152267CB"/>
    <w:rsid w:val="152D239E"/>
    <w:rsid w:val="1534020A"/>
    <w:rsid w:val="1546154A"/>
    <w:rsid w:val="15506AC4"/>
    <w:rsid w:val="15897F1C"/>
    <w:rsid w:val="158F487A"/>
    <w:rsid w:val="15936D40"/>
    <w:rsid w:val="159D5775"/>
    <w:rsid w:val="15C50828"/>
    <w:rsid w:val="15E433A4"/>
    <w:rsid w:val="15EA64E1"/>
    <w:rsid w:val="161A308D"/>
    <w:rsid w:val="162419F3"/>
    <w:rsid w:val="162E18B7"/>
    <w:rsid w:val="16756030"/>
    <w:rsid w:val="16B872A0"/>
    <w:rsid w:val="17463BEB"/>
    <w:rsid w:val="1783568D"/>
    <w:rsid w:val="17AC7C61"/>
    <w:rsid w:val="17C074F9"/>
    <w:rsid w:val="17D720A0"/>
    <w:rsid w:val="18441ED8"/>
    <w:rsid w:val="184B14B9"/>
    <w:rsid w:val="18610ACF"/>
    <w:rsid w:val="186741A6"/>
    <w:rsid w:val="18E67566"/>
    <w:rsid w:val="18FF5DC0"/>
    <w:rsid w:val="19552546"/>
    <w:rsid w:val="196D36B1"/>
    <w:rsid w:val="19866810"/>
    <w:rsid w:val="19AE3BE4"/>
    <w:rsid w:val="19CE6A7A"/>
    <w:rsid w:val="19DA034B"/>
    <w:rsid w:val="1A204C45"/>
    <w:rsid w:val="1A450189"/>
    <w:rsid w:val="1A8A3DEE"/>
    <w:rsid w:val="1AD00261"/>
    <w:rsid w:val="1ADC652C"/>
    <w:rsid w:val="1B2D1349"/>
    <w:rsid w:val="1B721541"/>
    <w:rsid w:val="1B8158F9"/>
    <w:rsid w:val="1BC710CE"/>
    <w:rsid w:val="1BF34341"/>
    <w:rsid w:val="1C337246"/>
    <w:rsid w:val="1C8B457A"/>
    <w:rsid w:val="1CAE45F8"/>
    <w:rsid w:val="1CC34CB6"/>
    <w:rsid w:val="1CE123EB"/>
    <w:rsid w:val="1CEB326A"/>
    <w:rsid w:val="1CF17C0D"/>
    <w:rsid w:val="1D0420F9"/>
    <w:rsid w:val="1D0C1BFF"/>
    <w:rsid w:val="1D1D5EBA"/>
    <w:rsid w:val="1D423FD6"/>
    <w:rsid w:val="1DB41668"/>
    <w:rsid w:val="1DBB18F2"/>
    <w:rsid w:val="1DCD2D6C"/>
    <w:rsid w:val="1DD46B60"/>
    <w:rsid w:val="1E0E56B6"/>
    <w:rsid w:val="1E205195"/>
    <w:rsid w:val="1E3E760D"/>
    <w:rsid w:val="1EB35E36"/>
    <w:rsid w:val="1EE066D3"/>
    <w:rsid w:val="1EE96423"/>
    <w:rsid w:val="1F784B5D"/>
    <w:rsid w:val="1F81170B"/>
    <w:rsid w:val="1F884DA0"/>
    <w:rsid w:val="1F9F033C"/>
    <w:rsid w:val="202A3B7F"/>
    <w:rsid w:val="204C21A9"/>
    <w:rsid w:val="20745325"/>
    <w:rsid w:val="20796DDF"/>
    <w:rsid w:val="20860810"/>
    <w:rsid w:val="20BE2540"/>
    <w:rsid w:val="20C468BD"/>
    <w:rsid w:val="20F956A3"/>
    <w:rsid w:val="216830DB"/>
    <w:rsid w:val="21A8797C"/>
    <w:rsid w:val="21AC487F"/>
    <w:rsid w:val="21C32BC8"/>
    <w:rsid w:val="21CE43E2"/>
    <w:rsid w:val="2213116A"/>
    <w:rsid w:val="221F72BC"/>
    <w:rsid w:val="226E54AF"/>
    <w:rsid w:val="22900A04"/>
    <w:rsid w:val="22D325E5"/>
    <w:rsid w:val="22DA1DB7"/>
    <w:rsid w:val="232B1631"/>
    <w:rsid w:val="233A1331"/>
    <w:rsid w:val="23424B05"/>
    <w:rsid w:val="234A4B03"/>
    <w:rsid w:val="235776A0"/>
    <w:rsid w:val="236C244C"/>
    <w:rsid w:val="237C1F4F"/>
    <w:rsid w:val="23843AD1"/>
    <w:rsid w:val="23947CBC"/>
    <w:rsid w:val="23AA1942"/>
    <w:rsid w:val="23C50F37"/>
    <w:rsid w:val="24002111"/>
    <w:rsid w:val="24155B58"/>
    <w:rsid w:val="246C2EE2"/>
    <w:rsid w:val="24A46417"/>
    <w:rsid w:val="251C3F66"/>
    <w:rsid w:val="25341526"/>
    <w:rsid w:val="25346694"/>
    <w:rsid w:val="25621849"/>
    <w:rsid w:val="256F218B"/>
    <w:rsid w:val="2596481E"/>
    <w:rsid w:val="25E940BF"/>
    <w:rsid w:val="26110C22"/>
    <w:rsid w:val="26127ABA"/>
    <w:rsid w:val="26282E39"/>
    <w:rsid w:val="262F241A"/>
    <w:rsid w:val="26335EA9"/>
    <w:rsid w:val="26431A21"/>
    <w:rsid w:val="26796E41"/>
    <w:rsid w:val="26CB209E"/>
    <w:rsid w:val="26D610CE"/>
    <w:rsid w:val="26DD1644"/>
    <w:rsid w:val="26F07C73"/>
    <w:rsid w:val="272417A6"/>
    <w:rsid w:val="272E26D1"/>
    <w:rsid w:val="274F43F6"/>
    <w:rsid w:val="276E261A"/>
    <w:rsid w:val="27DC037F"/>
    <w:rsid w:val="283E4ED3"/>
    <w:rsid w:val="285C7EEE"/>
    <w:rsid w:val="28650375"/>
    <w:rsid w:val="287113E7"/>
    <w:rsid w:val="28730F6F"/>
    <w:rsid w:val="28CB3559"/>
    <w:rsid w:val="291D49C0"/>
    <w:rsid w:val="29302A75"/>
    <w:rsid w:val="294F398C"/>
    <w:rsid w:val="2988487B"/>
    <w:rsid w:val="29B6075C"/>
    <w:rsid w:val="29BB7A14"/>
    <w:rsid w:val="29C15A7E"/>
    <w:rsid w:val="2A092F82"/>
    <w:rsid w:val="2A5936D1"/>
    <w:rsid w:val="2A647AD1"/>
    <w:rsid w:val="2B517232"/>
    <w:rsid w:val="2B674404"/>
    <w:rsid w:val="2BAE08A9"/>
    <w:rsid w:val="2BBD2276"/>
    <w:rsid w:val="2BBD4024"/>
    <w:rsid w:val="2BBD5189"/>
    <w:rsid w:val="2C157445"/>
    <w:rsid w:val="2C303E72"/>
    <w:rsid w:val="2C951EE7"/>
    <w:rsid w:val="2CD36EE4"/>
    <w:rsid w:val="2CD5539D"/>
    <w:rsid w:val="2D0A1C3E"/>
    <w:rsid w:val="2D7626DC"/>
    <w:rsid w:val="2D7D240A"/>
    <w:rsid w:val="2DA07759"/>
    <w:rsid w:val="2DA72631"/>
    <w:rsid w:val="2DB9081B"/>
    <w:rsid w:val="2DBC5773"/>
    <w:rsid w:val="2DD54B82"/>
    <w:rsid w:val="2DDA307F"/>
    <w:rsid w:val="2DE16FF1"/>
    <w:rsid w:val="2E1076DF"/>
    <w:rsid w:val="2E4713D7"/>
    <w:rsid w:val="2EBC0E9B"/>
    <w:rsid w:val="2F2E3297"/>
    <w:rsid w:val="2F6F10AC"/>
    <w:rsid w:val="2F7430D3"/>
    <w:rsid w:val="3020163E"/>
    <w:rsid w:val="30450A8C"/>
    <w:rsid w:val="30561931"/>
    <w:rsid w:val="305B6056"/>
    <w:rsid w:val="3061139D"/>
    <w:rsid w:val="306B38D5"/>
    <w:rsid w:val="307A1B14"/>
    <w:rsid w:val="30A457B2"/>
    <w:rsid w:val="30BA3228"/>
    <w:rsid w:val="311A0102"/>
    <w:rsid w:val="31411253"/>
    <w:rsid w:val="315D4594"/>
    <w:rsid w:val="31B613E7"/>
    <w:rsid w:val="31FC39FE"/>
    <w:rsid w:val="325C3504"/>
    <w:rsid w:val="326D124B"/>
    <w:rsid w:val="327B09F9"/>
    <w:rsid w:val="32D00AE0"/>
    <w:rsid w:val="32F22F2C"/>
    <w:rsid w:val="33392B13"/>
    <w:rsid w:val="334868C9"/>
    <w:rsid w:val="334B4DE1"/>
    <w:rsid w:val="335D0FEB"/>
    <w:rsid w:val="337413A2"/>
    <w:rsid w:val="33B43F5E"/>
    <w:rsid w:val="33C442FB"/>
    <w:rsid w:val="34176E2B"/>
    <w:rsid w:val="34295823"/>
    <w:rsid w:val="34324F09"/>
    <w:rsid w:val="34672E6B"/>
    <w:rsid w:val="34701F8E"/>
    <w:rsid w:val="3491604D"/>
    <w:rsid w:val="34931DC5"/>
    <w:rsid w:val="34975448"/>
    <w:rsid w:val="34C74165"/>
    <w:rsid w:val="34C77E26"/>
    <w:rsid w:val="35074561"/>
    <w:rsid w:val="35393C9F"/>
    <w:rsid w:val="353A55C4"/>
    <w:rsid w:val="354800D3"/>
    <w:rsid w:val="3568399B"/>
    <w:rsid w:val="356F4547"/>
    <w:rsid w:val="35AD4761"/>
    <w:rsid w:val="35EE6B46"/>
    <w:rsid w:val="3637596B"/>
    <w:rsid w:val="36453593"/>
    <w:rsid w:val="365A518D"/>
    <w:rsid w:val="36666547"/>
    <w:rsid w:val="36723C5D"/>
    <w:rsid w:val="3687718E"/>
    <w:rsid w:val="371C7CDB"/>
    <w:rsid w:val="372E0EA9"/>
    <w:rsid w:val="378266D7"/>
    <w:rsid w:val="378C0D4E"/>
    <w:rsid w:val="3791731C"/>
    <w:rsid w:val="37920FAE"/>
    <w:rsid w:val="379F5671"/>
    <w:rsid w:val="37B87D95"/>
    <w:rsid w:val="37C57EB5"/>
    <w:rsid w:val="3836588A"/>
    <w:rsid w:val="38A913FB"/>
    <w:rsid w:val="38C22C79"/>
    <w:rsid w:val="38C434E7"/>
    <w:rsid w:val="39246F7F"/>
    <w:rsid w:val="396744D3"/>
    <w:rsid w:val="39CE564E"/>
    <w:rsid w:val="39DC105A"/>
    <w:rsid w:val="39ED5EF2"/>
    <w:rsid w:val="3A017867"/>
    <w:rsid w:val="3A0755AF"/>
    <w:rsid w:val="3A330A85"/>
    <w:rsid w:val="3A6B2869"/>
    <w:rsid w:val="3AF3F2EB"/>
    <w:rsid w:val="3AF64F07"/>
    <w:rsid w:val="3B4A1BD1"/>
    <w:rsid w:val="3B731C51"/>
    <w:rsid w:val="3B7D37CF"/>
    <w:rsid w:val="3B927983"/>
    <w:rsid w:val="3B987A82"/>
    <w:rsid w:val="3BC22C4A"/>
    <w:rsid w:val="3BC32759"/>
    <w:rsid w:val="3BF94DC8"/>
    <w:rsid w:val="3BFF19D6"/>
    <w:rsid w:val="3CCB3847"/>
    <w:rsid w:val="3CE07B72"/>
    <w:rsid w:val="3D163594"/>
    <w:rsid w:val="3D325119"/>
    <w:rsid w:val="3D5D11C3"/>
    <w:rsid w:val="3DC50FE1"/>
    <w:rsid w:val="3DCD5411"/>
    <w:rsid w:val="3DE03E93"/>
    <w:rsid w:val="3E0F1662"/>
    <w:rsid w:val="3E1825AE"/>
    <w:rsid w:val="3E184958"/>
    <w:rsid w:val="3E975C30"/>
    <w:rsid w:val="3EEE39B8"/>
    <w:rsid w:val="3EFC33DC"/>
    <w:rsid w:val="3F0B0350"/>
    <w:rsid w:val="3F1E2BD3"/>
    <w:rsid w:val="3F41048B"/>
    <w:rsid w:val="3F4A5777"/>
    <w:rsid w:val="3F652075"/>
    <w:rsid w:val="3F6A5E19"/>
    <w:rsid w:val="3F8769CB"/>
    <w:rsid w:val="3F917849"/>
    <w:rsid w:val="3F9B2476"/>
    <w:rsid w:val="3FAF245D"/>
    <w:rsid w:val="40116243"/>
    <w:rsid w:val="401F181F"/>
    <w:rsid w:val="402E5098"/>
    <w:rsid w:val="40381FD8"/>
    <w:rsid w:val="405D6A86"/>
    <w:rsid w:val="406B648E"/>
    <w:rsid w:val="40702DA4"/>
    <w:rsid w:val="4081601B"/>
    <w:rsid w:val="40895FE4"/>
    <w:rsid w:val="40C8729B"/>
    <w:rsid w:val="40D21EC7"/>
    <w:rsid w:val="40F25E98"/>
    <w:rsid w:val="412929F5"/>
    <w:rsid w:val="41A62134"/>
    <w:rsid w:val="41D852BC"/>
    <w:rsid w:val="41ED2F39"/>
    <w:rsid w:val="423D37ED"/>
    <w:rsid w:val="424640B4"/>
    <w:rsid w:val="42535317"/>
    <w:rsid w:val="42697029"/>
    <w:rsid w:val="426A7A5E"/>
    <w:rsid w:val="42743B36"/>
    <w:rsid w:val="427D3234"/>
    <w:rsid w:val="42EE0B0F"/>
    <w:rsid w:val="434123BC"/>
    <w:rsid w:val="43762FDE"/>
    <w:rsid w:val="43844635"/>
    <w:rsid w:val="43A854C3"/>
    <w:rsid w:val="441961FB"/>
    <w:rsid w:val="446077EA"/>
    <w:rsid w:val="446C28F4"/>
    <w:rsid w:val="44896D41"/>
    <w:rsid w:val="448A01E5"/>
    <w:rsid w:val="449A410D"/>
    <w:rsid w:val="45232CF2"/>
    <w:rsid w:val="452B1BA6"/>
    <w:rsid w:val="4535516F"/>
    <w:rsid w:val="45CF10A4"/>
    <w:rsid w:val="461432E7"/>
    <w:rsid w:val="46163AEC"/>
    <w:rsid w:val="46376244"/>
    <w:rsid w:val="46AC3D57"/>
    <w:rsid w:val="46B0131A"/>
    <w:rsid w:val="471F398D"/>
    <w:rsid w:val="474A75FF"/>
    <w:rsid w:val="47716549"/>
    <w:rsid w:val="478832E0"/>
    <w:rsid w:val="47B02837"/>
    <w:rsid w:val="480B6463"/>
    <w:rsid w:val="480C3F11"/>
    <w:rsid w:val="483A2F61"/>
    <w:rsid w:val="48623B77"/>
    <w:rsid w:val="48AC4514"/>
    <w:rsid w:val="4927509E"/>
    <w:rsid w:val="49672168"/>
    <w:rsid w:val="49695393"/>
    <w:rsid w:val="49986985"/>
    <w:rsid w:val="49B303BC"/>
    <w:rsid w:val="49E431D6"/>
    <w:rsid w:val="4A1D6743"/>
    <w:rsid w:val="4ADB5E1D"/>
    <w:rsid w:val="4AEF7DF5"/>
    <w:rsid w:val="4AFB201B"/>
    <w:rsid w:val="4B127C87"/>
    <w:rsid w:val="4B43781D"/>
    <w:rsid w:val="4B592DF2"/>
    <w:rsid w:val="4B6C3F0C"/>
    <w:rsid w:val="4B8E2E8F"/>
    <w:rsid w:val="4BA206E8"/>
    <w:rsid w:val="4BD60CBD"/>
    <w:rsid w:val="4BD60E0F"/>
    <w:rsid w:val="4BF1634C"/>
    <w:rsid w:val="4C4E1B02"/>
    <w:rsid w:val="4CB66E9B"/>
    <w:rsid w:val="4CEC60BF"/>
    <w:rsid w:val="4D77283F"/>
    <w:rsid w:val="4D8276A6"/>
    <w:rsid w:val="4D8602C2"/>
    <w:rsid w:val="4DC24FD1"/>
    <w:rsid w:val="4DC9440C"/>
    <w:rsid w:val="4DE030F1"/>
    <w:rsid w:val="4E337796"/>
    <w:rsid w:val="4E654CC7"/>
    <w:rsid w:val="4E6C1A05"/>
    <w:rsid w:val="4E740A62"/>
    <w:rsid w:val="4E880069"/>
    <w:rsid w:val="4ED00DDD"/>
    <w:rsid w:val="4EE10BC7"/>
    <w:rsid w:val="4EEE147E"/>
    <w:rsid w:val="4EF72C5F"/>
    <w:rsid w:val="4EFD3E88"/>
    <w:rsid w:val="4F7C63B2"/>
    <w:rsid w:val="4FAE3356"/>
    <w:rsid w:val="4FB16BA6"/>
    <w:rsid w:val="50561D57"/>
    <w:rsid w:val="50C14AC6"/>
    <w:rsid w:val="50E81293"/>
    <w:rsid w:val="50F94B8D"/>
    <w:rsid w:val="51010D0B"/>
    <w:rsid w:val="51027E0E"/>
    <w:rsid w:val="51445CCA"/>
    <w:rsid w:val="515A3F3F"/>
    <w:rsid w:val="518B234A"/>
    <w:rsid w:val="518D741E"/>
    <w:rsid w:val="51C969CF"/>
    <w:rsid w:val="51CE45F8"/>
    <w:rsid w:val="51D83E90"/>
    <w:rsid w:val="52141539"/>
    <w:rsid w:val="522D51B0"/>
    <w:rsid w:val="52513B96"/>
    <w:rsid w:val="52BD0B4B"/>
    <w:rsid w:val="52CF2637"/>
    <w:rsid w:val="52DC670B"/>
    <w:rsid w:val="53081779"/>
    <w:rsid w:val="535B3820"/>
    <w:rsid w:val="537B5C78"/>
    <w:rsid w:val="5387418D"/>
    <w:rsid w:val="53C876DD"/>
    <w:rsid w:val="53E9390D"/>
    <w:rsid w:val="54362816"/>
    <w:rsid w:val="549013A5"/>
    <w:rsid w:val="549D325E"/>
    <w:rsid w:val="549E19E4"/>
    <w:rsid w:val="54FE6DA6"/>
    <w:rsid w:val="550574B9"/>
    <w:rsid w:val="5552317F"/>
    <w:rsid w:val="55E344FB"/>
    <w:rsid w:val="56044479"/>
    <w:rsid w:val="56045BC3"/>
    <w:rsid w:val="563814C2"/>
    <w:rsid w:val="56382375"/>
    <w:rsid w:val="565F4DEF"/>
    <w:rsid w:val="56B56E27"/>
    <w:rsid w:val="56EE1076"/>
    <w:rsid w:val="56F40992"/>
    <w:rsid w:val="571122C3"/>
    <w:rsid w:val="571D5280"/>
    <w:rsid w:val="575530A4"/>
    <w:rsid w:val="5770472C"/>
    <w:rsid w:val="57985019"/>
    <w:rsid w:val="57CE151F"/>
    <w:rsid w:val="57DF519E"/>
    <w:rsid w:val="581B3CFC"/>
    <w:rsid w:val="583208C4"/>
    <w:rsid w:val="585A56FD"/>
    <w:rsid w:val="58685A29"/>
    <w:rsid w:val="58B63581"/>
    <w:rsid w:val="58D8399B"/>
    <w:rsid w:val="58E42340"/>
    <w:rsid w:val="5906675A"/>
    <w:rsid w:val="59356903"/>
    <w:rsid w:val="596D4A2C"/>
    <w:rsid w:val="59825956"/>
    <w:rsid w:val="59ED5FFB"/>
    <w:rsid w:val="5A1D5B0A"/>
    <w:rsid w:val="5A6951F3"/>
    <w:rsid w:val="5A8F0E30"/>
    <w:rsid w:val="5A9102A6"/>
    <w:rsid w:val="5ABC1D08"/>
    <w:rsid w:val="5AF7234D"/>
    <w:rsid w:val="5AFC6067"/>
    <w:rsid w:val="5AFEBF3D"/>
    <w:rsid w:val="5B1B31BD"/>
    <w:rsid w:val="5B2B408B"/>
    <w:rsid w:val="5B914A01"/>
    <w:rsid w:val="5BF136F2"/>
    <w:rsid w:val="5BF1724E"/>
    <w:rsid w:val="5C335AB8"/>
    <w:rsid w:val="5C366FAA"/>
    <w:rsid w:val="5C3E6D55"/>
    <w:rsid w:val="5D123920"/>
    <w:rsid w:val="5D4A4468"/>
    <w:rsid w:val="5D4D722F"/>
    <w:rsid w:val="5D737A8D"/>
    <w:rsid w:val="5D92680F"/>
    <w:rsid w:val="5DBE01C1"/>
    <w:rsid w:val="5DF11787"/>
    <w:rsid w:val="5E241F81"/>
    <w:rsid w:val="5E987679"/>
    <w:rsid w:val="5EC17D0E"/>
    <w:rsid w:val="5EC56770"/>
    <w:rsid w:val="5EF56E02"/>
    <w:rsid w:val="5F294CBF"/>
    <w:rsid w:val="5F567CBC"/>
    <w:rsid w:val="5F8E3006"/>
    <w:rsid w:val="60025ECE"/>
    <w:rsid w:val="60172FFB"/>
    <w:rsid w:val="60430294"/>
    <w:rsid w:val="6053406B"/>
    <w:rsid w:val="609850D2"/>
    <w:rsid w:val="609D7154"/>
    <w:rsid w:val="60DB105E"/>
    <w:rsid w:val="615A7643"/>
    <w:rsid w:val="61672CA7"/>
    <w:rsid w:val="61761FA3"/>
    <w:rsid w:val="61B8559E"/>
    <w:rsid w:val="61CA6996"/>
    <w:rsid w:val="620670CF"/>
    <w:rsid w:val="6218666F"/>
    <w:rsid w:val="623B13FF"/>
    <w:rsid w:val="627961EF"/>
    <w:rsid w:val="62A121C0"/>
    <w:rsid w:val="638075A6"/>
    <w:rsid w:val="6394761A"/>
    <w:rsid w:val="63AA5AE1"/>
    <w:rsid w:val="63B35E12"/>
    <w:rsid w:val="63B37191"/>
    <w:rsid w:val="63C56DC9"/>
    <w:rsid w:val="63FC4DFC"/>
    <w:rsid w:val="640E2967"/>
    <w:rsid w:val="647E189B"/>
    <w:rsid w:val="648222B1"/>
    <w:rsid w:val="648A4BD7"/>
    <w:rsid w:val="648E0A50"/>
    <w:rsid w:val="64AA3555"/>
    <w:rsid w:val="64EB7B44"/>
    <w:rsid w:val="65530F79"/>
    <w:rsid w:val="657B2BDA"/>
    <w:rsid w:val="658253BB"/>
    <w:rsid w:val="66177FF5"/>
    <w:rsid w:val="662139BC"/>
    <w:rsid w:val="665925BF"/>
    <w:rsid w:val="66CB4B3F"/>
    <w:rsid w:val="66ED40D9"/>
    <w:rsid w:val="678B49FB"/>
    <w:rsid w:val="67D16185"/>
    <w:rsid w:val="681E586F"/>
    <w:rsid w:val="68233675"/>
    <w:rsid w:val="68294E76"/>
    <w:rsid w:val="682A3EB2"/>
    <w:rsid w:val="682D7860"/>
    <w:rsid w:val="68371F51"/>
    <w:rsid w:val="684A3A87"/>
    <w:rsid w:val="688B4586"/>
    <w:rsid w:val="68CB1C70"/>
    <w:rsid w:val="692066FE"/>
    <w:rsid w:val="693A6BA4"/>
    <w:rsid w:val="69906823"/>
    <w:rsid w:val="69A91EC1"/>
    <w:rsid w:val="69BF2078"/>
    <w:rsid w:val="69C3050D"/>
    <w:rsid w:val="69C96CB7"/>
    <w:rsid w:val="69E66E4A"/>
    <w:rsid w:val="69F10699"/>
    <w:rsid w:val="69FB667B"/>
    <w:rsid w:val="6A152CA1"/>
    <w:rsid w:val="6A503CD9"/>
    <w:rsid w:val="6A521800"/>
    <w:rsid w:val="6A743740"/>
    <w:rsid w:val="6AC01603"/>
    <w:rsid w:val="6AC831BA"/>
    <w:rsid w:val="6AD77F57"/>
    <w:rsid w:val="6AE33C13"/>
    <w:rsid w:val="6B274974"/>
    <w:rsid w:val="6B2B4B6E"/>
    <w:rsid w:val="6BD66460"/>
    <w:rsid w:val="6BEE41B2"/>
    <w:rsid w:val="6BEF65DC"/>
    <w:rsid w:val="6BF5559A"/>
    <w:rsid w:val="6C292A34"/>
    <w:rsid w:val="6C5B3FEE"/>
    <w:rsid w:val="6CA67BE1"/>
    <w:rsid w:val="6CC91B21"/>
    <w:rsid w:val="6CFA7F2C"/>
    <w:rsid w:val="6D4011B3"/>
    <w:rsid w:val="6D446BE9"/>
    <w:rsid w:val="6D4F5DC4"/>
    <w:rsid w:val="6D6F4477"/>
    <w:rsid w:val="6D9B4D71"/>
    <w:rsid w:val="6DCE3893"/>
    <w:rsid w:val="6DEB359F"/>
    <w:rsid w:val="6E641B9E"/>
    <w:rsid w:val="6E70494A"/>
    <w:rsid w:val="6ED529FF"/>
    <w:rsid w:val="6EE7156F"/>
    <w:rsid w:val="6F4F4560"/>
    <w:rsid w:val="6F5326FC"/>
    <w:rsid w:val="6FD54B0D"/>
    <w:rsid w:val="700E38B4"/>
    <w:rsid w:val="703B7619"/>
    <w:rsid w:val="70587444"/>
    <w:rsid w:val="70767258"/>
    <w:rsid w:val="709817FC"/>
    <w:rsid w:val="70A80673"/>
    <w:rsid w:val="70EB5A09"/>
    <w:rsid w:val="70FA7E79"/>
    <w:rsid w:val="71AC3E99"/>
    <w:rsid w:val="71BC35A7"/>
    <w:rsid w:val="71CC7543"/>
    <w:rsid w:val="71D94387"/>
    <w:rsid w:val="71E2790D"/>
    <w:rsid w:val="71F118FE"/>
    <w:rsid w:val="72550A0C"/>
    <w:rsid w:val="726B1086"/>
    <w:rsid w:val="72751F3D"/>
    <w:rsid w:val="72B34E05"/>
    <w:rsid w:val="72DD2FC3"/>
    <w:rsid w:val="72DF6CFB"/>
    <w:rsid w:val="72EC59F3"/>
    <w:rsid w:val="73056CA2"/>
    <w:rsid w:val="733817AF"/>
    <w:rsid w:val="735B4282"/>
    <w:rsid w:val="73744972"/>
    <w:rsid w:val="73870E76"/>
    <w:rsid w:val="73B01345"/>
    <w:rsid w:val="73B9644B"/>
    <w:rsid w:val="743238EB"/>
    <w:rsid w:val="74704BFA"/>
    <w:rsid w:val="747D1B6F"/>
    <w:rsid w:val="74CC240C"/>
    <w:rsid w:val="74F523FA"/>
    <w:rsid w:val="74FF2C6A"/>
    <w:rsid w:val="75412B9C"/>
    <w:rsid w:val="75422470"/>
    <w:rsid w:val="75837DD3"/>
    <w:rsid w:val="758D6694"/>
    <w:rsid w:val="75D0784A"/>
    <w:rsid w:val="75D25EEA"/>
    <w:rsid w:val="75DB4D9F"/>
    <w:rsid w:val="76027506"/>
    <w:rsid w:val="76534488"/>
    <w:rsid w:val="76917230"/>
    <w:rsid w:val="76D11CFE"/>
    <w:rsid w:val="76E705DA"/>
    <w:rsid w:val="77100BCB"/>
    <w:rsid w:val="78247295"/>
    <w:rsid w:val="78276D39"/>
    <w:rsid w:val="783A362B"/>
    <w:rsid w:val="783B5152"/>
    <w:rsid w:val="78AE2554"/>
    <w:rsid w:val="78B45F79"/>
    <w:rsid w:val="78CB48CC"/>
    <w:rsid w:val="78D50DA9"/>
    <w:rsid w:val="790C526F"/>
    <w:rsid w:val="79146697"/>
    <w:rsid w:val="79222CE5"/>
    <w:rsid w:val="796C3677"/>
    <w:rsid w:val="799C5807"/>
    <w:rsid w:val="79BF2452"/>
    <w:rsid w:val="79E65AC0"/>
    <w:rsid w:val="7A121684"/>
    <w:rsid w:val="7A426487"/>
    <w:rsid w:val="7A8C40C7"/>
    <w:rsid w:val="7A926205"/>
    <w:rsid w:val="7AB07D25"/>
    <w:rsid w:val="7ABD4338"/>
    <w:rsid w:val="7B123B4C"/>
    <w:rsid w:val="7B2F5245"/>
    <w:rsid w:val="7B450F0D"/>
    <w:rsid w:val="7B8063CB"/>
    <w:rsid w:val="7C5E2DEC"/>
    <w:rsid w:val="7C745605"/>
    <w:rsid w:val="7CB41133"/>
    <w:rsid w:val="7CE0119F"/>
    <w:rsid w:val="7D1D3EEF"/>
    <w:rsid w:val="7D251E4F"/>
    <w:rsid w:val="7D2A26F5"/>
    <w:rsid w:val="7D2B3DCB"/>
    <w:rsid w:val="7D31799A"/>
    <w:rsid w:val="7DB163E5"/>
    <w:rsid w:val="7DB46764"/>
    <w:rsid w:val="7DBF3B0B"/>
    <w:rsid w:val="7DDC1DDC"/>
    <w:rsid w:val="7DF031C2"/>
    <w:rsid w:val="7DF23ADE"/>
    <w:rsid w:val="7E4D4360"/>
    <w:rsid w:val="7E910085"/>
    <w:rsid w:val="7E997290"/>
    <w:rsid w:val="7F373921"/>
    <w:rsid w:val="7F617B4A"/>
    <w:rsid w:val="7FC854BA"/>
    <w:rsid w:val="7FFE6CB8"/>
    <w:rsid w:val="DFBF3EFF"/>
    <w:rsid w:val="EE5EA90C"/>
    <w:rsid w:val="FBEF138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nhideWhenUsed="0" w:uiPriority="0" w:semiHidden="0" w:name="List Bullet"/>
    <w:lsdException w:uiPriority="0" w:name="List Number"/>
    <w:lsdException w:uiPriority="0" w:name="List 2"/>
    <w:lsdException w:qFormat="1" w:unhideWhenUsed="0" w:uiPriority="99"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iPriority="99" w:semiHidden="0" w:name="Body Text First Indent"/>
    <w:lsdException w:qFormat="1" w:unhideWhenUsed="0" w:uiPriority="0" w:semiHidden="0" w:name="Body Text First Indent 2"/>
    <w:lsdException w:uiPriority="0" w:name="Note Heading"/>
    <w:lsdException w:qFormat="1" w:uiPriority="99" w:semiHidden="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52"/>
    <w:autoRedefine/>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46"/>
    <w:autoRedefine/>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autoRedefine/>
    <w:qFormat/>
    <w:uiPriority w:val="0"/>
    <w:pPr>
      <w:keepNext/>
      <w:outlineLvl w:val="3"/>
    </w:pPr>
    <w:rPr>
      <w:rFonts w:ascii="Times New Roman" w:hAnsi="Times New Roman" w:eastAsia="宋体" w:cs="Times New Roman"/>
      <w:sz w:val="28"/>
      <w:szCs w:val="20"/>
    </w:rPr>
  </w:style>
  <w:style w:type="character" w:default="1" w:styleId="30">
    <w:name w:val="Default Paragraph Font"/>
    <w:autoRedefine/>
    <w:semiHidden/>
    <w:unhideWhenUsed/>
    <w:qFormat/>
    <w:uiPriority w:val="1"/>
  </w:style>
  <w:style w:type="table" w:default="1" w:styleId="28">
    <w:name w:val="Normal Table"/>
    <w:autoRedefine/>
    <w:semiHidden/>
    <w:unhideWhenUsed/>
    <w:qFormat/>
    <w:uiPriority w:val="99"/>
    <w:tblPr>
      <w:tblCellMar>
        <w:top w:w="0" w:type="dxa"/>
        <w:left w:w="108" w:type="dxa"/>
        <w:bottom w:w="0" w:type="dxa"/>
        <w:right w:w="108" w:type="dxa"/>
      </w:tblCellMar>
    </w:tblPr>
  </w:style>
  <w:style w:type="paragraph" w:styleId="6">
    <w:name w:val="List 3"/>
    <w:basedOn w:val="1"/>
    <w:autoRedefine/>
    <w:qFormat/>
    <w:uiPriority w:val="99"/>
    <w:pPr>
      <w:ind w:left="100" w:leftChars="400" w:hanging="200" w:hangingChars="200"/>
    </w:pPr>
    <w:rPr>
      <w:rFonts w:ascii="Times New Roman" w:hAnsi="Times New Roman" w:eastAsia="宋体" w:cs="Times New Roman"/>
      <w:szCs w:val="20"/>
    </w:rPr>
  </w:style>
  <w:style w:type="paragraph" w:styleId="7">
    <w:name w:val="Normal Indent"/>
    <w:basedOn w:val="1"/>
    <w:next w:val="1"/>
    <w:link w:val="50"/>
    <w:autoRedefine/>
    <w:qFormat/>
    <w:uiPriority w:val="99"/>
    <w:pPr>
      <w:widowControl/>
      <w:ind w:firstLine="420" w:firstLineChars="200"/>
      <w:jc w:val="left"/>
    </w:pPr>
    <w:rPr>
      <w:szCs w:val="22"/>
    </w:rPr>
  </w:style>
  <w:style w:type="paragraph" w:styleId="8">
    <w:name w:val="Document Map"/>
    <w:basedOn w:val="1"/>
    <w:link w:val="53"/>
    <w:autoRedefine/>
    <w:qFormat/>
    <w:uiPriority w:val="0"/>
    <w:pPr>
      <w:widowControl/>
      <w:jc w:val="left"/>
    </w:pPr>
    <w:rPr>
      <w:rFonts w:ascii="微软雅黑" w:hAnsi="微软雅黑" w:eastAsia="宋体" w:cs="Times New Roman"/>
      <w:kern w:val="0"/>
      <w:sz w:val="18"/>
      <w:szCs w:val="18"/>
    </w:rPr>
  </w:style>
  <w:style w:type="paragraph" w:styleId="9">
    <w:name w:val="annotation text"/>
    <w:basedOn w:val="1"/>
    <w:link w:val="37"/>
    <w:autoRedefine/>
    <w:qFormat/>
    <w:uiPriority w:val="99"/>
    <w:pPr>
      <w:jc w:val="left"/>
    </w:pPr>
  </w:style>
  <w:style w:type="paragraph" w:styleId="10">
    <w:name w:val="Body Text"/>
    <w:basedOn w:val="1"/>
    <w:next w:val="1"/>
    <w:autoRedefine/>
    <w:qFormat/>
    <w:uiPriority w:val="0"/>
    <w:pPr>
      <w:spacing w:after="120"/>
    </w:pPr>
  </w:style>
  <w:style w:type="paragraph" w:styleId="11">
    <w:name w:val="Body Text Indent"/>
    <w:basedOn w:val="1"/>
    <w:autoRedefine/>
    <w:unhideWhenUsed/>
    <w:qFormat/>
    <w:uiPriority w:val="99"/>
    <w:pPr>
      <w:spacing w:after="120"/>
      <w:ind w:left="420" w:leftChars="200"/>
    </w:pPr>
  </w:style>
  <w:style w:type="paragraph" w:styleId="12">
    <w:name w:val="index 4"/>
    <w:basedOn w:val="1"/>
    <w:next w:val="1"/>
    <w:autoRedefine/>
    <w:unhideWhenUsed/>
    <w:qFormat/>
    <w:uiPriority w:val="99"/>
    <w:pPr>
      <w:ind w:left="600" w:leftChars="600"/>
    </w:pPr>
    <w:rPr>
      <w:rFonts w:ascii="Times New Roman" w:hAnsi="Times New Roman" w:cs="Times New Roman"/>
    </w:rPr>
  </w:style>
  <w:style w:type="paragraph" w:styleId="13">
    <w:name w:val="toc 3"/>
    <w:basedOn w:val="1"/>
    <w:next w:val="1"/>
    <w:link w:val="68"/>
    <w:autoRedefine/>
    <w:qFormat/>
    <w:uiPriority w:val="39"/>
    <w:pPr>
      <w:ind w:left="840" w:leftChars="400"/>
    </w:pPr>
  </w:style>
  <w:style w:type="paragraph" w:styleId="14">
    <w:name w:val="Plain Text"/>
    <w:basedOn w:val="1"/>
    <w:link w:val="45"/>
    <w:autoRedefine/>
    <w:qFormat/>
    <w:uiPriority w:val="0"/>
    <w:rPr>
      <w:rFonts w:ascii="宋体"/>
      <w:szCs w:val="20"/>
    </w:rPr>
  </w:style>
  <w:style w:type="paragraph" w:styleId="15">
    <w:name w:val="Body Text Indent 2"/>
    <w:basedOn w:val="1"/>
    <w:autoRedefine/>
    <w:qFormat/>
    <w:uiPriority w:val="0"/>
    <w:pPr>
      <w:spacing w:after="120" w:line="480" w:lineRule="auto"/>
      <w:ind w:left="200" w:leftChars="200"/>
    </w:pPr>
  </w:style>
  <w:style w:type="paragraph" w:styleId="16">
    <w:name w:val="Balloon Text"/>
    <w:basedOn w:val="1"/>
    <w:link w:val="39"/>
    <w:autoRedefine/>
    <w:qFormat/>
    <w:uiPriority w:val="0"/>
    <w:rPr>
      <w:sz w:val="18"/>
      <w:szCs w:val="18"/>
    </w:rPr>
  </w:style>
  <w:style w:type="paragraph" w:styleId="17">
    <w:name w:val="footer"/>
    <w:basedOn w:val="1"/>
    <w:autoRedefine/>
    <w:qFormat/>
    <w:uiPriority w:val="0"/>
    <w:pPr>
      <w:tabs>
        <w:tab w:val="center" w:pos="4153"/>
        <w:tab w:val="right" w:pos="8306"/>
      </w:tabs>
      <w:snapToGrid w:val="0"/>
      <w:jc w:val="left"/>
    </w:pPr>
    <w:rPr>
      <w:rFonts w:ascii="宋体"/>
      <w:sz w:val="18"/>
      <w:szCs w:val="20"/>
    </w:rPr>
  </w:style>
  <w:style w:type="paragraph" w:styleId="18">
    <w:name w:val="header"/>
    <w:basedOn w:val="1"/>
    <w:link w:val="54"/>
    <w:autoRedefine/>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qFormat/>
    <w:uiPriority w:val="39"/>
    <w:pPr>
      <w:tabs>
        <w:tab w:val="right" w:leader="dot" w:pos="9628"/>
      </w:tabs>
      <w:spacing w:before="120" w:after="120"/>
      <w:ind w:firstLine="74" w:firstLineChars="74"/>
      <w:jc w:val="left"/>
    </w:pPr>
    <w:rPr>
      <w:b/>
      <w:bCs/>
      <w:caps/>
      <w:sz w:val="20"/>
      <w:szCs w:val="20"/>
    </w:rPr>
  </w:style>
  <w:style w:type="paragraph" w:styleId="20">
    <w:name w:val="footnote text"/>
    <w:basedOn w:val="1"/>
    <w:autoRedefine/>
    <w:qFormat/>
    <w:uiPriority w:val="0"/>
    <w:pPr>
      <w:widowControl/>
      <w:snapToGrid w:val="0"/>
      <w:spacing w:after="200" w:line="276" w:lineRule="auto"/>
      <w:jc w:val="left"/>
    </w:pPr>
    <w:rPr>
      <w:rFonts w:ascii="Calibri" w:hAnsi="Calibri"/>
      <w:kern w:val="0"/>
      <w:sz w:val="18"/>
      <w:szCs w:val="18"/>
      <w:lang w:eastAsia="en-US" w:bidi="en-US"/>
    </w:rPr>
  </w:style>
  <w:style w:type="paragraph" w:styleId="21">
    <w:name w:val="toc 2"/>
    <w:basedOn w:val="1"/>
    <w:next w:val="1"/>
    <w:autoRedefine/>
    <w:qFormat/>
    <w:uiPriority w:val="39"/>
    <w:pPr>
      <w:tabs>
        <w:tab w:val="right" w:leader="dot" w:pos="9628"/>
      </w:tabs>
      <w:spacing w:line="260" w:lineRule="exact"/>
      <w:ind w:left="210"/>
      <w:jc w:val="left"/>
    </w:pPr>
    <w:rPr>
      <w:smallCaps/>
      <w:sz w:val="20"/>
      <w:szCs w:val="20"/>
    </w:rPr>
  </w:style>
  <w:style w:type="paragraph" w:styleId="22">
    <w:name w:val="Body Text 2"/>
    <w:autoRedefine/>
    <w:unhideWhenUsed/>
    <w:qFormat/>
    <w:uiPriority w:val="99"/>
    <w:pPr>
      <w:spacing w:after="120" w:line="480" w:lineRule="auto"/>
    </w:pPr>
    <w:rPr>
      <w:rFonts w:ascii="Calibri" w:hAnsi="Calibri" w:eastAsia="宋体" w:cs="Times New Roman"/>
      <w:lang w:val="en-US" w:eastAsia="zh-CN" w:bidi="ar-SA"/>
    </w:rPr>
  </w:style>
  <w:style w:type="paragraph" w:styleId="23">
    <w:name w:val="Normal (Web)"/>
    <w:basedOn w:val="1"/>
    <w:autoRedefine/>
    <w:qFormat/>
    <w:uiPriority w:val="99"/>
    <w:pPr>
      <w:widowControl/>
      <w:spacing w:before="100" w:beforeAutospacing="1" w:after="100" w:afterAutospacing="1"/>
      <w:jc w:val="left"/>
    </w:pPr>
    <w:rPr>
      <w:rFonts w:ascii="宋体" w:hAnsi="宋体"/>
      <w:kern w:val="0"/>
      <w:sz w:val="24"/>
    </w:rPr>
  </w:style>
  <w:style w:type="paragraph" w:styleId="24">
    <w:name w:val="Title"/>
    <w:basedOn w:val="1"/>
    <w:next w:val="1"/>
    <w:link w:val="43"/>
    <w:autoRedefine/>
    <w:qFormat/>
    <w:uiPriority w:val="0"/>
    <w:pPr>
      <w:spacing w:before="240" w:after="60"/>
      <w:jc w:val="center"/>
      <w:outlineLvl w:val="0"/>
    </w:pPr>
    <w:rPr>
      <w:rFonts w:ascii="Cambria" w:hAnsi="Cambria"/>
      <w:b/>
      <w:bCs/>
      <w:sz w:val="32"/>
      <w:szCs w:val="32"/>
    </w:rPr>
  </w:style>
  <w:style w:type="paragraph" w:styleId="25">
    <w:name w:val="annotation subject"/>
    <w:basedOn w:val="9"/>
    <w:next w:val="9"/>
    <w:link w:val="38"/>
    <w:autoRedefine/>
    <w:qFormat/>
    <w:uiPriority w:val="0"/>
    <w:rPr>
      <w:b/>
      <w:bCs/>
    </w:rPr>
  </w:style>
  <w:style w:type="paragraph" w:styleId="26">
    <w:name w:val="Body Text First Indent"/>
    <w:basedOn w:val="10"/>
    <w:autoRedefine/>
    <w:unhideWhenUsed/>
    <w:qFormat/>
    <w:uiPriority w:val="99"/>
    <w:pPr>
      <w:ind w:firstLine="420" w:firstLineChars="100"/>
    </w:pPr>
  </w:style>
  <w:style w:type="paragraph" w:styleId="27">
    <w:name w:val="Body Text First Indent 2"/>
    <w:basedOn w:val="11"/>
    <w:autoRedefine/>
    <w:qFormat/>
    <w:uiPriority w:val="0"/>
    <w:pPr>
      <w:ind w:firstLine="420" w:firstLineChars="200"/>
    </w:p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page number"/>
    <w:autoRedefine/>
    <w:qFormat/>
    <w:uiPriority w:val="0"/>
  </w:style>
  <w:style w:type="character" w:styleId="32">
    <w:name w:val="FollowedHyperlink"/>
    <w:basedOn w:val="30"/>
    <w:autoRedefine/>
    <w:qFormat/>
    <w:uiPriority w:val="0"/>
    <w:rPr>
      <w:color w:val="800080"/>
      <w:u w:val="single"/>
    </w:rPr>
  </w:style>
  <w:style w:type="character" w:styleId="33">
    <w:name w:val="Hyperlink"/>
    <w:autoRedefine/>
    <w:qFormat/>
    <w:uiPriority w:val="99"/>
    <w:rPr>
      <w:color w:val="0000FF"/>
      <w:u w:val="single"/>
    </w:rPr>
  </w:style>
  <w:style w:type="character" w:styleId="34">
    <w:name w:val="annotation reference"/>
    <w:basedOn w:val="30"/>
    <w:autoRedefine/>
    <w:qFormat/>
    <w:uiPriority w:val="99"/>
    <w:rPr>
      <w:sz w:val="21"/>
      <w:szCs w:val="21"/>
    </w:rPr>
  </w:style>
  <w:style w:type="character" w:customStyle="1" w:styleId="35">
    <w:name w:val="grame"/>
    <w:autoRedefine/>
    <w:qFormat/>
    <w:uiPriority w:val="0"/>
  </w:style>
  <w:style w:type="paragraph" w:customStyle="1" w:styleId="36">
    <w:name w:val="列出段落1"/>
    <w:basedOn w:val="1"/>
    <w:autoRedefine/>
    <w:qFormat/>
    <w:uiPriority w:val="99"/>
    <w:pPr>
      <w:ind w:firstLine="420" w:firstLineChars="200"/>
    </w:pPr>
  </w:style>
  <w:style w:type="character" w:customStyle="1" w:styleId="37">
    <w:name w:val="批注文字 Char"/>
    <w:basedOn w:val="30"/>
    <w:link w:val="9"/>
    <w:autoRedefine/>
    <w:qFormat/>
    <w:uiPriority w:val="99"/>
    <w:rPr>
      <w:rFonts w:asciiTheme="minorHAnsi" w:hAnsiTheme="minorHAnsi" w:eastAsiaTheme="minorEastAsia" w:cstheme="minorBidi"/>
      <w:kern w:val="2"/>
      <w:sz w:val="21"/>
      <w:szCs w:val="24"/>
    </w:rPr>
  </w:style>
  <w:style w:type="character" w:customStyle="1" w:styleId="38">
    <w:name w:val="批注主题 Char"/>
    <w:basedOn w:val="37"/>
    <w:link w:val="25"/>
    <w:autoRedefine/>
    <w:qFormat/>
    <w:uiPriority w:val="0"/>
    <w:rPr>
      <w:rFonts w:asciiTheme="minorHAnsi" w:hAnsiTheme="minorHAnsi" w:eastAsiaTheme="minorEastAsia" w:cstheme="minorBidi"/>
      <w:b/>
      <w:bCs/>
      <w:kern w:val="2"/>
      <w:sz w:val="21"/>
      <w:szCs w:val="24"/>
    </w:rPr>
  </w:style>
  <w:style w:type="character" w:customStyle="1" w:styleId="39">
    <w:name w:val="批注框文本 Char"/>
    <w:basedOn w:val="30"/>
    <w:link w:val="16"/>
    <w:autoRedefine/>
    <w:qFormat/>
    <w:uiPriority w:val="0"/>
    <w:rPr>
      <w:rFonts w:asciiTheme="minorHAnsi" w:hAnsiTheme="minorHAnsi" w:eastAsiaTheme="minorEastAsia" w:cstheme="minorBidi"/>
      <w:kern w:val="2"/>
      <w:sz w:val="18"/>
      <w:szCs w:val="18"/>
    </w:rPr>
  </w:style>
  <w:style w:type="character" w:customStyle="1" w:styleId="40">
    <w:name w:val="承康医疗 Char Char"/>
    <w:link w:val="41"/>
    <w:autoRedefine/>
    <w:qFormat/>
    <w:uiPriority w:val="0"/>
    <w:rPr>
      <w:rFonts w:ascii="微软雅黑" w:hAnsi="微软雅黑" w:eastAsia="微软雅黑"/>
      <w:sz w:val="21"/>
      <w:szCs w:val="21"/>
    </w:rPr>
  </w:style>
  <w:style w:type="paragraph" w:customStyle="1" w:styleId="41">
    <w:name w:val="承康医疗"/>
    <w:basedOn w:val="1"/>
    <w:link w:val="40"/>
    <w:autoRedefine/>
    <w:qFormat/>
    <w:uiPriority w:val="0"/>
    <w:pPr>
      <w:widowControl/>
      <w:jc w:val="left"/>
    </w:pPr>
    <w:rPr>
      <w:rFonts w:ascii="微软雅黑" w:hAnsi="微软雅黑" w:eastAsia="微软雅黑" w:cs="Times New Roman"/>
      <w:kern w:val="0"/>
      <w:szCs w:val="21"/>
    </w:rPr>
  </w:style>
  <w:style w:type="paragraph" w:styleId="42">
    <w:name w:val="List Paragraph"/>
    <w:basedOn w:val="1"/>
    <w:autoRedefine/>
    <w:qFormat/>
    <w:uiPriority w:val="34"/>
    <w:pPr>
      <w:ind w:firstLine="420" w:firstLineChars="200"/>
    </w:pPr>
  </w:style>
  <w:style w:type="character" w:customStyle="1" w:styleId="43">
    <w:name w:val="标题 Char"/>
    <w:link w:val="24"/>
    <w:autoRedefine/>
    <w:qFormat/>
    <w:uiPriority w:val="0"/>
    <w:rPr>
      <w:rFonts w:ascii="Cambria" w:hAnsi="Cambria" w:eastAsiaTheme="minorEastAsia" w:cstheme="minorBidi"/>
      <w:b/>
      <w:bCs/>
      <w:kern w:val="2"/>
      <w:sz w:val="32"/>
      <w:szCs w:val="32"/>
    </w:rPr>
  </w:style>
  <w:style w:type="paragraph" w:customStyle="1" w:styleId="44">
    <w:name w:val="符号列表"/>
    <w:basedOn w:val="1"/>
    <w:next w:val="42"/>
    <w:autoRedefine/>
    <w:qFormat/>
    <w:uiPriority w:val="34"/>
    <w:pPr>
      <w:ind w:firstLine="420" w:firstLineChars="200"/>
    </w:pPr>
  </w:style>
  <w:style w:type="character" w:customStyle="1" w:styleId="45">
    <w:name w:val="纯文本 Char"/>
    <w:link w:val="14"/>
    <w:autoRedefine/>
    <w:qFormat/>
    <w:uiPriority w:val="0"/>
    <w:rPr>
      <w:rFonts w:ascii="宋体" w:hAnsiTheme="minorHAnsi" w:eastAsiaTheme="minorEastAsia" w:cstheme="minorBidi"/>
      <w:kern w:val="2"/>
      <w:sz w:val="21"/>
    </w:rPr>
  </w:style>
  <w:style w:type="character" w:customStyle="1" w:styleId="46">
    <w:name w:val="标题 3 Char"/>
    <w:link w:val="4"/>
    <w:autoRedefine/>
    <w:qFormat/>
    <w:uiPriority w:val="0"/>
    <w:rPr>
      <w:rFonts w:eastAsia="黑体" w:asciiTheme="minorHAnsi" w:hAnsiTheme="minorHAnsi" w:cstheme="minorBidi"/>
      <w:b/>
      <w:sz w:val="28"/>
    </w:rPr>
  </w:style>
  <w:style w:type="paragraph" w:customStyle="1" w:styleId="47">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48">
    <w:name w:val="样式3"/>
    <w:basedOn w:val="42"/>
    <w:link w:val="49"/>
    <w:autoRedefine/>
    <w:qFormat/>
    <w:uiPriority w:val="0"/>
    <w:pPr>
      <w:numPr>
        <w:ilvl w:val="3"/>
        <w:numId w:val="2"/>
      </w:numPr>
      <w:ind w:left="0" w:firstLine="284" w:firstLineChars="0"/>
    </w:pPr>
    <w:rPr>
      <w:rFonts w:ascii="仿宋_GB2312" w:hAnsi="Calibri" w:eastAsia="仿宋_GB2312" w:cs="Times New Roman"/>
      <w:sz w:val="32"/>
      <w:szCs w:val="32"/>
    </w:rPr>
  </w:style>
  <w:style w:type="character" w:customStyle="1" w:styleId="49">
    <w:name w:val="样式3 字符"/>
    <w:basedOn w:val="30"/>
    <w:link w:val="48"/>
    <w:autoRedefine/>
    <w:qFormat/>
    <w:uiPriority w:val="0"/>
    <w:rPr>
      <w:rFonts w:ascii="仿宋_GB2312" w:hAnsi="Calibri" w:eastAsia="仿宋_GB2312"/>
      <w:kern w:val="2"/>
      <w:sz w:val="32"/>
      <w:szCs w:val="32"/>
    </w:rPr>
  </w:style>
  <w:style w:type="character" w:customStyle="1" w:styleId="50">
    <w:name w:val="正文缩进 Char"/>
    <w:link w:val="7"/>
    <w:autoRedefine/>
    <w:qFormat/>
    <w:uiPriority w:val="0"/>
    <w:rPr>
      <w:rFonts w:asciiTheme="minorHAnsi" w:hAnsiTheme="minorHAnsi" w:eastAsiaTheme="minorEastAsia" w:cstheme="minorBidi"/>
      <w:kern w:val="2"/>
      <w:sz w:val="21"/>
      <w:szCs w:val="22"/>
    </w:rPr>
  </w:style>
  <w:style w:type="character" w:customStyle="1" w:styleId="51">
    <w:name w:val="纯文本 字符2"/>
    <w:autoRedefine/>
    <w:qFormat/>
    <w:uiPriority w:val="0"/>
    <w:rPr>
      <w:rFonts w:ascii="宋体" w:eastAsia="宋体"/>
      <w:kern w:val="2"/>
      <w:sz w:val="21"/>
      <w:lang w:val="en-US" w:eastAsia="zh-CN" w:bidi="ar-SA"/>
    </w:rPr>
  </w:style>
  <w:style w:type="character" w:customStyle="1" w:styleId="52">
    <w:name w:val="标题 2 Char"/>
    <w:basedOn w:val="30"/>
    <w:link w:val="3"/>
    <w:autoRedefine/>
    <w:qFormat/>
    <w:uiPriority w:val="0"/>
    <w:rPr>
      <w:rFonts w:eastAsia="黑体" w:asciiTheme="minorHAnsi" w:hAnsiTheme="minorHAnsi" w:cstheme="minorBidi"/>
      <w:b/>
      <w:sz w:val="28"/>
    </w:rPr>
  </w:style>
  <w:style w:type="character" w:customStyle="1" w:styleId="53">
    <w:name w:val="文档结构图 Char"/>
    <w:basedOn w:val="30"/>
    <w:link w:val="8"/>
    <w:autoRedefine/>
    <w:qFormat/>
    <w:uiPriority w:val="0"/>
    <w:rPr>
      <w:rFonts w:ascii="微软雅黑" w:hAnsi="微软雅黑"/>
      <w:sz w:val="18"/>
      <w:szCs w:val="18"/>
    </w:rPr>
  </w:style>
  <w:style w:type="character" w:customStyle="1" w:styleId="54">
    <w:name w:val="页眉 Char"/>
    <w:link w:val="18"/>
    <w:autoRedefine/>
    <w:qFormat/>
    <w:uiPriority w:val="0"/>
    <w:rPr>
      <w:rFonts w:asciiTheme="minorHAnsi" w:hAnsiTheme="minorHAnsi" w:eastAsiaTheme="minorEastAsia" w:cstheme="minorBidi"/>
      <w:kern w:val="2"/>
      <w:sz w:val="18"/>
      <w:szCs w:val="18"/>
    </w:rPr>
  </w:style>
  <w:style w:type="paragraph" w:customStyle="1" w:styleId="55">
    <w:name w:val="*正文"/>
    <w:basedOn w:val="1"/>
    <w:autoRedefine/>
    <w:qFormat/>
    <w:uiPriority w:val="0"/>
    <w:pPr>
      <w:ind w:firstLine="480"/>
    </w:pPr>
    <w:rPr>
      <w:rFonts w:ascii="仿宋" w:hAnsi="仿宋" w:eastAsia="仿宋" w:cs="Times New Roman"/>
    </w:rPr>
  </w:style>
  <w:style w:type="character" w:customStyle="1" w:styleId="56">
    <w:name w:val="未处理的提及1"/>
    <w:basedOn w:val="30"/>
    <w:autoRedefine/>
    <w:semiHidden/>
    <w:unhideWhenUsed/>
    <w:qFormat/>
    <w:uiPriority w:val="99"/>
    <w:rPr>
      <w:color w:val="605E5C"/>
      <w:shd w:val="clear" w:color="auto" w:fill="E1DFDD"/>
    </w:rPr>
  </w:style>
  <w:style w:type="character" w:customStyle="1" w:styleId="57">
    <w:name w:val="font31"/>
    <w:basedOn w:val="30"/>
    <w:autoRedefine/>
    <w:qFormat/>
    <w:uiPriority w:val="0"/>
    <w:rPr>
      <w:rFonts w:hint="default" w:ascii="Times New Roman" w:hAnsi="Times New Roman" w:cs="Times New Roman"/>
      <w:color w:val="000000"/>
      <w:sz w:val="20"/>
      <w:szCs w:val="20"/>
      <w:u w:val="none"/>
    </w:rPr>
  </w:style>
  <w:style w:type="character" w:customStyle="1" w:styleId="58">
    <w:name w:val="font81"/>
    <w:basedOn w:val="30"/>
    <w:autoRedefine/>
    <w:qFormat/>
    <w:uiPriority w:val="0"/>
    <w:rPr>
      <w:rFonts w:hint="eastAsia" w:ascii="宋体" w:hAnsi="宋体" w:eastAsia="宋体" w:cs="宋体"/>
      <w:color w:val="000000"/>
      <w:sz w:val="20"/>
      <w:szCs w:val="20"/>
      <w:u w:val="none"/>
    </w:rPr>
  </w:style>
  <w:style w:type="character" w:customStyle="1" w:styleId="59">
    <w:name w:val="font51"/>
    <w:basedOn w:val="30"/>
    <w:autoRedefine/>
    <w:qFormat/>
    <w:uiPriority w:val="0"/>
    <w:rPr>
      <w:rFonts w:hint="default" w:ascii="Times New Roman" w:hAnsi="Times New Roman" w:cs="Times New Roman"/>
      <w:color w:val="000000"/>
      <w:sz w:val="20"/>
      <w:szCs w:val="20"/>
      <w:u w:val="none"/>
    </w:rPr>
  </w:style>
  <w:style w:type="character" w:customStyle="1" w:styleId="60">
    <w:name w:val="font21"/>
    <w:basedOn w:val="30"/>
    <w:autoRedefine/>
    <w:qFormat/>
    <w:uiPriority w:val="0"/>
    <w:rPr>
      <w:rFonts w:hint="eastAsia" w:ascii="宋体" w:hAnsi="宋体" w:eastAsia="宋体" w:cs="宋体"/>
      <w:color w:val="000000"/>
      <w:sz w:val="18"/>
      <w:szCs w:val="18"/>
      <w:u w:val="none"/>
    </w:rPr>
  </w:style>
  <w:style w:type="character" w:customStyle="1" w:styleId="61">
    <w:name w:val="font61"/>
    <w:basedOn w:val="30"/>
    <w:autoRedefine/>
    <w:qFormat/>
    <w:uiPriority w:val="0"/>
    <w:rPr>
      <w:rFonts w:hint="default" w:ascii="Times New Roman" w:hAnsi="Times New Roman" w:cs="Times New Roman"/>
      <w:color w:val="000000"/>
      <w:sz w:val="20"/>
      <w:szCs w:val="20"/>
      <w:u w:val="none"/>
    </w:rPr>
  </w:style>
  <w:style w:type="character" w:customStyle="1" w:styleId="62">
    <w:name w:val="font71"/>
    <w:basedOn w:val="30"/>
    <w:autoRedefine/>
    <w:qFormat/>
    <w:uiPriority w:val="0"/>
    <w:rPr>
      <w:rFonts w:hint="eastAsia" w:ascii="宋体" w:hAnsi="宋体" w:eastAsia="宋体" w:cs="宋体"/>
      <w:color w:val="000000"/>
      <w:sz w:val="20"/>
      <w:szCs w:val="20"/>
      <w:u w:val="none"/>
    </w:rPr>
  </w:style>
  <w:style w:type="character" w:customStyle="1" w:styleId="63">
    <w:name w:val="font41"/>
    <w:basedOn w:val="30"/>
    <w:autoRedefine/>
    <w:qFormat/>
    <w:uiPriority w:val="0"/>
    <w:rPr>
      <w:rFonts w:hint="eastAsia" w:ascii="宋体" w:hAnsi="宋体" w:eastAsia="宋体" w:cs="宋体"/>
      <w:color w:val="000000"/>
      <w:sz w:val="20"/>
      <w:szCs w:val="20"/>
      <w:u w:val="none"/>
    </w:rPr>
  </w:style>
  <w:style w:type="paragraph" w:customStyle="1" w:styleId="64">
    <w:name w:val="Table Text"/>
    <w:basedOn w:val="1"/>
    <w:autoRedefine/>
    <w:semiHidden/>
    <w:qFormat/>
    <w:uiPriority w:val="0"/>
    <w:rPr>
      <w:rFonts w:ascii="宋体" w:hAnsi="宋体" w:eastAsia="宋体" w:cs="宋体"/>
      <w:sz w:val="24"/>
      <w:lang w:eastAsia="en-US"/>
    </w:rPr>
  </w:style>
  <w:style w:type="paragraph" w:customStyle="1" w:styleId="65">
    <w:name w:val="Style1"/>
    <w:basedOn w:val="1"/>
    <w:autoRedefine/>
    <w:qFormat/>
    <w:uiPriority w:val="0"/>
    <w:pPr>
      <w:widowControl/>
      <w:tabs>
        <w:tab w:val="left" w:pos="-720"/>
      </w:tabs>
      <w:ind w:firstLine="200" w:firstLineChars="200"/>
    </w:pPr>
    <w:rPr>
      <w:bCs/>
      <w:spacing w:val="-3"/>
      <w:kern w:val="0"/>
      <w:lang w:val="en-AU" w:eastAsia="en-US"/>
    </w:rPr>
  </w:style>
  <w:style w:type="paragraph" w:customStyle="1" w:styleId="66">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67">
    <w:name w:val="Table Normal"/>
    <w:autoRedefine/>
    <w:semiHidden/>
    <w:unhideWhenUsed/>
    <w:qFormat/>
    <w:uiPriority w:val="0"/>
    <w:tblPr>
      <w:tblCellMar>
        <w:top w:w="0" w:type="dxa"/>
        <w:left w:w="0" w:type="dxa"/>
        <w:bottom w:w="0" w:type="dxa"/>
        <w:right w:w="0" w:type="dxa"/>
      </w:tblCellMar>
    </w:tblPr>
  </w:style>
  <w:style w:type="character" w:customStyle="1" w:styleId="68">
    <w:name w:val="目录 3 Char"/>
    <w:link w:val="13"/>
    <w:autoRedefine/>
    <w:qFormat/>
    <w:uiPriority w:val="39"/>
  </w:style>
  <w:style w:type="paragraph" w:customStyle="1" w:styleId="69">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70">
    <w:name w:val="！正文"/>
    <w:basedOn w:val="1"/>
    <w:autoRedefine/>
    <w:qFormat/>
    <w:uiPriority w:val="0"/>
    <w:pPr>
      <w:ind w:firstLine="200" w:firstLineChars="200"/>
    </w:pPr>
    <w:rPr>
      <w:szCs w:val="28"/>
    </w:rPr>
  </w:style>
  <w:style w:type="paragraph" w:customStyle="1" w:styleId="71">
    <w:name w:val="修订2"/>
    <w:autoRedefine/>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4" Type="http://schemas.openxmlformats.org/officeDocument/2006/relationships/fontTable" Target="fontTable.xml"/><Relationship Id="rId63" Type="http://schemas.openxmlformats.org/officeDocument/2006/relationships/numbering" Target="numbering.xml"/><Relationship Id="rId62" Type="http://schemas.openxmlformats.org/officeDocument/2006/relationships/customXml" Target="../customXml/item1.xml"/><Relationship Id="rId61" Type="http://schemas.openxmlformats.org/officeDocument/2006/relationships/image" Target="media/image52.jpeg"/><Relationship Id="rId60" Type="http://schemas.openxmlformats.org/officeDocument/2006/relationships/image" Target="media/image51.jpeg"/><Relationship Id="rId6" Type="http://schemas.openxmlformats.org/officeDocument/2006/relationships/footer" Target="footer3.xml"/><Relationship Id="rId59" Type="http://schemas.openxmlformats.org/officeDocument/2006/relationships/image" Target="media/image50.jpeg"/><Relationship Id="rId58" Type="http://schemas.openxmlformats.org/officeDocument/2006/relationships/image" Target="media/image49.jpeg"/><Relationship Id="rId57" Type="http://schemas.openxmlformats.org/officeDocument/2006/relationships/image" Target="media/image48.jpeg"/><Relationship Id="rId56" Type="http://schemas.openxmlformats.org/officeDocument/2006/relationships/image" Target="media/image47.jpeg"/><Relationship Id="rId55" Type="http://schemas.openxmlformats.org/officeDocument/2006/relationships/image" Target="media/image46.jpeg"/><Relationship Id="rId54" Type="http://schemas.openxmlformats.org/officeDocument/2006/relationships/image" Target="media/image45.jpeg"/><Relationship Id="rId53" Type="http://schemas.openxmlformats.org/officeDocument/2006/relationships/image" Target="media/image44.jpeg"/><Relationship Id="rId52" Type="http://schemas.openxmlformats.org/officeDocument/2006/relationships/image" Target="media/image43.jpeg"/><Relationship Id="rId51" Type="http://schemas.openxmlformats.org/officeDocument/2006/relationships/image" Target="media/image42.jpeg"/><Relationship Id="rId50" Type="http://schemas.openxmlformats.org/officeDocument/2006/relationships/image" Target="media/image41.jpeg"/><Relationship Id="rId5" Type="http://schemas.openxmlformats.org/officeDocument/2006/relationships/footer" Target="footer2.xml"/><Relationship Id="rId49" Type="http://schemas.openxmlformats.org/officeDocument/2006/relationships/image" Target="media/image40.jpeg"/><Relationship Id="rId48" Type="http://schemas.openxmlformats.org/officeDocument/2006/relationships/image" Target="media/image39.jpeg"/><Relationship Id="rId47" Type="http://schemas.openxmlformats.org/officeDocument/2006/relationships/image" Target="media/image38.jpeg"/><Relationship Id="rId46" Type="http://schemas.openxmlformats.org/officeDocument/2006/relationships/image" Target="media/image37.jpeg"/><Relationship Id="rId45" Type="http://schemas.openxmlformats.org/officeDocument/2006/relationships/image" Target="media/image36.jpeg"/><Relationship Id="rId44" Type="http://schemas.openxmlformats.org/officeDocument/2006/relationships/image" Target="media/image35.jpeg"/><Relationship Id="rId43" Type="http://schemas.openxmlformats.org/officeDocument/2006/relationships/image" Target="media/image34.jpeg"/><Relationship Id="rId42" Type="http://schemas.openxmlformats.org/officeDocument/2006/relationships/image" Target="media/image33.jpeg"/><Relationship Id="rId41" Type="http://schemas.openxmlformats.org/officeDocument/2006/relationships/image" Target="media/image32.jpeg"/><Relationship Id="rId40" Type="http://schemas.openxmlformats.org/officeDocument/2006/relationships/image" Target="media/image31.jpeg"/><Relationship Id="rId4" Type="http://schemas.openxmlformats.org/officeDocument/2006/relationships/footer" Target="footer1.xml"/><Relationship Id="rId39" Type="http://schemas.openxmlformats.org/officeDocument/2006/relationships/image" Target="media/image30.jpeg"/><Relationship Id="rId38" Type="http://schemas.openxmlformats.org/officeDocument/2006/relationships/image" Target="media/image29.jpeg"/><Relationship Id="rId37" Type="http://schemas.openxmlformats.org/officeDocument/2006/relationships/image" Target="media/image28.jpeg"/><Relationship Id="rId36" Type="http://schemas.openxmlformats.org/officeDocument/2006/relationships/image" Target="media/image27.jpeg"/><Relationship Id="rId35" Type="http://schemas.openxmlformats.org/officeDocument/2006/relationships/image" Target="media/image26.jpeg"/><Relationship Id="rId34" Type="http://schemas.openxmlformats.org/officeDocument/2006/relationships/image" Target="media/image25.jpeg"/><Relationship Id="rId33" Type="http://schemas.openxmlformats.org/officeDocument/2006/relationships/image" Target="media/image24.jpeg"/><Relationship Id="rId32" Type="http://schemas.openxmlformats.org/officeDocument/2006/relationships/image" Target="media/image23.jpeg"/><Relationship Id="rId31" Type="http://schemas.openxmlformats.org/officeDocument/2006/relationships/image" Target="media/image22.jpeg"/><Relationship Id="rId30" Type="http://schemas.openxmlformats.org/officeDocument/2006/relationships/image" Target="media/image21.jpeg"/><Relationship Id="rId3" Type="http://schemas.openxmlformats.org/officeDocument/2006/relationships/header" Target="header1.xml"/><Relationship Id="rId29" Type="http://schemas.openxmlformats.org/officeDocument/2006/relationships/image" Target="media/image20.jpeg"/><Relationship Id="rId28" Type="http://schemas.openxmlformats.org/officeDocument/2006/relationships/image" Target="media/image19.jpeg"/><Relationship Id="rId27" Type="http://schemas.openxmlformats.org/officeDocument/2006/relationships/image" Target="media/image18.jpeg"/><Relationship Id="rId26" Type="http://schemas.openxmlformats.org/officeDocument/2006/relationships/image" Target="media/image17.jpeg"/><Relationship Id="rId25" Type="http://schemas.openxmlformats.org/officeDocument/2006/relationships/image" Target="media/image16.jpeg"/><Relationship Id="rId24" Type="http://schemas.openxmlformats.org/officeDocument/2006/relationships/image" Target="media/image15.jpeg"/><Relationship Id="rId23" Type="http://schemas.openxmlformats.org/officeDocument/2006/relationships/image" Target="media/image14.jpeg"/><Relationship Id="rId22" Type="http://schemas.openxmlformats.org/officeDocument/2006/relationships/image" Target="media/image13.jpeg"/><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云南招标股份有限公司</Company>
  <Pages>148</Pages>
  <Words>53561</Words>
  <Characters>56438</Characters>
  <Lines>470</Lines>
  <Paragraphs>132</Paragraphs>
  <TotalTime>0</TotalTime>
  <ScaleCrop>false</ScaleCrop>
  <LinksUpToDate>false</LinksUpToDate>
  <CharactersWithSpaces>59402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2024-06-04T16:25:00Z</dcterms:created>
  <dc:creator>yy</dc:creator>
  <cp:lastModifiedBy>有且</cp:lastModifiedBy>
  <cp:lastPrinted>2024-06-13T03:00:00Z</cp:lastPrinted>
  <dcterms:modified xsi:type="dcterms:W3CDTF">2024-06-28T10:39:35Z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7270D75FE45D4C53A766F920137DF155_13</vt:lpwstr>
  </property>
  <property fmtid="{D5CDD505-2E9C-101B-9397-08002B2CF9AE}" pid="3" name="KSOProductBuildVer">
    <vt:lpwstr>2052-12.1.0.16929</vt:lpwstr>
  </property>
</Properties>
</file>