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5E9DE">
      <w:pPr>
        <w:adjustRightInd w:val="0"/>
        <w:snapToGrid w:val="0"/>
        <w:spacing w:after="156" w:afterLines="50" w:line="360" w:lineRule="auto"/>
        <w:jc w:val="center"/>
        <w:outlineLvl w:val="0"/>
        <w:rPr>
          <w:rFonts w:ascii="黑体" w:eastAsia="黑体"/>
          <w:b/>
          <w:color w:val="000000" w:themeColor="text1"/>
          <w:kern w:val="44"/>
          <w:sz w:val="48"/>
          <w:szCs w:val="20"/>
          <w14:textFill>
            <w14:solidFill>
              <w14:schemeClr w14:val="tx1"/>
            </w14:solidFill>
          </w14:textFill>
        </w:rPr>
      </w:pPr>
      <w:bookmarkStart w:id="0" w:name="_Toc129880039"/>
      <w:bookmarkStart w:id="1" w:name="_Toc512937852"/>
      <w:bookmarkStart w:id="7" w:name="_GoBack"/>
      <w:bookmarkEnd w:id="7"/>
      <w:r>
        <w:rPr>
          <w:rFonts w:hint="eastAsia" w:ascii="宋体" w:hAnsi="宋体"/>
          <w:b/>
          <w:color w:val="000000" w:themeColor="text1"/>
          <w:sz w:val="30"/>
          <w:szCs w:val="30"/>
          <w14:textFill>
            <w14:solidFill>
              <w14:schemeClr w14:val="tx1"/>
            </w14:solidFill>
          </w14:textFill>
        </w:rPr>
        <w:t>第八部分 采购需求</w:t>
      </w:r>
      <w:bookmarkEnd w:id="0"/>
    </w:p>
    <w:bookmarkEnd w:id="1"/>
    <w:p w14:paraId="304993D6">
      <w:pPr>
        <w:adjustRightInd w:val="0"/>
        <w:snapToGrid w:val="0"/>
        <w:spacing w:before="156" w:beforeLines="50" w:after="156" w:afterLines="50"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货物需求一览表</w:t>
      </w:r>
    </w:p>
    <w:p w14:paraId="11B93656">
      <w:pPr>
        <w:adjustRightInd w:val="0"/>
        <w:snapToGrid w:val="0"/>
        <w:jc w:val="center"/>
        <w:rPr>
          <w:rFonts w:ascii="宋体" w:hAnsi="宋体"/>
          <w:b/>
          <w:color w:val="000000" w:themeColor="text1"/>
          <w:sz w:val="30"/>
          <w:szCs w:val="30"/>
          <w14:textFill>
            <w14:solidFill>
              <w14:schemeClr w14:val="tx1"/>
            </w14:solidFill>
          </w14:textFill>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36404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0966408F">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包号</w:t>
            </w:r>
          </w:p>
        </w:tc>
        <w:tc>
          <w:tcPr>
            <w:tcW w:w="2357" w:type="dxa"/>
            <w:vAlign w:val="center"/>
          </w:tcPr>
          <w:p w14:paraId="32C77415">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货物名称</w:t>
            </w:r>
          </w:p>
        </w:tc>
        <w:tc>
          <w:tcPr>
            <w:tcW w:w="1329" w:type="dxa"/>
            <w:vAlign w:val="center"/>
          </w:tcPr>
          <w:p w14:paraId="28BD2412">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数量</w:t>
            </w:r>
          </w:p>
        </w:tc>
        <w:tc>
          <w:tcPr>
            <w:tcW w:w="2470" w:type="dxa"/>
            <w:vAlign w:val="center"/>
          </w:tcPr>
          <w:p w14:paraId="7B1D833A">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是否接受进口</w:t>
            </w:r>
          </w:p>
        </w:tc>
      </w:tr>
      <w:tr w14:paraId="62845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5BDF2EA4">
            <w:pPr>
              <w:jc w:val="center"/>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w:t>
            </w:r>
          </w:p>
        </w:tc>
        <w:tc>
          <w:tcPr>
            <w:tcW w:w="2357" w:type="dxa"/>
            <w:vAlign w:val="center"/>
          </w:tcPr>
          <w:p w14:paraId="1C0D267E">
            <w:pPr>
              <w:jc w:val="center"/>
              <w:rPr>
                <w:rFonts w:ascii="Bookman Old Style" w:hAnsi="Bookman Old Style"/>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宽能量谱带原位X射线吸收精细结构谱仪</w:t>
            </w:r>
          </w:p>
        </w:tc>
        <w:tc>
          <w:tcPr>
            <w:tcW w:w="1329" w:type="dxa"/>
            <w:vAlign w:val="center"/>
          </w:tcPr>
          <w:p w14:paraId="3F8A6C3E">
            <w:pPr>
              <w:jc w:val="center"/>
              <w:rPr>
                <w:rFonts w:ascii="宋体" w:hAnsi="Bookman Old Style"/>
                <w:color w:val="000000" w:themeColor="text1"/>
                <w:sz w:val="24"/>
                <w14:textFill>
                  <w14:solidFill>
                    <w14:schemeClr w14:val="tx1"/>
                  </w14:solidFill>
                </w14:textFill>
              </w:rPr>
            </w:pPr>
            <w:r>
              <w:rPr>
                <w:color w:val="000000" w:themeColor="text1"/>
                <w:sz w:val="24"/>
                <w14:textFill>
                  <w14:solidFill>
                    <w14:schemeClr w14:val="tx1"/>
                  </w14:solidFill>
                </w14:textFill>
              </w:rPr>
              <w:t>1套</w:t>
            </w:r>
          </w:p>
        </w:tc>
        <w:tc>
          <w:tcPr>
            <w:tcW w:w="2470" w:type="dxa"/>
            <w:vAlign w:val="center"/>
          </w:tcPr>
          <w:p w14:paraId="3C675067">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否</w:t>
            </w:r>
          </w:p>
        </w:tc>
      </w:tr>
    </w:tbl>
    <w:p w14:paraId="0AF0C430">
      <w:pPr>
        <w:adjustRightInd w:val="0"/>
        <w:snapToGrid w:val="0"/>
        <w:jc w:val="center"/>
        <w:rPr>
          <w:rFonts w:ascii="宋体" w:hAnsi="宋体"/>
          <w:b/>
          <w:color w:val="000000" w:themeColor="text1"/>
          <w:sz w:val="30"/>
          <w:szCs w:val="30"/>
          <w14:textFill>
            <w14:solidFill>
              <w14:schemeClr w14:val="tx1"/>
            </w14:solidFill>
          </w14:textFill>
        </w:rPr>
      </w:pPr>
    </w:p>
    <w:p w14:paraId="51A30A3A">
      <w:pPr>
        <w:adjustRightInd w:val="0"/>
        <w:snapToGrid w:val="0"/>
        <w:jc w:val="center"/>
        <w:rPr>
          <w:rFonts w:ascii="宋体" w:hAnsi="宋体"/>
          <w:b/>
          <w:color w:val="000000" w:themeColor="text1"/>
          <w:sz w:val="30"/>
          <w:szCs w:val="30"/>
          <w14:textFill>
            <w14:solidFill>
              <w14:schemeClr w14:val="tx1"/>
            </w14:solidFill>
          </w14:textFill>
        </w:rPr>
      </w:pPr>
    </w:p>
    <w:p w14:paraId="76CC3406">
      <w:pPr>
        <w:rPr>
          <w:rFonts w:ascii="Bookman Old Style" w:hAnsi="Bookman Old Style"/>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注：投标人须对上述投标内容中完整的一包或几包进行投标，</w:t>
      </w:r>
      <w:r>
        <w:rPr>
          <w:rFonts w:hint="eastAsia" w:ascii="Bookman Old Style" w:hAnsi="Bookman Old Style"/>
          <w:color w:val="000000" w:themeColor="text1"/>
          <w:sz w:val="24"/>
          <w14:textFill>
            <w14:solidFill>
              <w14:schemeClr w14:val="tx1"/>
            </w14:solidFill>
          </w14:textFill>
        </w:rPr>
        <w:t>不完整的投标将视为非响应性投标予以拒绝。</w:t>
      </w:r>
    </w:p>
    <w:p w14:paraId="12F4CC09">
      <w:pPr>
        <w:adjustRightInd w:val="0"/>
        <w:snapToGrid w:val="0"/>
        <w:rPr>
          <w:rFonts w:ascii="宋体" w:hAnsi="宋体"/>
          <w:color w:val="000000" w:themeColor="text1"/>
          <w:szCs w:val="21"/>
          <w14:textFill>
            <w14:solidFill>
              <w14:schemeClr w14:val="tx1"/>
            </w14:solidFill>
          </w14:textFill>
        </w:rPr>
      </w:pPr>
    </w:p>
    <w:p w14:paraId="54442081">
      <w:pPr>
        <w:adjustRightInd w:val="0"/>
        <w:snapToGrid w:val="0"/>
        <w:rPr>
          <w:rFonts w:ascii="宋体" w:hAnsi="宋体"/>
          <w:color w:val="000000" w:themeColor="text1"/>
          <w:szCs w:val="21"/>
          <w14:textFill>
            <w14:solidFill>
              <w14:schemeClr w14:val="tx1"/>
            </w14:solidFill>
          </w14:textFill>
        </w:rPr>
      </w:pPr>
    </w:p>
    <w:p w14:paraId="549FC749">
      <w:pPr>
        <w:adjustRightInd w:val="0"/>
        <w:snapToGrid w:val="0"/>
        <w:rPr>
          <w:rFonts w:ascii="宋体" w:hAnsi="宋体"/>
          <w:color w:val="000000" w:themeColor="text1"/>
          <w:szCs w:val="21"/>
          <w14:textFill>
            <w14:solidFill>
              <w14:schemeClr w14:val="tx1"/>
            </w14:solidFill>
          </w14:textFill>
        </w:rPr>
      </w:pPr>
    </w:p>
    <w:p w14:paraId="10AD0DDE">
      <w:pPr>
        <w:adjustRightInd w:val="0"/>
        <w:snapToGrid w:val="0"/>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30"/>
          <w:szCs w:val="30"/>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一、总则</w:t>
      </w:r>
    </w:p>
    <w:p w14:paraId="59F9C906">
      <w:pPr>
        <w:adjustRightInd w:val="0"/>
        <w:snapToGrid w:val="0"/>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1</w:t>
      </w:r>
      <w:r>
        <w:rPr>
          <w:rFonts w:hint="eastAsia" w:ascii="宋体" w:hAnsi="宋体"/>
          <w:b/>
          <w:color w:val="000000" w:themeColor="text1"/>
          <w:sz w:val="28"/>
          <w:szCs w:val="28"/>
          <w14:textFill>
            <w14:solidFill>
              <w14:schemeClr w14:val="tx1"/>
            </w14:solidFill>
          </w14:textFill>
        </w:rPr>
        <w:t>、投标要求</w:t>
      </w:r>
    </w:p>
    <w:p w14:paraId="5EA1E10A">
      <w:pPr>
        <w:spacing w:line="360" w:lineRule="auto"/>
        <w:ind w:left="554" w:hanging="554" w:hangingChars="2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 xml:space="preserve"> 投标人在准备投标书时，务必在所提供的商品的技术规格文件中，标明型号、商标名称、目录号。</w:t>
      </w:r>
    </w:p>
    <w:p w14:paraId="03433220">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3E6A1E8">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投标人提供的</w:t>
      </w:r>
      <w:r>
        <w:rPr>
          <w:rFonts w:hint="eastAsia" w:ascii="宋体"/>
          <w:color w:val="000000" w:themeColor="text1"/>
          <w:sz w:val="24"/>
          <w14:textFill>
            <w14:solidFill>
              <w14:schemeClr w14:val="tx1"/>
            </w14:solidFill>
          </w14:textFill>
        </w:rPr>
        <w:t>产品</w:t>
      </w:r>
      <w:r>
        <w:rPr>
          <w:rFonts w:hint="eastAsia"/>
          <w:color w:val="000000" w:themeColor="text1"/>
          <w:sz w:val="24"/>
          <w14:textFill>
            <w14:solidFill>
              <w14:schemeClr w14:val="tx1"/>
            </w14:solidFill>
          </w14:textFill>
        </w:rPr>
        <w:t>样本，必须是“原件”而非复印件，</w:t>
      </w:r>
      <w:r>
        <w:rPr>
          <w:rFonts w:hint="eastAsia" w:ascii="宋体"/>
          <w:color w:val="000000" w:themeColor="text1"/>
          <w:sz w:val="24"/>
          <w14:textFill>
            <w14:solidFill>
              <w14:schemeClr w14:val="tx1"/>
            </w14:solidFill>
          </w14:textFill>
        </w:rPr>
        <w:t>图表、简图、电路图以及印刷电路板图等都应</w:t>
      </w:r>
      <w:r>
        <w:rPr>
          <w:rFonts w:hint="eastAsia"/>
          <w:color w:val="000000" w:themeColor="text1"/>
          <w:sz w:val="24"/>
          <w14:textFill>
            <w14:solidFill>
              <w14:schemeClr w14:val="tx1"/>
            </w14:solidFill>
          </w14:textFill>
        </w:rPr>
        <w:t>清晰易读。买方有权</w:t>
      </w:r>
      <w:r>
        <w:rPr>
          <w:rFonts w:hint="eastAsia" w:ascii="宋体"/>
          <w:color w:val="000000" w:themeColor="text1"/>
          <w:sz w:val="24"/>
          <w14:textFill>
            <w14:solidFill>
              <w14:schemeClr w14:val="tx1"/>
            </w14:solidFill>
          </w14:textFill>
        </w:rPr>
        <w:t>不付任何附加费用</w:t>
      </w:r>
      <w:r>
        <w:rPr>
          <w:rFonts w:hint="eastAsia"/>
          <w:color w:val="000000" w:themeColor="text1"/>
          <w:sz w:val="24"/>
          <w14:textFill>
            <w14:solidFill>
              <w14:schemeClr w14:val="tx1"/>
            </w14:solidFill>
          </w14:textFill>
        </w:rPr>
        <w:t>复制这些资料</w:t>
      </w:r>
      <w:r>
        <w:rPr>
          <w:rFonts w:hint="eastAsia" w:ascii="宋体"/>
          <w:color w:val="000000" w:themeColor="text1"/>
          <w:sz w:val="24"/>
          <w14:textFill>
            <w14:solidFill>
              <w14:schemeClr w14:val="tx1"/>
            </w14:solidFill>
          </w14:textFill>
        </w:rPr>
        <w:t>以供参考。</w:t>
      </w:r>
    </w:p>
    <w:p w14:paraId="01DE288A">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42C5E5CA">
      <w:pPr>
        <w:adjustRightInd w:val="0"/>
        <w:snapToGrid w:val="0"/>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2、评标标准</w:t>
      </w:r>
    </w:p>
    <w:p w14:paraId="3D0D3DF1">
      <w:pPr>
        <w:spacing w:line="360" w:lineRule="auto"/>
        <w:ind w:left="554" w:hanging="554" w:hangingChars="231"/>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除招标文件中指定的附件和专用工具外，</w:t>
      </w:r>
      <w:r>
        <w:rPr>
          <w:rFonts w:hint="eastAsia" w:ascii="宋体"/>
          <w:color w:val="000000" w:themeColor="text1"/>
          <w:sz w:val="24"/>
          <w14:textFill>
            <w14:solidFill>
              <w14:schemeClr w14:val="tx1"/>
            </w14:solidFill>
          </w14:textFill>
        </w:rPr>
        <w:t>投标人应提供仪器设备的正常运行和常规保养所需的全套标准附件、专用工具</w:t>
      </w:r>
      <w:r>
        <w:rPr>
          <w:rFonts w:hint="eastAsia"/>
          <w:color w:val="000000" w:themeColor="text1"/>
          <w:sz w:val="24"/>
          <w14:textFill>
            <w14:solidFill>
              <w14:schemeClr w14:val="tx1"/>
            </w14:solidFill>
          </w14:textFill>
        </w:rPr>
        <w:t>和消耗品</w:t>
      </w:r>
      <w:r>
        <w:rPr>
          <w:rFonts w:hint="eastAsia" w:ascii="宋体"/>
          <w:color w:val="000000" w:themeColor="text1"/>
          <w:sz w:val="24"/>
          <w14:textFill>
            <w14:solidFill>
              <w14:schemeClr w14:val="tx1"/>
            </w14:solidFill>
          </w14:textFill>
        </w:rPr>
        <w:t>。投标人在投标书中需列出这些附件和工具的数量和单价的清单，这些附件和工具的报价的总值需计入投标价中。</w:t>
      </w:r>
    </w:p>
    <w:p w14:paraId="400E22F0">
      <w:pPr>
        <w:spacing w:line="360" w:lineRule="auto"/>
        <w:ind w:left="554" w:hanging="554" w:hangingChars="231"/>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对于标书</w:t>
      </w:r>
      <w:r>
        <w:rPr>
          <w:rFonts w:hint="eastAsia" w:ascii="宋体"/>
          <w:color w:val="000000" w:themeColor="text1"/>
          <w:sz w:val="24"/>
          <w14:textFill>
            <w14:solidFill>
              <w14:schemeClr w14:val="tx1"/>
            </w14:solidFill>
          </w14:textFill>
        </w:rPr>
        <w:t>技术规范中已列</w:t>
      </w:r>
      <w:r>
        <w:rPr>
          <w:rFonts w:hint="eastAsia"/>
          <w:color w:val="000000" w:themeColor="text1"/>
          <w:sz w:val="24"/>
          <w14:textFill>
            <w14:solidFill>
              <w14:schemeClr w14:val="tx1"/>
            </w14:solidFill>
          </w14:textFill>
        </w:rPr>
        <w:t>出的作为查询选件的附件、零配件、专用工具和消耗品，投标书中</w:t>
      </w:r>
      <w:r>
        <w:rPr>
          <w:rFonts w:hint="eastAsia" w:ascii="宋体"/>
          <w:color w:val="000000" w:themeColor="text1"/>
          <w:sz w:val="24"/>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14:paraId="795F299A">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  为便于用户进行接收仪器的准备工作，卖方应在合同生效后</w:t>
      </w:r>
      <w:r>
        <w:rPr>
          <w:rFonts w:hint="eastAsia" w:ascii="宋体" w:hAnsi="宋体"/>
          <w:b/>
          <w:color w:val="000000" w:themeColor="text1"/>
          <w:sz w:val="24"/>
          <w14:textFill>
            <w14:solidFill>
              <w14:schemeClr w14:val="tx1"/>
            </w14:solidFill>
          </w14:textFill>
        </w:rPr>
        <w:t>60</w:t>
      </w:r>
      <w:r>
        <w:rPr>
          <w:rFonts w:hint="eastAsia" w:ascii="宋体" w:hAnsi="宋体"/>
          <w:color w:val="000000" w:themeColor="text1"/>
          <w:sz w:val="24"/>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14:paraId="52CBDFAC">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14:paraId="7250A485">
      <w:pPr>
        <w:spacing w:line="360" w:lineRule="auto"/>
        <w:ind w:left="554" w:hanging="554" w:hangingChars="2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14:paraId="1AC476C2">
      <w:pPr>
        <w:adjustRightInd w:val="0"/>
        <w:snapToGrid w:val="0"/>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3、工作条件</w:t>
      </w:r>
    </w:p>
    <w:p w14:paraId="7E0CAE70">
      <w:pPr>
        <w:spacing w:after="312" w:afterLines="10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除非在技术规格中另有说明，所有仪器、设备和系统都应符合下列要求：</w:t>
      </w:r>
      <w:r>
        <w:rPr>
          <w:rFonts w:ascii="宋体" w:hAnsi="宋体"/>
          <w:color w:val="000000" w:themeColor="text1"/>
          <w:sz w:val="24"/>
          <w14:textFill>
            <w14:solidFill>
              <w14:schemeClr w14:val="tx1"/>
            </w14:solidFill>
          </w14:textFill>
        </w:rPr>
        <w:t xml:space="preserve"> </w:t>
      </w:r>
    </w:p>
    <w:p w14:paraId="478D0735">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  适于在气温为摄氏</w:t>
      </w:r>
      <w:r>
        <w:rPr>
          <w:rFonts w:ascii="宋体" w:hAnsi="宋体"/>
          <w:b/>
          <w:color w:val="000000" w:themeColor="text1"/>
          <w:sz w:val="24"/>
          <w14:textFill>
            <w14:solidFill>
              <w14:schemeClr w14:val="tx1"/>
            </w14:solidFill>
          </w14:textFill>
        </w:rPr>
        <w:t>-40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和相对湿度为</w:t>
      </w:r>
      <w:r>
        <w:rPr>
          <w:rFonts w:ascii="宋体" w:hAnsi="宋体"/>
          <w:b/>
          <w:color w:val="000000" w:themeColor="text1"/>
          <w:sz w:val="24"/>
          <w14:textFill>
            <w14:solidFill>
              <w14:schemeClr w14:val="tx1"/>
            </w14:solidFill>
          </w14:textFill>
        </w:rPr>
        <w:t>90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的环境条件下运输和贮存。</w:t>
      </w:r>
    </w:p>
    <w:p w14:paraId="085A544C">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3.2  适于在电源</w:t>
      </w:r>
      <w:r>
        <w:rPr>
          <w:rFonts w:ascii="宋体" w:hAnsi="宋体"/>
          <w:b/>
          <w:color w:val="000000" w:themeColor="text1"/>
          <w:sz w:val="24"/>
          <w14:textFill>
            <w14:solidFill>
              <w14:schemeClr w14:val="tx1"/>
            </w14:solidFill>
          </w14:textFill>
        </w:rPr>
        <w:t>220V</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sym w:font="Symbol" w:char="F0B1"/>
      </w:r>
      <w:r>
        <w:rPr>
          <w:rFonts w:ascii="宋体" w:hAnsi="宋体"/>
          <w:b/>
          <w:color w:val="000000" w:themeColor="text1"/>
          <w:sz w:val="24"/>
          <w14:textFill>
            <w14:solidFill>
              <w14:schemeClr w14:val="tx1"/>
            </w14:solidFill>
          </w14:textFill>
        </w:rPr>
        <w:t>10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/50Hz</w:t>
      </w:r>
      <w:r>
        <w:rPr>
          <w:rFonts w:hint="eastAsia" w:ascii="宋体" w:hAnsi="宋体"/>
          <w:color w:val="000000" w:themeColor="text1"/>
          <w:sz w:val="24"/>
          <w14:textFill>
            <w14:solidFill>
              <w14:schemeClr w14:val="tx1"/>
            </w14:solidFill>
          </w14:textFill>
        </w:rPr>
        <w:t>、气温摄氏</w:t>
      </w: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5</w:t>
      </w: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和相对湿度小于</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的环境条件下运行。</w:t>
      </w:r>
      <w:r>
        <w:rPr>
          <w:rFonts w:hint="eastAsia" w:ascii="宋体" w:hAnsi="宋体"/>
          <w:b/>
          <w:color w:val="000000" w:themeColor="text1"/>
          <w:sz w:val="24"/>
          <w14:textFill>
            <w14:solidFill>
              <w14:schemeClr w14:val="tx1"/>
            </w14:solidFill>
          </w14:textFill>
        </w:rPr>
        <w:t>能够连续正常工作。</w:t>
      </w:r>
    </w:p>
    <w:p w14:paraId="0C60AB7F">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3.3  配置符合中国有关标准要求的插头，如果没有这样的插头，则需</w:t>
      </w:r>
      <w:r>
        <w:rPr>
          <w:rFonts w:hint="eastAsia" w:ascii="宋体"/>
          <w:color w:val="000000" w:themeColor="text1"/>
          <w:sz w:val="24"/>
          <w14:textFill>
            <w14:solidFill>
              <w14:schemeClr w14:val="tx1"/>
            </w14:solidFill>
          </w14:textFill>
        </w:rPr>
        <w:t>提供适当的转</w:t>
      </w:r>
      <w:r>
        <w:rPr>
          <w:rFonts w:hint="eastAsia" w:ascii="宋体" w:hAnsi="宋体"/>
          <w:color w:val="000000" w:themeColor="text1"/>
          <w:sz w:val="24"/>
          <w14:textFill>
            <w14:solidFill>
              <w14:schemeClr w14:val="tx1"/>
            </w14:solidFill>
          </w14:textFill>
        </w:rPr>
        <w:t>换插座。</w:t>
      </w:r>
    </w:p>
    <w:p w14:paraId="739FF057">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59D42534">
      <w:pPr>
        <w:rPr>
          <w:rFonts w:eastAsia="黑体"/>
          <w:b/>
          <w:bCs/>
          <w:color w:val="000000" w:themeColor="text1"/>
          <w:kern w:val="44"/>
          <w:sz w:val="24"/>
          <w14:textFill>
            <w14:solidFill>
              <w14:schemeClr w14:val="tx1"/>
            </w14:solidFill>
          </w14:textFill>
        </w:rPr>
      </w:pPr>
    </w:p>
    <w:p w14:paraId="3AA40F70">
      <w:pPr>
        <w:adjustRightInd w:val="0"/>
        <w:snapToGrid w:val="0"/>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4、验收标准</w:t>
      </w:r>
    </w:p>
    <w:p w14:paraId="42F10378">
      <w:pPr>
        <w:spacing w:after="312" w:afterLines="10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除非在技术规格中另有说明，所有仪器、设备和系统按下列要求进行验收：</w:t>
      </w:r>
      <w:r>
        <w:rPr>
          <w:rFonts w:ascii="宋体" w:hAnsi="宋体"/>
          <w:color w:val="000000" w:themeColor="text1"/>
          <w:sz w:val="24"/>
          <w14:textFill>
            <w14:solidFill>
              <w14:schemeClr w14:val="tx1"/>
            </w14:solidFill>
          </w14:textFill>
        </w:rPr>
        <w:t xml:space="preserve"> </w:t>
      </w:r>
    </w:p>
    <w:p w14:paraId="331EECE2">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4.1  仪器设备运抵安装现场后，买方将与卖方共同开箱验收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如卖方届时不派人来</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则验收结果应以买方的验收报告为最终验收结果。验收时发现短缺、破损</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买方有权要求卖方负责更换。</w:t>
      </w:r>
    </w:p>
    <w:p w14:paraId="44726F38">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14:paraId="75219E5E">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  </w:t>
      </w:r>
      <w:r>
        <w:rPr>
          <w:rFonts w:ascii="宋体" w:hAnsi="宋体"/>
          <w:color w:val="000000" w:themeColor="text1"/>
          <w:sz w:val="24"/>
          <w14:textFill>
            <w14:solidFill>
              <w14:schemeClr w14:val="tx1"/>
            </w14:solidFill>
          </w14:textFill>
        </w:rPr>
        <w:t>验收由采购人、中标人及相关人员依国家有关标准、合同及有关附件要求进行，验收完毕由采购人及中标人在验收报告上签名。</w:t>
      </w:r>
    </w:p>
    <w:p w14:paraId="25C572FD">
      <w:pPr>
        <w:pStyle w:val="20"/>
        <w:spacing w:line="360" w:lineRule="auto"/>
        <w:ind w:left="410" w:hanging="410" w:hangingChars="170"/>
        <w:rPr>
          <w:rFonts w:hAnsi="宋体"/>
          <w:b/>
          <w:color w:val="000000" w:themeColor="text1"/>
          <w:sz w:val="24"/>
          <w:szCs w:val="24"/>
          <w14:textFill>
            <w14:solidFill>
              <w14:schemeClr w14:val="tx1"/>
            </w14:solidFill>
          </w14:textFill>
        </w:rPr>
      </w:pPr>
    </w:p>
    <w:p w14:paraId="22D90AAF">
      <w:pPr>
        <w:adjustRightInd w:val="0"/>
        <w:snapToGrid w:val="0"/>
        <w:spacing w:line="360" w:lineRule="auto"/>
        <w:rPr>
          <w:rFonts w:hAnsi="宋体"/>
          <w:b/>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5、本采购需求书中标注“★”号技术条款的为实质性要求，不满足其投标将视为无效投标被拒绝。</w:t>
      </w:r>
    </w:p>
    <w:p w14:paraId="7B7BACF1">
      <w:pPr>
        <w:adjustRightInd w:val="0"/>
        <w:snapToGrid w:val="0"/>
        <w:spacing w:line="360" w:lineRule="auto"/>
        <w:rPr>
          <w:rFonts w:ascii="宋体" w:hAnsi="宋体"/>
          <w:b/>
          <w:color w:val="000000" w:themeColor="text1"/>
          <w:sz w:val="24"/>
          <w14:textFill>
            <w14:solidFill>
              <w14:schemeClr w14:val="tx1"/>
            </w14:solidFill>
          </w14:textFill>
        </w:rPr>
      </w:pPr>
    </w:p>
    <w:p w14:paraId="52A6A3CB">
      <w:pPr>
        <w:adjustRightInd w:val="0"/>
        <w:snapToGrid w:val="0"/>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6、如在具体技术规格中有本总则不一致之处，以具体技术规格中的要求为准。</w:t>
      </w:r>
    </w:p>
    <w:p w14:paraId="5DE68187">
      <w:pPr>
        <w:adjustRightInd w:val="0"/>
        <w:snapToGrid w:val="0"/>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二、具体技术规格</w:t>
      </w:r>
    </w:p>
    <w:p w14:paraId="6F040FA0">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第1包 宽能量谱带原位X射线吸收精细结构谱仪</w:t>
      </w:r>
    </w:p>
    <w:p w14:paraId="09D8696F">
      <w:pPr>
        <w:rPr>
          <w:b/>
          <w:color w:val="000000" w:themeColor="text1"/>
          <w:sz w:val="24"/>
          <w14:textFill>
            <w14:solidFill>
              <w14:schemeClr w14:val="tx1"/>
            </w14:solidFill>
          </w14:textFill>
        </w:rPr>
      </w:pPr>
    </w:p>
    <w:p w14:paraId="4E5187FD">
      <w:pPr>
        <w:rPr>
          <w:b/>
          <w:color w:val="000000" w:themeColor="text1"/>
          <w:sz w:val="24"/>
          <w14:textFill>
            <w14:solidFill>
              <w14:schemeClr w14:val="tx1"/>
            </w14:solidFill>
          </w14:textFill>
        </w:rPr>
      </w:pPr>
    </w:p>
    <w:p w14:paraId="28DAC563">
      <w:pPr>
        <w:numPr>
          <w:ilvl w:val="0"/>
          <w:numId w:val="1"/>
        </w:num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技术要求：</w:t>
      </w:r>
    </w:p>
    <w:p w14:paraId="6BD31D96">
      <w:pPr>
        <w:rPr>
          <w:b/>
          <w:color w:val="000000" w:themeColor="text1"/>
          <w:sz w:val="24"/>
          <w14:textFill>
            <w14:solidFill>
              <w14:schemeClr w14:val="tx1"/>
            </w14:solidFill>
          </w14:textFill>
        </w:rPr>
      </w:pPr>
    </w:p>
    <w:p w14:paraId="1D22ED4B">
      <w:pPr>
        <w:numPr>
          <w:ilvl w:val="0"/>
          <w:numId w:val="2"/>
        </w:num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工作条件：</w:t>
      </w:r>
    </w:p>
    <w:p w14:paraId="5FF61C01">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见总则第3条。</w:t>
      </w:r>
    </w:p>
    <w:p w14:paraId="7F9D3052">
      <w:pPr>
        <w:spacing w:line="360" w:lineRule="auto"/>
        <w:ind w:left="435" w:firstLine="240"/>
        <w:rPr>
          <w:color w:val="000000" w:themeColor="text1"/>
          <w:sz w:val="24"/>
          <w14:textFill>
            <w14:solidFill>
              <w14:schemeClr w14:val="tx1"/>
            </w14:solidFill>
          </w14:textFill>
        </w:rPr>
      </w:pPr>
    </w:p>
    <w:p w14:paraId="4C53B173">
      <w:pPr>
        <w:numPr>
          <w:ilvl w:val="0"/>
          <w:numId w:val="2"/>
        </w:num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设备用途：</w:t>
      </w:r>
    </w:p>
    <w:p w14:paraId="41CB65C3">
      <w:pPr>
        <w:spacing w:line="360" w:lineRule="auto"/>
        <w:ind w:firstLine="480" w:firstLineChars="2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用于研究材料局域原子结构和电子结构，无需同步辐射光源情况下实现 XAFS 和 XES 测试，最多可同时获得 2 个金属元素氧化态、电子结构、对称性、配位数、配置种类原子间距等信息，具有双罗兰圆结构，可同时测试两个金属元素，XAFS 模式最低可测出 0.5%金属含量的样品（碳氮载体），配置有 XES 测试模式，采用XES 专用端窗型 X 射线源，无需与 XAFS 模式共用X 射线源。</w:t>
      </w:r>
    </w:p>
    <w:p w14:paraId="330BD3A4">
      <w:pPr>
        <w:spacing w:line="360" w:lineRule="auto"/>
        <w:rPr>
          <w:color w:val="000000" w:themeColor="text1"/>
          <w:sz w:val="24"/>
          <w14:textFill>
            <w14:solidFill>
              <w14:schemeClr w14:val="tx1"/>
            </w14:solidFill>
          </w14:textFill>
        </w:rPr>
      </w:pPr>
    </w:p>
    <w:p w14:paraId="67C30056">
      <w:pPr>
        <w:numPr>
          <w:ilvl w:val="0"/>
          <w:numId w:val="2"/>
        </w:num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技术规格：</w:t>
      </w:r>
    </w:p>
    <w:p w14:paraId="3EF0C134">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3.1 </w:t>
      </w:r>
      <w:r>
        <w:rPr>
          <w:color w:val="000000" w:themeColor="text1"/>
          <w:sz w:val="24"/>
          <w14:textFill>
            <w14:solidFill>
              <w14:schemeClr w14:val="tx1"/>
            </w14:solidFill>
          </w14:textFill>
        </w:rPr>
        <w:t xml:space="preserve">X射线光学系统 </w:t>
      </w:r>
    </w:p>
    <w:p w14:paraId="3530B930">
      <w:pPr>
        <w:spacing w:line="360" w:lineRule="auto"/>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设备可实现最多同时测试2个元素，获得氧化态、电子结构、对称性、配位数、配置种类原子间距等信息。</w:t>
      </w:r>
      <w:bookmarkStart w:id="2" w:name="OLE_LINK109"/>
      <w:bookmarkStart w:id="3" w:name="OLE_LINK108"/>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须提供设备实物光路全景图</w:t>
      </w:r>
      <w:bookmarkEnd w:id="2"/>
      <w:bookmarkEnd w:id="3"/>
      <w:r>
        <w:rPr>
          <w:rFonts w:hint="eastAsia"/>
          <w:color w:val="000000" w:themeColor="text1"/>
          <w:sz w:val="24"/>
          <w14:textFill>
            <w14:solidFill>
              <w14:schemeClr w14:val="tx1"/>
            </w14:solidFill>
          </w14:textFill>
        </w:rPr>
        <w:t>，同时</w:t>
      </w:r>
      <w:r>
        <w:rPr>
          <w:color w:val="000000" w:themeColor="text1"/>
          <w:sz w:val="24"/>
          <w14:textFill>
            <w14:solidFill>
              <w14:schemeClr w14:val="tx1"/>
            </w14:solidFill>
          </w14:textFill>
        </w:rPr>
        <w:t>提供实测软件截图，证明可实现2个元素同时测）</w:t>
      </w:r>
    </w:p>
    <w:p w14:paraId="293D435A">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设备须配备双罗兰圆结构，XAFS模式下无需切换光源情况下由1个X射线源须可产生双束X射线利用双单色器提供两个能量单色X射线对样品中2个金属元素同时进行表征，同时对两个金属元素的局域结构进行分析（</w:t>
      </w:r>
      <w:r>
        <w:rPr>
          <w:rFonts w:hint="eastAsia"/>
          <w:color w:val="000000" w:themeColor="text1"/>
          <w:sz w:val="24"/>
          <w14:textFill>
            <w14:solidFill>
              <w14:schemeClr w14:val="tx1"/>
            </w14:solidFill>
          </w14:textFill>
        </w:rPr>
        <w:t>须提供设备实物光路全景图）</w:t>
      </w:r>
      <w:r>
        <w:rPr>
          <w:color w:val="000000" w:themeColor="text1"/>
          <w:sz w:val="24"/>
          <w14:textFill>
            <w14:solidFill>
              <w14:schemeClr w14:val="tx1"/>
            </w14:solidFill>
          </w14:textFill>
        </w:rPr>
        <w:t>。</w:t>
      </w:r>
    </w:p>
    <w:p w14:paraId="2E4D902A">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1.3 采用高分辨罗兰环结构X射线单色器，罗兰圆直径≥500 mm，具备高精度控制系统，重复定位精度&lt; ±1 μm，能自动校准，保证测试过程不会脱离罗兰圆，布拉格角范围：55°～85°，整个罗兰圆全布拉格角度行程运动范围，样品处光斑保持不动；</w:t>
      </w:r>
    </w:p>
    <w:p w14:paraId="70A06522">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球面弯曲晶体配置预对准校正支架，能够实现快速更换（提供实物照片或测试数据进行证明）</w:t>
      </w:r>
      <w:r>
        <w:rPr>
          <w:color w:val="000000" w:themeColor="text1"/>
          <w:sz w:val="24"/>
          <w14:textFill>
            <w14:solidFill>
              <w14:schemeClr w14:val="tx1"/>
            </w14:solidFill>
          </w14:textFill>
        </w:rPr>
        <w:t>；</w:t>
      </w:r>
    </w:p>
    <w:p w14:paraId="5454CD4D">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1.5 XAFS测试采用高功率X射线光源，备用靶材不少于2个，X射线源冷却方式为水冷；检测器处单色 X 射线有效计数率≥4×10</w:t>
      </w:r>
      <w:r>
        <w:rPr>
          <w:color w:val="000000" w:themeColor="text1"/>
          <w:sz w:val="24"/>
          <w:vertAlign w:val="superscript"/>
          <w14:textFill>
            <w14:solidFill>
              <w14:schemeClr w14:val="tx1"/>
            </w14:solidFill>
          </w14:textFill>
        </w:rPr>
        <w:t>6</w:t>
      </w:r>
      <w:r>
        <w:rPr>
          <w:color w:val="000000" w:themeColor="text1"/>
          <w:sz w:val="24"/>
          <w14:textFill>
            <w14:solidFill>
              <w14:schemeClr w14:val="tx1"/>
            </w14:solidFill>
          </w14:textFill>
        </w:rPr>
        <w:t xml:space="preserve"> photons/sec@8 keV（需提供实测光通量数据）；</w:t>
      </w:r>
    </w:p>
    <w:p w14:paraId="5454D7DE">
      <w:pPr>
        <w:spacing w:line="360" w:lineRule="auto"/>
        <w:rPr>
          <w:color w:val="000000" w:themeColor="text1"/>
          <w:sz w:val="24"/>
          <w14:textFill>
            <w14:solidFill>
              <w14:schemeClr w14:val="tx1"/>
            </w14:solidFill>
          </w14:textFill>
        </w:rPr>
      </w:pPr>
      <w:bookmarkStart w:id="4" w:name="OLE_LINK110"/>
      <w:bookmarkStart w:id="5" w:name="OLE_LINK111"/>
      <w:r>
        <w:rPr>
          <w:rFonts w:hint="eastAsia"/>
          <w:color w:val="000000" w:themeColor="text1"/>
          <w:sz w:val="24"/>
          <w14:textFill>
            <w14:solidFill>
              <w14:schemeClr w14:val="tx1"/>
            </w14:solidFill>
          </w14:textFill>
        </w:rPr>
        <w:t>★</w:t>
      </w:r>
      <w:bookmarkEnd w:id="4"/>
      <w:bookmarkEnd w:id="5"/>
      <w:r>
        <w:rPr>
          <w:rFonts w:hint="eastAsia"/>
          <w:color w:val="000000" w:themeColor="text1"/>
          <w:sz w:val="24"/>
          <w14:textFill>
            <w14:solidFill>
              <w14:schemeClr w14:val="tx1"/>
            </w14:solidFill>
          </w14:textFill>
        </w:rPr>
        <w:t>3.1.6 发射谱（XES）测试采用XES专用端窗型X射线源而非与XAFS同类侧窗型X射线源，避免削弱XES测试性能；（提供设备内部配置发射谱的光路全景实物照片以及厂商技术白皮书，证明XES使用专用端窗型X射线源而非侧窗型X射线源）</w:t>
      </w:r>
    </w:p>
    <w:p w14:paraId="55EA31C5">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3.1.7 在光路上配备氦气腔体，减少空气对X射线吸收，氦气腔体采用异形优化结构，在不同布拉格角度（55°～85°）实现氦气通路比例大于80 %，在低能区范围，X射线通过效率&gt;50 %@5keV；</w:t>
      </w:r>
    </w:p>
    <w:p w14:paraId="14842F68">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XAFS功能 </w:t>
      </w:r>
    </w:p>
    <w:p w14:paraId="2E1B5E48">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能量范围：4.5keV～20keV。可测元素范围包含3d过渡金属K边，5d过渡金属L边，XAFS测试数据具有良好的信噪比，Cu foil测试时长≤15分钟，信噪比SNR&gt;800（需提供可证实最低和最高能量的实际样品的测试数据证明）。</w:t>
      </w:r>
    </w:p>
    <w:p w14:paraId="6AFCBE28">
      <w:pPr>
        <w:spacing w:line="360" w:lineRule="auto"/>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 xml:space="preserve">2.2 能量分辨：0.5～1.5 eV（XANES），1.5～10 eV（EXAFS）（需提供不同布拉格角度下实测能量分辨数据，要求能量分辨@82°时≤1eV，@69°时≤3eV，@64°时≤5.2eV）； </w:t>
      </w:r>
    </w:p>
    <w:p w14:paraId="7D17E1BD">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2.3 重复性：能量漂移≤50 meV@24 h，无需重复单色仪校准；</w:t>
      </w:r>
    </w:p>
    <w:p w14:paraId="183C0E5E">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2.4 调节机构精度：能量扫描最小步长0.1 eV；</w:t>
      </w:r>
    </w:p>
    <w:p w14:paraId="52FFE59E">
      <w:pPr>
        <w:spacing w:line="360" w:lineRule="auto"/>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 xml:space="preserve">2.5 </w:t>
      </w:r>
      <w:r>
        <w:rPr>
          <w:rFonts w:hint="eastAsia"/>
          <w:color w:val="000000" w:themeColor="text1"/>
          <w:sz w:val="24"/>
          <w14:textFill>
            <w14:solidFill>
              <w14:schemeClr w14:val="tx1"/>
            </w14:solidFill>
          </w14:textFill>
        </w:rPr>
        <w:t xml:space="preserve">具有极低检测限：最低能检测Ni、Co、Fe等元素0.5%含量或以下的EXAFS（碳氮载体）的样品（需提供仪器实测样品数据，其测试数据已在第三方渠道公开发表证明数据可靠有效或提供国家认可的具有相应检测资质的检测机构出具的带有CMA或CNAS标识的检测报告作为证明材料）；且在分子筛载体上可测试同等元素0.5%含量或以下的样品并获得EXAFS数据，且需在现场真实验收完成。 </w:t>
      </w:r>
    </w:p>
    <w:p w14:paraId="3E18C474">
      <w:pPr>
        <w:spacing w:line="360" w:lineRule="auto"/>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2.6</w:t>
      </w:r>
      <w:r>
        <w:rPr>
          <w:rFonts w:hint="eastAsia"/>
          <w:color w:val="000000" w:themeColor="text1"/>
          <w:sz w:val="24"/>
          <w14:textFill>
            <w14:solidFill>
              <w14:schemeClr w14:val="tx1"/>
            </w14:solidFill>
          </w14:textFill>
        </w:rPr>
        <w:t xml:space="preserve">仪器能够测出五元或以上的新型高熵催化剂材料的近边和扩展边，各组元含量&lt;6%的高熵催化材料的EXAFS（碳氮载体，测试时间≤2小时）（需提供仪器实测样品数据，其测试数据已在第三方渠道公开发表证明数据可靠有效或提供国家认可的具有相应检测资质的检测机构出具的带有CMA或CNAS标识的检测报告作为证明材料）。  </w:t>
      </w:r>
      <w:r>
        <w:rPr>
          <w:color w:val="000000" w:themeColor="text1"/>
          <w:sz w:val="24"/>
          <w14:textFill>
            <w14:solidFill>
              <w14:schemeClr w14:val="tx1"/>
            </w14:solidFill>
          </w14:textFill>
        </w:rPr>
        <w:t xml:space="preserve"> </w:t>
      </w:r>
    </w:p>
    <w:p w14:paraId="573558C0">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3.3 </w:t>
      </w:r>
      <w:r>
        <w:rPr>
          <w:color w:val="000000" w:themeColor="text1"/>
          <w:sz w:val="24"/>
          <w14:textFill>
            <w14:solidFill>
              <w14:schemeClr w14:val="tx1"/>
            </w14:solidFill>
          </w14:textFill>
        </w:rPr>
        <w:t>XES功能</w:t>
      </w:r>
    </w:p>
    <w:p w14:paraId="349AA9F3">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3.1 可测元素至少包含Fe、Co、Ni、Cu、Zn 等，最低测试含量低于0.1 wt%；</w:t>
      </w:r>
    </w:p>
    <w:p w14:paraId="2C768DD8">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 xml:space="preserve">3.2 能量分辨：≤2.0 eV （7～9 keV）；X 射线发射谱（XES）核心-空穴生成速率≥10^11/s   </w:t>
      </w:r>
    </w:p>
    <w:p w14:paraId="5B2C64A5">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（7～9 keV）；</w:t>
      </w:r>
    </w:p>
    <w:p w14:paraId="511DEB3A">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3.3 XES测试可在30分钟内获得Kβ2,5信号峰；</w:t>
      </w:r>
    </w:p>
    <w:p w14:paraId="03D5EF62">
      <w:pPr>
        <w:spacing w:line="360" w:lineRule="auto"/>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 xml:space="preserve">3.4 </w:t>
      </w:r>
      <w:r>
        <w:rPr>
          <w:rFonts w:hint="eastAsia"/>
          <w:color w:val="000000" w:themeColor="text1"/>
          <w:sz w:val="24"/>
          <w14:textFill>
            <w14:solidFill>
              <w14:schemeClr w14:val="tx1"/>
            </w14:solidFill>
          </w14:textFill>
        </w:rPr>
        <w:t xml:space="preserve">XES模式可实现原位测试且数据质量可靠。（需提供其测试数据已在第三方渠道公开发表证明数据可靠有效）。 </w:t>
      </w:r>
    </w:p>
    <w:p w14:paraId="414D37E0">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3.4</w:t>
      </w:r>
      <w:r>
        <w:rPr>
          <w:color w:val="000000" w:themeColor="text1"/>
          <w:sz w:val="24"/>
          <w14:textFill>
            <w14:solidFill>
              <w14:schemeClr w14:val="tx1"/>
            </w14:solidFill>
          </w14:textFill>
        </w:rPr>
        <w:t>分析仪球面弯曲晶体</w:t>
      </w:r>
    </w:p>
    <w:p w14:paraId="4A656BD5">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4.1 不少于 24 块 Johann 型球面弯曲的布拉格分光晶体，直径≥100 mm，曲率半径≥500 mm，表面误差PV值小于5微米（提供实测证明材料）；</w:t>
      </w:r>
    </w:p>
    <w:p w14:paraId="2FE6B3F4">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4.2 球面弯曲晶体配置预对准校正支架，采用燕尾进行快速更换（提供实物照片或测试数据进行证明）。</w:t>
      </w:r>
    </w:p>
    <w:p w14:paraId="40926EDC">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w:t>
      </w:r>
      <w:r>
        <w:rPr>
          <w:color w:val="000000" w:themeColor="text1"/>
          <w:sz w:val="24"/>
          <w14:textFill>
            <w14:solidFill>
              <w14:schemeClr w14:val="tx1"/>
            </w14:solidFill>
          </w14:textFill>
        </w:rPr>
        <w:t xml:space="preserve">检测器 </w:t>
      </w:r>
    </w:p>
    <w:p w14:paraId="4CB3B1E2">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3.5.1</w:t>
      </w:r>
      <w:r>
        <w:rPr>
          <w:color w:val="000000" w:themeColor="text1"/>
          <w:sz w:val="24"/>
          <w14:textFill>
            <w14:solidFill>
              <w14:schemeClr w14:val="tx1"/>
            </w14:solidFill>
          </w14:textFill>
        </w:rPr>
        <w:t>大面积硅漂移探测器，有效面积≥150 mm</w:t>
      </w:r>
      <w:r>
        <w:rPr>
          <w:color w:val="000000" w:themeColor="text1"/>
          <w:sz w:val="24"/>
          <w:vertAlign w:val="superscript"/>
          <w14:textFill>
            <w14:solidFill>
              <w14:schemeClr w14:val="tx1"/>
            </w14:solidFill>
          </w14:textFill>
        </w:rPr>
        <w:t>2</w:t>
      </w:r>
      <w:r>
        <w:rPr>
          <w:color w:val="000000" w:themeColor="text1"/>
          <w:sz w:val="24"/>
          <w14:textFill>
            <w14:solidFill>
              <w14:schemeClr w14:val="tx1"/>
            </w14:solidFill>
          </w14:textFill>
        </w:rPr>
        <w:t>，能量分辨≤140eV@2μs peaking time；</w:t>
      </w:r>
    </w:p>
    <w:p w14:paraId="24BBFB47">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3.5.2</w:t>
      </w:r>
      <w:r>
        <w:rPr>
          <w:color w:val="000000" w:themeColor="text1"/>
          <w:sz w:val="24"/>
          <w14:textFill>
            <w14:solidFill>
              <w14:schemeClr w14:val="tx1"/>
            </w14:solidFill>
          </w14:textFill>
        </w:rPr>
        <w:t xml:space="preserve">配备低散射配件，有效降低无效噪声80 %以上。 </w:t>
      </w:r>
    </w:p>
    <w:p w14:paraId="5AA393E8">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3.6</w:t>
      </w:r>
      <w:r>
        <w:rPr>
          <w:color w:val="000000" w:themeColor="text1"/>
          <w:sz w:val="24"/>
          <w14:textFill>
            <w14:solidFill>
              <w14:schemeClr w14:val="tx1"/>
            </w14:solidFill>
          </w14:textFill>
        </w:rPr>
        <w:t>控制及数据采集系统</w:t>
      </w:r>
    </w:p>
    <w:p w14:paraId="506DFF33">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6.1 配置不小于9寸的真彩色触摸操作屏，使用人员能够直接在触摸屏设置相关参数，故障也能够直接在显示屏上显示；</w:t>
      </w:r>
      <w:r>
        <w:rPr>
          <w:rFonts w:hint="eastAsia"/>
          <w:color w:val="000000" w:themeColor="text1"/>
          <w:sz w:val="24"/>
          <w14:textFill>
            <w14:solidFill>
              <w14:schemeClr w14:val="tx1"/>
            </w14:solidFill>
          </w14:textFill>
        </w:rPr>
        <w:t>（须提供仪器全景图，包括仪器型号和屏幕）</w:t>
      </w:r>
    </w:p>
    <w:p w14:paraId="26E43227">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3.6.2 </w:t>
      </w:r>
      <w:r>
        <w:rPr>
          <w:rFonts w:hint="eastAsia"/>
          <w:color w:val="000000" w:themeColor="text1"/>
          <w:sz w:val="24"/>
          <w14:textFill>
            <w14:solidFill>
              <w14:schemeClr w14:val="tx1"/>
            </w14:solidFill>
          </w14:textFill>
        </w:rPr>
        <w:t>控制软件模块可实现仪器全自动化控制，同时配备有高通量数据处理程序包，具有自动化处理多条谱图数据处理功能，已有软件在硬件支持的基础上，终身免费升级；3.</w:t>
      </w:r>
      <w:r>
        <w:rPr>
          <w:color w:val="000000" w:themeColor="text1"/>
          <w:sz w:val="24"/>
          <w14:textFill>
            <w14:solidFill>
              <w14:schemeClr w14:val="tx1"/>
            </w14:solidFill>
          </w14:textFill>
        </w:rPr>
        <w:t xml:space="preserve">6.3 单色器能自动校准，不少于8位全自动样品轮：具备多样品自动切换测试功能。 </w:t>
      </w:r>
    </w:p>
    <w:p w14:paraId="1B64C7DB">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w:t>
      </w:r>
      <w:r>
        <w:rPr>
          <w:color w:val="000000" w:themeColor="text1"/>
          <w:sz w:val="24"/>
          <w14:textFill>
            <w14:solidFill>
              <w14:schemeClr w14:val="tx1"/>
            </w14:solidFill>
          </w14:textFill>
        </w:rPr>
        <w:t xml:space="preserve">系统附件 </w:t>
      </w:r>
    </w:p>
    <w:p w14:paraId="0453CD31">
      <w:pPr>
        <w:spacing w:line="360" w:lineRule="auto"/>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7.1 配备一整套参比金属标准箔片（不少于22个，覆盖3d、4d和部分5d过渡金属元素）；</w:t>
      </w:r>
    </w:p>
    <w:p w14:paraId="1DF37FDC">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7.2 配置4个原位池：可实现二次电池、电催化原位池、流动相光催化实验方式与测试数据受到广泛认可（提供流动相光催化原位测试案例）；</w:t>
      </w:r>
    </w:p>
    <w:p w14:paraId="217CD119">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7.3 配置X射线防护罩、状态指示灯、安全标志，具备紧急停机按钮和过载保护功能，确保操作安全，内置多级报警系统，包括辐射泄漏、超温、真空泄漏等报警功能，防护罩外X射线辐射瞬时剂量率小于0.5 uSv/hr（需提供具有相应证明资质的CMA或CNAS认证的检测机构出具的检测报告），具有环境保护部门颁发的有效期内X射线设备使用豁免许可；</w:t>
      </w:r>
    </w:p>
    <w:p w14:paraId="4C6E6C12">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7.4 配置功率不小于2kW冷却水机 1套、不间断 UPS 电源1套，保证仪器无人值守自动化测试不受影响；</w:t>
      </w:r>
    </w:p>
    <w:p w14:paraId="4334CD06">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7.5 配套制样设备：分析天平 1台，量程不小于200 g，分度值0.1mg；压片机1套，包括：手动压力机1个（压力范围：0-24 T 表压：0-40 MPa，压力稳定性：≤1 MPa/10 min），手动压力机压料模具及载样片1整套，研钵（内径50mm，含棒）1个。</w:t>
      </w:r>
    </w:p>
    <w:p w14:paraId="5BAA3AE4">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7.6 配置X射线实验室空间智能净化装置1套</w:t>
      </w:r>
    </w:p>
    <w:p w14:paraId="2CA22342">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7.6.1 配置空气质量检测：实时监测实验室空间内空气质量（PM2.5、PM10及臭氧浓度检测）；负氧离子模块：生成负氧离子并配合机器净化模块不间断地向实验室输送新鲜空气，改善室内空气质量；</w:t>
      </w:r>
    </w:p>
    <w:p w14:paraId="632F5A10">
      <w:pPr>
        <w:spacing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7.6.2 运行期间稳定的实测声压级≤ 60 dB（A），真菌总数和细菌总数消杀率不低于99%，且产品质量通过相关行业规定，机械强度、稳定性能和机械危险、泄露电流、电器强度等检验结果合格，投标文件中提供第三方带CMA标识的检测报告，中标后提供原件核查；</w:t>
      </w:r>
    </w:p>
    <w:p w14:paraId="2A9F15C5">
      <w:pPr>
        <w:spacing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7.6.3 实验室空间智能净化装置操控软件满足软件产品登记检测的要求，提供第三方带CMA标识的检测报告；</w:t>
      </w:r>
    </w:p>
    <w:p w14:paraId="3412E701">
      <w:pPr>
        <w:spacing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7.6.4 X射线实验室空间智能净化装置可通过手机App实时远程在线查看运行状况，提供App下载页面和运行状态的截屏。正版软件能对温湿度、消杀效率等相关数据进行分析，提供数据查看截屏图片。</w:t>
      </w:r>
    </w:p>
    <w:p w14:paraId="5434F34B">
      <w:pPr>
        <w:spacing w:line="360" w:lineRule="auto"/>
        <w:ind w:firstLine="480"/>
        <w:rPr>
          <w:color w:val="000000" w:themeColor="text1"/>
          <w:sz w:val="24"/>
          <w14:textFill>
            <w14:solidFill>
              <w14:schemeClr w14:val="tx1"/>
            </w14:solidFill>
          </w14:textFill>
        </w:rPr>
      </w:pPr>
    </w:p>
    <w:p w14:paraId="0E666D99">
      <w:pPr>
        <w:numPr>
          <w:ilvl w:val="0"/>
          <w:numId w:val="2"/>
        </w:num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产品配置要求</w:t>
      </w:r>
    </w:p>
    <w:p w14:paraId="0A8748E6">
      <w:pPr>
        <w:numPr>
          <w:ilvl w:val="1"/>
          <w:numId w:val="3"/>
        </w:num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主要配置清单，包括但不限于以下部分：</w:t>
      </w:r>
    </w:p>
    <w:p w14:paraId="03044985">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（1）X 射线吸收精细结构谱主机系统1套</w:t>
      </w:r>
    </w:p>
    <w:p w14:paraId="56851C00">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（2）XAFS模式X射线源1套</w:t>
      </w:r>
    </w:p>
    <w:p w14:paraId="4B901E0B">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（3）大面积SDD探测器1个</w:t>
      </w:r>
    </w:p>
    <w:p w14:paraId="72DD6801">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（4）球面分析晶体24个</w:t>
      </w:r>
    </w:p>
    <w:p w14:paraId="32EBF0AA">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（5）XES模式专用X射线源1个</w:t>
      </w:r>
    </w:p>
    <w:p w14:paraId="207C7ECE">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（6）全自动样品轮1个</w:t>
      </w:r>
    </w:p>
    <w:p w14:paraId="63195E87">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）原位池</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个</w:t>
      </w:r>
    </w:p>
    <w:p w14:paraId="5F4C5C00">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（8）水冷机1个</w:t>
      </w:r>
    </w:p>
    <w:p w14:paraId="0F72489D">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（9）UPS不间断电源1个</w:t>
      </w:r>
    </w:p>
    <w:p w14:paraId="2E5875FE">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（10）制样工具包1套</w:t>
      </w:r>
    </w:p>
    <w:p w14:paraId="12B36BA4">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（11）X射线空间消杀装置1套</w:t>
      </w:r>
    </w:p>
    <w:p w14:paraId="0835284E">
      <w:pPr>
        <w:spacing w:line="360" w:lineRule="auto"/>
        <w:rPr>
          <w:color w:val="000000" w:themeColor="text1"/>
          <w:sz w:val="24"/>
          <w14:textFill>
            <w14:solidFill>
              <w14:schemeClr w14:val="tx1"/>
            </w14:solidFill>
          </w14:textFill>
        </w:rPr>
      </w:pPr>
    </w:p>
    <w:p w14:paraId="7A57F4E0">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  要求的附件、专用工具和消耗品</w:t>
      </w:r>
    </w:p>
    <w:p w14:paraId="1B5A2C97">
      <w:pPr>
        <w:spacing w:line="360" w:lineRule="auto"/>
        <w:ind w:firstLine="523" w:firstLineChars="21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宽能量谱带原位X射线吸收精细结构谱仪易耗品：</w:t>
      </w:r>
    </w:p>
    <w:p w14:paraId="6D6D5007">
      <w:pPr>
        <w:spacing w:line="360" w:lineRule="auto"/>
        <w:ind w:firstLine="523" w:firstLineChars="21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（1）X射线靶材</w:t>
      </w:r>
    </w:p>
    <w:p w14:paraId="15A41F12">
      <w:pPr>
        <w:spacing w:line="360" w:lineRule="auto"/>
        <w:ind w:firstLine="523" w:firstLineChars="21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（2）球面分析晶体</w:t>
      </w:r>
    </w:p>
    <w:p w14:paraId="5448B933">
      <w:pPr>
        <w:spacing w:line="360" w:lineRule="auto"/>
        <w:ind w:left="523" w:hanging="523" w:hangingChars="218"/>
        <w:rPr>
          <w:rFonts w:asci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4.3  其它保证仪器设备的正常运行和常规保养所需的附件、专用工具和消耗品。</w:t>
      </w:r>
    </w:p>
    <w:p w14:paraId="04F5B432">
      <w:pPr>
        <w:spacing w:line="360" w:lineRule="auto"/>
        <w:ind w:left="420" w:firstLine="240"/>
        <w:rPr>
          <w:color w:val="000000" w:themeColor="text1"/>
          <w:sz w:val="24"/>
          <w14:textFill>
            <w14:solidFill>
              <w14:schemeClr w14:val="tx1"/>
            </w14:solidFill>
          </w14:textFill>
        </w:rPr>
      </w:pPr>
    </w:p>
    <w:p w14:paraId="610E8D65">
      <w:pPr>
        <w:tabs>
          <w:tab w:val="left" w:pos="540"/>
        </w:tabs>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5.  技术文件：</w:t>
      </w:r>
    </w:p>
    <w:p w14:paraId="0653547B">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5.1 中标人提供的货物须为全新的，整机无污染，无侵权行为、无任何缺陷隐患，在中国境内可依常规安全合法使用。</w:t>
      </w:r>
    </w:p>
    <w:p w14:paraId="45DC9EAB">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 提供仪器设备的安装、操作手册、维修保养手册等技术文件，及产品合格证、质量保证书和产品软件等全套资料。</w:t>
      </w:r>
    </w:p>
    <w:p w14:paraId="3BBFD180">
      <w:pPr>
        <w:spacing w:line="360" w:lineRule="auto"/>
        <w:rPr>
          <w:color w:val="000000" w:themeColor="text1"/>
          <w:sz w:val="24"/>
          <w14:textFill>
            <w14:solidFill>
              <w14:schemeClr w14:val="tx1"/>
            </w14:solidFill>
          </w14:textFill>
        </w:rPr>
      </w:pPr>
    </w:p>
    <w:p w14:paraId="48D4EB00">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（二）质保及售后服务：</w:t>
      </w:r>
    </w:p>
    <w:p w14:paraId="2B482E20">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 设备安装调试</w:t>
      </w:r>
    </w:p>
    <w:p w14:paraId="0B1E5446">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负责送货上门、负责提供产品原厂工程师现场安装、安装调试服务、负责技术培训和 12 个月远程服务。</w:t>
      </w:r>
    </w:p>
    <w:p w14:paraId="2593C252">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 技术培训</w:t>
      </w:r>
    </w:p>
    <w:p w14:paraId="309282CE">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提供技术服务，现场培训内容（包括仪器基本原理、操作使用及日常保养维修等），培训工作直至技术人员能独立操作为止。培训费用由中标人承担。</w:t>
      </w:r>
    </w:p>
    <w:p w14:paraId="7FB0E975">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 保修期：保修期为3年（自采购单位书面验收合格之日起计算）</w:t>
      </w:r>
    </w:p>
    <w:p w14:paraId="40F9186D">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 维修响应时间：</w:t>
      </w:r>
    </w:p>
    <w:p w14:paraId="2F2AEF3B">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中标人在接到用户维修电话后2小时内响应，6小时内到达现场处理，一般情况下24小时内恢复正常使用。质量保证期内因设备性能故障检修三次仍不能正常使用的，无偿更换新设备。在超出质量保证期后，如产品发生故障，可派技术员上门服务；如需更换配件，配件均按市场最优惠价格供应。</w:t>
      </w:r>
    </w:p>
    <w:p w14:paraId="1D2877E9">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 要求卖方提供的其它技术服务内容</w:t>
      </w:r>
    </w:p>
    <w:p w14:paraId="348CF871">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要求卖方免费提供</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年内</w:t>
      </w:r>
      <w:r>
        <w:rPr>
          <w:color w:val="000000" w:themeColor="text1"/>
          <w:sz w:val="24"/>
          <w14:textFill>
            <w14:solidFill>
              <w14:schemeClr w14:val="tx1"/>
            </w14:solidFill>
          </w14:textFill>
        </w:rPr>
        <w:t xml:space="preserve"> X</w:t>
      </w:r>
      <w:r>
        <w:rPr>
          <w:rFonts w:hint="eastAsia"/>
          <w:color w:val="000000" w:themeColor="text1"/>
          <w:sz w:val="24"/>
          <w14:textFill>
            <w14:solidFill>
              <w14:schemeClr w14:val="tx1"/>
            </w14:solidFill>
          </w14:textFill>
        </w:rPr>
        <w:t>射线靶材及更换，质量保证期满后，终身维护，且以市场最优惠价格提供维修和备件 更换、软件更新升级，且承诺为用户提供的终身技术咨询服务。</w:t>
      </w:r>
    </w:p>
    <w:p w14:paraId="1F23D5E1">
      <w:pPr>
        <w:spacing w:line="360" w:lineRule="auto"/>
        <w:rPr>
          <w:b/>
          <w:color w:val="000000" w:themeColor="text1"/>
          <w:sz w:val="24"/>
          <w14:textFill>
            <w14:solidFill>
              <w14:schemeClr w14:val="tx1"/>
            </w14:solidFill>
          </w14:textFill>
        </w:rPr>
      </w:pPr>
    </w:p>
    <w:p w14:paraId="3CD0CF83">
      <w:pPr>
        <w:spacing w:line="360" w:lineRule="auto"/>
        <w:rPr>
          <w:rFonts w:ascii="inherit" w:hAnsi="inherit" w:cs="宋体"/>
          <w:color w:val="000000" w:themeColor="text1"/>
          <w:kern w:val="0"/>
          <w:sz w:val="24"/>
          <w14:textFill>
            <w14:solidFill>
              <w14:schemeClr w14:val="tx1"/>
            </w14:solidFill>
          </w14:textFill>
        </w:rPr>
      </w:pPr>
      <w:r>
        <w:rPr>
          <w:rFonts w:hint="eastAsia"/>
          <w:b/>
          <w:color w:val="000000" w:themeColor="text1"/>
          <w:sz w:val="24"/>
          <w14:textFill>
            <w14:solidFill>
              <w14:schemeClr w14:val="tx1"/>
            </w14:solidFill>
          </w14:textFill>
        </w:rPr>
        <w:t>（三） 订货数量：</w:t>
      </w:r>
    </w:p>
    <w:p w14:paraId="31B5A5F7">
      <w:pPr>
        <w:widowControl/>
        <w:spacing w:line="360" w:lineRule="auto"/>
        <w:ind w:firstLine="480" w:firstLineChars="200"/>
        <w:rPr>
          <w:color w:val="000000" w:themeColor="text1"/>
          <w:sz w:val="24"/>
          <w14:textFill>
            <w14:solidFill>
              <w14:schemeClr w14:val="tx1"/>
            </w14:solidFill>
          </w14:textFill>
        </w:rPr>
      </w:pPr>
      <w:r>
        <w:rPr>
          <w:rFonts w:hint="eastAsia" w:ascii="inherit" w:hAnsi="inherit" w:cs="宋体"/>
          <w:color w:val="000000" w:themeColor="text1"/>
          <w:kern w:val="0"/>
          <w:sz w:val="24"/>
          <w14:textFill>
            <w14:solidFill>
              <w14:schemeClr w14:val="tx1"/>
            </w14:solidFill>
          </w14:textFill>
        </w:rPr>
        <w:t>宽能量谱带原位X射线吸收精细结构谱仪</w:t>
      </w:r>
      <w:r>
        <w:rPr>
          <w:rFonts w:hint="eastAsia"/>
          <w:color w:val="000000" w:themeColor="text1"/>
          <w:sz w:val="24"/>
          <w14:textFill>
            <w14:solidFill>
              <w14:schemeClr w14:val="tx1"/>
            </w14:solidFill>
          </w14:textFill>
        </w:rPr>
        <w:t>：1套。</w:t>
      </w:r>
    </w:p>
    <w:p w14:paraId="20ACB240">
      <w:pPr>
        <w:spacing w:line="360" w:lineRule="auto"/>
        <w:rPr>
          <w:color w:val="000000" w:themeColor="text1"/>
          <w:sz w:val="24"/>
          <w14:textFill>
            <w14:solidFill>
              <w14:schemeClr w14:val="tx1"/>
            </w14:solidFill>
          </w14:textFill>
        </w:rPr>
      </w:pPr>
    </w:p>
    <w:p w14:paraId="1C3EF999">
      <w:pPr>
        <w:spacing w:line="360" w:lineRule="auto"/>
        <w:rPr>
          <w:rFonts w:ascii="inherit" w:hAnsi="inherit" w:cs="宋体"/>
          <w:color w:val="000000" w:themeColor="text1"/>
          <w:kern w:val="0"/>
          <w:sz w:val="24"/>
          <w14:textFill>
            <w14:solidFill>
              <w14:schemeClr w14:val="tx1"/>
            </w14:solidFill>
          </w14:textFill>
        </w:rPr>
      </w:pPr>
      <w:r>
        <w:rPr>
          <w:rFonts w:hint="eastAsia"/>
          <w:b/>
          <w:color w:val="000000" w:themeColor="text1"/>
          <w:sz w:val="24"/>
          <w14:textFill>
            <w14:solidFill>
              <w14:schemeClr w14:val="tx1"/>
            </w14:solidFill>
          </w14:textFill>
        </w:rPr>
        <w:t>（四）交货日期：</w:t>
      </w:r>
    </w:p>
    <w:p w14:paraId="36FA2CD6">
      <w:pPr>
        <w:widowControl/>
        <w:spacing w:line="360" w:lineRule="auto"/>
        <w:ind w:firstLine="480" w:firstLineChars="200"/>
        <w:rPr>
          <w:color w:val="000000" w:themeColor="text1"/>
          <w:sz w:val="24"/>
          <w14:textFill>
            <w14:solidFill>
              <w14:schemeClr w14:val="tx1"/>
            </w14:solidFill>
          </w14:textFill>
        </w:rPr>
      </w:pPr>
      <w:r>
        <w:rPr>
          <w:rFonts w:hint="eastAsia" w:ascii="inherit" w:hAnsi="inherit" w:cs="宋体"/>
          <w:color w:val="000000" w:themeColor="text1"/>
          <w:kern w:val="0"/>
          <w:sz w:val="24"/>
          <w14:textFill>
            <w14:solidFill>
              <w14:schemeClr w14:val="tx1"/>
            </w14:solidFill>
          </w14:textFill>
        </w:rPr>
        <w:t>自签订合同之日起70天内到货，安装调试完成。</w:t>
      </w:r>
    </w:p>
    <w:p w14:paraId="3696E7CF">
      <w:pPr>
        <w:spacing w:line="360" w:lineRule="auto"/>
        <w:rPr>
          <w:color w:val="000000" w:themeColor="text1"/>
          <w:sz w:val="24"/>
          <w14:textFill>
            <w14:solidFill>
              <w14:schemeClr w14:val="tx1"/>
            </w14:solidFill>
          </w14:textFill>
        </w:rPr>
      </w:pPr>
    </w:p>
    <w:p w14:paraId="5647B069">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（五）交货地点：</w:t>
      </w:r>
    </w:p>
    <w:p w14:paraId="17479F89">
      <w:pPr>
        <w:widowControl/>
        <w:spacing w:line="360" w:lineRule="auto"/>
        <w:ind w:firstLine="480" w:firstLineChars="200"/>
        <w:rPr>
          <w:rFonts w:ascii="inherit" w:hAnsi="inherit" w:cs="宋体"/>
          <w:color w:val="000000" w:themeColor="text1"/>
          <w:kern w:val="0"/>
          <w:sz w:val="24"/>
          <w14:textFill>
            <w14:solidFill>
              <w14:schemeClr w14:val="tx1"/>
            </w14:solidFill>
          </w14:textFill>
        </w:rPr>
      </w:pPr>
      <w:r>
        <w:rPr>
          <w:rFonts w:hint="eastAsia" w:ascii="inherit" w:hAnsi="inherit" w:cs="宋体"/>
          <w:color w:val="000000" w:themeColor="text1"/>
          <w:kern w:val="0"/>
          <w:sz w:val="24"/>
          <w14:textFill>
            <w14:solidFill>
              <w14:schemeClr w14:val="tx1"/>
            </w14:solidFill>
          </w14:textFill>
        </w:rPr>
        <w:t>中国科学院山西煤炭化学研究所用户指定地点</w:t>
      </w:r>
    </w:p>
    <w:p w14:paraId="31C01A1F">
      <w:pPr>
        <w:spacing w:line="360" w:lineRule="auto"/>
        <w:rPr>
          <w:color w:val="000000" w:themeColor="text1"/>
          <w:sz w:val="24"/>
          <w14:textFill>
            <w14:solidFill>
              <w14:schemeClr w14:val="tx1"/>
            </w14:solidFill>
          </w14:textFill>
        </w:rPr>
      </w:pPr>
    </w:p>
    <w:p w14:paraId="31B6D873">
      <w:pPr>
        <w:spacing w:line="360" w:lineRule="auto"/>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（六）付款方式：</w:t>
      </w:r>
      <w:r>
        <w:rPr>
          <w:rFonts w:hint="eastAsia"/>
          <w:color w:val="000000" w:themeColor="text1"/>
          <w:sz w:val="24"/>
          <w14:textFill>
            <w14:solidFill>
              <w14:schemeClr w14:val="tx1"/>
            </w14:solidFill>
          </w14:textFill>
        </w:rPr>
        <w:t xml:space="preserve">                                         </w:t>
      </w:r>
    </w:p>
    <w:p w14:paraId="4E9A8EAA">
      <w:pPr>
        <w:widowControl/>
        <w:spacing w:line="360" w:lineRule="auto"/>
        <w:ind w:firstLine="480" w:firstLineChars="200"/>
        <w:rPr>
          <w:rFonts w:ascii="inherit" w:hAnsi="inherit" w:cs="宋体"/>
          <w:color w:val="000000" w:themeColor="text1"/>
          <w:kern w:val="0"/>
          <w:sz w:val="24"/>
          <w14:textFill>
            <w14:solidFill>
              <w14:schemeClr w14:val="tx1"/>
            </w14:solidFill>
          </w14:textFill>
        </w:rPr>
      </w:pPr>
      <w:bookmarkStart w:id="6" w:name="OLE_LINK107"/>
      <w:r>
        <w:rPr>
          <w:rFonts w:hint="eastAsia" w:ascii="inherit" w:hAnsi="inherit" w:cs="宋体"/>
          <w:color w:val="000000" w:themeColor="text1"/>
          <w:kern w:val="0"/>
          <w:sz w:val="24"/>
          <w14:textFill>
            <w14:solidFill>
              <w14:schemeClr w14:val="tx1"/>
            </w14:solidFill>
          </w14:textFill>
        </w:rPr>
        <w:t>货到验收合格后支付货款90%；剩余10%验收合格后满一年支付。</w:t>
      </w:r>
    </w:p>
    <w:bookmarkEnd w:id="6"/>
    <w:p w14:paraId="1A5FF643">
      <w:pPr>
        <w:pStyle w:val="14"/>
        <w:rPr>
          <w:color w:val="000000" w:themeColor="text1"/>
          <w14:textFill>
            <w14:solidFill>
              <w14:schemeClr w14:val="tx1"/>
            </w14:solidFill>
          </w14:textFill>
        </w:rPr>
      </w:pPr>
    </w:p>
    <w:p w14:paraId="6E772E65">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（七）执行的相关标准</w:t>
      </w:r>
    </w:p>
    <w:p w14:paraId="6D3BD286">
      <w:pPr>
        <w:widowControl/>
        <w:spacing w:line="360" w:lineRule="auto"/>
        <w:ind w:firstLine="480" w:firstLineChars="200"/>
        <w:rPr>
          <w:rFonts w:ascii="inherit" w:hAnsi="inherit" w:cs="宋体"/>
          <w:color w:val="000000" w:themeColor="text1"/>
          <w:kern w:val="0"/>
          <w:sz w:val="24"/>
          <w14:textFill>
            <w14:solidFill>
              <w14:schemeClr w14:val="tx1"/>
            </w14:solidFill>
          </w14:textFill>
        </w:rPr>
      </w:pPr>
      <w:r>
        <w:rPr>
          <w:rFonts w:hint="eastAsia" w:ascii="inherit" w:hAnsi="inherit" w:cs="宋体"/>
          <w:color w:val="000000" w:themeColor="text1"/>
          <w:kern w:val="0"/>
          <w:sz w:val="24"/>
          <w14:textFill>
            <w14:solidFill>
              <w14:schemeClr w14:val="tx1"/>
            </w14:solidFill>
          </w14:textFill>
        </w:rPr>
        <w:t>中标人提供的货物必须符合中华人民共和国国家安全环保标准。</w:t>
      </w:r>
    </w:p>
    <w:p w14:paraId="2B084602">
      <w:pPr>
        <w:widowControl/>
        <w:spacing w:line="360" w:lineRule="atLeast"/>
        <w:rPr>
          <w:rFonts w:ascii="宋体" w:hAnsi="宋体"/>
          <w:b/>
          <w:color w:val="000000" w:themeColor="text1"/>
          <w:sz w:val="30"/>
          <w:szCs w:val="30"/>
          <w14:textFill>
            <w14:solidFill>
              <w14:schemeClr w14:val="tx1"/>
            </w14:solidFill>
          </w14:textFill>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CAB3F">
    <w:pPr>
      <w:pStyle w:val="25"/>
      <w:jc w:val="center"/>
    </w:pPr>
    <w:r>
      <w:fldChar w:fldCharType="begin"/>
    </w:r>
    <w:r>
      <w:instrText xml:space="preserve">PAGE   \* MERGEFORMAT</w:instrText>
    </w:r>
    <w:r>
      <w:fldChar w:fldCharType="separate"/>
    </w:r>
    <w:r>
      <w:rPr>
        <w:lang w:val="zh-CN"/>
      </w:rPr>
      <w:t>76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B98FC">
    <w:pPr>
      <w:pStyle w:val="25"/>
      <w:jc w:val="center"/>
    </w:pPr>
    <w:r>
      <w:fldChar w:fldCharType="begin"/>
    </w:r>
    <w:r>
      <w:instrText xml:space="preserve">PAGE   \* MERGEFORMAT</w:instrText>
    </w:r>
    <w:r>
      <w:fldChar w:fldCharType="separate"/>
    </w:r>
    <w:r>
      <w:rPr>
        <w:lang w:val="zh-CN"/>
      </w:rPr>
      <w:t>57</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0D84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27C8D"/>
    <w:rsid w:val="00034C17"/>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112A"/>
    <w:rsid w:val="00103352"/>
    <w:rsid w:val="00105333"/>
    <w:rsid w:val="00107AF4"/>
    <w:rsid w:val="001102DD"/>
    <w:rsid w:val="001140D0"/>
    <w:rsid w:val="00116319"/>
    <w:rsid w:val="00123196"/>
    <w:rsid w:val="001235CA"/>
    <w:rsid w:val="00134F24"/>
    <w:rsid w:val="00137D93"/>
    <w:rsid w:val="001437EA"/>
    <w:rsid w:val="001444BD"/>
    <w:rsid w:val="00144505"/>
    <w:rsid w:val="00144DDA"/>
    <w:rsid w:val="0014761F"/>
    <w:rsid w:val="001479DC"/>
    <w:rsid w:val="00153F11"/>
    <w:rsid w:val="00154F47"/>
    <w:rsid w:val="00155A34"/>
    <w:rsid w:val="001627A6"/>
    <w:rsid w:val="00164E27"/>
    <w:rsid w:val="001921CA"/>
    <w:rsid w:val="00194900"/>
    <w:rsid w:val="001A0E56"/>
    <w:rsid w:val="001A6E63"/>
    <w:rsid w:val="001B195C"/>
    <w:rsid w:val="001B62CC"/>
    <w:rsid w:val="001B66E1"/>
    <w:rsid w:val="001B6E57"/>
    <w:rsid w:val="001C0BF2"/>
    <w:rsid w:val="001C22BF"/>
    <w:rsid w:val="001D7301"/>
    <w:rsid w:val="001E1467"/>
    <w:rsid w:val="001E152C"/>
    <w:rsid w:val="001E3480"/>
    <w:rsid w:val="001F18B7"/>
    <w:rsid w:val="001F1D2B"/>
    <w:rsid w:val="001F5FAD"/>
    <w:rsid w:val="001F67EF"/>
    <w:rsid w:val="001F79B6"/>
    <w:rsid w:val="002024C7"/>
    <w:rsid w:val="0020450A"/>
    <w:rsid w:val="00206639"/>
    <w:rsid w:val="0021259E"/>
    <w:rsid w:val="00213C28"/>
    <w:rsid w:val="00224FE7"/>
    <w:rsid w:val="00233C8A"/>
    <w:rsid w:val="00240E7B"/>
    <w:rsid w:val="00247ED0"/>
    <w:rsid w:val="00251034"/>
    <w:rsid w:val="00251DB7"/>
    <w:rsid w:val="002672D1"/>
    <w:rsid w:val="00275598"/>
    <w:rsid w:val="002761A3"/>
    <w:rsid w:val="0028124D"/>
    <w:rsid w:val="00282A80"/>
    <w:rsid w:val="00282F14"/>
    <w:rsid w:val="00292E0B"/>
    <w:rsid w:val="00293AFD"/>
    <w:rsid w:val="002B44BD"/>
    <w:rsid w:val="002B6E7A"/>
    <w:rsid w:val="002B7380"/>
    <w:rsid w:val="002C47B5"/>
    <w:rsid w:val="002D5C47"/>
    <w:rsid w:val="002E03AA"/>
    <w:rsid w:val="002E6A76"/>
    <w:rsid w:val="002F1704"/>
    <w:rsid w:val="002F6DE0"/>
    <w:rsid w:val="002F6FCA"/>
    <w:rsid w:val="002F7EF8"/>
    <w:rsid w:val="00301191"/>
    <w:rsid w:val="00303980"/>
    <w:rsid w:val="00304A53"/>
    <w:rsid w:val="003055E5"/>
    <w:rsid w:val="003058A1"/>
    <w:rsid w:val="003178AC"/>
    <w:rsid w:val="00322611"/>
    <w:rsid w:val="003248D5"/>
    <w:rsid w:val="00326D72"/>
    <w:rsid w:val="0033189B"/>
    <w:rsid w:val="00343F8E"/>
    <w:rsid w:val="003442AE"/>
    <w:rsid w:val="0034443A"/>
    <w:rsid w:val="003474B8"/>
    <w:rsid w:val="00353E66"/>
    <w:rsid w:val="00357C16"/>
    <w:rsid w:val="003637C6"/>
    <w:rsid w:val="003732CC"/>
    <w:rsid w:val="00373B63"/>
    <w:rsid w:val="00374F9A"/>
    <w:rsid w:val="00382C0C"/>
    <w:rsid w:val="00393922"/>
    <w:rsid w:val="00397F24"/>
    <w:rsid w:val="003A298A"/>
    <w:rsid w:val="003A7236"/>
    <w:rsid w:val="003B4F45"/>
    <w:rsid w:val="003B6193"/>
    <w:rsid w:val="003C172D"/>
    <w:rsid w:val="003C7092"/>
    <w:rsid w:val="003C785A"/>
    <w:rsid w:val="003D2B81"/>
    <w:rsid w:val="003F5F7A"/>
    <w:rsid w:val="004043A2"/>
    <w:rsid w:val="00404EA5"/>
    <w:rsid w:val="00415144"/>
    <w:rsid w:val="00420D92"/>
    <w:rsid w:val="0042297A"/>
    <w:rsid w:val="004362C7"/>
    <w:rsid w:val="0044106E"/>
    <w:rsid w:val="00446E68"/>
    <w:rsid w:val="00447503"/>
    <w:rsid w:val="00457522"/>
    <w:rsid w:val="0046038A"/>
    <w:rsid w:val="00471176"/>
    <w:rsid w:val="00476451"/>
    <w:rsid w:val="004843EA"/>
    <w:rsid w:val="00484FF8"/>
    <w:rsid w:val="00486660"/>
    <w:rsid w:val="004A0EB1"/>
    <w:rsid w:val="004A3B49"/>
    <w:rsid w:val="004A5C14"/>
    <w:rsid w:val="004B3476"/>
    <w:rsid w:val="004B36B8"/>
    <w:rsid w:val="004C387C"/>
    <w:rsid w:val="004D0AB9"/>
    <w:rsid w:val="004E042A"/>
    <w:rsid w:val="004E4504"/>
    <w:rsid w:val="004F0FDE"/>
    <w:rsid w:val="004F3E07"/>
    <w:rsid w:val="00504FD3"/>
    <w:rsid w:val="00512882"/>
    <w:rsid w:val="005143FF"/>
    <w:rsid w:val="005153C5"/>
    <w:rsid w:val="00516FEB"/>
    <w:rsid w:val="005244F5"/>
    <w:rsid w:val="00524665"/>
    <w:rsid w:val="005306D0"/>
    <w:rsid w:val="00543C0A"/>
    <w:rsid w:val="0054699B"/>
    <w:rsid w:val="005515EB"/>
    <w:rsid w:val="0055226E"/>
    <w:rsid w:val="00552E7C"/>
    <w:rsid w:val="005601D0"/>
    <w:rsid w:val="005613B2"/>
    <w:rsid w:val="0056304A"/>
    <w:rsid w:val="0057066D"/>
    <w:rsid w:val="00572671"/>
    <w:rsid w:val="00576E42"/>
    <w:rsid w:val="00591688"/>
    <w:rsid w:val="005916DF"/>
    <w:rsid w:val="00595627"/>
    <w:rsid w:val="00595D3F"/>
    <w:rsid w:val="00595EAC"/>
    <w:rsid w:val="005A2F5B"/>
    <w:rsid w:val="005A52D6"/>
    <w:rsid w:val="005C574A"/>
    <w:rsid w:val="005D09A0"/>
    <w:rsid w:val="005D1D78"/>
    <w:rsid w:val="005D479D"/>
    <w:rsid w:val="005E0313"/>
    <w:rsid w:val="005E416B"/>
    <w:rsid w:val="005E7A21"/>
    <w:rsid w:val="005F24B2"/>
    <w:rsid w:val="0060103A"/>
    <w:rsid w:val="00602911"/>
    <w:rsid w:val="00602A7A"/>
    <w:rsid w:val="0060509A"/>
    <w:rsid w:val="006125F5"/>
    <w:rsid w:val="00612A9B"/>
    <w:rsid w:val="00614D00"/>
    <w:rsid w:val="006225E2"/>
    <w:rsid w:val="0062676A"/>
    <w:rsid w:val="00640DB1"/>
    <w:rsid w:val="006416E9"/>
    <w:rsid w:val="0064545D"/>
    <w:rsid w:val="00646C82"/>
    <w:rsid w:val="00647CD5"/>
    <w:rsid w:val="006528C2"/>
    <w:rsid w:val="006548A6"/>
    <w:rsid w:val="00655478"/>
    <w:rsid w:val="00664D7F"/>
    <w:rsid w:val="00673641"/>
    <w:rsid w:val="00680B1C"/>
    <w:rsid w:val="006858B6"/>
    <w:rsid w:val="0069730F"/>
    <w:rsid w:val="006A377B"/>
    <w:rsid w:val="006B0930"/>
    <w:rsid w:val="006C4384"/>
    <w:rsid w:val="006C5135"/>
    <w:rsid w:val="006C546E"/>
    <w:rsid w:val="006D29F2"/>
    <w:rsid w:val="006E2DE0"/>
    <w:rsid w:val="006E5A8E"/>
    <w:rsid w:val="0070081C"/>
    <w:rsid w:val="00711EEA"/>
    <w:rsid w:val="0071653B"/>
    <w:rsid w:val="00721985"/>
    <w:rsid w:val="00722745"/>
    <w:rsid w:val="00724C84"/>
    <w:rsid w:val="007252A8"/>
    <w:rsid w:val="00725C0A"/>
    <w:rsid w:val="0073119D"/>
    <w:rsid w:val="0073199C"/>
    <w:rsid w:val="007376B0"/>
    <w:rsid w:val="00740508"/>
    <w:rsid w:val="00743776"/>
    <w:rsid w:val="00751428"/>
    <w:rsid w:val="0075674B"/>
    <w:rsid w:val="00761F2B"/>
    <w:rsid w:val="00763B74"/>
    <w:rsid w:val="00770A5A"/>
    <w:rsid w:val="007731D0"/>
    <w:rsid w:val="00775B16"/>
    <w:rsid w:val="00785A0A"/>
    <w:rsid w:val="00787BD4"/>
    <w:rsid w:val="00787CED"/>
    <w:rsid w:val="007967F8"/>
    <w:rsid w:val="007A319F"/>
    <w:rsid w:val="007A3772"/>
    <w:rsid w:val="007C2696"/>
    <w:rsid w:val="007C4C31"/>
    <w:rsid w:val="007C5EA5"/>
    <w:rsid w:val="007D381E"/>
    <w:rsid w:val="007D3EE2"/>
    <w:rsid w:val="007E03CA"/>
    <w:rsid w:val="007E3389"/>
    <w:rsid w:val="007E379E"/>
    <w:rsid w:val="007E6193"/>
    <w:rsid w:val="007E68E1"/>
    <w:rsid w:val="007F2F97"/>
    <w:rsid w:val="007F387D"/>
    <w:rsid w:val="007F7152"/>
    <w:rsid w:val="008203E6"/>
    <w:rsid w:val="00822633"/>
    <w:rsid w:val="00830107"/>
    <w:rsid w:val="00831B02"/>
    <w:rsid w:val="00833174"/>
    <w:rsid w:val="00846609"/>
    <w:rsid w:val="00852664"/>
    <w:rsid w:val="00852958"/>
    <w:rsid w:val="0085467F"/>
    <w:rsid w:val="00864F77"/>
    <w:rsid w:val="008661F8"/>
    <w:rsid w:val="008712FA"/>
    <w:rsid w:val="00876AA9"/>
    <w:rsid w:val="00876EFF"/>
    <w:rsid w:val="00882892"/>
    <w:rsid w:val="00883AB2"/>
    <w:rsid w:val="008861B2"/>
    <w:rsid w:val="00887A5A"/>
    <w:rsid w:val="00892811"/>
    <w:rsid w:val="00896377"/>
    <w:rsid w:val="008A09F5"/>
    <w:rsid w:val="008A4B18"/>
    <w:rsid w:val="008A738C"/>
    <w:rsid w:val="008B2645"/>
    <w:rsid w:val="008C36D3"/>
    <w:rsid w:val="008D0675"/>
    <w:rsid w:val="008D1425"/>
    <w:rsid w:val="008D3BC8"/>
    <w:rsid w:val="008D6F23"/>
    <w:rsid w:val="008E5EB5"/>
    <w:rsid w:val="008F04C7"/>
    <w:rsid w:val="008F21A5"/>
    <w:rsid w:val="008F2440"/>
    <w:rsid w:val="00901D47"/>
    <w:rsid w:val="00914619"/>
    <w:rsid w:val="009202C8"/>
    <w:rsid w:val="009246BA"/>
    <w:rsid w:val="00930CDE"/>
    <w:rsid w:val="00935AA1"/>
    <w:rsid w:val="009451DC"/>
    <w:rsid w:val="009467F2"/>
    <w:rsid w:val="0094686B"/>
    <w:rsid w:val="0095655E"/>
    <w:rsid w:val="009718ED"/>
    <w:rsid w:val="0097297B"/>
    <w:rsid w:val="009749B0"/>
    <w:rsid w:val="0098154C"/>
    <w:rsid w:val="0098549E"/>
    <w:rsid w:val="009857EF"/>
    <w:rsid w:val="009941D8"/>
    <w:rsid w:val="009A2C18"/>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21886"/>
    <w:rsid w:val="00A2447D"/>
    <w:rsid w:val="00A25682"/>
    <w:rsid w:val="00A2638C"/>
    <w:rsid w:val="00A27417"/>
    <w:rsid w:val="00A27AFD"/>
    <w:rsid w:val="00A27E2D"/>
    <w:rsid w:val="00A354A8"/>
    <w:rsid w:val="00A4031E"/>
    <w:rsid w:val="00A41812"/>
    <w:rsid w:val="00A44A2B"/>
    <w:rsid w:val="00A46949"/>
    <w:rsid w:val="00A46F60"/>
    <w:rsid w:val="00A53234"/>
    <w:rsid w:val="00A57F47"/>
    <w:rsid w:val="00A906CD"/>
    <w:rsid w:val="00A95B1A"/>
    <w:rsid w:val="00AA410F"/>
    <w:rsid w:val="00AA7A0D"/>
    <w:rsid w:val="00AB113B"/>
    <w:rsid w:val="00AD2FD2"/>
    <w:rsid w:val="00AD41E6"/>
    <w:rsid w:val="00AD4ECF"/>
    <w:rsid w:val="00AD70C8"/>
    <w:rsid w:val="00AF6067"/>
    <w:rsid w:val="00B04039"/>
    <w:rsid w:val="00B07AAD"/>
    <w:rsid w:val="00B15273"/>
    <w:rsid w:val="00B16887"/>
    <w:rsid w:val="00B1746F"/>
    <w:rsid w:val="00B22D1A"/>
    <w:rsid w:val="00B27A2B"/>
    <w:rsid w:val="00B30AC0"/>
    <w:rsid w:val="00B31F00"/>
    <w:rsid w:val="00B351A2"/>
    <w:rsid w:val="00B41959"/>
    <w:rsid w:val="00B42C18"/>
    <w:rsid w:val="00B43CF7"/>
    <w:rsid w:val="00B44327"/>
    <w:rsid w:val="00B53944"/>
    <w:rsid w:val="00B61FDD"/>
    <w:rsid w:val="00B758E7"/>
    <w:rsid w:val="00B75B80"/>
    <w:rsid w:val="00B81149"/>
    <w:rsid w:val="00B8672D"/>
    <w:rsid w:val="00B94FB1"/>
    <w:rsid w:val="00B97FBB"/>
    <w:rsid w:val="00BC7FBC"/>
    <w:rsid w:val="00BD11D6"/>
    <w:rsid w:val="00BD16E3"/>
    <w:rsid w:val="00BD2A3B"/>
    <w:rsid w:val="00BD646D"/>
    <w:rsid w:val="00BD6A33"/>
    <w:rsid w:val="00BD7ED0"/>
    <w:rsid w:val="00BE5E06"/>
    <w:rsid w:val="00BE643E"/>
    <w:rsid w:val="00BE7CED"/>
    <w:rsid w:val="00BF59BF"/>
    <w:rsid w:val="00C056B5"/>
    <w:rsid w:val="00C10630"/>
    <w:rsid w:val="00C12214"/>
    <w:rsid w:val="00C12939"/>
    <w:rsid w:val="00C14E3B"/>
    <w:rsid w:val="00C23BA4"/>
    <w:rsid w:val="00C241B2"/>
    <w:rsid w:val="00C34485"/>
    <w:rsid w:val="00C34B6E"/>
    <w:rsid w:val="00C40AB3"/>
    <w:rsid w:val="00C43805"/>
    <w:rsid w:val="00C43E24"/>
    <w:rsid w:val="00C45235"/>
    <w:rsid w:val="00C60C6D"/>
    <w:rsid w:val="00C60EF2"/>
    <w:rsid w:val="00C615B2"/>
    <w:rsid w:val="00C702F0"/>
    <w:rsid w:val="00C74553"/>
    <w:rsid w:val="00C8112C"/>
    <w:rsid w:val="00C87EF4"/>
    <w:rsid w:val="00CA623E"/>
    <w:rsid w:val="00CA630F"/>
    <w:rsid w:val="00CB4EB2"/>
    <w:rsid w:val="00CB7A41"/>
    <w:rsid w:val="00CC7A0B"/>
    <w:rsid w:val="00CD0A52"/>
    <w:rsid w:val="00CD0EEF"/>
    <w:rsid w:val="00CD64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6263A"/>
    <w:rsid w:val="00D778D7"/>
    <w:rsid w:val="00D83934"/>
    <w:rsid w:val="00D861C3"/>
    <w:rsid w:val="00D866B0"/>
    <w:rsid w:val="00D91A0C"/>
    <w:rsid w:val="00D9239C"/>
    <w:rsid w:val="00D95955"/>
    <w:rsid w:val="00D979AB"/>
    <w:rsid w:val="00DA590C"/>
    <w:rsid w:val="00DA703D"/>
    <w:rsid w:val="00DB3349"/>
    <w:rsid w:val="00DB54CF"/>
    <w:rsid w:val="00DB6C45"/>
    <w:rsid w:val="00DC1546"/>
    <w:rsid w:val="00DD2172"/>
    <w:rsid w:val="00DD4A09"/>
    <w:rsid w:val="00DD4C25"/>
    <w:rsid w:val="00DD5445"/>
    <w:rsid w:val="00DD6A1F"/>
    <w:rsid w:val="00DE4C00"/>
    <w:rsid w:val="00DE5C67"/>
    <w:rsid w:val="00DF04C0"/>
    <w:rsid w:val="00DF2449"/>
    <w:rsid w:val="00DF7ACF"/>
    <w:rsid w:val="00E004CA"/>
    <w:rsid w:val="00E03391"/>
    <w:rsid w:val="00E0373B"/>
    <w:rsid w:val="00E07308"/>
    <w:rsid w:val="00E104D0"/>
    <w:rsid w:val="00E14474"/>
    <w:rsid w:val="00E179B5"/>
    <w:rsid w:val="00E26286"/>
    <w:rsid w:val="00E30AC2"/>
    <w:rsid w:val="00E33D84"/>
    <w:rsid w:val="00E34813"/>
    <w:rsid w:val="00E356D2"/>
    <w:rsid w:val="00E401B3"/>
    <w:rsid w:val="00E458DA"/>
    <w:rsid w:val="00E5687E"/>
    <w:rsid w:val="00E639CC"/>
    <w:rsid w:val="00E63D5B"/>
    <w:rsid w:val="00E671AD"/>
    <w:rsid w:val="00E83E40"/>
    <w:rsid w:val="00E857B8"/>
    <w:rsid w:val="00E907E5"/>
    <w:rsid w:val="00E943B8"/>
    <w:rsid w:val="00EA11F7"/>
    <w:rsid w:val="00EA20B9"/>
    <w:rsid w:val="00EA4549"/>
    <w:rsid w:val="00EC4EAD"/>
    <w:rsid w:val="00ED0B37"/>
    <w:rsid w:val="00ED22DF"/>
    <w:rsid w:val="00ED4C66"/>
    <w:rsid w:val="00ED6781"/>
    <w:rsid w:val="00EE4BD8"/>
    <w:rsid w:val="00EE5718"/>
    <w:rsid w:val="00EF5BA0"/>
    <w:rsid w:val="00F13600"/>
    <w:rsid w:val="00F15FC0"/>
    <w:rsid w:val="00F17042"/>
    <w:rsid w:val="00F175D1"/>
    <w:rsid w:val="00F21DA9"/>
    <w:rsid w:val="00F22A75"/>
    <w:rsid w:val="00F24E68"/>
    <w:rsid w:val="00F30C1E"/>
    <w:rsid w:val="00F3185D"/>
    <w:rsid w:val="00F348D3"/>
    <w:rsid w:val="00F35217"/>
    <w:rsid w:val="00F35C50"/>
    <w:rsid w:val="00F42D68"/>
    <w:rsid w:val="00F436FE"/>
    <w:rsid w:val="00F500D2"/>
    <w:rsid w:val="00F51A9D"/>
    <w:rsid w:val="00F57792"/>
    <w:rsid w:val="00F60048"/>
    <w:rsid w:val="00F6185A"/>
    <w:rsid w:val="00F634D3"/>
    <w:rsid w:val="00F73FE2"/>
    <w:rsid w:val="00F74944"/>
    <w:rsid w:val="00F8497C"/>
    <w:rsid w:val="00F84DFB"/>
    <w:rsid w:val="00F90E2B"/>
    <w:rsid w:val="00F91E41"/>
    <w:rsid w:val="00F95515"/>
    <w:rsid w:val="00FA238D"/>
    <w:rsid w:val="00FA3835"/>
    <w:rsid w:val="00FA6816"/>
    <w:rsid w:val="00FB5D79"/>
    <w:rsid w:val="00FE3D91"/>
    <w:rsid w:val="00FE55D2"/>
    <w:rsid w:val="00FF5179"/>
    <w:rsid w:val="00FF6DE0"/>
    <w:rsid w:val="00FF728E"/>
    <w:rsid w:val="01991D33"/>
    <w:rsid w:val="020B291A"/>
    <w:rsid w:val="048B377C"/>
    <w:rsid w:val="053E2C54"/>
    <w:rsid w:val="06B83CEE"/>
    <w:rsid w:val="06F02823"/>
    <w:rsid w:val="0762073E"/>
    <w:rsid w:val="09120680"/>
    <w:rsid w:val="09A45050"/>
    <w:rsid w:val="09FA1199"/>
    <w:rsid w:val="0A022CD4"/>
    <w:rsid w:val="0A5B05D9"/>
    <w:rsid w:val="0A984BB5"/>
    <w:rsid w:val="0AE0030A"/>
    <w:rsid w:val="0B565626"/>
    <w:rsid w:val="0C5C1C12"/>
    <w:rsid w:val="0D6B0DE4"/>
    <w:rsid w:val="0D8A6F81"/>
    <w:rsid w:val="0E39045D"/>
    <w:rsid w:val="0E936CC2"/>
    <w:rsid w:val="0EC40301"/>
    <w:rsid w:val="0EE967FA"/>
    <w:rsid w:val="0F4075C9"/>
    <w:rsid w:val="0F4672D5"/>
    <w:rsid w:val="0F4E40DD"/>
    <w:rsid w:val="0F6F4465"/>
    <w:rsid w:val="10066B71"/>
    <w:rsid w:val="10E279BE"/>
    <w:rsid w:val="122E6778"/>
    <w:rsid w:val="124949E7"/>
    <w:rsid w:val="128E449C"/>
    <w:rsid w:val="15D708BB"/>
    <w:rsid w:val="15F52619"/>
    <w:rsid w:val="16101B6F"/>
    <w:rsid w:val="17CB6513"/>
    <w:rsid w:val="17E30CEE"/>
    <w:rsid w:val="185D6BC0"/>
    <w:rsid w:val="19AE7309"/>
    <w:rsid w:val="1A18361C"/>
    <w:rsid w:val="1A902BB0"/>
    <w:rsid w:val="1B9E3D36"/>
    <w:rsid w:val="1BBA3A2F"/>
    <w:rsid w:val="1C686EB5"/>
    <w:rsid w:val="1C8F2A04"/>
    <w:rsid w:val="1D8B6157"/>
    <w:rsid w:val="1FDC50EC"/>
    <w:rsid w:val="20365C75"/>
    <w:rsid w:val="20863AF3"/>
    <w:rsid w:val="20FD3BD3"/>
    <w:rsid w:val="218B2C39"/>
    <w:rsid w:val="22597BF6"/>
    <w:rsid w:val="226E6F1D"/>
    <w:rsid w:val="227819CB"/>
    <w:rsid w:val="23256975"/>
    <w:rsid w:val="23423424"/>
    <w:rsid w:val="240C4724"/>
    <w:rsid w:val="243F7370"/>
    <w:rsid w:val="2497591F"/>
    <w:rsid w:val="26053E04"/>
    <w:rsid w:val="26DD3CEE"/>
    <w:rsid w:val="27780FCA"/>
    <w:rsid w:val="27F05BD9"/>
    <w:rsid w:val="2A8E004C"/>
    <w:rsid w:val="2B380741"/>
    <w:rsid w:val="2B6A1BE2"/>
    <w:rsid w:val="2CB90995"/>
    <w:rsid w:val="2D5179CF"/>
    <w:rsid w:val="2ED5581D"/>
    <w:rsid w:val="2F25260C"/>
    <w:rsid w:val="308A097E"/>
    <w:rsid w:val="319039E6"/>
    <w:rsid w:val="32085AE3"/>
    <w:rsid w:val="327F0D3B"/>
    <w:rsid w:val="331A4758"/>
    <w:rsid w:val="3369385E"/>
    <w:rsid w:val="33CA23C6"/>
    <w:rsid w:val="35C0542C"/>
    <w:rsid w:val="36080591"/>
    <w:rsid w:val="372B2789"/>
    <w:rsid w:val="38253577"/>
    <w:rsid w:val="384F06F9"/>
    <w:rsid w:val="38E50235"/>
    <w:rsid w:val="395026E3"/>
    <w:rsid w:val="39A43A9C"/>
    <w:rsid w:val="39D50C33"/>
    <w:rsid w:val="3AE72E6B"/>
    <w:rsid w:val="3AFF33E8"/>
    <w:rsid w:val="3C2D3B80"/>
    <w:rsid w:val="3D476359"/>
    <w:rsid w:val="3D554C4E"/>
    <w:rsid w:val="3D9A658C"/>
    <w:rsid w:val="3DE10046"/>
    <w:rsid w:val="3DEE1D80"/>
    <w:rsid w:val="3DF338D5"/>
    <w:rsid w:val="3EA378DA"/>
    <w:rsid w:val="3EF73899"/>
    <w:rsid w:val="3F651E10"/>
    <w:rsid w:val="426C16E4"/>
    <w:rsid w:val="43D85920"/>
    <w:rsid w:val="442F62DC"/>
    <w:rsid w:val="443B5FD6"/>
    <w:rsid w:val="459220B9"/>
    <w:rsid w:val="46DB7A17"/>
    <w:rsid w:val="48333FF5"/>
    <w:rsid w:val="485E6BC5"/>
    <w:rsid w:val="48821183"/>
    <w:rsid w:val="493279A7"/>
    <w:rsid w:val="49FA5FEB"/>
    <w:rsid w:val="4A3E0C6F"/>
    <w:rsid w:val="4B914BF5"/>
    <w:rsid w:val="4BE56F53"/>
    <w:rsid w:val="4C7D3400"/>
    <w:rsid w:val="4CB230FF"/>
    <w:rsid w:val="4D413CB4"/>
    <w:rsid w:val="4EE564B0"/>
    <w:rsid w:val="4FFC159D"/>
    <w:rsid w:val="51CD3614"/>
    <w:rsid w:val="522400A9"/>
    <w:rsid w:val="531539E5"/>
    <w:rsid w:val="53D55AFF"/>
    <w:rsid w:val="53FC6986"/>
    <w:rsid w:val="54A60BE9"/>
    <w:rsid w:val="559A7000"/>
    <w:rsid w:val="5628185A"/>
    <w:rsid w:val="56770AFB"/>
    <w:rsid w:val="57060928"/>
    <w:rsid w:val="573C6F55"/>
    <w:rsid w:val="57430945"/>
    <w:rsid w:val="57CF7F0F"/>
    <w:rsid w:val="57D63A28"/>
    <w:rsid w:val="57F95C42"/>
    <w:rsid w:val="581B6CF3"/>
    <w:rsid w:val="58527420"/>
    <w:rsid w:val="585F0652"/>
    <w:rsid w:val="591A5625"/>
    <w:rsid w:val="5980136F"/>
    <w:rsid w:val="59DD58A1"/>
    <w:rsid w:val="5AE900E2"/>
    <w:rsid w:val="5C45759A"/>
    <w:rsid w:val="5C7F1F93"/>
    <w:rsid w:val="5D89084C"/>
    <w:rsid w:val="5E72647F"/>
    <w:rsid w:val="5E834DD9"/>
    <w:rsid w:val="5F236DE7"/>
    <w:rsid w:val="606B5D9B"/>
    <w:rsid w:val="608E3660"/>
    <w:rsid w:val="617B7B59"/>
    <w:rsid w:val="620B4DE2"/>
    <w:rsid w:val="621505DC"/>
    <w:rsid w:val="625D22A8"/>
    <w:rsid w:val="63025693"/>
    <w:rsid w:val="630B32EB"/>
    <w:rsid w:val="648D7D30"/>
    <w:rsid w:val="657340D8"/>
    <w:rsid w:val="65C0401D"/>
    <w:rsid w:val="662648F8"/>
    <w:rsid w:val="665F1537"/>
    <w:rsid w:val="67D85B6C"/>
    <w:rsid w:val="68ED6A71"/>
    <w:rsid w:val="69317B0A"/>
    <w:rsid w:val="699C2F8E"/>
    <w:rsid w:val="69F67FAD"/>
    <w:rsid w:val="6C67192F"/>
    <w:rsid w:val="6CE60189"/>
    <w:rsid w:val="6E04301E"/>
    <w:rsid w:val="6F135C55"/>
    <w:rsid w:val="6F215C44"/>
    <w:rsid w:val="6F5A2F04"/>
    <w:rsid w:val="732820F7"/>
    <w:rsid w:val="734D446A"/>
    <w:rsid w:val="740972B4"/>
    <w:rsid w:val="74C80B12"/>
    <w:rsid w:val="77FE4FE3"/>
    <w:rsid w:val="78C830A0"/>
    <w:rsid w:val="78D36201"/>
    <w:rsid w:val="792F1A3C"/>
    <w:rsid w:val="79B5177D"/>
    <w:rsid w:val="79CD520C"/>
    <w:rsid w:val="7A463EB9"/>
    <w:rsid w:val="7A8377B3"/>
    <w:rsid w:val="7D9D4043"/>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0"/>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70">
    <w:name w:val="批注主题 字符"/>
    <w:basedOn w:val="47"/>
    <w:link w:val="37"/>
    <w:qFormat/>
    <w:uiPriority w:val="0"/>
    <w:rPr>
      <w:rFonts w:ascii="Cambria" w:hAnsi="Cambria"/>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9</Pages>
  <Words>28001</Words>
  <Characters>30208</Characters>
  <Lines>330</Lines>
  <Paragraphs>93</Paragraphs>
  <TotalTime>13</TotalTime>
  <ScaleCrop>false</ScaleCrop>
  <LinksUpToDate>false</LinksUpToDate>
  <CharactersWithSpaces>32107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2025-08-26T07:26:00Z</dcterms:created>
  <dc:creator>caowuning</dc:creator>
  <cp:lastModifiedBy>冀松阳</cp:lastModifiedBy>
  <cp:lastPrinted>2009-04-21T09:03:00Z</cp:lastPrinted>
  <dcterms:modified xsi:type="dcterms:W3CDTF">2025-08-26T08:15:23Z</dcterms:modified>
  <dc:title>北 京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8ED7584ABE2747119BB048137C1C93F7_13</vt:lpwstr>
  </property>
  <property fmtid="{D5CDD505-2E9C-101B-9397-08002B2CF9AE}" pid="4" name="KSOTemplateDocerSaveRecord">
    <vt:lpwstr>eyJoZGlkIjoiNTI5ZmZjMjA2MjdiMDFiYzZmZWIzNjQ5YThhMzQxMzIiLCJ1c2VySWQiOiIxMDI1MTk0NTMzIn0=</vt:lpwstr>
  </property>
</Properties>
</file>