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D9AC21">
      <w:pPr>
        <w:keepNext w:val="0"/>
        <w:keepLines w:val="0"/>
        <w:pageBreakBefore w:val="0"/>
        <w:widowControl w:val="0"/>
        <w:kinsoku/>
        <w:wordWrap/>
        <w:overflowPunct/>
        <w:topLinePunct w:val="0"/>
        <w:bidi w:val="0"/>
        <w:adjustRightInd w:val="0"/>
        <w:snapToGrid w:val="0"/>
        <w:spacing w:line="360" w:lineRule="auto"/>
        <w:rPr>
          <w:rFonts w:hint="eastAsia"/>
          <w:color w:val="auto"/>
          <w:sz w:val="32"/>
          <w:szCs w:val="32"/>
          <w:highlight w:val="none"/>
          <w:lang w:val="en-GB"/>
        </w:rPr>
      </w:pPr>
      <w:bookmarkStart w:id="0" w:name="_Hlk75950588"/>
      <w:r>
        <w:rPr>
          <w:color w:val="auto"/>
          <w:sz w:val="32"/>
          <w:szCs w:val="32"/>
          <w:highlight w:val="none"/>
        </w:rPr>
        <w:drawing>
          <wp:inline distT="0" distB="0" distL="114300" distR="114300">
            <wp:extent cx="1390015" cy="667385"/>
            <wp:effectExtent l="0" t="0" r="635" b="1841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6"/>
                    <a:stretch>
                      <a:fillRect/>
                    </a:stretch>
                  </pic:blipFill>
                  <pic:spPr>
                    <a:xfrm>
                      <a:off x="0" y="0"/>
                      <a:ext cx="1390015" cy="667385"/>
                    </a:xfrm>
                    <a:prstGeom prst="rect">
                      <a:avLst/>
                    </a:prstGeom>
                    <a:noFill/>
                    <a:ln>
                      <a:noFill/>
                    </a:ln>
                  </pic:spPr>
                </pic:pic>
              </a:graphicData>
            </a:graphic>
          </wp:inline>
        </w:drawing>
      </w:r>
    </w:p>
    <w:p w14:paraId="67319F14">
      <w:pPr>
        <w:keepNext w:val="0"/>
        <w:keepLines w:val="0"/>
        <w:pageBreakBefore w:val="0"/>
        <w:widowControl w:val="0"/>
        <w:kinsoku/>
        <w:wordWrap/>
        <w:overflowPunct/>
        <w:topLinePunct w:val="0"/>
        <w:bidi w:val="0"/>
        <w:adjustRightInd w:val="0"/>
        <w:snapToGrid w:val="0"/>
        <w:spacing w:line="360" w:lineRule="auto"/>
        <w:rPr>
          <w:rFonts w:hint="eastAsia"/>
          <w:color w:val="auto"/>
          <w:sz w:val="28"/>
          <w:szCs w:val="28"/>
          <w:highlight w:val="none"/>
        </w:rPr>
      </w:pPr>
    </w:p>
    <w:p w14:paraId="583C32E0">
      <w:pPr>
        <w:keepNext w:val="0"/>
        <w:keepLines w:val="0"/>
        <w:pageBreakBefore w:val="0"/>
        <w:widowControl w:val="0"/>
        <w:kinsoku/>
        <w:wordWrap/>
        <w:overflowPunct/>
        <w:topLinePunct w:val="0"/>
        <w:bidi w:val="0"/>
        <w:adjustRightInd w:val="0"/>
        <w:snapToGrid w:val="0"/>
        <w:spacing w:line="360" w:lineRule="auto"/>
        <w:rPr>
          <w:rFonts w:hint="eastAsia"/>
          <w:color w:val="auto"/>
          <w:sz w:val="28"/>
          <w:szCs w:val="28"/>
          <w:highlight w:val="none"/>
        </w:rPr>
      </w:pPr>
    </w:p>
    <w:p w14:paraId="7B06F2FD">
      <w:pPr>
        <w:keepNext w:val="0"/>
        <w:keepLines w:val="0"/>
        <w:pageBreakBefore w:val="0"/>
        <w:widowControl w:val="0"/>
        <w:kinsoku/>
        <w:wordWrap/>
        <w:overflowPunct/>
        <w:topLinePunct w:val="0"/>
        <w:bidi w:val="0"/>
        <w:adjustRightInd w:val="0"/>
        <w:snapToGrid w:val="0"/>
        <w:spacing w:line="360" w:lineRule="auto"/>
        <w:rPr>
          <w:rFonts w:hint="eastAsia"/>
          <w:color w:val="auto"/>
          <w:sz w:val="28"/>
          <w:szCs w:val="28"/>
          <w:highlight w:val="none"/>
        </w:rPr>
      </w:pPr>
    </w:p>
    <w:p w14:paraId="027A2B50">
      <w:pPr>
        <w:keepNext w:val="0"/>
        <w:keepLines w:val="0"/>
        <w:pageBreakBefore w:val="0"/>
        <w:widowControl w:val="0"/>
        <w:kinsoku/>
        <w:wordWrap/>
        <w:overflowPunct/>
        <w:topLinePunct w:val="0"/>
        <w:bidi w:val="0"/>
        <w:adjustRightInd w:val="0"/>
        <w:snapToGrid w:val="0"/>
        <w:spacing w:line="360" w:lineRule="auto"/>
        <w:rPr>
          <w:rFonts w:hint="eastAsia"/>
          <w:color w:val="auto"/>
          <w:sz w:val="28"/>
          <w:szCs w:val="28"/>
          <w:highlight w:val="none"/>
        </w:rPr>
      </w:pPr>
    </w:p>
    <w:p w14:paraId="7F89997D">
      <w:pPr>
        <w:keepNext w:val="0"/>
        <w:keepLines w:val="0"/>
        <w:pageBreakBefore w:val="0"/>
        <w:widowControl w:val="0"/>
        <w:kinsoku/>
        <w:wordWrap/>
        <w:overflowPunct/>
        <w:topLinePunct w:val="0"/>
        <w:bidi w:val="0"/>
        <w:adjustRightInd w:val="0"/>
        <w:snapToGrid w:val="0"/>
        <w:spacing w:line="360" w:lineRule="auto"/>
        <w:rPr>
          <w:rFonts w:hint="eastAsia"/>
          <w:color w:val="auto"/>
          <w:sz w:val="28"/>
          <w:szCs w:val="28"/>
          <w:highlight w:val="none"/>
        </w:rPr>
      </w:pPr>
    </w:p>
    <w:p w14:paraId="7AA5FEF9">
      <w:pPr>
        <w:keepNext w:val="0"/>
        <w:keepLines w:val="0"/>
        <w:pageBreakBefore w:val="0"/>
        <w:widowControl w:val="0"/>
        <w:tabs>
          <w:tab w:val="center" w:pos="4156"/>
          <w:tab w:val="left" w:pos="6405"/>
        </w:tabs>
        <w:kinsoku/>
        <w:wordWrap/>
        <w:overflowPunct/>
        <w:topLinePunct w:val="0"/>
        <w:bidi w:val="0"/>
        <w:adjustRightInd w:val="0"/>
        <w:snapToGrid w:val="0"/>
        <w:spacing w:line="360" w:lineRule="auto"/>
        <w:jc w:val="center"/>
        <w:rPr>
          <w:rFonts w:hint="eastAsia"/>
          <w:b/>
          <w:bCs/>
          <w:color w:val="auto"/>
          <w:sz w:val="72"/>
          <w:szCs w:val="72"/>
          <w:highlight w:val="none"/>
        </w:rPr>
      </w:pPr>
      <w:r>
        <w:rPr>
          <w:rFonts w:hint="eastAsia"/>
          <w:b/>
          <w:bCs/>
          <w:color w:val="auto"/>
          <w:sz w:val="72"/>
          <w:szCs w:val="72"/>
          <w:highlight w:val="none"/>
        </w:rPr>
        <w:t>竞争性磋商文件</w:t>
      </w:r>
    </w:p>
    <w:p w14:paraId="518DD67C">
      <w:pPr>
        <w:keepNext w:val="0"/>
        <w:keepLines w:val="0"/>
        <w:pageBreakBefore w:val="0"/>
        <w:widowControl w:val="0"/>
        <w:kinsoku/>
        <w:wordWrap/>
        <w:overflowPunct/>
        <w:topLinePunct w:val="0"/>
        <w:bidi w:val="0"/>
        <w:adjustRightInd w:val="0"/>
        <w:snapToGrid w:val="0"/>
        <w:spacing w:line="360" w:lineRule="auto"/>
        <w:rPr>
          <w:rFonts w:hint="eastAsia"/>
          <w:color w:val="auto"/>
          <w:sz w:val="28"/>
          <w:szCs w:val="28"/>
          <w:highlight w:val="none"/>
        </w:rPr>
      </w:pPr>
    </w:p>
    <w:p w14:paraId="28E28E76">
      <w:pPr>
        <w:keepNext w:val="0"/>
        <w:keepLines w:val="0"/>
        <w:pageBreakBefore w:val="0"/>
        <w:widowControl w:val="0"/>
        <w:kinsoku/>
        <w:wordWrap/>
        <w:overflowPunct/>
        <w:topLinePunct w:val="0"/>
        <w:bidi w:val="0"/>
        <w:adjustRightInd w:val="0"/>
        <w:snapToGrid w:val="0"/>
        <w:spacing w:line="360" w:lineRule="auto"/>
        <w:rPr>
          <w:rFonts w:hint="eastAsia"/>
          <w:color w:val="auto"/>
          <w:sz w:val="28"/>
          <w:szCs w:val="28"/>
          <w:highlight w:val="none"/>
        </w:rPr>
      </w:pPr>
    </w:p>
    <w:p w14:paraId="4C301B0D">
      <w:pPr>
        <w:keepNext w:val="0"/>
        <w:keepLines w:val="0"/>
        <w:pageBreakBefore w:val="0"/>
        <w:widowControl w:val="0"/>
        <w:kinsoku/>
        <w:wordWrap/>
        <w:overflowPunct/>
        <w:topLinePunct w:val="0"/>
        <w:bidi w:val="0"/>
        <w:adjustRightInd w:val="0"/>
        <w:snapToGrid w:val="0"/>
        <w:spacing w:line="360" w:lineRule="auto"/>
        <w:rPr>
          <w:rFonts w:hint="eastAsia"/>
          <w:color w:val="auto"/>
          <w:sz w:val="28"/>
          <w:szCs w:val="28"/>
          <w:highlight w:val="none"/>
        </w:rPr>
      </w:pPr>
    </w:p>
    <w:p w14:paraId="519B98C9">
      <w:pPr>
        <w:keepNext w:val="0"/>
        <w:keepLines w:val="0"/>
        <w:pageBreakBefore w:val="0"/>
        <w:widowControl w:val="0"/>
        <w:kinsoku/>
        <w:wordWrap/>
        <w:overflowPunct/>
        <w:topLinePunct w:val="0"/>
        <w:bidi w:val="0"/>
        <w:adjustRightInd w:val="0"/>
        <w:snapToGrid w:val="0"/>
        <w:spacing w:line="360" w:lineRule="auto"/>
        <w:rPr>
          <w:rFonts w:hint="eastAsia"/>
          <w:color w:val="auto"/>
          <w:sz w:val="28"/>
          <w:szCs w:val="28"/>
          <w:highlight w:val="none"/>
        </w:rPr>
      </w:pPr>
    </w:p>
    <w:tbl>
      <w:tblPr>
        <w:tblStyle w:val="47"/>
        <w:tblW w:w="82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838"/>
        <w:gridCol w:w="6458"/>
      </w:tblGrid>
      <w:tr w14:paraId="598FB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1838" w:type="dxa"/>
            <w:vAlign w:val="top"/>
          </w:tcPr>
          <w:p w14:paraId="5C8F9D96">
            <w:pPr>
              <w:keepNext w:val="0"/>
              <w:keepLines w:val="0"/>
              <w:pageBreakBefore w:val="0"/>
              <w:widowControl w:val="0"/>
              <w:kinsoku/>
              <w:wordWrap/>
              <w:overflowPunct/>
              <w:topLinePunct w:val="0"/>
              <w:bidi w:val="0"/>
              <w:adjustRightInd w:val="0"/>
              <w:snapToGrid w:val="0"/>
              <w:spacing w:line="360" w:lineRule="auto"/>
              <w:jc w:val="right"/>
              <w:rPr>
                <w:rFonts w:hint="eastAsia"/>
                <w:color w:val="auto"/>
                <w:sz w:val="28"/>
                <w:szCs w:val="28"/>
                <w:highlight w:val="none"/>
              </w:rPr>
            </w:pPr>
            <w:r>
              <w:rPr>
                <w:rFonts w:hint="eastAsia"/>
                <w:b/>
                <w:color w:val="auto"/>
                <w:sz w:val="28"/>
                <w:szCs w:val="28"/>
                <w:highlight w:val="none"/>
              </w:rPr>
              <w:t>项目编号：</w:t>
            </w:r>
          </w:p>
        </w:tc>
        <w:tc>
          <w:tcPr>
            <w:tcW w:w="6458" w:type="dxa"/>
            <w:vAlign w:val="top"/>
          </w:tcPr>
          <w:p w14:paraId="26451986">
            <w:pPr>
              <w:pStyle w:val="37"/>
              <w:keepNext w:val="0"/>
              <w:keepLines w:val="0"/>
              <w:pageBreakBefore w:val="0"/>
              <w:widowControl w:val="0"/>
              <w:kinsoku/>
              <w:wordWrap/>
              <w:overflowPunct/>
              <w:topLinePunct w:val="0"/>
              <w:bidi w:val="0"/>
              <w:spacing w:line="360" w:lineRule="auto"/>
              <w:ind w:firstLine="0" w:firstLineChars="0"/>
              <w:jc w:val="both"/>
              <w:rPr>
                <w:rFonts w:hint="eastAsia" w:eastAsia="宋体"/>
                <w:b/>
                <w:bCs/>
                <w:color w:val="auto"/>
                <w:szCs w:val="28"/>
                <w:highlight w:val="none"/>
                <w:lang w:eastAsia="zh-CN"/>
              </w:rPr>
            </w:pPr>
            <w:r>
              <w:rPr>
                <w:rFonts w:hint="eastAsia"/>
                <w:b/>
                <w:bCs/>
                <w:color w:val="auto"/>
                <w:szCs w:val="28"/>
                <w:highlight w:val="none"/>
                <w:lang w:eastAsia="zh-CN"/>
              </w:rPr>
              <w:t>07-08-04F-2025-D-F-E13027</w:t>
            </w:r>
          </w:p>
        </w:tc>
      </w:tr>
      <w:tr w14:paraId="4AC1C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38" w:type="dxa"/>
            <w:vAlign w:val="top"/>
          </w:tcPr>
          <w:p w14:paraId="77DF09D8">
            <w:pPr>
              <w:keepNext w:val="0"/>
              <w:keepLines w:val="0"/>
              <w:pageBreakBefore w:val="0"/>
              <w:widowControl w:val="0"/>
              <w:kinsoku/>
              <w:wordWrap/>
              <w:overflowPunct/>
              <w:topLinePunct w:val="0"/>
              <w:bidi w:val="0"/>
              <w:adjustRightInd w:val="0"/>
              <w:snapToGrid w:val="0"/>
              <w:spacing w:line="360" w:lineRule="auto"/>
              <w:jc w:val="right"/>
              <w:rPr>
                <w:rFonts w:hint="eastAsia"/>
                <w:b/>
                <w:color w:val="auto"/>
                <w:sz w:val="28"/>
                <w:szCs w:val="28"/>
                <w:highlight w:val="none"/>
              </w:rPr>
            </w:pPr>
            <w:r>
              <w:rPr>
                <w:rFonts w:hint="eastAsia"/>
                <w:b/>
                <w:color w:val="auto"/>
                <w:sz w:val="28"/>
                <w:szCs w:val="28"/>
                <w:highlight w:val="none"/>
              </w:rPr>
              <w:t>项目名称：</w:t>
            </w:r>
          </w:p>
        </w:tc>
        <w:tc>
          <w:tcPr>
            <w:tcW w:w="6458" w:type="dxa"/>
            <w:vAlign w:val="top"/>
          </w:tcPr>
          <w:p w14:paraId="37239343">
            <w:pPr>
              <w:pStyle w:val="37"/>
              <w:keepNext w:val="0"/>
              <w:keepLines w:val="0"/>
              <w:pageBreakBefore w:val="0"/>
              <w:widowControl w:val="0"/>
              <w:kinsoku/>
              <w:wordWrap/>
              <w:overflowPunct/>
              <w:topLinePunct w:val="0"/>
              <w:bidi w:val="0"/>
              <w:spacing w:line="360" w:lineRule="auto"/>
              <w:ind w:firstLine="0" w:firstLineChars="0"/>
              <w:jc w:val="both"/>
              <w:rPr>
                <w:rFonts w:hint="eastAsia" w:eastAsia="宋体"/>
                <w:b/>
                <w:bCs/>
                <w:color w:val="auto"/>
                <w:szCs w:val="28"/>
                <w:highlight w:val="none"/>
                <w:lang w:eastAsia="zh-CN"/>
              </w:rPr>
            </w:pPr>
            <w:r>
              <w:rPr>
                <w:rFonts w:hint="eastAsia"/>
                <w:b/>
                <w:bCs/>
                <w:color w:val="auto"/>
                <w:szCs w:val="28"/>
                <w:highlight w:val="none"/>
                <w:lang w:eastAsia="zh-CN"/>
              </w:rPr>
              <w:t>中华人民共和国青茂出入境边防检查站查验设备及后台信息化系统维护保养项目</w:t>
            </w:r>
          </w:p>
        </w:tc>
      </w:tr>
    </w:tbl>
    <w:p w14:paraId="186C956C">
      <w:pPr>
        <w:keepNext w:val="0"/>
        <w:keepLines w:val="0"/>
        <w:pageBreakBefore w:val="0"/>
        <w:widowControl w:val="0"/>
        <w:kinsoku/>
        <w:wordWrap/>
        <w:overflowPunct/>
        <w:topLinePunct w:val="0"/>
        <w:bidi w:val="0"/>
        <w:adjustRightInd w:val="0"/>
        <w:snapToGrid w:val="0"/>
        <w:spacing w:line="360" w:lineRule="auto"/>
        <w:rPr>
          <w:rFonts w:hint="eastAsia"/>
          <w:color w:val="auto"/>
          <w:sz w:val="28"/>
          <w:szCs w:val="28"/>
          <w:highlight w:val="none"/>
        </w:rPr>
      </w:pPr>
    </w:p>
    <w:p w14:paraId="1639C739">
      <w:pPr>
        <w:keepNext w:val="0"/>
        <w:keepLines w:val="0"/>
        <w:pageBreakBefore w:val="0"/>
        <w:widowControl w:val="0"/>
        <w:kinsoku/>
        <w:wordWrap/>
        <w:overflowPunct/>
        <w:topLinePunct w:val="0"/>
        <w:bidi w:val="0"/>
        <w:adjustRightInd w:val="0"/>
        <w:snapToGrid w:val="0"/>
        <w:spacing w:line="360" w:lineRule="auto"/>
        <w:rPr>
          <w:rFonts w:hint="eastAsia"/>
          <w:color w:val="auto"/>
          <w:sz w:val="28"/>
          <w:szCs w:val="28"/>
          <w:highlight w:val="none"/>
        </w:rPr>
      </w:pPr>
    </w:p>
    <w:p w14:paraId="5DD6BF99">
      <w:pPr>
        <w:keepNext w:val="0"/>
        <w:keepLines w:val="0"/>
        <w:pageBreakBefore w:val="0"/>
        <w:widowControl w:val="0"/>
        <w:kinsoku/>
        <w:wordWrap/>
        <w:overflowPunct/>
        <w:topLinePunct w:val="0"/>
        <w:bidi w:val="0"/>
        <w:adjustRightInd w:val="0"/>
        <w:snapToGrid w:val="0"/>
        <w:spacing w:line="360" w:lineRule="auto"/>
        <w:rPr>
          <w:rFonts w:hint="eastAsia"/>
          <w:color w:val="auto"/>
          <w:sz w:val="28"/>
          <w:szCs w:val="28"/>
          <w:highlight w:val="none"/>
        </w:rPr>
      </w:pPr>
    </w:p>
    <w:p w14:paraId="46B8F234">
      <w:pPr>
        <w:keepNext w:val="0"/>
        <w:keepLines w:val="0"/>
        <w:pageBreakBefore w:val="0"/>
        <w:widowControl w:val="0"/>
        <w:kinsoku/>
        <w:wordWrap/>
        <w:overflowPunct/>
        <w:topLinePunct w:val="0"/>
        <w:bidi w:val="0"/>
        <w:adjustRightInd w:val="0"/>
        <w:snapToGrid w:val="0"/>
        <w:spacing w:line="360" w:lineRule="auto"/>
        <w:rPr>
          <w:rFonts w:hint="eastAsia"/>
          <w:color w:val="auto"/>
          <w:sz w:val="28"/>
          <w:szCs w:val="28"/>
          <w:highlight w:val="none"/>
        </w:rPr>
      </w:pPr>
    </w:p>
    <w:p w14:paraId="740BF72F">
      <w:pPr>
        <w:keepNext w:val="0"/>
        <w:keepLines w:val="0"/>
        <w:pageBreakBefore w:val="0"/>
        <w:widowControl w:val="0"/>
        <w:kinsoku/>
        <w:wordWrap/>
        <w:overflowPunct/>
        <w:topLinePunct w:val="0"/>
        <w:bidi w:val="0"/>
        <w:adjustRightInd w:val="0"/>
        <w:snapToGrid w:val="0"/>
        <w:spacing w:line="360" w:lineRule="auto"/>
        <w:rPr>
          <w:rFonts w:hint="eastAsia"/>
          <w:color w:val="auto"/>
          <w:sz w:val="28"/>
          <w:szCs w:val="28"/>
          <w:highlight w:val="none"/>
        </w:rPr>
      </w:pPr>
    </w:p>
    <w:p w14:paraId="43B53499">
      <w:pPr>
        <w:pStyle w:val="37"/>
        <w:keepNext w:val="0"/>
        <w:keepLines w:val="0"/>
        <w:pageBreakBefore w:val="0"/>
        <w:widowControl w:val="0"/>
        <w:kinsoku/>
        <w:wordWrap/>
        <w:overflowPunct/>
        <w:topLinePunct w:val="0"/>
        <w:bidi w:val="0"/>
        <w:spacing w:line="360" w:lineRule="auto"/>
        <w:ind w:firstLine="0" w:firstLineChars="0"/>
        <w:jc w:val="center"/>
        <w:rPr>
          <w:rFonts w:hint="eastAsia" w:eastAsia="宋体"/>
          <w:b/>
          <w:color w:val="auto"/>
          <w:szCs w:val="28"/>
          <w:highlight w:val="none"/>
          <w:lang w:eastAsia="zh-CN"/>
        </w:rPr>
      </w:pPr>
      <w:r>
        <w:rPr>
          <w:rFonts w:hint="eastAsia"/>
          <w:b/>
          <w:color w:val="auto"/>
          <w:szCs w:val="28"/>
          <w:highlight w:val="none"/>
        </w:rPr>
        <w:t>采购人：</w:t>
      </w:r>
      <w:r>
        <w:rPr>
          <w:rFonts w:hint="eastAsia"/>
          <w:b/>
          <w:color w:val="auto"/>
          <w:szCs w:val="28"/>
          <w:highlight w:val="none"/>
          <w:lang w:eastAsia="zh-CN"/>
        </w:rPr>
        <w:t>中华人民共和国青茂出入境边防检查站</w:t>
      </w:r>
    </w:p>
    <w:p w14:paraId="4D9097E3">
      <w:pPr>
        <w:pStyle w:val="37"/>
        <w:keepNext w:val="0"/>
        <w:keepLines w:val="0"/>
        <w:pageBreakBefore w:val="0"/>
        <w:widowControl w:val="0"/>
        <w:kinsoku/>
        <w:wordWrap/>
        <w:overflowPunct/>
        <w:topLinePunct w:val="0"/>
        <w:bidi w:val="0"/>
        <w:spacing w:line="360" w:lineRule="auto"/>
        <w:ind w:firstLine="0" w:firstLineChars="0"/>
        <w:jc w:val="center"/>
        <w:rPr>
          <w:rFonts w:hint="eastAsia"/>
          <w:b/>
          <w:color w:val="auto"/>
          <w:szCs w:val="28"/>
          <w:highlight w:val="none"/>
        </w:rPr>
      </w:pPr>
      <w:r>
        <w:rPr>
          <w:rFonts w:hint="eastAsia"/>
          <w:b/>
          <w:color w:val="auto"/>
          <w:szCs w:val="28"/>
          <w:highlight w:val="none"/>
        </w:rPr>
        <w:t>采购代理机构：公诚管理咨询有限公司</w:t>
      </w:r>
    </w:p>
    <w:p w14:paraId="1D4D018F">
      <w:pPr>
        <w:pStyle w:val="37"/>
        <w:keepNext w:val="0"/>
        <w:keepLines w:val="0"/>
        <w:pageBreakBefore w:val="0"/>
        <w:widowControl w:val="0"/>
        <w:kinsoku/>
        <w:wordWrap/>
        <w:overflowPunct/>
        <w:topLinePunct w:val="0"/>
        <w:bidi w:val="0"/>
        <w:spacing w:line="360" w:lineRule="auto"/>
        <w:ind w:firstLine="0" w:firstLineChars="0"/>
        <w:jc w:val="center"/>
        <w:rPr>
          <w:rFonts w:hint="eastAsia"/>
          <w:b/>
          <w:color w:val="auto"/>
          <w:szCs w:val="28"/>
          <w:highlight w:val="none"/>
        </w:rPr>
      </w:pPr>
      <w:r>
        <w:rPr>
          <w:rFonts w:hint="eastAsia"/>
          <w:b/>
          <w:color w:val="auto"/>
          <w:szCs w:val="28"/>
          <w:highlight w:val="none"/>
        </w:rPr>
        <w:t>日期：二○二</w:t>
      </w:r>
      <w:r>
        <w:rPr>
          <w:rFonts w:hint="eastAsia"/>
          <w:b/>
          <w:color w:val="auto"/>
          <w:szCs w:val="28"/>
          <w:highlight w:val="none"/>
          <w:lang w:val="en-US" w:eastAsia="zh-CN"/>
        </w:rPr>
        <w:t>五</w:t>
      </w:r>
      <w:r>
        <w:rPr>
          <w:rFonts w:hint="eastAsia"/>
          <w:b/>
          <w:color w:val="auto"/>
          <w:szCs w:val="28"/>
          <w:highlight w:val="none"/>
        </w:rPr>
        <w:t>年</w:t>
      </w:r>
      <w:r>
        <w:rPr>
          <w:rFonts w:hint="eastAsia"/>
          <w:b/>
          <w:color w:val="auto"/>
          <w:szCs w:val="28"/>
          <w:highlight w:val="none"/>
          <w:lang w:val="en-US" w:eastAsia="zh-CN"/>
        </w:rPr>
        <w:t>六</w:t>
      </w:r>
      <w:r>
        <w:rPr>
          <w:rFonts w:hint="eastAsia"/>
          <w:b/>
          <w:color w:val="auto"/>
          <w:szCs w:val="28"/>
          <w:highlight w:val="none"/>
        </w:rPr>
        <w:t>月</w:t>
      </w:r>
      <w:bookmarkEnd w:id="0"/>
    </w:p>
    <w:p w14:paraId="147FD77B">
      <w:pPr>
        <w:pStyle w:val="19"/>
        <w:keepNext w:val="0"/>
        <w:keepLines w:val="0"/>
        <w:pageBreakBefore w:val="0"/>
        <w:widowControl w:val="0"/>
        <w:kinsoku/>
        <w:wordWrap/>
        <w:overflowPunct/>
        <w:topLinePunct w:val="0"/>
        <w:bidi w:val="0"/>
        <w:spacing w:line="360" w:lineRule="auto"/>
        <w:rPr>
          <w:rFonts w:hint="eastAsia"/>
          <w:color w:val="auto"/>
          <w:highlight w:val="none"/>
        </w:rPr>
      </w:pPr>
    </w:p>
    <w:p w14:paraId="47EF406E">
      <w:pPr>
        <w:pStyle w:val="37"/>
        <w:keepNext w:val="0"/>
        <w:keepLines w:val="0"/>
        <w:pageBreakBefore w:val="0"/>
        <w:widowControl w:val="0"/>
        <w:kinsoku/>
        <w:wordWrap/>
        <w:overflowPunct/>
        <w:topLinePunct w:val="0"/>
        <w:bidi w:val="0"/>
        <w:spacing w:line="360" w:lineRule="auto"/>
        <w:ind w:firstLine="0" w:firstLineChars="0"/>
        <w:jc w:val="center"/>
        <w:rPr>
          <w:rFonts w:hint="eastAsia"/>
          <w:b/>
          <w:bCs/>
          <w:color w:val="auto"/>
          <w:sz w:val="44"/>
          <w:szCs w:val="44"/>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134" w:right="1134" w:bottom="1134" w:left="1134" w:header="426" w:footer="992" w:gutter="0"/>
          <w:paperSrc w:first="7"/>
          <w:pgNumType w:fmt="decimal" w:start="1"/>
          <w:cols w:space="0" w:num="1"/>
          <w:titlePg/>
          <w:rtlGutter w:val="0"/>
          <w:docGrid w:linePitch="312" w:charSpace="0"/>
        </w:sectPr>
      </w:pPr>
    </w:p>
    <w:p w14:paraId="2E255A74">
      <w:pPr>
        <w:pStyle w:val="37"/>
        <w:keepNext w:val="0"/>
        <w:keepLines w:val="0"/>
        <w:pageBreakBefore w:val="0"/>
        <w:widowControl w:val="0"/>
        <w:kinsoku/>
        <w:wordWrap/>
        <w:overflowPunct/>
        <w:topLinePunct w:val="0"/>
        <w:bidi w:val="0"/>
        <w:spacing w:line="360" w:lineRule="auto"/>
        <w:ind w:firstLine="0" w:firstLineChars="0"/>
        <w:jc w:val="center"/>
        <w:rPr>
          <w:rFonts w:hint="eastAsia"/>
          <w:b/>
          <w:bCs/>
          <w:color w:val="auto"/>
          <w:sz w:val="44"/>
          <w:szCs w:val="44"/>
          <w:highlight w:val="none"/>
        </w:rPr>
      </w:pPr>
      <w:r>
        <w:rPr>
          <w:b/>
          <w:bCs/>
          <w:color w:val="auto"/>
          <w:sz w:val="44"/>
          <w:szCs w:val="44"/>
          <w:highlight w:val="none"/>
        </w:rPr>
        <w:t>温馨提示</w:t>
      </w:r>
    </w:p>
    <w:p w14:paraId="3BC7479F">
      <w:pPr>
        <w:keepNext w:val="0"/>
        <w:keepLines w:val="0"/>
        <w:pageBreakBefore w:val="0"/>
        <w:widowControl w:val="0"/>
        <w:numPr>
          <w:ilvl w:val="0"/>
          <w:numId w:val="4"/>
        </w:numPr>
        <w:tabs>
          <w:tab w:val="left" w:pos="502"/>
          <w:tab w:val="left" w:pos="2279"/>
          <w:tab w:val="left" w:pos="4769"/>
        </w:tabs>
        <w:kinsoku/>
        <w:wordWrap/>
        <w:overflowPunct/>
        <w:topLinePunct w:val="0"/>
        <w:bidi w:val="0"/>
        <w:spacing w:line="360" w:lineRule="auto"/>
        <w:ind w:left="420" w:hanging="420" w:hangingChars="200"/>
        <w:rPr>
          <w:rFonts w:hint="eastAsia"/>
          <w:color w:val="auto"/>
          <w:szCs w:val="21"/>
          <w:highlight w:val="none"/>
        </w:rPr>
      </w:pPr>
      <w:r>
        <w:rPr>
          <w:rFonts w:hint="eastAsia"/>
          <w:color w:val="auto"/>
          <w:szCs w:val="21"/>
          <w:highlight w:val="none"/>
        </w:rPr>
        <w:t>“□”为选择项，采购人</w:t>
      </w:r>
      <w:r>
        <w:rPr>
          <w:color w:val="auto"/>
          <w:szCs w:val="21"/>
          <w:highlight w:val="none"/>
        </w:rPr>
        <w:t>/采购代理机构采用相应内容的以“■”</w:t>
      </w:r>
      <w:r>
        <w:rPr>
          <w:rFonts w:hint="eastAsia"/>
          <w:color w:val="auto"/>
          <w:szCs w:val="21"/>
          <w:highlight w:val="none"/>
        </w:rPr>
        <w:t>或“☑”</w:t>
      </w:r>
      <w:r>
        <w:rPr>
          <w:color w:val="auto"/>
          <w:szCs w:val="21"/>
          <w:highlight w:val="none"/>
        </w:rPr>
        <w:t>表示，不采用相应内容的仍然以“□”表示。</w:t>
      </w:r>
    </w:p>
    <w:p w14:paraId="39AD89E8">
      <w:pPr>
        <w:keepNext w:val="0"/>
        <w:keepLines w:val="0"/>
        <w:pageBreakBefore w:val="0"/>
        <w:widowControl w:val="0"/>
        <w:numPr>
          <w:ilvl w:val="0"/>
          <w:numId w:val="4"/>
        </w:numPr>
        <w:tabs>
          <w:tab w:val="left" w:pos="502"/>
          <w:tab w:val="left" w:pos="2279"/>
          <w:tab w:val="left" w:pos="4769"/>
        </w:tabs>
        <w:kinsoku/>
        <w:wordWrap/>
        <w:overflowPunct/>
        <w:topLinePunct w:val="0"/>
        <w:bidi w:val="0"/>
        <w:spacing w:line="360" w:lineRule="auto"/>
        <w:ind w:left="420" w:hanging="420" w:hangingChars="200"/>
        <w:rPr>
          <w:rFonts w:hint="eastAsia"/>
          <w:color w:val="auto"/>
          <w:szCs w:val="21"/>
          <w:highlight w:val="none"/>
        </w:rPr>
      </w:pPr>
      <w:r>
        <w:rPr>
          <w:color w:val="auto"/>
          <w:szCs w:val="21"/>
          <w:highlight w:val="none"/>
        </w:rPr>
        <w:t>本项目邀请</w:t>
      </w:r>
      <w:r>
        <w:rPr>
          <w:rFonts w:hint="eastAsia"/>
          <w:color w:val="auto"/>
          <w:szCs w:val="21"/>
          <w:highlight w:val="none"/>
        </w:rPr>
        <w:t>供应商</w:t>
      </w:r>
      <w:r>
        <w:rPr>
          <w:color w:val="auto"/>
          <w:szCs w:val="21"/>
          <w:highlight w:val="none"/>
        </w:rPr>
        <w:t>参加</w:t>
      </w:r>
      <w:r>
        <w:rPr>
          <w:rFonts w:hint="eastAsia"/>
          <w:color w:val="auto"/>
          <w:szCs w:val="21"/>
          <w:highlight w:val="none"/>
        </w:rPr>
        <w:t>开启</w:t>
      </w:r>
      <w:r>
        <w:rPr>
          <w:color w:val="auto"/>
          <w:szCs w:val="21"/>
          <w:highlight w:val="none"/>
        </w:rPr>
        <w:t>会议，</w:t>
      </w:r>
      <w:r>
        <w:rPr>
          <w:rFonts w:hint="eastAsia"/>
          <w:color w:val="auto"/>
          <w:szCs w:val="21"/>
          <w:highlight w:val="none"/>
        </w:rPr>
        <w:t>出席开启会议的人员应当为供应商法定代表人或其授权代表，并携带相关身份证件；响应</w:t>
      </w:r>
      <w:r>
        <w:rPr>
          <w:color w:val="auto"/>
          <w:szCs w:val="21"/>
          <w:highlight w:val="none"/>
        </w:rPr>
        <w:t>文件递交地址</w:t>
      </w:r>
      <w:r>
        <w:rPr>
          <w:rFonts w:hint="eastAsia"/>
          <w:color w:val="auto"/>
          <w:szCs w:val="21"/>
          <w:highlight w:val="none"/>
        </w:rPr>
        <w:t>/开启</w:t>
      </w:r>
      <w:r>
        <w:rPr>
          <w:color w:val="auto"/>
          <w:szCs w:val="21"/>
          <w:highlight w:val="none"/>
        </w:rPr>
        <w:t>地址详见第一</w:t>
      </w:r>
      <w:r>
        <w:rPr>
          <w:rFonts w:hint="eastAsia"/>
          <w:color w:val="auto"/>
          <w:szCs w:val="21"/>
          <w:highlight w:val="none"/>
        </w:rPr>
        <w:t>章磋商邀请；</w:t>
      </w:r>
      <w:r>
        <w:rPr>
          <w:color w:val="auto"/>
          <w:szCs w:val="21"/>
          <w:highlight w:val="none"/>
        </w:rPr>
        <w:t>请</w:t>
      </w:r>
      <w:r>
        <w:rPr>
          <w:rFonts w:hint="eastAsia"/>
          <w:color w:val="auto"/>
          <w:szCs w:val="21"/>
          <w:highlight w:val="none"/>
        </w:rPr>
        <w:t>供应商</w:t>
      </w:r>
      <w:r>
        <w:rPr>
          <w:color w:val="auto"/>
          <w:szCs w:val="21"/>
          <w:highlight w:val="none"/>
        </w:rPr>
        <w:t>适当提前到达</w:t>
      </w:r>
      <w:r>
        <w:rPr>
          <w:rFonts w:hint="eastAsia"/>
          <w:color w:val="auto"/>
          <w:szCs w:val="21"/>
          <w:highlight w:val="none"/>
        </w:rPr>
        <w:t>指定地点，建议</w:t>
      </w:r>
      <w:r>
        <w:rPr>
          <w:color w:val="auto"/>
          <w:szCs w:val="21"/>
          <w:highlight w:val="none"/>
        </w:rPr>
        <w:t>在</w:t>
      </w:r>
      <w:r>
        <w:rPr>
          <w:rFonts w:hint="eastAsia"/>
          <w:color w:val="auto"/>
          <w:szCs w:val="21"/>
          <w:highlight w:val="none"/>
        </w:rPr>
        <w:t>响应文件提交</w:t>
      </w:r>
      <w:r>
        <w:rPr>
          <w:color w:val="auto"/>
          <w:szCs w:val="21"/>
          <w:highlight w:val="none"/>
        </w:rPr>
        <w:t>截止时间前30分钟</w:t>
      </w:r>
      <w:r>
        <w:rPr>
          <w:rFonts w:hint="eastAsia"/>
          <w:color w:val="auto"/>
          <w:szCs w:val="21"/>
          <w:highlight w:val="none"/>
        </w:rPr>
        <w:t>到达</w:t>
      </w:r>
      <w:r>
        <w:rPr>
          <w:color w:val="auto"/>
          <w:szCs w:val="21"/>
          <w:highlight w:val="none"/>
        </w:rPr>
        <w:t>。</w:t>
      </w:r>
    </w:p>
    <w:p w14:paraId="29B2E0BA">
      <w:pPr>
        <w:keepNext w:val="0"/>
        <w:keepLines w:val="0"/>
        <w:pageBreakBefore w:val="0"/>
        <w:widowControl w:val="0"/>
        <w:numPr>
          <w:ilvl w:val="0"/>
          <w:numId w:val="4"/>
        </w:numPr>
        <w:tabs>
          <w:tab w:val="left" w:pos="502"/>
          <w:tab w:val="left" w:pos="2279"/>
          <w:tab w:val="left" w:pos="4769"/>
        </w:tabs>
        <w:kinsoku/>
        <w:wordWrap/>
        <w:overflowPunct/>
        <w:topLinePunct w:val="0"/>
        <w:bidi w:val="0"/>
        <w:spacing w:line="360" w:lineRule="auto"/>
        <w:ind w:left="420" w:hanging="420" w:hangingChars="200"/>
        <w:rPr>
          <w:rFonts w:hint="eastAsia"/>
          <w:color w:val="auto"/>
          <w:szCs w:val="21"/>
          <w:highlight w:val="none"/>
        </w:rPr>
      </w:pPr>
      <w:r>
        <w:rPr>
          <w:rFonts w:hint="eastAsia"/>
          <w:color w:val="auto"/>
          <w:szCs w:val="21"/>
          <w:highlight w:val="none"/>
        </w:rPr>
        <w:t>响应</w:t>
      </w:r>
      <w:r>
        <w:rPr>
          <w:color w:val="auto"/>
          <w:szCs w:val="21"/>
          <w:highlight w:val="none"/>
        </w:rPr>
        <w:t>文件应按顺序编制页码</w:t>
      </w:r>
      <w:r>
        <w:rPr>
          <w:rFonts w:hint="eastAsia"/>
          <w:color w:val="auto"/>
          <w:szCs w:val="21"/>
          <w:highlight w:val="none"/>
        </w:rPr>
        <w:t>和目录，请仔细检查响应文件是否已按采购文件要求盖章、签名、签署日期；建议逐页盖章或者在骑缝位置盖章。</w:t>
      </w:r>
    </w:p>
    <w:p w14:paraId="6591318B">
      <w:pPr>
        <w:keepNext w:val="0"/>
        <w:keepLines w:val="0"/>
        <w:pageBreakBefore w:val="0"/>
        <w:widowControl w:val="0"/>
        <w:numPr>
          <w:ilvl w:val="0"/>
          <w:numId w:val="4"/>
        </w:numPr>
        <w:tabs>
          <w:tab w:val="left" w:pos="502"/>
          <w:tab w:val="left" w:pos="2279"/>
          <w:tab w:val="left" w:pos="4769"/>
        </w:tabs>
        <w:kinsoku/>
        <w:wordWrap/>
        <w:overflowPunct/>
        <w:topLinePunct w:val="0"/>
        <w:bidi w:val="0"/>
        <w:spacing w:line="360" w:lineRule="auto"/>
        <w:ind w:left="420" w:hanging="420" w:hangingChars="200"/>
        <w:rPr>
          <w:rFonts w:hint="eastAsia"/>
          <w:b/>
          <w:color w:val="auto"/>
          <w:szCs w:val="21"/>
          <w:highlight w:val="none"/>
        </w:rPr>
      </w:pPr>
      <w:r>
        <w:rPr>
          <w:rFonts w:hint="eastAsia"/>
          <w:color w:val="auto"/>
          <w:szCs w:val="21"/>
          <w:highlight w:val="none"/>
        </w:rPr>
        <w:t>请仔细</w:t>
      </w:r>
      <w:r>
        <w:rPr>
          <w:color w:val="auto"/>
          <w:szCs w:val="21"/>
          <w:highlight w:val="none"/>
        </w:rPr>
        <w:t>根据资格</w:t>
      </w:r>
      <w:r>
        <w:rPr>
          <w:rFonts w:hint="eastAsia"/>
          <w:color w:val="auto"/>
          <w:szCs w:val="21"/>
          <w:highlight w:val="none"/>
        </w:rPr>
        <w:t>性</w:t>
      </w:r>
      <w:r>
        <w:rPr>
          <w:color w:val="auto"/>
          <w:szCs w:val="21"/>
          <w:highlight w:val="none"/>
        </w:rPr>
        <w:t>审查</w:t>
      </w:r>
      <w:r>
        <w:rPr>
          <w:rFonts w:hint="eastAsia"/>
          <w:color w:val="auto"/>
          <w:szCs w:val="21"/>
          <w:highlight w:val="none"/>
        </w:rPr>
        <w:t>表</w:t>
      </w:r>
      <w:r>
        <w:rPr>
          <w:color w:val="auto"/>
          <w:szCs w:val="21"/>
          <w:highlight w:val="none"/>
        </w:rPr>
        <w:t>和符合性审查</w:t>
      </w:r>
      <w:r>
        <w:rPr>
          <w:rFonts w:hint="eastAsia"/>
          <w:color w:val="auto"/>
          <w:szCs w:val="21"/>
          <w:highlight w:val="none"/>
        </w:rPr>
        <w:t>表</w:t>
      </w:r>
      <w:r>
        <w:rPr>
          <w:color w:val="auto"/>
          <w:szCs w:val="21"/>
          <w:highlight w:val="none"/>
        </w:rPr>
        <w:t>逐条检查</w:t>
      </w:r>
      <w:r>
        <w:rPr>
          <w:rFonts w:hint="eastAsia"/>
          <w:color w:val="auto"/>
          <w:szCs w:val="21"/>
          <w:highlight w:val="none"/>
        </w:rPr>
        <w:t>响应</w:t>
      </w:r>
      <w:r>
        <w:rPr>
          <w:color w:val="auto"/>
          <w:szCs w:val="21"/>
          <w:highlight w:val="none"/>
        </w:rPr>
        <w:t>文件</w:t>
      </w:r>
      <w:r>
        <w:rPr>
          <w:rFonts w:hint="eastAsia"/>
          <w:color w:val="auto"/>
          <w:szCs w:val="21"/>
          <w:highlight w:val="none"/>
        </w:rPr>
        <w:t>对应内容</w:t>
      </w:r>
      <w:r>
        <w:rPr>
          <w:color w:val="auto"/>
          <w:szCs w:val="21"/>
          <w:highlight w:val="none"/>
        </w:rPr>
        <w:t>是否符合</w:t>
      </w:r>
      <w:r>
        <w:rPr>
          <w:rFonts w:hint="eastAsia"/>
          <w:color w:val="auto"/>
          <w:szCs w:val="21"/>
          <w:highlight w:val="none"/>
        </w:rPr>
        <w:t>采购</w:t>
      </w:r>
      <w:r>
        <w:rPr>
          <w:color w:val="auto"/>
          <w:szCs w:val="21"/>
          <w:highlight w:val="none"/>
        </w:rPr>
        <w:t>文件要求</w:t>
      </w:r>
      <w:r>
        <w:rPr>
          <w:rFonts w:hint="eastAsia"/>
          <w:color w:val="auto"/>
          <w:szCs w:val="21"/>
          <w:highlight w:val="none"/>
        </w:rPr>
        <w:t>，</w:t>
      </w:r>
      <w:r>
        <w:rPr>
          <w:color w:val="auto"/>
          <w:szCs w:val="21"/>
          <w:highlight w:val="none"/>
        </w:rPr>
        <w:t>检查相关</w:t>
      </w:r>
      <w:r>
        <w:rPr>
          <w:rFonts w:hint="eastAsia"/>
          <w:color w:val="auto"/>
          <w:szCs w:val="21"/>
          <w:highlight w:val="none"/>
        </w:rPr>
        <w:t>证照、</w:t>
      </w:r>
      <w:r>
        <w:rPr>
          <w:color w:val="auto"/>
          <w:szCs w:val="21"/>
          <w:highlight w:val="none"/>
        </w:rPr>
        <w:t>证书、人员身份证</w:t>
      </w:r>
      <w:r>
        <w:rPr>
          <w:rFonts w:hint="eastAsia"/>
          <w:color w:val="auto"/>
          <w:szCs w:val="21"/>
          <w:highlight w:val="none"/>
        </w:rPr>
        <w:t>等证明材料是否</w:t>
      </w:r>
      <w:r>
        <w:rPr>
          <w:color w:val="auto"/>
          <w:szCs w:val="21"/>
          <w:highlight w:val="none"/>
        </w:rPr>
        <w:t>在有效期内</w:t>
      </w:r>
      <w:r>
        <w:rPr>
          <w:rFonts w:hint="eastAsia"/>
          <w:color w:val="auto"/>
          <w:szCs w:val="21"/>
          <w:highlight w:val="none"/>
        </w:rPr>
        <w:t>，业绩合同是否有签订日期，是否在规定的时间范围内</w:t>
      </w:r>
      <w:r>
        <w:rPr>
          <w:color w:val="auto"/>
          <w:szCs w:val="21"/>
          <w:highlight w:val="none"/>
        </w:rPr>
        <w:t>。</w:t>
      </w:r>
    </w:p>
    <w:p w14:paraId="4F50A6B8">
      <w:pPr>
        <w:keepNext w:val="0"/>
        <w:keepLines w:val="0"/>
        <w:pageBreakBefore w:val="0"/>
        <w:widowControl w:val="0"/>
        <w:numPr>
          <w:ilvl w:val="0"/>
          <w:numId w:val="4"/>
        </w:numPr>
        <w:tabs>
          <w:tab w:val="left" w:pos="502"/>
          <w:tab w:val="left" w:pos="2279"/>
          <w:tab w:val="left" w:pos="4769"/>
        </w:tabs>
        <w:kinsoku/>
        <w:wordWrap/>
        <w:overflowPunct/>
        <w:topLinePunct w:val="0"/>
        <w:bidi w:val="0"/>
        <w:spacing w:line="360" w:lineRule="auto"/>
        <w:ind w:left="420" w:hanging="420" w:hangingChars="200"/>
        <w:rPr>
          <w:rFonts w:hint="eastAsia"/>
          <w:color w:val="auto"/>
          <w:szCs w:val="21"/>
          <w:highlight w:val="none"/>
        </w:rPr>
      </w:pPr>
      <w:r>
        <w:rPr>
          <w:rFonts w:hint="eastAsia"/>
          <w:color w:val="auto"/>
          <w:szCs w:val="21"/>
          <w:highlight w:val="none"/>
        </w:rPr>
        <w:t>采购</w:t>
      </w:r>
      <w:r>
        <w:rPr>
          <w:color w:val="auto"/>
          <w:szCs w:val="21"/>
          <w:highlight w:val="none"/>
        </w:rPr>
        <w:t>文件中如有实质性条款要求，则</w:t>
      </w:r>
      <w:r>
        <w:rPr>
          <w:rFonts w:hint="eastAsia"/>
          <w:color w:val="auto"/>
          <w:szCs w:val="21"/>
          <w:highlight w:val="none"/>
        </w:rPr>
        <w:t>响应</w:t>
      </w:r>
      <w:r>
        <w:rPr>
          <w:color w:val="auto"/>
          <w:szCs w:val="21"/>
          <w:highlight w:val="none"/>
        </w:rPr>
        <w:t>文件格式中《</w:t>
      </w:r>
      <w:r>
        <w:rPr>
          <w:rFonts w:hint="eastAsia"/>
          <w:color w:val="auto"/>
          <w:szCs w:val="21"/>
          <w:highlight w:val="none"/>
        </w:rPr>
        <w:t>实质性条款响应表》</w:t>
      </w:r>
      <w:r>
        <w:rPr>
          <w:color w:val="auto"/>
          <w:szCs w:val="21"/>
          <w:highlight w:val="none"/>
        </w:rPr>
        <w:t>不能留空白，一定要按照</w:t>
      </w:r>
      <w:r>
        <w:rPr>
          <w:rFonts w:hint="eastAsia"/>
          <w:color w:val="auto"/>
          <w:szCs w:val="21"/>
          <w:highlight w:val="none"/>
        </w:rPr>
        <w:t>采购文件</w:t>
      </w:r>
      <w:r>
        <w:rPr>
          <w:color w:val="auto"/>
          <w:szCs w:val="21"/>
          <w:highlight w:val="none"/>
        </w:rPr>
        <w:t>要求填写</w:t>
      </w:r>
      <w:r>
        <w:rPr>
          <w:rFonts w:hint="eastAsia"/>
          <w:color w:val="auto"/>
          <w:szCs w:val="21"/>
          <w:highlight w:val="none"/>
        </w:rPr>
        <w:t>，若要求提供证明材料还须对应提供证明材料</w:t>
      </w:r>
      <w:r>
        <w:rPr>
          <w:color w:val="auto"/>
          <w:szCs w:val="21"/>
          <w:highlight w:val="none"/>
        </w:rPr>
        <w:t>。</w:t>
      </w:r>
    </w:p>
    <w:p w14:paraId="1C5B3910">
      <w:pPr>
        <w:keepNext w:val="0"/>
        <w:keepLines w:val="0"/>
        <w:pageBreakBefore w:val="0"/>
        <w:widowControl w:val="0"/>
        <w:numPr>
          <w:ilvl w:val="0"/>
          <w:numId w:val="4"/>
        </w:numPr>
        <w:tabs>
          <w:tab w:val="left" w:pos="502"/>
          <w:tab w:val="left" w:pos="2279"/>
          <w:tab w:val="left" w:pos="4769"/>
        </w:tabs>
        <w:kinsoku/>
        <w:wordWrap/>
        <w:overflowPunct/>
        <w:topLinePunct w:val="0"/>
        <w:bidi w:val="0"/>
        <w:spacing w:line="360" w:lineRule="auto"/>
        <w:ind w:left="420" w:hanging="420" w:hangingChars="200"/>
        <w:rPr>
          <w:rFonts w:hint="eastAsia"/>
          <w:color w:val="auto"/>
          <w:szCs w:val="21"/>
          <w:highlight w:val="none"/>
        </w:rPr>
      </w:pPr>
      <w:r>
        <w:rPr>
          <w:rFonts w:hint="eastAsia"/>
          <w:color w:val="auto"/>
          <w:szCs w:val="21"/>
          <w:highlight w:val="none"/>
        </w:rPr>
        <w:t>请正确填写《报价一览表》（报价表）和《分项报价表》(如有)，注意大小写必须一致；《分项报价表》汇总金额必须与《报价一览表》总报价一致。</w:t>
      </w:r>
    </w:p>
    <w:p w14:paraId="478D0115">
      <w:pPr>
        <w:keepNext w:val="0"/>
        <w:keepLines w:val="0"/>
        <w:pageBreakBefore w:val="0"/>
        <w:widowControl w:val="0"/>
        <w:numPr>
          <w:ilvl w:val="0"/>
          <w:numId w:val="4"/>
        </w:numPr>
        <w:tabs>
          <w:tab w:val="left" w:pos="502"/>
          <w:tab w:val="left" w:pos="2279"/>
          <w:tab w:val="left" w:pos="4769"/>
        </w:tabs>
        <w:kinsoku/>
        <w:wordWrap/>
        <w:overflowPunct/>
        <w:topLinePunct w:val="0"/>
        <w:bidi w:val="0"/>
        <w:spacing w:line="360" w:lineRule="auto"/>
        <w:ind w:left="420" w:hanging="420" w:hangingChars="200"/>
        <w:rPr>
          <w:rFonts w:hint="eastAsia"/>
          <w:color w:val="auto"/>
          <w:szCs w:val="21"/>
          <w:highlight w:val="none"/>
        </w:rPr>
      </w:pPr>
      <w:r>
        <w:rPr>
          <w:rFonts w:hint="eastAsia"/>
          <w:color w:val="auto"/>
          <w:szCs w:val="21"/>
          <w:highlight w:val="none"/>
        </w:rPr>
        <w:t>多包组项目请仔细检查包组号，包组号与包组采购内容必须对应。</w:t>
      </w:r>
    </w:p>
    <w:p w14:paraId="068DAB8D">
      <w:pPr>
        <w:keepNext w:val="0"/>
        <w:keepLines w:val="0"/>
        <w:pageBreakBefore w:val="0"/>
        <w:widowControl w:val="0"/>
        <w:numPr>
          <w:ilvl w:val="0"/>
          <w:numId w:val="4"/>
        </w:numPr>
        <w:tabs>
          <w:tab w:val="left" w:pos="502"/>
          <w:tab w:val="left" w:pos="2279"/>
          <w:tab w:val="left" w:pos="4769"/>
        </w:tabs>
        <w:kinsoku/>
        <w:wordWrap/>
        <w:overflowPunct/>
        <w:topLinePunct w:val="0"/>
        <w:bidi w:val="0"/>
        <w:spacing w:line="360" w:lineRule="auto"/>
        <w:ind w:left="420" w:hanging="420" w:hangingChars="200"/>
        <w:rPr>
          <w:rFonts w:hint="eastAsia"/>
          <w:color w:val="auto"/>
          <w:szCs w:val="21"/>
          <w:highlight w:val="none"/>
        </w:rPr>
      </w:pPr>
      <w:r>
        <w:rPr>
          <w:rFonts w:hint="eastAsia"/>
          <w:color w:val="auto"/>
          <w:szCs w:val="21"/>
          <w:highlight w:val="none"/>
        </w:rPr>
        <w:t>为方便评审，提高评审效率和质量，建议供应商可根据评审标准要求，对照自己的响应文件，用显眼的方式标记出对应的响应内容。</w:t>
      </w:r>
    </w:p>
    <w:p w14:paraId="32B370D2">
      <w:pPr>
        <w:keepNext w:val="0"/>
        <w:keepLines w:val="0"/>
        <w:pageBreakBefore w:val="0"/>
        <w:widowControl w:val="0"/>
        <w:numPr>
          <w:ilvl w:val="0"/>
          <w:numId w:val="4"/>
        </w:numPr>
        <w:tabs>
          <w:tab w:val="left" w:pos="502"/>
          <w:tab w:val="left" w:pos="1408"/>
          <w:tab w:val="left" w:pos="4769"/>
        </w:tabs>
        <w:kinsoku/>
        <w:wordWrap/>
        <w:overflowPunct/>
        <w:topLinePunct w:val="0"/>
        <w:bidi w:val="0"/>
        <w:spacing w:line="360" w:lineRule="auto"/>
        <w:ind w:left="420" w:hanging="420" w:hangingChars="200"/>
        <w:rPr>
          <w:rFonts w:hint="eastAsia"/>
          <w:color w:val="auto"/>
          <w:szCs w:val="21"/>
          <w:highlight w:val="none"/>
        </w:rPr>
      </w:pPr>
      <w:r>
        <w:rPr>
          <w:rFonts w:hint="eastAsia"/>
          <w:color w:val="auto"/>
          <w:szCs w:val="21"/>
          <w:highlight w:val="none"/>
        </w:rPr>
        <w:t>为了提高采购效率，节约社会交易成本与时间，希望获取了采购文件的供应商人如果决定放弃响应的，在响应文件提交</w:t>
      </w:r>
      <w:r>
        <w:rPr>
          <w:color w:val="auto"/>
          <w:szCs w:val="21"/>
          <w:highlight w:val="none"/>
        </w:rPr>
        <w:t>截止时间</w:t>
      </w:r>
      <w:r>
        <w:rPr>
          <w:rFonts w:hint="eastAsia"/>
          <w:color w:val="auto"/>
          <w:szCs w:val="21"/>
          <w:highlight w:val="none"/>
        </w:rPr>
        <w:t>前2日，以书面盖章形式告知采购代理机构：</w:t>
      </w:r>
      <w:bookmarkStart w:id="1" w:name="_Hlk111933718"/>
      <w:r>
        <w:rPr>
          <w:rFonts w:hint="eastAsia"/>
          <w:color w:val="auto"/>
          <w:szCs w:val="21"/>
          <w:highlight w:val="none"/>
          <w:lang w:eastAsia="zh-CN"/>
        </w:rPr>
        <w:t>yangshuwen</w:t>
      </w:r>
      <w:r>
        <w:rPr>
          <w:color w:val="auto"/>
          <w:szCs w:val="21"/>
          <w:highlight w:val="none"/>
        </w:rPr>
        <w:t>.gcmc.gd@chinaccs.cn</w:t>
      </w:r>
      <w:bookmarkEnd w:id="1"/>
      <w:r>
        <w:rPr>
          <w:color w:val="auto"/>
          <w:szCs w:val="21"/>
          <w:highlight w:val="none"/>
        </w:rPr>
        <w:t>。</w:t>
      </w:r>
    </w:p>
    <w:p w14:paraId="222B0EC3">
      <w:pPr>
        <w:keepNext w:val="0"/>
        <w:keepLines w:val="0"/>
        <w:pageBreakBefore w:val="0"/>
        <w:widowControl w:val="0"/>
        <w:numPr>
          <w:ilvl w:val="0"/>
          <w:numId w:val="4"/>
        </w:numPr>
        <w:tabs>
          <w:tab w:val="left" w:pos="502"/>
          <w:tab w:val="left" w:pos="1408"/>
          <w:tab w:val="left" w:pos="4769"/>
        </w:tabs>
        <w:kinsoku/>
        <w:wordWrap/>
        <w:overflowPunct/>
        <w:topLinePunct w:val="0"/>
        <w:bidi w:val="0"/>
        <w:spacing w:line="360" w:lineRule="auto"/>
        <w:ind w:left="420" w:hanging="420" w:hangingChars="200"/>
        <w:jc w:val="left"/>
        <w:rPr>
          <w:rFonts w:hint="eastAsia"/>
          <w:color w:val="auto"/>
          <w:szCs w:val="21"/>
          <w:highlight w:val="none"/>
        </w:rPr>
      </w:pPr>
      <w:r>
        <w:rPr>
          <w:rFonts w:hint="eastAsia"/>
          <w:color w:val="auto"/>
          <w:szCs w:val="21"/>
          <w:highlight w:val="none"/>
        </w:rPr>
        <w:t>根据“节约能源、保护环境”要求，建议供应商双面打印响应文件。</w:t>
      </w:r>
    </w:p>
    <w:p w14:paraId="6B2FDFA5">
      <w:pPr>
        <w:keepNext w:val="0"/>
        <w:keepLines w:val="0"/>
        <w:pageBreakBefore w:val="0"/>
        <w:widowControl w:val="0"/>
        <w:numPr>
          <w:ilvl w:val="0"/>
          <w:numId w:val="4"/>
        </w:numPr>
        <w:tabs>
          <w:tab w:val="left" w:pos="502"/>
          <w:tab w:val="left" w:pos="1408"/>
          <w:tab w:val="left" w:pos="4769"/>
        </w:tabs>
        <w:kinsoku/>
        <w:wordWrap/>
        <w:overflowPunct/>
        <w:topLinePunct w:val="0"/>
        <w:bidi w:val="0"/>
        <w:spacing w:line="360" w:lineRule="auto"/>
        <w:ind w:left="420" w:hanging="420" w:hangingChars="200"/>
        <w:jc w:val="left"/>
        <w:rPr>
          <w:rFonts w:hint="eastAsia"/>
          <w:color w:val="auto"/>
          <w:szCs w:val="21"/>
          <w:highlight w:val="none"/>
        </w:rPr>
      </w:pPr>
      <w:r>
        <w:rPr>
          <w:rFonts w:hint="eastAsia"/>
          <w:color w:val="auto"/>
          <w:szCs w:val="21"/>
          <w:highlight w:val="none"/>
        </w:rPr>
        <w:t>特别说明：本提示内容非采购文件的组成部分，仅为善意提醒；如有不一致的地方，以采购文件为准。</w:t>
      </w:r>
    </w:p>
    <w:p w14:paraId="7AD4C4F4">
      <w:pPr>
        <w:keepNext w:val="0"/>
        <w:keepLines w:val="0"/>
        <w:pageBreakBefore w:val="0"/>
        <w:widowControl w:val="0"/>
        <w:kinsoku/>
        <w:wordWrap/>
        <w:overflowPunct/>
        <w:topLinePunct w:val="0"/>
        <w:bidi w:val="0"/>
        <w:spacing w:line="360" w:lineRule="auto"/>
        <w:rPr>
          <w:rFonts w:hint="eastAsia"/>
          <w:b/>
          <w:color w:val="auto"/>
          <w:szCs w:val="21"/>
          <w:highlight w:val="none"/>
        </w:rPr>
      </w:pPr>
      <w:r>
        <w:rPr>
          <w:b/>
          <w:color w:val="auto"/>
          <w:szCs w:val="21"/>
          <w:highlight w:val="none"/>
        </w:rPr>
        <w:br w:type="page"/>
      </w:r>
    </w:p>
    <w:p w14:paraId="244FF20B">
      <w:pPr>
        <w:keepNext w:val="0"/>
        <w:keepLines w:val="0"/>
        <w:pageBreakBefore w:val="0"/>
        <w:widowControl w:val="0"/>
        <w:kinsoku/>
        <w:wordWrap/>
        <w:overflowPunct/>
        <w:topLinePunct w:val="0"/>
        <w:bidi w:val="0"/>
        <w:spacing w:line="360" w:lineRule="auto"/>
        <w:jc w:val="center"/>
        <w:rPr>
          <w:rFonts w:hint="eastAsia"/>
          <w:b/>
          <w:bCs/>
          <w:color w:val="auto"/>
          <w:sz w:val="32"/>
          <w:highlight w:val="none"/>
        </w:rPr>
      </w:pPr>
      <w:r>
        <w:rPr>
          <w:rFonts w:hint="eastAsia"/>
          <w:b/>
          <w:bCs/>
          <w:color w:val="auto"/>
          <w:sz w:val="32"/>
          <w:highlight w:val="none"/>
        </w:rPr>
        <w:t>目</w:t>
      </w:r>
      <w:r>
        <w:rPr>
          <w:rFonts w:hint="eastAsia"/>
          <w:b/>
          <w:bCs/>
          <w:color w:val="auto"/>
          <w:sz w:val="32"/>
          <w:highlight w:val="none"/>
        </w:rPr>
        <w:tab/>
      </w:r>
      <w:r>
        <w:rPr>
          <w:rFonts w:hint="eastAsia"/>
          <w:b/>
          <w:bCs/>
          <w:color w:val="auto"/>
          <w:sz w:val="32"/>
          <w:highlight w:val="none"/>
        </w:rPr>
        <w:t xml:space="preserve">  录</w:t>
      </w:r>
    </w:p>
    <w:p w14:paraId="049787C1">
      <w:pPr>
        <w:pStyle w:val="31"/>
        <w:keepNext w:val="0"/>
        <w:keepLines w:val="0"/>
        <w:pageBreakBefore w:val="0"/>
        <w:tabs>
          <w:tab w:val="right" w:leader="dot" w:pos="9638"/>
        </w:tabs>
        <w:kinsoku/>
        <w:wordWrap/>
        <w:overflowPunct/>
        <w:topLinePunct w:val="0"/>
        <w:autoSpaceDE/>
        <w:autoSpaceDN/>
        <w:bidi w:val="0"/>
        <w:spacing w:before="0"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 w:val="0"/>
          <w:color w:val="auto"/>
          <w:sz w:val="21"/>
          <w:szCs w:val="21"/>
          <w:highlight w:val="none"/>
        </w:rPr>
        <w:fldChar w:fldCharType="begin"/>
      </w:r>
      <w:r>
        <w:rPr>
          <w:rFonts w:hint="eastAsia" w:ascii="宋体" w:hAnsi="宋体" w:eastAsia="宋体" w:cs="宋体"/>
          <w:b w:val="0"/>
          <w:color w:val="auto"/>
          <w:sz w:val="21"/>
          <w:szCs w:val="21"/>
          <w:highlight w:val="none"/>
        </w:rPr>
        <w:instrText xml:space="preserve"> TOC \o "1-2" \h \z \u </w:instrText>
      </w:r>
      <w:r>
        <w:rPr>
          <w:rFonts w:hint="eastAsia" w:ascii="宋体" w:hAnsi="宋体" w:eastAsia="宋体" w:cs="宋体"/>
          <w:b w:val="0"/>
          <w:color w:val="auto"/>
          <w:sz w:val="21"/>
          <w:szCs w:val="21"/>
          <w:highlight w:val="none"/>
        </w:rPr>
        <w:fldChar w:fldCharType="separate"/>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_Toc30204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第一章 磋商邀请</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_Toc30204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A27751E">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_Toc12404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lang w:eastAsia="zh-CN"/>
        </w:rPr>
        <w:t>一、项目基本情况</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_Toc12404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23DB404C">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_Toc28898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bCs/>
          <w:color w:val="auto"/>
          <w:kern w:val="21"/>
          <w:sz w:val="21"/>
          <w:szCs w:val="21"/>
          <w:highlight w:val="none"/>
          <w:lang w:eastAsia="zh-CN"/>
        </w:rPr>
        <w:t>采购包1（查验设施设备保养维护）：</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_Toc28898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48FC2203">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_Toc8328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bCs/>
          <w:color w:val="auto"/>
          <w:kern w:val="21"/>
          <w:sz w:val="21"/>
          <w:szCs w:val="21"/>
          <w:highlight w:val="none"/>
          <w:lang w:eastAsia="zh-CN"/>
        </w:rPr>
        <w:t>采购包</w:t>
      </w:r>
      <w:r>
        <w:rPr>
          <w:rFonts w:hint="eastAsia" w:ascii="宋体" w:hAnsi="宋体" w:eastAsia="宋体" w:cs="宋体"/>
          <w:bCs/>
          <w:color w:val="auto"/>
          <w:kern w:val="21"/>
          <w:sz w:val="21"/>
          <w:szCs w:val="21"/>
          <w:highlight w:val="none"/>
          <w:lang w:val="en-US" w:eastAsia="zh-CN"/>
        </w:rPr>
        <w:t>2</w:t>
      </w:r>
      <w:r>
        <w:rPr>
          <w:rFonts w:hint="eastAsia" w:ascii="宋体" w:hAnsi="宋体" w:eastAsia="宋体" w:cs="宋体"/>
          <w:bCs/>
          <w:color w:val="auto"/>
          <w:kern w:val="21"/>
          <w:sz w:val="21"/>
          <w:szCs w:val="21"/>
          <w:highlight w:val="none"/>
          <w:lang w:eastAsia="zh-CN"/>
        </w:rPr>
        <w:t>（信息化系统设备保养维护）：</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_Toc8328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1DF11BEC">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_Toc15733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lang w:eastAsia="zh-CN"/>
        </w:rPr>
        <w:t>二、申请人的资格要求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_Toc15733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6D24CBCB">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_Toc9983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lang w:eastAsia="zh-CN"/>
        </w:rPr>
        <w:t>三、获取采购文件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_Toc9983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6A7400A0">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_Toc7586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lang w:eastAsia="zh-CN"/>
        </w:rPr>
        <w:t>四、响应文件提交</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_Toc7586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777DD5A6">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_Toc866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lang w:eastAsia="zh-CN"/>
        </w:rPr>
        <w:t>五、开启</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_Toc866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6B0C11DE">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_Toc2773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lang w:eastAsia="zh-CN"/>
        </w:rPr>
        <w:t>六、公告期限</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_Toc2773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70937337">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_Toc18773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lang w:eastAsia="zh-CN"/>
        </w:rPr>
        <w:t>七、其他补充事宜</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_Toc18773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32A53EDF">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_Toc21119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lang w:eastAsia="zh-CN"/>
        </w:rPr>
        <w:t>八、凡对本次采购提出询问，请按以下方式联系</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_Toc21119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44F6F9FB">
      <w:pPr>
        <w:pStyle w:val="31"/>
        <w:keepNext w:val="0"/>
        <w:keepLines w:val="0"/>
        <w:pageBreakBefore w:val="0"/>
        <w:tabs>
          <w:tab w:val="right" w:leader="dot" w:pos="9638"/>
        </w:tabs>
        <w:kinsoku/>
        <w:wordWrap/>
        <w:overflowPunct/>
        <w:topLinePunct w:val="0"/>
        <w:autoSpaceDE/>
        <w:autoSpaceDN/>
        <w:bidi w:val="0"/>
        <w:spacing w:before="0"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_Toc24431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第二章 采购需求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_Toc24431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6E1BC414">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_Toc7170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bCs/>
          <w:color w:val="auto"/>
          <w:sz w:val="21"/>
          <w:szCs w:val="21"/>
          <w:highlight w:val="none"/>
        </w:rPr>
        <w:t>一、项目概述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_Toc7170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43A32978">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_Toc26132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lang w:eastAsia="zh-CN"/>
        </w:rPr>
        <w:t>二、主要商务要求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_Toc26132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5F2058ED">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_Toc19118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lang w:eastAsia="zh-CN"/>
        </w:rPr>
        <w:t>三、技术标准与要求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_Toc19118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2CBB50FA">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_Toc19937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lang w:val="en-US" w:eastAsia="zh-CN"/>
        </w:rPr>
        <w:t>采购包1（查验设施设备保养维护）：</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_Toc19937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13BCAF75">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_Toc1269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lang w:val="en-US" w:eastAsia="zh-CN"/>
        </w:rPr>
        <w:t>采购包2（信息化系统设备保养维护）：</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_Toc1269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5D24C230">
      <w:pPr>
        <w:pStyle w:val="31"/>
        <w:keepNext w:val="0"/>
        <w:keepLines w:val="0"/>
        <w:pageBreakBefore w:val="0"/>
        <w:tabs>
          <w:tab w:val="right" w:leader="dot" w:pos="9638"/>
        </w:tabs>
        <w:kinsoku/>
        <w:wordWrap/>
        <w:overflowPunct/>
        <w:topLinePunct w:val="0"/>
        <w:autoSpaceDE/>
        <w:autoSpaceDN/>
        <w:bidi w:val="0"/>
        <w:spacing w:before="0"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_Toc25252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第三章 供应商须知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_Toc25252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25</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53B4C791">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_Toc12806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一、 名词解释</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_Toc12806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25</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25277BAE">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_Toc30462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二、 须知前附表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_Toc30462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25</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1EB2B79C">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_Toc2411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三、 说明</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_Toc2411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67612760">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_Toc32282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四、 磋商文件的澄清和修改</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_Toc32282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1DE7BF41">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_Toc27738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五、 响应要求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_Toc27738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7562F3DA">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_Toc3107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六、 磋商、评审和结果确认</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_Toc3107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36</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59335F4C">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_Toc16093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七、 询问、质疑与投诉</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_Toc16093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36</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2F470128">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_Toc15196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八、 合同签订和履行</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_Toc15196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38</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398202BF">
      <w:pPr>
        <w:pStyle w:val="31"/>
        <w:keepNext w:val="0"/>
        <w:keepLines w:val="0"/>
        <w:pageBreakBefore w:val="0"/>
        <w:tabs>
          <w:tab w:val="right" w:leader="dot" w:pos="9638"/>
        </w:tabs>
        <w:kinsoku/>
        <w:wordWrap/>
        <w:overflowPunct/>
        <w:topLinePunct w:val="0"/>
        <w:autoSpaceDE/>
        <w:autoSpaceDN/>
        <w:bidi w:val="0"/>
        <w:spacing w:before="0"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_Toc26373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第四章 评审</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_Toc26373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40</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567DB162">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_Toc8969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一、 评审要求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_Toc8969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40</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3FE4AC49">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_Toc2739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二、 政府采购政策落实</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_Toc2739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42</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1B5271A7">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_Toc13958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三、 评审程序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_Toc13958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43</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188C1610">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_Toc10438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bCs/>
          <w:color w:val="auto"/>
          <w:kern w:val="21"/>
          <w:sz w:val="21"/>
          <w:szCs w:val="21"/>
          <w:highlight w:val="none"/>
          <w:lang w:eastAsia="zh-CN"/>
        </w:rPr>
        <w:t>采购包1（查验设施设备保养维护）：</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_Toc10438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46</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40FECAD3">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_Toc22087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bCs/>
          <w:color w:val="auto"/>
          <w:kern w:val="21"/>
          <w:sz w:val="21"/>
          <w:szCs w:val="21"/>
          <w:highlight w:val="none"/>
          <w:lang w:eastAsia="zh-CN"/>
        </w:rPr>
        <w:t>采购包</w:t>
      </w:r>
      <w:r>
        <w:rPr>
          <w:rFonts w:hint="eastAsia" w:ascii="宋体" w:hAnsi="宋体" w:eastAsia="宋体" w:cs="宋体"/>
          <w:bCs/>
          <w:color w:val="auto"/>
          <w:kern w:val="21"/>
          <w:sz w:val="21"/>
          <w:szCs w:val="21"/>
          <w:highlight w:val="none"/>
          <w:lang w:val="en-US" w:eastAsia="zh-CN"/>
        </w:rPr>
        <w:t>2</w:t>
      </w:r>
      <w:r>
        <w:rPr>
          <w:rFonts w:hint="eastAsia" w:ascii="宋体" w:hAnsi="宋体" w:eastAsia="宋体" w:cs="宋体"/>
          <w:bCs/>
          <w:color w:val="auto"/>
          <w:kern w:val="21"/>
          <w:sz w:val="21"/>
          <w:szCs w:val="21"/>
          <w:highlight w:val="none"/>
          <w:lang w:eastAsia="zh-CN"/>
        </w:rPr>
        <w:t>（信息化系统设备保养维护）：</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_Toc22087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50</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1929005E">
      <w:pPr>
        <w:pStyle w:val="31"/>
        <w:keepNext w:val="0"/>
        <w:keepLines w:val="0"/>
        <w:pageBreakBefore w:val="0"/>
        <w:tabs>
          <w:tab w:val="right" w:leader="dot" w:pos="9638"/>
        </w:tabs>
        <w:kinsoku/>
        <w:wordWrap/>
        <w:overflowPunct/>
        <w:topLinePunct w:val="0"/>
        <w:autoSpaceDE/>
        <w:autoSpaceDN/>
        <w:bidi w:val="0"/>
        <w:spacing w:before="0"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_Toc20661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第五章 合同文本</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_Toc20661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56</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411E5F83">
      <w:pPr>
        <w:pStyle w:val="31"/>
        <w:keepNext w:val="0"/>
        <w:keepLines w:val="0"/>
        <w:pageBreakBefore w:val="0"/>
        <w:tabs>
          <w:tab w:val="right" w:leader="dot" w:pos="9638"/>
        </w:tabs>
        <w:kinsoku/>
        <w:wordWrap/>
        <w:overflowPunct/>
        <w:topLinePunct w:val="0"/>
        <w:autoSpaceDE/>
        <w:autoSpaceDN/>
        <w:bidi w:val="0"/>
        <w:spacing w:before="0"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_Toc29425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第六章  响应文件格式与要求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_Toc29425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61</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2AED0ECA">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_Toc24569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bCs/>
          <w:color w:val="auto"/>
          <w:sz w:val="21"/>
          <w:szCs w:val="21"/>
          <w:highlight w:val="none"/>
        </w:rPr>
        <w:t>响应文件封面（参考）</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_Toc24569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62</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367F8B48">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_Toc25849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格式一： 响应承诺函</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_Toc25849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63</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6ECFD34B">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_Toc6880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格式二： 首轮报价表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_Toc6880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65</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54EFBA1A">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_Toc28393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格式三： 政策适用性说明</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_Toc28393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66</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4ABA9236">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_Toc1094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格式四： 法定代表人证明书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_Toc1094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67</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1DF883FE">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_Toc30642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格式五： 法定代表人授权书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_Toc30642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68</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5E3DCCB4">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_Toc2835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格式六： 提供具有独立承担民事责任的能力的证明材料</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_Toc2835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69</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5678A996">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_Toc12151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格式七： 提供有依法缴纳税收的良好记录的证明材料</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_Toc12151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69</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7725406C">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_Toc28774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格式八： 提供有依法缴纳社会保障资金的良好记录的证明材料</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_Toc28774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69</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281320B7">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_Toc1590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格式九： 提供具有良好的商业信誉和健全的财务会计制度的证明材料</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_Toc1590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69</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06BB83D2">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_Toc21024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格式十： 提供具有履行合同所必需的设备和专业技术能力的证明材料</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_Toc21024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69</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33B7631C">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_Toc20095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格式十一： 中小企业声明函</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_Toc20095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70</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65C29145">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_Toc26203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格式十二： 监狱企业</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_Toc26203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72</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78869601">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_Toc12696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格式十三： 残疾人福利性单位声明</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_Toc12696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72</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669830D0">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_Toc21728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格式十四： 需要采购人提供的附加条件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_Toc21728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73</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08E66E0D">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_Toc25535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格式十五： 实质性条款响应表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_Toc25535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74</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455FB689">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_Toc30192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格式十六： 商务条款响应表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_Toc30192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75</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7FA90B72">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_Toc18462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格式十七： 技术条款响应表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_Toc18462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76</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0B0BF829">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_Toc10176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格式十八： 承诺函</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_Toc10176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77</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5DE9854F">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_Toc29958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格式十九： 类似项目业绩</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_Toc29958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78</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597E3A09">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_Toc15521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格式二十： 企业认证情况</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_Toc15521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78</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33F26EA7">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_Toc20493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格式二十一： 对本项目的理解</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_Toc20493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79</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34E8EB48">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_Toc25567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格式二十二： 项目实施重点、难点分析</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_Toc25567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79</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79EC278A">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_Toc25882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格式二十三： 服务实施方案</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_Toc25882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79</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363BEF1C">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_Toc24192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格式二十四： 服务质量保障</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_Toc24192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79</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31F24CD1">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_Toc8572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格式二十五： 紧急突发事件应对措施及预案</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_Toc8572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79</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76406BA7">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_Toc6069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格式二十六： 服务团队人员资质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_Toc6069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79</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2044DEEE">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_Toc20848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格式二十七： 其它重要事项说明及承诺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_Toc20848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79</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61A66BFF">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_Toc316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格式二十八： 采购代理服务费支付承诺书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_Toc316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80</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66F81406">
      <w:pPr>
        <w:pStyle w:val="38"/>
        <w:keepNext w:val="0"/>
        <w:keepLines w:val="0"/>
        <w:pageBreakBefore w:val="0"/>
        <w:tabs>
          <w:tab w:val="right" w:leader="dot" w:pos="9638"/>
        </w:tabs>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HYPERLINK \l _Toc1108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color w:val="auto"/>
          <w:sz w:val="21"/>
          <w:szCs w:val="21"/>
          <w:highlight w:val="none"/>
        </w:rPr>
        <w:t>格式二十九： 询问函、质疑函、投诉书格式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_Toc1108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81</w: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rPr>
        <w:fldChar w:fldCharType="end"/>
      </w:r>
    </w:p>
    <w:p w14:paraId="013B35D1">
      <w:pPr>
        <w:pStyle w:val="37"/>
        <w:keepNext w:val="0"/>
        <w:keepLines w:val="0"/>
        <w:pageBreakBefore w:val="0"/>
        <w:widowControl w:val="0"/>
        <w:kinsoku/>
        <w:wordWrap/>
        <w:overflowPunct/>
        <w:topLinePunct w:val="0"/>
        <w:autoSpaceDE/>
        <w:autoSpaceDN/>
        <w:bidi w:val="0"/>
        <w:spacing w:line="360" w:lineRule="auto"/>
        <w:ind w:left="1" w:hanging="1"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fldChar w:fldCharType="end"/>
      </w:r>
    </w:p>
    <w:p w14:paraId="2B82347F">
      <w:pPr>
        <w:pStyle w:val="37"/>
        <w:keepNext w:val="0"/>
        <w:keepLines w:val="0"/>
        <w:pageBreakBefore w:val="0"/>
        <w:widowControl w:val="0"/>
        <w:kinsoku/>
        <w:wordWrap/>
        <w:overflowPunct/>
        <w:topLinePunct w:val="0"/>
        <w:bidi w:val="0"/>
        <w:spacing w:line="360" w:lineRule="auto"/>
        <w:ind w:firstLine="0" w:firstLineChars="0"/>
        <w:jc w:val="center"/>
        <w:rPr>
          <w:rFonts w:hint="eastAsia"/>
          <w:color w:val="auto"/>
          <w:highlight w:val="none"/>
        </w:rPr>
      </w:pPr>
      <w:r>
        <w:rPr>
          <w:color w:val="auto"/>
          <w:highlight w:val="none"/>
        </w:rPr>
        <w:br w:type="page"/>
      </w:r>
    </w:p>
    <w:p w14:paraId="7B5EAB74">
      <w:pPr>
        <w:keepNext w:val="0"/>
        <w:keepLines w:val="0"/>
        <w:pageBreakBefore w:val="0"/>
        <w:widowControl w:val="0"/>
        <w:tabs>
          <w:tab w:val="left" w:pos="502"/>
          <w:tab w:val="left" w:pos="1408"/>
          <w:tab w:val="left" w:pos="4769"/>
        </w:tabs>
        <w:kinsoku/>
        <w:wordWrap/>
        <w:overflowPunct/>
        <w:topLinePunct w:val="0"/>
        <w:bidi w:val="0"/>
        <w:spacing w:line="360" w:lineRule="auto"/>
        <w:jc w:val="center"/>
        <w:rPr>
          <w:rFonts w:hint="eastAsia"/>
          <w:b/>
          <w:color w:val="auto"/>
          <w:sz w:val="22"/>
          <w:szCs w:val="21"/>
          <w:highlight w:val="none"/>
        </w:rPr>
        <w:sectPr>
          <w:headerReference r:id="rId11" w:type="first"/>
          <w:pgSz w:w="11906" w:h="16838"/>
          <w:pgMar w:top="1134" w:right="1134" w:bottom="1134" w:left="1134" w:header="426" w:footer="992" w:gutter="0"/>
          <w:paperSrc w:first="7"/>
          <w:pgNumType w:fmt="decimal"/>
          <w:cols w:space="0" w:num="1"/>
          <w:titlePg/>
          <w:rtlGutter w:val="0"/>
          <w:docGrid w:linePitch="312" w:charSpace="0"/>
        </w:sectPr>
      </w:pPr>
    </w:p>
    <w:p w14:paraId="4C7B8E07">
      <w:pPr>
        <w:pStyle w:val="2"/>
        <w:keepNext w:val="0"/>
        <w:keepLines w:val="0"/>
        <w:pageBreakBefore w:val="0"/>
        <w:widowControl w:val="0"/>
        <w:kinsoku/>
        <w:wordWrap/>
        <w:overflowPunct/>
        <w:topLinePunct w:val="0"/>
        <w:bidi w:val="0"/>
        <w:spacing w:before="0" w:after="0" w:line="360" w:lineRule="auto"/>
        <w:rPr>
          <w:rFonts w:hint="eastAsia" w:eastAsia="宋体"/>
          <w:color w:val="auto"/>
          <w:sz w:val="24"/>
          <w:szCs w:val="24"/>
          <w:highlight w:val="none"/>
        </w:rPr>
      </w:pPr>
      <w:bookmarkStart w:id="2" w:name="_Toc104040676"/>
      <w:bookmarkStart w:id="3" w:name="_Toc103216633"/>
      <w:bookmarkStart w:id="4" w:name="_Toc30204"/>
      <w:bookmarkStart w:id="5" w:name="_Toc104040730"/>
      <w:r>
        <w:rPr>
          <w:rFonts w:hint="eastAsia" w:eastAsia="宋体"/>
          <w:color w:val="auto"/>
          <w:sz w:val="24"/>
          <w:szCs w:val="24"/>
          <w:highlight w:val="none"/>
        </w:rPr>
        <w:t>第一章 磋商邀请</w:t>
      </w:r>
      <w:bookmarkEnd w:id="2"/>
      <w:bookmarkEnd w:id="3"/>
      <w:bookmarkEnd w:id="4"/>
      <w:bookmarkEnd w:id="5"/>
    </w:p>
    <w:p w14:paraId="1A45C1BF">
      <w:pPr>
        <w:pStyle w:val="369"/>
        <w:keepNext w:val="0"/>
        <w:keepLines w:val="0"/>
        <w:pageBreakBefore w:val="0"/>
        <w:widowControl w:val="0"/>
        <w:kinsoku/>
        <w:wordWrap/>
        <w:overflowPunct/>
        <w:topLinePunct w:val="0"/>
        <w:autoSpaceDE/>
        <w:autoSpaceDN/>
        <w:bidi w:val="0"/>
        <w:spacing w:line="360" w:lineRule="auto"/>
        <w:rPr>
          <w:rFonts w:hint="eastAsia"/>
          <w:color w:val="auto"/>
          <w:sz w:val="21"/>
          <w:szCs w:val="21"/>
          <w:highlight w:val="none"/>
          <w:lang w:eastAsia="zh-CN"/>
        </w:rPr>
      </w:pPr>
      <w:bookmarkStart w:id="6" w:name="_Toc35342045"/>
      <w:r>
        <w:rPr>
          <w:rFonts w:hint="eastAsia"/>
          <w:color w:val="auto"/>
          <w:sz w:val="21"/>
          <w:szCs w:val="21"/>
          <w:highlight w:val="none"/>
          <w:lang w:eastAsia="zh-CN"/>
        </w:rPr>
        <w:t>项目概况</w:t>
      </w:r>
    </w:p>
    <w:p w14:paraId="1CBDDA08">
      <w:pPr>
        <w:pStyle w:val="369"/>
        <w:keepNext w:val="0"/>
        <w:keepLines w:val="0"/>
        <w:pageBreakBefore w:val="0"/>
        <w:widowControl w:val="0"/>
        <w:kinsoku/>
        <w:wordWrap/>
        <w:overflowPunct/>
        <w:topLinePunct w:val="0"/>
        <w:autoSpaceDE/>
        <w:autoSpaceDN/>
        <w:bidi w:val="0"/>
        <w:spacing w:line="360" w:lineRule="auto"/>
        <w:ind w:firstLine="420" w:firstLineChars="200"/>
        <w:rPr>
          <w:rFonts w:hint="eastAsia"/>
          <w:b w:val="0"/>
          <w:bCs w:val="0"/>
          <w:color w:val="auto"/>
          <w:sz w:val="21"/>
          <w:szCs w:val="21"/>
          <w:highlight w:val="none"/>
          <w:lang w:eastAsia="zh-CN"/>
        </w:rPr>
      </w:pPr>
      <w:r>
        <w:rPr>
          <w:rFonts w:hint="eastAsia"/>
          <w:b w:val="0"/>
          <w:bCs w:val="0"/>
          <w:color w:val="auto"/>
          <w:sz w:val="21"/>
          <w:szCs w:val="21"/>
          <w:highlight w:val="none"/>
          <w:u w:val="single"/>
          <w:lang w:eastAsia="zh-CN"/>
        </w:rPr>
        <w:t>中华人民共和国青茂出入境边防检查站查验设备及后台信息化系统维护保养项目</w:t>
      </w:r>
      <w:r>
        <w:rPr>
          <w:b w:val="0"/>
          <w:bCs w:val="0"/>
          <w:color w:val="auto"/>
          <w:sz w:val="21"/>
          <w:szCs w:val="21"/>
          <w:highlight w:val="none"/>
          <w:u w:val="single"/>
          <w:lang w:eastAsia="zh-CN"/>
        </w:rPr>
        <w:t xml:space="preserve"> </w:t>
      </w:r>
      <w:r>
        <w:rPr>
          <w:b w:val="0"/>
          <w:bCs w:val="0"/>
          <w:color w:val="auto"/>
          <w:sz w:val="21"/>
          <w:szCs w:val="21"/>
          <w:highlight w:val="none"/>
          <w:lang w:eastAsia="zh-CN"/>
        </w:rPr>
        <w:t>的潜在</w:t>
      </w:r>
      <w:r>
        <w:rPr>
          <w:rFonts w:hint="eastAsia"/>
          <w:b w:val="0"/>
          <w:bCs w:val="0"/>
          <w:color w:val="auto"/>
          <w:sz w:val="21"/>
          <w:szCs w:val="21"/>
          <w:highlight w:val="none"/>
          <w:lang w:eastAsia="zh-CN"/>
        </w:rPr>
        <w:t>供应商</w:t>
      </w:r>
      <w:r>
        <w:rPr>
          <w:b w:val="0"/>
          <w:bCs w:val="0"/>
          <w:color w:val="auto"/>
          <w:sz w:val="21"/>
          <w:szCs w:val="21"/>
          <w:highlight w:val="none"/>
          <w:lang w:eastAsia="zh-CN"/>
        </w:rPr>
        <w:t>应在</w:t>
      </w:r>
      <w:r>
        <w:rPr>
          <w:b w:val="0"/>
          <w:bCs w:val="0"/>
          <w:color w:val="auto"/>
          <w:sz w:val="21"/>
          <w:szCs w:val="21"/>
          <w:highlight w:val="none"/>
          <w:u w:val="single"/>
          <w:lang w:eastAsia="zh-CN"/>
        </w:rPr>
        <w:t>诚E招电子采购交易平台（https://www.chengezhao.com/）</w:t>
      </w:r>
      <w:r>
        <w:rPr>
          <w:rFonts w:hint="eastAsia"/>
          <w:b w:val="0"/>
          <w:bCs w:val="0"/>
          <w:color w:val="auto"/>
          <w:sz w:val="21"/>
          <w:szCs w:val="21"/>
          <w:highlight w:val="none"/>
          <w:u w:val="single"/>
          <w:lang w:eastAsia="zh-CN"/>
        </w:rPr>
        <w:t>或公诚管理咨询有限公司</w:t>
      </w:r>
      <w:r>
        <w:rPr>
          <w:b w:val="0"/>
          <w:bCs w:val="0"/>
          <w:color w:val="auto"/>
          <w:sz w:val="21"/>
          <w:szCs w:val="21"/>
          <w:highlight w:val="none"/>
          <w:lang w:eastAsia="zh-CN"/>
        </w:rPr>
        <w:t>获取</w:t>
      </w:r>
      <w:r>
        <w:rPr>
          <w:rFonts w:hint="eastAsia"/>
          <w:b w:val="0"/>
          <w:bCs w:val="0"/>
          <w:color w:val="auto"/>
          <w:sz w:val="21"/>
          <w:szCs w:val="21"/>
          <w:highlight w:val="none"/>
          <w:lang w:eastAsia="zh-CN"/>
        </w:rPr>
        <w:t>采购</w:t>
      </w:r>
      <w:r>
        <w:rPr>
          <w:b w:val="0"/>
          <w:bCs w:val="0"/>
          <w:color w:val="auto"/>
          <w:sz w:val="21"/>
          <w:szCs w:val="21"/>
          <w:highlight w:val="none"/>
          <w:lang w:eastAsia="zh-CN"/>
        </w:rPr>
        <w:t>文件，并于</w:t>
      </w:r>
      <w:r>
        <w:rPr>
          <w:b w:val="0"/>
          <w:bCs w:val="0"/>
          <w:color w:val="auto"/>
          <w:sz w:val="21"/>
          <w:szCs w:val="21"/>
          <w:highlight w:val="none"/>
          <w:u w:val="single"/>
          <w:lang w:eastAsia="zh-CN"/>
        </w:rPr>
        <w:t>20</w:t>
      </w:r>
      <w:r>
        <w:rPr>
          <w:rFonts w:hint="eastAsia"/>
          <w:b w:val="0"/>
          <w:bCs w:val="0"/>
          <w:color w:val="auto"/>
          <w:sz w:val="21"/>
          <w:szCs w:val="21"/>
          <w:highlight w:val="none"/>
          <w:u w:val="single"/>
          <w:lang w:val="en-US" w:eastAsia="zh-CN"/>
        </w:rPr>
        <w:t>25</w:t>
      </w:r>
      <w:r>
        <w:rPr>
          <w:b w:val="0"/>
          <w:bCs w:val="0"/>
          <w:color w:val="auto"/>
          <w:sz w:val="21"/>
          <w:szCs w:val="21"/>
          <w:highlight w:val="none"/>
          <w:u w:val="single"/>
          <w:lang w:eastAsia="zh-CN"/>
        </w:rPr>
        <w:t>年XX月XX日XX点XX分（北京时间）</w:t>
      </w:r>
      <w:r>
        <w:rPr>
          <w:b w:val="0"/>
          <w:bCs w:val="0"/>
          <w:color w:val="auto"/>
          <w:sz w:val="21"/>
          <w:szCs w:val="21"/>
          <w:highlight w:val="none"/>
          <w:lang w:eastAsia="zh-CN"/>
        </w:rPr>
        <w:t>前递交</w:t>
      </w:r>
      <w:r>
        <w:rPr>
          <w:rFonts w:hint="eastAsia"/>
          <w:b w:val="0"/>
          <w:bCs w:val="0"/>
          <w:color w:val="auto"/>
          <w:sz w:val="21"/>
          <w:szCs w:val="21"/>
          <w:highlight w:val="none"/>
          <w:lang w:eastAsia="zh-CN"/>
        </w:rPr>
        <w:t>响应</w:t>
      </w:r>
      <w:r>
        <w:rPr>
          <w:b w:val="0"/>
          <w:bCs w:val="0"/>
          <w:color w:val="auto"/>
          <w:sz w:val="21"/>
          <w:szCs w:val="21"/>
          <w:highlight w:val="none"/>
          <w:lang w:eastAsia="zh-CN"/>
        </w:rPr>
        <w:t>文件。</w:t>
      </w:r>
    </w:p>
    <w:p w14:paraId="74B8CB84">
      <w:pPr>
        <w:pStyle w:val="369"/>
        <w:keepNext w:val="0"/>
        <w:keepLines w:val="0"/>
        <w:pageBreakBefore w:val="0"/>
        <w:widowControl w:val="0"/>
        <w:kinsoku/>
        <w:wordWrap/>
        <w:overflowPunct/>
        <w:topLinePunct w:val="0"/>
        <w:autoSpaceDE/>
        <w:autoSpaceDN/>
        <w:bidi w:val="0"/>
        <w:spacing w:line="360" w:lineRule="auto"/>
        <w:outlineLvl w:val="1"/>
        <w:rPr>
          <w:rFonts w:hint="eastAsia"/>
          <w:color w:val="auto"/>
          <w:sz w:val="21"/>
          <w:szCs w:val="21"/>
          <w:highlight w:val="none"/>
          <w:lang w:eastAsia="zh-CN"/>
        </w:rPr>
      </w:pPr>
      <w:bookmarkStart w:id="7" w:name="_Toc112002500"/>
      <w:bookmarkStart w:id="8" w:name="_Toc104131883"/>
      <w:bookmarkStart w:id="9" w:name="_Toc12404"/>
      <w:r>
        <w:rPr>
          <w:rFonts w:hint="eastAsia"/>
          <w:color w:val="auto"/>
          <w:sz w:val="21"/>
          <w:szCs w:val="21"/>
          <w:highlight w:val="none"/>
          <w:lang w:eastAsia="zh-CN"/>
        </w:rPr>
        <w:t>一、项目基本情况</w:t>
      </w:r>
      <w:bookmarkEnd w:id="7"/>
      <w:bookmarkEnd w:id="8"/>
      <w:bookmarkEnd w:id="9"/>
    </w:p>
    <w:p w14:paraId="090020C9">
      <w:pPr>
        <w:keepNext w:val="0"/>
        <w:keepLines w:val="0"/>
        <w:pageBreakBefore w:val="0"/>
        <w:widowControl w:val="0"/>
        <w:kinsoku/>
        <w:wordWrap/>
        <w:overflowPunct/>
        <w:topLinePunct w:val="0"/>
        <w:bidi w:val="0"/>
        <w:spacing w:line="360" w:lineRule="auto"/>
        <w:ind w:firstLine="420" w:firstLineChars="200"/>
        <w:rPr>
          <w:rFonts w:hint="eastAsia" w:eastAsia="宋体"/>
          <w:color w:val="auto"/>
          <w:szCs w:val="21"/>
          <w:highlight w:val="none"/>
          <w:lang w:eastAsia="zh-CN"/>
        </w:rPr>
      </w:pPr>
      <w:r>
        <w:rPr>
          <w:rFonts w:hint="eastAsia"/>
          <w:color w:val="auto"/>
          <w:szCs w:val="21"/>
          <w:highlight w:val="none"/>
        </w:rPr>
        <w:t>项目编号：</w:t>
      </w:r>
      <w:r>
        <w:rPr>
          <w:rFonts w:hint="eastAsia"/>
          <w:color w:val="auto"/>
          <w:szCs w:val="21"/>
          <w:highlight w:val="none"/>
          <w:lang w:eastAsia="zh-CN"/>
        </w:rPr>
        <w:t>07-08-04F-2025-D-F-E13027</w:t>
      </w:r>
    </w:p>
    <w:p w14:paraId="0C7EE784">
      <w:pPr>
        <w:keepNext w:val="0"/>
        <w:keepLines w:val="0"/>
        <w:pageBreakBefore w:val="0"/>
        <w:widowControl w:val="0"/>
        <w:kinsoku/>
        <w:wordWrap/>
        <w:overflowPunct/>
        <w:topLinePunct w:val="0"/>
        <w:bidi w:val="0"/>
        <w:spacing w:line="360" w:lineRule="auto"/>
        <w:ind w:firstLine="420" w:firstLineChars="200"/>
        <w:rPr>
          <w:rFonts w:hint="eastAsia" w:eastAsia="宋体"/>
          <w:color w:val="auto"/>
          <w:szCs w:val="21"/>
          <w:highlight w:val="none"/>
          <w:lang w:eastAsia="zh-CN"/>
        </w:rPr>
      </w:pPr>
      <w:r>
        <w:rPr>
          <w:rFonts w:hint="eastAsia"/>
          <w:color w:val="auto"/>
          <w:szCs w:val="21"/>
          <w:highlight w:val="none"/>
        </w:rPr>
        <w:t>项目名称：</w:t>
      </w:r>
      <w:r>
        <w:rPr>
          <w:rFonts w:hint="eastAsia"/>
          <w:color w:val="auto"/>
          <w:szCs w:val="21"/>
          <w:highlight w:val="none"/>
          <w:lang w:eastAsia="zh-CN"/>
        </w:rPr>
        <w:t>中华人民共和国青茂出入境边防检查站查验设备及后台信息化系统维护保养项目</w:t>
      </w:r>
    </w:p>
    <w:p w14:paraId="44DBFD54">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采购方</w:t>
      </w:r>
      <w:r>
        <w:rPr>
          <w:rFonts w:hint="eastAsia"/>
          <w:color w:val="auto"/>
          <w:szCs w:val="21"/>
          <w:highlight w:val="none"/>
        </w:rPr>
        <w:t>式：竞争性磋商</w:t>
      </w:r>
    </w:p>
    <w:p w14:paraId="2AE5246F">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预算金额：</w:t>
      </w:r>
      <w:r>
        <w:rPr>
          <w:rFonts w:hint="eastAsia"/>
          <w:color w:val="auto"/>
          <w:szCs w:val="21"/>
          <w:highlight w:val="none"/>
          <w:lang w:val="en-US" w:eastAsia="zh-CN"/>
        </w:rPr>
        <w:t>681420.00</w:t>
      </w:r>
      <w:r>
        <w:rPr>
          <w:color w:val="auto"/>
          <w:szCs w:val="21"/>
          <w:highlight w:val="none"/>
        </w:rPr>
        <w:t>元（人民币）</w:t>
      </w:r>
    </w:p>
    <w:p w14:paraId="226880C0">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最高限价</w:t>
      </w:r>
    </w:p>
    <w:p w14:paraId="79213C46">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lang w:val="en-US" w:eastAsia="zh-CN"/>
        </w:rPr>
        <w:t>采购包1</w:t>
      </w:r>
      <w:r>
        <w:rPr>
          <w:rFonts w:hint="eastAsia"/>
          <w:color w:val="auto"/>
          <w:szCs w:val="21"/>
          <w:highlight w:val="none"/>
        </w:rPr>
        <w:t>：</w:t>
      </w:r>
      <w:r>
        <w:rPr>
          <w:rFonts w:hint="eastAsia"/>
          <w:color w:val="auto"/>
          <w:szCs w:val="21"/>
          <w:highlight w:val="none"/>
          <w:lang w:val="en-US" w:eastAsia="zh-CN"/>
        </w:rPr>
        <w:t>350000.00</w:t>
      </w:r>
      <w:r>
        <w:rPr>
          <w:color w:val="auto"/>
          <w:szCs w:val="21"/>
          <w:highlight w:val="none"/>
        </w:rPr>
        <w:t>元（人民币）</w:t>
      </w:r>
    </w:p>
    <w:p w14:paraId="303C4583">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bookmarkStart w:id="10" w:name="_Hlk70530579"/>
      <w:r>
        <w:rPr>
          <w:rFonts w:hint="eastAsia"/>
          <w:color w:val="auto"/>
          <w:szCs w:val="21"/>
          <w:highlight w:val="none"/>
          <w:lang w:val="en-US" w:eastAsia="zh-CN"/>
        </w:rPr>
        <w:t>采购包2</w:t>
      </w:r>
      <w:r>
        <w:rPr>
          <w:rFonts w:hint="eastAsia"/>
          <w:color w:val="auto"/>
          <w:szCs w:val="21"/>
          <w:highlight w:val="none"/>
        </w:rPr>
        <w:t>：</w:t>
      </w:r>
      <w:r>
        <w:rPr>
          <w:rFonts w:hint="eastAsia"/>
          <w:color w:val="auto"/>
          <w:szCs w:val="21"/>
          <w:highlight w:val="none"/>
          <w:lang w:val="en-US" w:eastAsia="zh-CN"/>
        </w:rPr>
        <w:t>331420.00</w:t>
      </w:r>
      <w:r>
        <w:rPr>
          <w:color w:val="auto"/>
          <w:szCs w:val="21"/>
          <w:highlight w:val="none"/>
        </w:rPr>
        <w:t>元（人民币）</w:t>
      </w:r>
    </w:p>
    <w:p w14:paraId="08D8DA05">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采购需求</w:t>
      </w:r>
      <w:bookmarkEnd w:id="10"/>
      <w:r>
        <w:rPr>
          <w:rFonts w:hint="eastAsia"/>
          <w:color w:val="auto"/>
          <w:szCs w:val="21"/>
          <w:highlight w:val="none"/>
        </w:rPr>
        <w:t>：</w:t>
      </w:r>
    </w:p>
    <w:p w14:paraId="63143232">
      <w:pPr>
        <w:pStyle w:val="45"/>
        <w:keepNext w:val="0"/>
        <w:keepLines w:val="0"/>
        <w:pageBreakBefore w:val="0"/>
        <w:widowControl w:val="0"/>
        <w:kinsoku/>
        <w:wordWrap/>
        <w:overflowPunct/>
        <w:topLinePunct w:val="0"/>
        <w:bidi w:val="0"/>
        <w:spacing w:after="0" w:line="360" w:lineRule="auto"/>
        <w:ind w:left="0" w:leftChars="0"/>
        <w:outlineLvl w:val="1"/>
        <w:rPr>
          <w:rFonts w:hint="eastAsia" w:ascii="宋体" w:hAnsi="宋体" w:eastAsia="宋体" w:cs="宋体"/>
          <w:b/>
          <w:bCs/>
          <w:color w:val="auto"/>
          <w:kern w:val="21"/>
          <w:szCs w:val="21"/>
          <w:highlight w:val="none"/>
          <w:lang w:eastAsia="zh-CN"/>
        </w:rPr>
      </w:pPr>
      <w:bookmarkStart w:id="11" w:name="_Toc28898"/>
      <w:bookmarkStart w:id="12" w:name="_Toc26271"/>
      <w:r>
        <w:rPr>
          <w:rFonts w:hint="eastAsia" w:ascii="宋体" w:hAnsi="宋体" w:eastAsia="宋体" w:cs="宋体"/>
          <w:b/>
          <w:bCs/>
          <w:color w:val="auto"/>
          <w:kern w:val="21"/>
          <w:szCs w:val="21"/>
          <w:highlight w:val="none"/>
          <w:lang w:eastAsia="zh-CN"/>
        </w:rPr>
        <w:t>采购包1（查验设施设备保养维护）：</w:t>
      </w:r>
      <w:bookmarkEnd w:id="11"/>
      <w:bookmarkEnd w:id="12"/>
    </w:p>
    <w:p w14:paraId="28200261">
      <w:pPr>
        <w:pStyle w:val="45"/>
        <w:keepNext w:val="0"/>
        <w:keepLines w:val="0"/>
        <w:pageBreakBefore w:val="0"/>
        <w:widowControl w:val="0"/>
        <w:kinsoku/>
        <w:wordWrap/>
        <w:overflowPunct/>
        <w:topLinePunct w:val="0"/>
        <w:bidi w:val="0"/>
        <w:spacing w:after="0" w:line="360" w:lineRule="auto"/>
        <w:ind w:left="0" w:leftChars="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1.标的名称：查验设施设备保养维护</w:t>
      </w:r>
    </w:p>
    <w:p w14:paraId="74A51C44">
      <w:pPr>
        <w:pStyle w:val="45"/>
        <w:keepNext w:val="0"/>
        <w:keepLines w:val="0"/>
        <w:pageBreakBefore w:val="0"/>
        <w:widowControl w:val="0"/>
        <w:kinsoku/>
        <w:wordWrap/>
        <w:overflowPunct/>
        <w:topLinePunct w:val="0"/>
        <w:bidi w:val="0"/>
        <w:spacing w:after="0" w:line="360" w:lineRule="auto"/>
        <w:ind w:left="0"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2.标的数量：1项</w:t>
      </w:r>
    </w:p>
    <w:p w14:paraId="12210207">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ascii="宋体" w:hAnsi="宋体" w:eastAsia="宋体" w:cs="宋体"/>
          <w:color w:val="auto"/>
          <w:szCs w:val="21"/>
          <w:highlight w:val="none"/>
        </w:rPr>
        <w:t>3.简要技术需求或服务要求：实现青茂口岸珠海侧边检通关区域内快捷查验通道（100条）及人工查验通道（16条）系统设施设备（包含学童通道及学童通道监管平台、防尾随设备、LED条屏、补光灯等通道查验相关所有前后台设备）的正常稳定运行，详细</w:t>
      </w:r>
      <w:r>
        <w:rPr>
          <w:rFonts w:hint="eastAsia"/>
          <w:color w:val="auto"/>
          <w:szCs w:val="21"/>
          <w:highlight w:val="none"/>
        </w:rPr>
        <w:t>要求见采购需求</w:t>
      </w:r>
      <w:r>
        <w:rPr>
          <w:color w:val="auto"/>
          <w:szCs w:val="21"/>
          <w:highlight w:val="none"/>
        </w:rPr>
        <w:t>。</w:t>
      </w:r>
    </w:p>
    <w:p w14:paraId="20BC01A8">
      <w:pPr>
        <w:pStyle w:val="45"/>
        <w:keepNext w:val="0"/>
        <w:keepLines w:val="0"/>
        <w:pageBreakBefore w:val="0"/>
        <w:widowControl w:val="0"/>
        <w:kinsoku/>
        <w:wordWrap/>
        <w:overflowPunct/>
        <w:topLinePunct w:val="0"/>
        <w:bidi w:val="0"/>
        <w:spacing w:after="0" w:line="360" w:lineRule="auto"/>
        <w:ind w:left="0" w:leftChars="0"/>
        <w:outlineLvl w:val="1"/>
        <w:rPr>
          <w:rFonts w:hint="eastAsia" w:ascii="宋体" w:hAnsi="宋体" w:eastAsia="宋体" w:cs="宋体"/>
          <w:b/>
          <w:bCs/>
          <w:color w:val="auto"/>
          <w:kern w:val="21"/>
          <w:szCs w:val="21"/>
          <w:highlight w:val="none"/>
          <w:lang w:eastAsia="zh-CN"/>
        </w:rPr>
      </w:pPr>
      <w:bookmarkStart w:id="13" w:name="_Toc8328"/>
      <w:r>
        <w:rPr>
          <w:rFonts w:hint="eastAsia" w:ascii="宋体" w:hAnsi="宋体" w:eastAsia="宋体" w:cs="宋体"/>
          <w:b/>
          <w:bCs/>
          <w:color w:val="auto"/>
          <w:kern w:val="21"/>
          <w:szCs w:val="21"/>
          <w:highlight w:val="none"/>
          <w:lang w:eastAsia="zh-CN"/>
        </w:rPr>
        <w:t>采购包</w:t>
      </w:r>
      <w:r>
        <w:rPr>
          <w:rFonts w:hint="eastAsia" w:ascii="宋体" w:hAnsi="宋体" w:eastAsia="宋体" w:cs="宋体"/>
          <w:b/>
          <w:bCs/>
          <w:color w:val="auto"/>
          <w:kern w:val="21"/>
          <w:szCs w:val="21"/>
          <w:highlight w:val="none"/>
          <w:lang w:val="en-US" w:eastAsia="zh-CN"/>
        </w:rPr>
        <w:t>2</w:t>
      </w:r>
      <w:r>
        <w:rPr>
          <w:rFonts w:hint="eastAsia" w:ascii="宋体" w:hAnsi="宋体" w:eastAsia="宋体" w:cs="宋体"/>
          <w:b/>
          <w:bCs/>
          <w:color w:val="auto"/>
          <w:kern w:val="21"/>
          <w:szCs w:val="21"/>
          <w:highlight w:val="none"/>
          <w:lang w:eastAsia="zh-CN"/>
        </w:rPr>
        <w:t>（信息化系统设备保养维护）：</w:t>
      </w:r>
      <w:bookmarkEnd w:id="13"/>
    </w:p>
    <w:p w14:paraId="5440AABF">
      <w:pPr>
        <w:pStyle w:val="45"/>
        <w:keepNext w:val="0"/>
        <w:keepLines w:val="0"/>
        <w:pageBreakBefore w:val="0"/>
        <w:widowControl w:val="0"/>
        <w:kinsoku/>
        <w:wordWrap/>
        <w:overflowPunct/>
        <w:topLinePunct w:val="0"/>
        <w:bidi w:val="0"/>
        <w:spacing w:after="0" w:line="360" w:lineRule="auto"/>
        <w:ind w:left="0" w:leftChars="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1.标的名称：信息化系统设备保养维护</w:t>
      </w:r>
    </w:p>
    <w:p w14:paraId="0B7B0689">
      <w:pPr>
        <w:pStyle w:val="45"/>
        <w:keepNext w:val="0"/>
        <w:keepLines w:val="0"/>
        <w:pageBreakBefore w:val="0"/>
        <w:widowControl w:val="0"/>
        <w:kinsoku/>
        <w:wordWrap/>
        <w:overflowPunct/>
        <w:topLinePunct w:val="0"/>
        <w:bidi w:val="0"/>
        <w:spacing w:after="0" w:line="360" w:lineRule="auto"/>
        <w:ind w:left="0"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2.标的数量：1项</w:t>
      </w:r>
    </w:p>
    <w:p w14:paraId="657CD277">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ascii="宋体" w:hAnsi="宋体" w:eastAsia="宋体" w:cs="宋体"/>
          <w:color w:val="auto"/>
          <w:szCs w:val="21"/>
          <w:highlight w:val="none"/>
        </w:rPr>
        <w:t>3.简要技术需求或服务要求：保证青茂边检梅沙查验系统（后台）、视频监控系统、视频会议系统及配套设施设备，及青茂边检所属UPS供配电系统、机房空调系统、弱电信息化系统（含信息发布系统、机房动力环境系统、联动报警系统等7套信息化系统）7*24小时持续稳定正常运行，详细</w:t>
      </w:r>
      <w:r>
        <w:rPr>
          <w:rFonts w:hint="eastAsia"/>
          <w:color w:val="auto"/>
          <w:szCs w:val="21"/>
          <w:highlight w:val="none"/>
        </w:rPr>
        <w:t>要求见采购需求</w:t>
      </w:r>
      <w:r>
        <w:rPr>
          <w:color w:val="auto"/>
          <w:szCs w:val="21"/>
          <w:highlight w:val="none"/>
        </w:rPr>
        <w:t>。</w:t>
      </w:r>
    </w:p>
    <w:p w14:paraId="06D538F4">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合同履行期限：合同签定前提前5个工作日派人到现场熟悉工作环境并做好维护工作交接，合同签订之日起正式入驻，按要求提供12个月现场维保服务。</w:t>
      </w:r>
    </w:p>
    <w:p w14:paraId="5B651BDF">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本项目不接受联合体响应。</w:t>
      </w:r>
    </w:p>
    <w:p w14:paraId="766D343B">
      <w:pPr>
        <w:pStyle w:val="369"/>
        <w:keepNext w:val="0"/>
        <w:keepLines w:val="0"/>
        <w:pageBreakBefore w:val="0"/>
        <w:widowControl w:val="0"/>
        <w:kinsoku/>
        <w:wordWrap/>
        <w:overflowPunct/>
        <w:topLinePunct w:val="0"/>
        <w:autoSpaceDE/>
        <w:autoSpaceDN/>
        <w:bidi w:val="0"/>
        <w:spacing w:line="360" w:lineRule="auto"/>
        <w:outlineLvl w:val="1"/>
        <w:rPr>
          <w:rFonts w:hint="eastAsia"/>
          <w:color w:val="auto"/>
          <w:sz w:val="21"/>
          <w:szCs w:val="21"/>
          <w:highlight w:val="none"/>
          <w:lang w:eastAsia="zh-CN"/>
        </w:rPr>
      </w:pPr>
      <w:bookmarkStart w:id="14" w:name="_Toc15733"/>
      <w:bookmarkStart w:id="15" w:name="_Toc104131884"/>
      <w:bookmarkStart w:id="16" w:name="_Toc112002501"/>
      <w:r>
        <w:rPr>
          <w:rFonts w:hint="eastAsia"/>
          <w:color w:val="auto"/>
          <w:sz w:val="21"/>
          <w:szCs w:val="21"/>
          <w:highlight w:val="none"/>
          <w:lang w:eastAsia="zh-CN"/>
        </w:rPr>
        <w:t>二、申请人的资格要求</w:t>
      </w:r>
      <w:bookmarkEnd w:id="14"/>
      <w:bookmarkEnd w:id="15"/>
      <w:bookmarkEnd w:id="16"/>
    </w:p>
    <w:p w14:paraId="3BB6DA6B">
      <w:pPr>
        <w:keepNext w:val="0"/>
        <w:keepLines w:val="0"/>
        <w:pageBreakBefore w:val="0"/>
        <w:widowControl w:val="0"/>
        <w:kinsoku/>
        <w:wordWrap/>
        <w:overflowPunct/>
        <w:topLinePunct w:val="0"/>
        <w:bidi w:val="0"/>
        <w:spacing w:line="360" w:lineRule="auto"/>
        <w:ind w:firstLine="422" w:firstLineChars="200"/>
        <w:rPr>
          <w:rFonts w:hint="eastAsia"/>
          <w:b/>
          <w:bCs/>
          <w:color w:val="auto"/>
          <w:szCs w:val="21"/>
          <w:highlight w:val="none"/>
        </w:rPr>
      </w:pPr>
      <w:r>
        <w:rPr>
          <w:b/>
          <w:bCs/>
          <w:color w:val="auto"/>
          <w:szCs w:val="21"/>
          <w:highlight w:val="none"/>
        </w:rPr>
        <w:t>1.满足《中华人民共和国政府采购法》第二十二条规定</w:t>
      </w:r>
      <w:r>
        <w:rPr>
          <w:rFonts w:hint="eastAsia"/>
          <w:b/>
          <w:bCs/>
          <w:color w:val="auto"/>
          <w:szCs w:val="21"/>
          <w:highlight w:val="none"/>
        </w:rPr>
        <w:t>，提供下列材料</w:t>
      </w:r>
      <w:r>
        <w:rPr>
          <w:b/>
          <w:bCs/>
          <w:color w:val="auto"/>
          <w:szCs w:val="21"/>
          <w:highlight w:val="none"/>
        </w:rPr>
        <w:t>：</w:t>
      </w:r>
    </w:p>
    <w:p w14:paraId="6F1B35F9">
      <w:pPr>
        <w:pStyle w:val="126"/>
        <w:keepNext w:val="0"/>
        <w:keepLines w:val="0"/>
        <w:pageBreakBefore w:val="0"/>
        <w:widowControl w:val="0"/>
        <w:kinsoku/>
        <w:wordWrap/>
        <w:overflowPunct/>
        <w:topLinePunct w:val="0"/>
        <w:bidi w:val="0"/>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（1）具有独立承担民事责任的能力：</w:t>
      </w:r>
      <w:bookmarkStart w:id="17" w:name="_Hlk104022700"/>
      <w:r>
        <w:rPr>
          <w:rFonts w:hint="eastAsia" w:ascii="宋体" w:hAnsi="宋体"/>
          <w:color w:val="auto"/>
          <w:szCs w:val="21"/>
          <w:highlight w:val="none"/>
          <w:lang w:eastAsia="zh-CN"/>
        </w:rPr>
        <w:t>在中华人民共和国境内注册的法人或其他组织或自然人，</w:t>
      </w:r>
      <w:r>
        <w:rPr>
          <w:rFonts w:hint="eastAsia"/>
          <w:color w:val="auto"/>
          <w:szCs w:val="21"/>
          <w:highlight w:val="none"/>
          <w:lang w:eastAsia="zh-CN"/>
        </w:rPr>
        <w:t>响应文件中须提供</w:t>
      </w:r>
      <w:r>
        <w:rPr>
          <w:rFonts w:hint="eastAsia" w:ascii="宋体" w:hAnsi="宋体"/>
          <w:color w:val="auto"/>
          <w:szCs w:val="21"/>
          <w:highlight w:val="none"/>
          <w:lang w:eastAsia="zh-CN"/>
        </w:rPr>
        <w:t>有效的营业执照（或事业法人登记证或身份证等相关证明）</w:t>
      </w:r>
      <w:r>
        <w:rPr>
          <w:rFonts w:hint="eastAsia"/>
          <w:color w:val="auto"/>
          <w:szCs w:val="21"/>
          <w:highlight w:val="none"/>
          <w:lang w:eastAsia="zh-CN"/>
        </w:rPr>
        <w:t>复印件</w:t>
      </w:r>
      <w:r>
        <w:rPr>
          <w:rFonts w:hint="eastAsia" w:ascii="宋体" w:hAnsi="宋体"/>
          <w:color w:val="auto"/>
          <w:szCs w:val="21"/>
          <w:highlight w:val="none"/>
          <w:lang w:eastAsia="zh-CN"/>
        </w:rPr>
        <w:t>。分支机构响应的，</w:t>
      </w:r>
      <w:r>
        <w:rPr>
          <w:rFonts w:hint="eastAsia"/>
          <w:color w:val="auto"/>
          <w:szCs w:val="21"/>
          <w:highlight w:val="none"/>
          <w:lang w:eastAsia="zh-CN"/>
        </w:rPr>
        <w:t>响应文件中须</w:t>
      </w:r>
      <w:r>
        <w:rPr>
          <w:rFonts w:hint="eastAsia" w:ascii="宋体" w:hAnsi="宋体"/>
          <w:color w:val="auto"/>
          <w:szCs w:val="21"/>
          <w:highlight w:val="none"/>
          <w:lang w:eastAsia="zh-CN"/>
        </w:rPr>
        <w:t>提供总公司和分公司营业执照</w:t>
      </w:r>
      <w:r>
        <w:rPr>
          <w:rFonts w:hint="eastAsia"/>
          <w:color w:val="auto"/>
          <w:szCs w:val="21"/>
          <w:highlight w:val="none"/>
          <w:lang w:eastAsia="zh-CN"/>
        </w:rPr>
        <w:t>复印件</w:t>
      </w:r>
      <w:r>
        <w:rPr>
          <w:rFonts w:hint="eastAsia" w:ascii="宋体" w:hAnsi="宋体"/>
          <w:color w:val="auto"/>
          <w:szCs w:val="21"/>
          <w:highlight w:val="none"/>
          <w:lang w:eastAsia="zh-CN"/>
        </w:rPr>
        <w:t>，总公司出具给分支机构的授权书</w:t>
      </w:r>
      <w:bookmarkEnd w:id="17"/>
      <w:r>
        <w:rPr>
          <w:rFonts w:hint="eastAsia" w:ascii="宋体" w:hAnsi="宋体"/>
          <w:color w:val="auto"/>
          <w:szCs w:val="21"/>
          <w:highlight w:val="none"/>
          <w:lang w:eastAsia="zh-CN"/>
        </w:rPr>
        <w:t>。</w:t>
      </w:r>
    </w:p>
    <w:p w14:paraId="7445EDFD">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（2）有依法缴纳税收和社会保障资金的良好记录：</w:t>
      </w:r>
      <w:bookmarkStart w:id="18" w:name="_Hlk104022718"/>
      <w:r>
        <w:rPr>
          <w:rFonts w:hint="eastAsia"/>
          <w:color w:val="auto"/>
          <w:szCs w:val="21"/>
          <w:highlight w:val="none"/>
        </w:rPr>
        <w:t>响应文件中须提供</w:t>
      </w:r>
      <w:r>
        <w:rPr>
          <w:color w:val="auto"/>
          <w:szCs w:val="21"/>
          <w:highlight w:val="none"/>
        </w:rPr>
        <w:t>20</w:t>
      </w:r>
      <w:r>
        <w:rPr>
          <w:rFonts w:hint="eastAsia"/>
          <w:color w:val="auto"/>
          <w:szCs w:val="21"/>
          <w:highlight w:val="none"/>
          <w:lang w:val="en-US" w:eastAsia="zh-CN"/>
        </w:rPr>
        <w:t>25</w:t>
      </w:r>
      <w:r>
        <w:rPr>
          <w:color w:val="auto"/>
          <w:szCs w:val="21"/>
          <w:highlight w:val="none"/>
        </w:rPr>
        <w:t>年</w:t>
      </w:r>
      <w:r>
        <w:rPr>
          <w:rFonts w:hint="eastAsia"/>
          <w:color w:val="auto"/>
          <w:szCs w:val="21"/>
          <w:highlight w:val="none"/>
          <w:lang w:val="en-US" w:eastAsia="zh-CN"/>
        </w:rPr>
        <w:t>01</w:t>
      </w:r>
      <w:r>
        <w:rPr>
          <w:color w:val="auto"/>
          <w:szCs w:val="21"/>
          <w:highlight w:val="none"/>
        </w:rPr>
        <w:t>月至今任意1个月依法缴纳税收和社会保障资金的相关材料。如依法免税或不需要缴纳社会保障资金的，提供相应证明材料</w:t>
      </w:r>
      <w:bookmarkEnd w:id="18"/>
      <w:r>
        <w:rPr>
          <w:rFonts w:hint="eastAsia"/>
          <w:color w:val="auto"/>
          <w:szCs w:val="21"/>
          <w:highlight w:val="none"/>
        </w:rPr>
        <w:t>。</w:t>
      </w:r>
    </w:p>
    <w:p w14:paraId="48C8EFBD">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（3）具有良好的商业信誉和健全的财务会计制度：</w:t>
      </w:r>
      <w:bookmarkStart w:id="19" w:name="_Hlk131283906"/>
      <w:bookmarkStart w:id="20" w:name="_Hlk104022851"/>
      <w:r>
        <w:rPr>
          <w:rFonts w:hint="eastAsia"/>
          <w:color w:val="auto"/>
          <w:szCs w:val="21"/>
          <w:highlight w:val="none"/>
        </w:rPr>
        <w:t>响应文件中须提供</w:t>
      </w:r>
      <w:bookmarkEnd w:id="19"/>
      <w:r>
        <w:rPr>
          <w:color w:val="auto"/>
          <w:szCs w:val="21"/>
          <w:highlight w:val="none"/>
        </w:rPr>
        <w:t>20</w:t>
      </w:r>
      <w:r>
        <w:rPr>
          <w:rFonts w:hint="eastAsia"/>
          <w:color w:val="auto"/>
          <w:szCs w:val="21"/>
          <w:highlight w:val="none"/>
          <w:lang w:val="en-US" w:eastAsia="zh-CN"/>
        </w:rPr>
        <w:t>24</w:t>
      </w:r>
      <w:r>
        <w:rPr>
          <w:color w:val="auto"/>
          <w:szCs w:val="21"/>
          <w:highlight w:val="none"/>
        </w:rPr>
        <w:t>年度经审计的财务状况报告，或20</w:t>
      </w:r>
      <w:r>
        <w:rPr>
          <w:rFonts w:hint="eastAsia"/>
          <w:color w:val="auto"/>
          <w:szCs w:val="21"/>
          <w:highlight w:val="none"/>
          <w:lang w:val="en-US" w:eastAsia="zh-CN"/>
        </w:rPr>
        <w:t>25</w:t>
      </w:r>
      <w:r>
        <w:rPr>
          <w:color w:val="auto"/>
          <w:szCs w:val="21"/>
          <w:highlight w:val="none"/>
        </w:rPr>
        <w:t>年</w:t>
      </w:r>
      <w:r>
        <w:rPr>
          <w:rFonts w:hint="eastAsia"/>
          <w:color w:val="auto"/>
          <w:szCs w:val="21"/>
          <w:highlight w:val="none"/>
          <w:lang w:val="en-US" w:eastAsia="zh-CN"/>
        </w:rPr>
        <w:t>01</w:t>
      </w:r>
      <w:r>
        <w:rPr>
          <w:color w:val="auto"/>
          <w:szCs w:val="21"/>
          <w:highlight w:val="none"/>
        </w:rPr>
        <w:t>月至今任意1个月的会计报表，或银行出具的资信证明</w:t>
      </w:r>
      <w:bookmarkEnd w:id="20"/>
      <w:r>
        <w:rPr>
          <w:rFonts w:hint="eastAsia"/>
          <w:color w:val="auto"/>
          <w:szCs w:val="21"/>
          <w:highlight w:val="none"/>
        </w:rPr>
        <w:t>（资信证明应在有效期内；未注明有效期的，银行出具时间至提交响应文件截止时间不超过一年）。</w:t>
      </w:r>
    </w:p>
    <w:p w14:paraId="38FAA7DF">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（4）履行合同所必需的设备和专业技术能力：</w:t>
      </w:r>
      <w:bookmarkStart w:id="21" w:name="_Hlk175757085"/>
      <w:r>
        <w:rPr>
          <w:rFonts w:hint="eastAsia"/>
          <w:color w:val="auto"/>
          <w:szCs w:val="21"/>
          <w:highlight w:val="none"/>
        </w:rPr>
        <w:t>响应文件中须</w:t>
      </w:r>
      <w:bookmarkEnd w:id="21"/>
      <w:r>
        <w:rPr>
          <w:rFonts w:hint="eastAsia"/>
          <w:color w:val="auto"/>
          <w:szCs w:val="21"/>
          <w:highlight w:val="none"/>
        </w:rPr>
        <w:t>提供设备和专业技术能力情况表。</w:t>
      </w:r>
    </w:p>
    <w:p w14:paraId="2BADF9D6">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5）参加采购活动前3年内，在经营活动中没有重大违法记录：在《响应承诺函》中进行相关申明。重大违法记录，是指供应商因违法经营受到刑事处罚或者责令停产停业、吊销许可证或者执照、较大数额罚款等行政处罚。（根据财库〔</w:t>
      </w:r>
      <w:r>
        <w:rPr>
          <w:color w:val="auto"/>
          <w:szCs w:val="21"/>
          <w:highlight w:val="none"/>
        </w:rPr>
        <w:t>2022〕3号文，“较大数额罚款”认定为200万元以上的罚款，法律、行政法规以及国务院有关部门明确规定相关领域“较大数额罚款”标准高于200万元的，从其规定。</w:t>
      </w:r>
      <w:r>
        <w:rPr>
          <w:rFonts w:hint="eastAsia"/>
          <w:color w:val="auto"/>
          <w:szCs w:val="21"/>
          <w:highlight w:val="none"/>
        </w:rPr>
        <w:t>）</w:t>
      </w:r>
    </w:p>
    <w:p w14:paraId="659F31CD">
      <w:pPr>
        <w:keepNext w:val="0"/>
        <w:keepLines w:val="0"/>
        <w:pageBreakBefore w:val="0"/>
        <w:widowControl w:val="0"/>
        <w:kinsoku/>
        <w:wordWrap/>
        <w:overflowPunct/>
        <w:topLinePunct w:val="0"/>
        <w:bidi w:val="0"/>
        <w:spacing w:line="360" w:lineRule="auto"/>
        <w:ind w:firstLine="422" w:firstLineChars="200"/>
        <w:rPr>
          <w:rFonts w:hint="eastAsia"/>
          <w:b/>
          <w:bCs/>
          <w:color w:val="auto"/>
          <w:szCs w:val="21"/>
          <w:highlight w:val="none"/>
        </w:rPr>
      </w:pPr>
      <w:r>
        <w:rPr>
          <w:b/>
          <w:bCs/>
          <w:color w:val="auto"/>
          <w:szCs w:val="21"/>
          <w:highlight w:val="none"/>
        </w:rPr>
        <w:t>2.落实政府采购政策</w:t>
      </w:r>
      <w:r>
        <w:rPr>
          <w:b/>
          <w:bCs/>
          <w:color w:val="auto"/>
          <w:szCs w:val="21"/>
          <w:highlight w:val="none"/>
        </w:rPr>
        <w:t>需满足的资格要求：</w:t>
      </w:r>
    </w:p>
    <w:p w14:paraId="73392733">
      <w:pPr>
        <w:keepNext w:val="0"/>
        <w:keepLines w:val="0"/>
        <w:pageBreakBefore w:val="0"/>
        <w:widowControl w:val="0"/>
        <w:shd w:val="clear" w:color="auto" w:fill="FFFFFF"/>
        <w:kinsoku/>
        <w:wordWrap/>
        <w:overflowPunct/>
        <w:topLinePunct w:val="0"/>
        <w:bidi w:val="0"/>
        <w:spacing w:line="360" w:lineRule="auto"/>
        <w:ind w:firstLine="420" w:firstLineChars="200"/>
        <w:rPr>
          <w:color w:val="auto"/>
          <w:highlight w:val="none"/>
        </w:rPr>
      </w:pPr>
      <w:r>
        <w:rPr>
          <w:rFonts w:hint="eastAsia"/>
          <w:color w:val="auto"/>
          <w:highlight w:val="none"/>
          <w:lang w:eastAsia="zh-CN"/>
        </w:rPr>
        <w:t>本</w:t>
      </w:r>
      <w:r>
        <w:rPr>
          <w:rFonts w:hint="eastAsia"/>
          <w:color w:val="auto"/>
          <w:highlight w:val="none"/>
          <w:lang w:val="en-US" w:eastAsia="zh-CN"/>
        </w:rPr>
        <w:t>项目</w:t>
      </w:r>
      <w:r>
        <w:rPr>
          <w:rFonts w:hint="eastAsia"/>
          <w:color w:val="auto"/>
          <w:highlight w:val="none"/>
          <w:lang w:eastAsia="zh-CN"/>
        </w:rPr>
        <w:t>不专门面向中小企业采购</w:t>
      </w:r>
      <w:r>
        <w:rPr>
          <w:color w:val="auto"/>
          <w:highlight w:val="none"/>
        </w:rPr>
        <w:t>。</w:t>
      </w:r>
    </w:p>
    <w:p w14:paraId="2A544BAA">
      <w:pPr>
        <w:keepNext w:val="0"/>
        <w:keepLines w:val="0"/>
        <w:pageBreakBefore w:val="0"/>
        <w:widowControl w:val="0"/>
        <w:shd w:val="clear" w:color="auto" w:fill="FFFFFF"/>
        <w:kinsoku/>
        <w:wordWrap/>
        <w:overflowPunct/>
        <w:topLinePunct w:val="0"/>
        <w:bidi w:val="0"/>
        <w:spacing w:line="360" w:lineRule="auto"/>
        <w:ind w:firstLine="422" w:firstLineChars="200"/>
        <w:rPr>
          <w:rFonts w:hint="eastAsia" w:cs="Futura-Heavy"/>
          <w:b/>
          <w:bCs/>
          <w:color w:val="auto"/>
          <w:szCs w:val="21"/>
          <w:highlight w:val="none"/>
          <w:shd w:val="clear" w:color="auto" w:fill="FFFFFF"/>
        </w:rPr>
      </w:pPr>
      <w:r>
        <w:rPr>
          <w:rFonts w:hint="eastAsia" w:cs="Futura-Heavy"/>
          <w:b/>
          <w:bCs/>
          <w:color w:val="auto"/>
          <w:szCs w:val="21"/>
          <w:highlight w:val="none"/>
          <w:shd w:val="clear" w:color="auto" w:fill="FFFFFF"/>
        </w:rPr>
        <w:t>3.本项目的特定资格要求：</w:t>
      </w:r>
    </w:p>
    <w:p w14:paraId="0CCCFFF0">
      <w:pPr>
        <w:keepNext w:val="0"/>
        <w:keepLines w:val="0"/>
        <w:pageBreakBefore w:val="0"/>
        <w:widowControl w:val="0"/>
        <w:shd w:val="clear" w:color="auto" w:fill="FFFFFF"/>
        <w:kinsoku/>
        <w:wordWrap/>
        <w:overflowPunct/>
        <w:topLinePunct w:val="0"/>
        <w:bidi w:val="0"/>
        <w:spacing w:line="360" w:lineRule="auto"/>
        <w:ind w:firstLine="420" w:firstLineChars="200"/>
        <w:jc w:val="left"/>
        <w:rPr>
          <w:rFonts w:hint="eastAsia"/>
          <w:color w:val="auto"/>
          <w:szCs w:val="21"/>
          <w:highlight w:val="none"/>
          <w:lang w:val="en-US" w:eastAsia="zh-CN"/>
        </w:rPr>
      </w:pPr>
      <w:r>
        <w:rPr>
          <w:rFonts w:hint="eastAsia"/>
          <w:color w:val="auto"/>
          <w:szCs w:val="21"/>
          <w:highlight w:val="none"/>
          <w:lang w:val="en-US" w:eastAsia="zh-CN"/>
        </w:rPr>
        <w:t>无。</w:t>
      </w:r>
    </w:p>
    <w:p w14:paraId="72C7A082">
      <w:pPr>
        <w:keepNext w:val="0"/>
        <w:keepLines w:val="0"/>
        <w:pageBreakBefore w:val="0"/>
        <w:widowControl w:val="0"/>
        <w:shd w:val="clear" w:color="auto" w:fill="FFFFFF"/>
        <w:kinsoku/>
        <w:wordWrap/>
        <w:overflowPunct/>
        <w:topLinePunct w:val="0"/>
        <w:bidi w:val="0"/>
        <w:spacing w:line="360" w:lineRule="auto"/>
        <w:ind w:firstLine="422" w:firstLineChars="200"/>
        <w:rPr>
          <w:rFonts w:hint="eastAsia" w:cs="Futura-Heavy"/>
          <w:b/>
          <w:bCs/>
          <w:color w:val="auto"/>
          <w:szCs w:val="21"/>
          <w:highlight w:val="none"/>
          <w:shd w:val="clear" w:color="auto" w:fill="FFFFFF"/>
        </w:rPr>
      </w:pPr>
      <w:r>
        <w:rPr>
          <w:rFonts w:hint="eastAsia" w:cs="Futura-Heavy"/>
          <w:b/>
          <w:bCs/>
          <w:color w:val="auto"/>
          <w:szCs w:val="21"/>
          <w:highlight w:val="none"/>
          <w:shd w:val="clear" w:color="auto" w:fill="FFFFFF"/>
          <w:lang w:val="en-US" w:eastAsia="zh-CN"/>
        </w:rPr>
        <w:t>4</w:t>
      </w:r>
      <w:r>
        <w:rPr>
          <w:rFonts w:hint="eastAsia" w:cs="Futura-Heavy"/>
          <w:b/>
          <w:bCs/>
          <w:color w:val="auto"/>
          <w:szCs w:val="21"/>
          <w:highlight w:val="none"/>
          <w:shd w:val="clear" w:color="auto" w:fill="FFFFFF"/>
        </w:rPr>
        <w:t>.</w:t>
      </w:r>
      <w:r>
        <w:rPr>
          <w:rFonts w:hint="eastAsia" w:cs="Futura-Heavy"/>
          <w:b/>
          <w:bCs/>
          <w:color w:val="auto"/>
          <w:szCs w:val="21"/>
          <w:highlight w:val="none"/>
          <w:shd w:val="clear" w:color="auto" w:fill="FFFFFF"/>
          <w:lang w:val="en-US" w:eastAsia="zh-CN"/>
        </w:rPr>
        <w:t>其他</w:t>
      </w:r>
      <w:r>
        <w:rPr>
          <w:rFonts w:hint="eastAsia" w:cs="Futura-Heavy"/>
          <w:b/>
          <w:bCs/>
          <w:color w:val="auto"/>
          <w:szCs w:val="21"/>
          <w:highlight w:val="none"/>
          <w:shd w:val="clear" w:color="auto" w:fill="FFFFFF"/>
        </w:rPr>
        <w:t>要求：</w:t>
      </w:r>
    </w:p>
    <w:p w14:paraId="2CD8012E">
      <w:pPr>
        <w:keepNext w:val="0"/>
        <w:keepLines w:val="0"/>
        <w:pageBreakBefore w:val="0"/>
        <w:widowControl w:val="0"/>
        <w:shd w:val="clear" w:color="auto" w:fill="FFFFFF"/>
        <w:kinsoku/>
        <w:wordWrap/>
        <w:overflowPunct/>
        <w:topLinePunct w:val="0"/>
        <w:bidi w:val="0"/>
        <w:spacing w:line="360" w:lineRule="auto"/>
        <w:ind w:firstLine="420" w:firstLineChars="200"/>
        <w:jc w:val="left"/>
        <w:rPr>
          <w:rFonts w:hint="eastAsia"/>
          <w:color w:val="auto"/>
          <w:szCs w:val="21"/>
          <w:highlight w:val="none"/>
        </w:rPr>
      </w:pPr>
      <w:r>
        <w:rPr>
          <w:rFonts w:hint="eastAsia"/>
          <w:color w:val="auto"/>
          <w:szCs w:val="21"/>
          <w:highlight w:val="none"/>
        </w:rPr>
        <w:t>（</w:t>
      </w:r>
      <w:r>
        <w:rPr>
          <w:color w:val="auto"/>
          <w:szCs w:val="21"/>
          <w:highlight w:val="none"/>
        </w:rPr>
        <w:t>1</w:t>
      </w:r>
      <w:r>
        <w:rPr>
          <w:rFonts w:hint="eastAsia"/>
          <w:color w:val="auto"/>
          <w:szCs w:val="21"/>
          <w:highlight w:val="none"/>
        </w:rPr>
        <w:t>）</w:t>
      </w:r>
      <w:r>
        <w:rPr>
          <w:color w:val="auto"/>
          <w:szCs w:val="21"/>
          <w:highlight w:val="none"/>
        </w:rPr>
        <w:t>单位负责人为同一人或者存在直接控股、管理关系的不同供应商，不得同时参加本采购项目（或采购包）投标（响应）。为本项目提供整体设计、规范编制或者项目管理、监理、检测等服务的供应商，不得再参与本项目投标（响应）。</w:t>
      </w:r>
      <w:r>
        <w:rPr>
          <w:rFonts w:hint="eastAsia"/>
          <w:color w:val="auto"/>
          <w:szCs w:val="21"/>
          <w:highlight w:val="none"/>
        </w:rPr>
        <w:t>在《响应承诺函》中进行相关申明。</w:t>
      </w:r>
    </w:p>
    <w:p w14:paraId="2738C005">
      <w:pPr>
        <w:keepNext w:val="0"/>
        <w:keepLines w:val="0"/>
        <w:pageBreakBefore w:val="0"/>
        <w:widowControl w:val="0"/>
        <w:shd w:val="clear" w:color="auto" w:fill="FFFFFF"/>
        <w:kinsoku/>
        <w:wordWrap/>
        <w:overflowPunct/>
        <w:topLinePunct w:val="0"/>
        <w:bidi w:val="0"/>
        <w:spacing w:line="360" w:lineRule="auto"/>
        <w:ind w:firstLine="420" w:firstLineChars="200"/>
        <w:jc w:val="left"/>
        <w:rPr>
          <w:rFonts w:hint="eastAsia"/>
          <w:b/>
          <w:bCs/>
          <w:color w:val="auto"/>
          <w:szCs w:val="21"/>
          <w:highlight w:val="none"/>
        </w:rPr>
      </w:pPr>
      <w:r>
        <w:rPr>
          <w:rFonts w:hint="eastAsia"/>
          <w:color w:val="auto"/>
          <w:szCs w:val="21"/>
          <w:highlight w:val="none"/>
        </w:rPr>
        <w:t>（</w:t>
      </w:r>
      <w:r>
        <w:rPr>
          <w:color w:val="auto"/>
          <w:szCs w:val="21"/>
          <w:highlight w:val="none"/>
        </w:rPr>
        <w:t>2</w:t>
      </w:r>
      <w:r>
        <w:rPr>
          <w:rFonts w:hint="eastAsia"/>
          <w:color w:val="auto"/>
          <w:szCs w:val="21"/>
          <w:highlight w:val="none"/>
        </w:rPr>
        <w:t>）供应商未被列入“信用中国”网站（www.creditchina.gov.cn）“失信被执行人名单或重大税收违法案件当事人名单（即‘重大税收违法失信主体’）或政府采购严重违法失信行为记录名单”中；不处于“中国政府采购网”（www.ccgp.gov.cn）“政府采购严重违法失信行为信息记录”中的禁止参加政府采购活动期间。（以采购代理机构于投标（响应）截止时间当天在上述网站查询结果为准，如在上述网站查询结果均显示没有相关记录，视为没有上述不良信用记录；如相关失信记录已失效，供应商须提供相关证明资料。</w:t>
      </w:r>
      <w:r>
        <w:rPr>
          <w:color w:val="auto"/>
          <w:szCs w:val="21"/>
          <w:highlight w:val="none"/>
        </w:rPr>
        <w:t>）</w:t>
      </w:r>
    </w:p>
    <w:p w14:paraId="023D21EE">
      <w:pPr>
        <w:pStyle w:val="369"/>
        <w:keepNext w:val="0"/>
        <w:keepLines w:val="0"/>
        <w:pageBreakBefore w:val="0"/>
        <w:widowControl w:val="0"/>
        <w:kinsoku/>
        <w:wordWrap/>
        <w:overflowPunct/>
        <w:topLinePunct w:val="0"/>
        <w:autoSpaceDE/>
        <w:autoSpaceDN/>
        <w:bidi w:val="0"/>
        <w:spacing w:line="360" w:lineRule="auto"/>
        <w:outlineLvl w:val="1"/>
        <w:rPr>
          <w:rFonts w:hint="eastAsia"/>
          <w:color w:val="auto"/>
          <w:sz w:val="21"/>
          <w:szCs w:val="21"/>
          <w:highlight w:val="none"/>
          <w:lang w:eastAsia="zh-CN"/>
        </w:rPr>
      </w:pPr>
      <w:bookmarkStart w:id="22" w:name="_Toc104131885"/>
      <w:bookmarkStart w:id="23" w:name="_Toc9983"/>
      <w:bookmarkStart w:id="24" w:name="_Toc112002502"/>
      <w:r>
        <w:rPr>
          <w:rFonts w:hint="eastAsia"/>
          <w:color w:val="auto"/>
          <w:sz w:val="21"/>
          <w:szCs w:val="21"/>
          <w:highlight w:val="none"/>
          <w:lang w:eastAsia="zh-CN"/>
        </w:rPr>
        <w:t>三、获取采购文件</w:t>
      </w:r>
      <w:bookmarkEnd w:id="22"/>
      <w:bookmarkEnd w:id="23"/>
      <w:bookmarkEnd w:id="24"/>
    </w:p>
    <w:p w14:paraId="2B54E223">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时间：20</w:t>
      </w:r>
      <w:r>
        <w:rPr>
          <w:rFonts w:hint="eastAsia"/>
          <w:color w:val="auto"/>
          <w:szCs w:val="21"/>
          <w:highlight w:val="none"/>
          <w:lang w:val="en-US" w:eastAsia="zh-CN"/>
        </w:rPr>
        <w:t>25</w:t>
      </w:r>
      <w:r>
        <w:rPr>
          <w:rFonts w:hint="eastAsia"/>
          <w:color w:val="auto"/>
          <w:szCs w:val="21"/>
          <w:highlight w:val="none"/>
        </w:rPr>
        <w:t>年</w:t>
      </w:r>
      <w:r>
        <w:rPr>
          <w:rFonts w:hint="eastAsia"/>
          <w:color w:val="auto"/>
          <w:szCs w:val="21"/>
          <w:highlight w:val="none"/>
          <w:lang w:val="en-US" w:eastAsia="zh-CN"/>
        </w:rPr>
        <w:t>06</w:t>
      </w:r>
      <w:r>
        <w:rPr>
          <w:rFonts w:hint="eastAsia"/>
          <w:color w:val="auto"/>
          <w:szCs w:val="21"/>
          <w:highlight w:val="none"/>
        </w:rPr>
        <w:t>月</w:t>
      </w:r>
      <w:r>
        <w:rPr>
          <w:color w:val="auto"/>
          <w:szCs w:val="21"/>
          <w:highlight w:val="none"/>
        </w:rPr>
        <w:t>XX</w:t>
      </w:r>
      <w:r>
        <w:rPr>
          <w:rFonts w:hint="eastAsia"/>
          <w:color w:val="auto"/>
          <w:szCs w:val="21"/>
          <w:highlight w:val="none"/>
        </w:rPr>
        <w:t>日至20</w:t>
      </w:r>
      <w:r>
        <w:rPr>
          <w:rFonts w:hint="eastAsia"/>
          <w:color w:val="auto"/>
          <w:szCs w:val="21"/>
          <w:highlight w:val="none"/>
          <w:lang w:val="en-US" w:eastAsia="zh-CN"/>
        </w:rPr>
        <w:t>25</w:t>
      </w:r>
      <w:r>
        <w:rPr>
          <w:rFonts w:hint="eastAsia"/>
          <w:color w:val="auto"/>
          <w:szCs w:val="21"/>
          <w:highlight w:val="none"/>
        </w:rPr>
        <w:t>年</w:t>
      </w:r>
      <w:r>
        <w:rPr>
          <w:rFonts w:hint="eastAsia"/>
          <w:color w:val="auto"/>
          <w:szCs w:val="21"/>
          <w:highlight w:val="none"/>
          <w:lang w:val="en-US" w:eastAsia="zh-CN"/>
        </w:rPr>
        <w:t>06</w:t>
      </w:r>
      <w:r>
        <w:rPr>
          <w:rFonts w:hint="eastAsia"/>
          <w:color w:val="auto"/>
          <w:szCs w:val="21"/>
          <w:highlight w:val="none"/>
        </w:rPr>
        <w:t>月</w:t>
      </w:r>
      <w:r>
        <w:rPr>
          <w:color w:val="auto"/>
          <w:szCs w:val="21"/>
          <w:highlight w:val="none"/>
        </w:rPr>
        <w:t>XX</w:t>
      </w:r>
      <w:r>
        <w:rPr>
          <w:rFonts w:hint="eastAsia"/>
          <w:color w:val="auto"/>
          <w:szCs w:val="21"/>
          <w:highlight w:val="none"/>
        </w:rPr>
        <w:t>日，每天上午</w:t>
      </w:r>
      <w:r>
        <w:rPr>
          <w:color w:val="auto"/>
          <w:szCs w:val="21"/>
          <w:highlight w:val="none"/>
        </w:rPr>
        <w:t>08:30:00至12:00:00，下午12:00:00至17:30:00。（北京时间，法定节假日除外）</w:t>
      </w:r>
    </w:p>
    <w:p w14:paraId="0502084D">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地点：诚E招电子采购交易平台（https://www.chengezhao.com/）或公诚管理咨询有限公司</w:t>
      </w:r>
    </w:p>
    <w:p w14:paraId="75A2C996">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方式：（</w:t>
      </w:r>
      <w:r>
        <w:rPr>
          <w:color w:val="auto"/>
          <w:szCs w:val="21"/>
          <w:highlight w:val="none"/>
        </w:rPr>
        <w:t>1）线上获取：供应商从诚E招电子采购交易平台（https://www.chengezhao.com/）上的【投标人登录】入口进入平台，点击【商机发现】，通过项目名称或项目编号检索本项目后在线获取采购文件</w:t>
      </w:r>
      <w:r>
        <w:rPr>
          <w:rFonts w:hint="eastAsia"/>
          <w:color w:val="auto"/>
          <w:szCs w:val="21"/>
          <w:highlight w:val="none"/>
        </w:rPr>
        <w:t>（若涉及平台技术问题，可咨询平台客服020-89524219）</w:t>
      </w:r>
      <w:r>
        <w:rPr>
          <w:color w:val="auto"/>
          <w:szCs w:val="21"/>
          <w:highlight w:val="none"/>
        </w:rPr>
        <w:t>；供应商在网上成功获取采购文件后，可无需现场获取采购文件。（2）线下获取：供应商前往广东省珠海市香洲区兴华路192号2号楼4楼</w:t>
      </w:r>
      <w:bookmarkStart w:id="25" w:name="_Hlk156224234"/>
      <w:r>
        <w:rPr>
          <w:color w:val="auto"/>
          <w:szCs w:val="21"/>
          <w:highlight w:val="none"/>
        </w:rPr>
        <w:t>公诚管理咨询有限公司</w:t>
      </w:r>
      <w:bookmarkEnd w:id="25"/>
      <w:r>
        <w:rPr>
          <w:color w:val="auto"/>
          <w:szCs w:val="21"/>
          <w:highlight w:val="none"/>
        </w:rPr>
        <w:t>现场获取采购文件</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w:t>
      </w:r>
    </w:p>
    <w:p w14:paraId="471993A6">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售价：0</w:t>
      </w:r>
      <w:r>
        <w:rPr>
          <w:color w:val="auto"/>
          <w:szCs w:val="21"/>
          <w:highlight w:val="none"/>
        </w:rPr>
        <w:t>.00</w:t>
      </w:r>
      <w:r>
        <w:rPr>
          <w:rFonts w:hint="eastAsia"/>
          <w:color w:val="auto"/>
          <w:szCs w:val="21"/>
          <w:highlight w:val="none"/>
        </w:rPr>
        <w:t>元</w:t>
      </w:r>
    </w:p>
    <w:p w14:paraId="214FC203">
      <w:pPr>
        <w:pStyle w:val="369"/>
        <w:keepNext w:val="0"/>
        <w:keepLines w:val="0"/>
        <w:pageBreakBefore w:val="0"/>
        <w:widowControl w:val="0"/>
        <w:kinsoku/>
        <w:wordWrap/>
        <w:overflowPunct/>
        <w:topLinePunct w:val="0"/>
        <w:autoSpaceDE/>
        <w:autoSpaceDN/>
        <w:bidi w:val="0"/>
        <w:spacing w:line="360" w:lineRule="auto"/>
        <w:outlineLvl w:val="1"/>
        <w:rPr>
          <w:rFonts w:hint="eastAsia"/>
          <w:color w:val="auto"/>
          <w:sz w:val="21"/>
          <w:szCs w:val="21"/>
          <w:highlight w:val="none"/>
          <w:lang w:eastAsia="zh-CN"/>
        </w:rPr>
      </w:pPr>
      <w:bookmarkStart w:id="26" w:name="_Toc7586"/>
      <w:bookmarkStart w:id="27" w:name="_Toc104131886"/>
      <w:bookmarkStart w:id="28" w:name="_Toc112002503"/>
      <w:r>
        <w:rPr>
          <w:rFonts w:hint="eastAsia"/>
          <w:color w:val="auto"/>
          <w:sz w:val="21"/>
          <w:szCs w:val="21"/>
          <w:highlight w:val="none"/>
          <w:lang w:eastAsia="zh-CN"/>
        </w:rPr>
        <w:t>四、响应文件提交</w:t>
      </w:r>
      <w:bookmarkEnd w:id="26"/>
      <w:bookmarkEnd w:id="27"/>
      <w:bookmarkEnd w:id="28"/>
    </w:p>
    <w:p w14:paraId="3FA0978E">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截止时间：20</w:t>
      </w:r>
      <w:r>
        <w:rPr>
          <w:rFonts w:hint="eastAsia"/>
          <w:color w:val="auto"/>
          <w:szCs w:val="21"/>
          <w:highlight w:val="none"/>
          <w:lang w:val="en-US" w:eastAsia="zh-CN"/>
        </w:rPr>
        <w:t>25</w:t>
      </w:r>
      <w:r>
        <w:rPr>
          <w:rFonts w:hint="eastAsia"/>
          <w:color w:val="auto"/>
          <w:szCs w:val="21"/>
          <w:highlight w:val="none"/>
        </w:rPr>
        <w:t>年</w:t>
      </w:r>
      <w:r>
        <w:rPr>
          <w:rFonts w:hint="eastAsia"/>
          <w:color w:val="auto"/>
          <w:szCs w:val="21"/>
          <w:highlight w:val="none"/>
          <w:lang w:val="en-US" w:eastAsia="zh-CN"/>
        </w:rPr>
        <w:t>06</w:t>
      </w:r>
      <w:r>
        <w:rPr>
          <w:rFonts w:hint="eastAsia"/>
          <w:color w:val="auto"/>
          <w:szCs w:val="21"/>
          <w:highlight w:val="none"/>
        </w:rPr>
        <w:t>月</w:t>
      </w:r>
      <w:r>
        <w:rPr>
          <w:color w:val="auto"/>
          <w:szCs w:val="21"/>
          <w:highlight w:val="none"/>
        </w:rPr>
        <w:t>XX</w:t>
      </w:r>
      <w:r>
        <w:rPr>
          <w:rFonts w:hint="eastAsia"/>
          <w:color w:val="auto"/>
          <w:szCs w:val="21"/>
          <w:highlight w:val="none"/>
        </w:rPr>
        <w:t>日</w:t>
      </w:r>
      <w:r>
        <w:rPr>
          <w:color w:val="auto"/>
          <w:szCs w:val="21"/>
          <w:highlight w:val="none"/>
        </w:rPr>
        <w:t>XX</w:t>
      </w:r>
      <w:r>
        <w:rPr>
          <w:rFonts w:hint="eastAsia"/>
          <w:color w:val="auto"/>
          <w:szCs w:val="21"/>
          <w:highlight w:val="none"/>
        </w:rPr>
        <w:t>点</w:t>
      </w:r>
      <w:r>
        <w:rPr>
          <w:color w:val="auto"/>
          <w:szCs w:val="21"/>
          <w:highlight w:val="none"/>
        </w:rPr>
        <w:t>XX</w:t>
      </w:r>
      <w:r>
        <w:rPr>
          <w:rFonts w:hint="eastAsia"/>
          <w:color w:val="auto"/>
          <w:szCs w:val="21"/>
          <w:highlight w:val="none"/>
        </w:rPr>
        <w:t>分00秒（北京时间）</w:t>
      </w:r>
    </w:p>
    <w:p w14:paraId="03D39773">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地点：广东省珠海市香洲区兴华路</w:t>
      </w:r>
      <w:r>
        <w:rPr>
          <w:color w:val="auto"/>
          <w:szCs w:val="21"/>
          <w:highlight w:val="none"/>
        </w:rPr>
        <w:t>192号2号楼3楼公诚管理咨询有限公司302会议室</w:t>
      </w:r>
    </w:p>
    <w:p w14:paraId="0A62695E">
      <w:pPr>
        <w:pStyle w:val="369"/>
        <w:keepNext w:val="0"/>
        <w:keepLines w:val="0"/>
        <w:pageBreakBefore w:val="0"/>
        <w:widowControl w:val="0"/>
        <w:kinsoku/>
        <w:wordWrap/>
        <w:overflowPunct/>
        <w:topLinePunct w:val="0"/>
        <w:autoSpaceDE/>
        <w:autoSpaceDN/>
        <w:bidi w:val="0"/>
        <w:spacing w:line="360" w:lineRule="auto"/>
        <w:outlineLvl w:val="1"/>
        <w:rPr>
          <w:rFonts w:hint="eastAsia"/>
          <w:color w:val="auto"/>
          <w:sz w:val="21"/>
          <w:szCs w:val="21"/>
          <w:highlight w:val="none"/>
          <w:lang w:eastAsia="zh-CN"/>
        </w:rPr>
      </w:pPr>
      <w:bookmarkStart w:id="29" w:name="_Toc866"/>
      <w:r>
        <w:rPr>
          <w:rFonts w:hint="eastAsia"/>
          <w:color w:val="auto"/>
          <w:sz w:val="21"/>
          <w:szCs w:val="21"/>
          <w:highlight w:val="none"/>
          <w:lang w:eastAsia="zh-CN"/>
        </w:rPr>
        <w:t>五、开启</w:t>
      </w:r>
      <w:bookmarkEnd w:id="29"/>
    </w:p>
    <w:p w14:paraId="7B0BECF4">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时间：20</w:t>
      </w:r>
      <w:r>
        <w:rPr>
          <w:rFonts w:hint="eastAsia"/>
          <w:color w:val="auto"/>
          <w:szCs w:val="21"/>
          <w:highlight w:val="none"/>
          <w:lang w:val="en-US" w:eastAsia="zh-CN"/>
        </w:rPr>
        <w:t>25</w:t>
      </w:r>
      <w:r>
        <w:rPr>
          <w:rFonts w:hint="eastAsia"/>
          <w:color w:val="auto"/>
          <w:szCs w:val="21"/>
          <w:highlight w:val="none"/>
        </w:rPr>
        <w:t>年</w:t>
      </w:r>
      <w:r>
        <w:rPr>
          <w:rFonts w:hint="eastAsia"/>
          <w:color w:val="auto"/>
          <w:szCs w:val="21"/>
          <w:highlight w:val="none"/>
          <w:lang w:val="en-US" w:eastAsia="zh-CN"/>
        </w:rPr>
        <w:t>06</w:t>
      </w:r>
      <w:r>
        <w:rPr>
          <w:rFonts w:hint="eastAsia"/>
          <w:color w:val="auto"/>
          <w:szCs w:val="21"/>
          <w:highlight w:val="none"/>
        </w:rPr>
        <w:t>月</w:t>
      </w:r>
      <w:r>
        <w:rPr>
          <w:color w:val="auto"/>
          <w:szCs w:val="21"/>
          <w:highlight w:val="none"/>
        </w:rPr>
        <w:t>XX</w:t>
      </w:r>
      <w:r>
        <w:rPr>
          <w:rFonts w:hint="eastAsia"/>
          <w:color w:val="auto"/>
          <w:szCs w:val="21"/>
          <w:highlight w:val="none"/>
        </w:rPr>
        <w:t>日</w:t>
      </w:r>
      <w:r>
        <w:rPr>
          <w:color w:val="auto"/>
          <w:szCs w:val="21"/>
          <w:highlight w:val="none"/>
        </w:rPr>
        <w:t>XX</w:t>
      </w:r>
      <w:r>
        <w:rPr>
          <w:rFonts w:hint="eastAsia"/>
          <w:color w:val="auto"/>
          <w:szCs w:val="21"/>
          <w:highlight w:val="none"/>
        </w:rPr>
        <w:t>点</w:t>
      </w:r>
      <w:r>
        <w:rPr>
          <w:color w:val="auto"/>
          <w:szCs w:val="21"/>
          <w:highlight w:val="none"/>
        </w:rPr>
        <w:t>XX</w:t>
      </w:r>
      <w:r>
        <w:rPr>
          <w:rFonts w:hint="eastAsia"/>
          <w:color w:val="auto"/>
          <w:szCs w:val="21"/>
          <w:highlight w:val="none"/>
        </w:rPr>
        <w:t>分00秒（北京时间）</w:t>
      </w:r>
    </w:p>
    <w:p w14:paraId="4F31FD94">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地点：广东省珠海市香洲区兴华路</w:t>
      </w:r>
      <w:r>
        <w:rPr>
          <w:color w:val="auto"/>
          <w:szCs w:val="21"/>
          <w:highlight w:val="none"/>
        </w:rPr>
        <w:t>192号2号楼3楼公诚管理咨询有限公司302会议室</w:t>
      </w:r>
    </w:p>
    <w:p w14:paraId="3FEA760C">
      <w:pPr>
        <w:pStyle w:val="369"/>
        <w:keepNext w:val="0"/>
        <w:keepLines w:val="0"/>
        <w:pageBreakBefore w:val="0"/>
        <w:widowControl w:val="0"/>
        <w:kinsoku/>
        <w:wordWrap/>
        <w:overflowPunct/>
        <w:topLinePunct w:val="0"/>
        <w:autoSpaceDE/>
        <w:autoSpaceDN/>
        <w:bidi w:val="0"/>
        <w:spacing w:line="360" w:lineRule="auto"/>
        <w:outlineLvl w:val="1"/>
        <w:rPr>
          <w:rFonts w:hint="eastAsia"/>
          <w:color w:val="auto"/>
          <w:sz w:val="21"/>
          <w:szCs w:val="21"/>
          <w:highlight w:val="none"/>
          <w:lang w:eastAsia="zh-CN"/>
        </w:rPr>
      </w:pPr>
      <w:bookmarkStart w:id="30" w:name="_Toc112002504"/>
      <w:bookmarkStart w:id="31" w:name="_Toc2773"/>
      <w:bookmarkStart w:id="32" w:name="_Toc104131887"/>
      <w:r>
        <w:rPr>
          <w:rFonts w:hint="eastAsia"/>
          <w:color w:val="auto"/>
          <w:sz w:val="21"/>
          <w:szCs w:val="21"/>
          <w:highlight w:val="none"/>
          <w:lang w:eastAsia="zh-CN"/>
        </w:rPr>
        <w:t>六、公告期限</w:t>
      </w:r>
      <w:bookmarkEnd w:id="30"/>
      <w:bookmarkEnd w:id="31"/>
      <w:bookmarkEnd w:id="32"/>
    </w:p>
    <w:p w14:paraId="3E73F386">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自本公告发布之日起</w:t>
      </w:r>
      <w:r>
        <w:rPr>
          <w:color w:val="auto"/>
          <w:szCs w:val="21"/>
          <w:highlight w:val="none"/>
        </w:rPr>
        <w:t>3</w:t>
      </w:r>
      <w:r>
        <w:rPr>
          <w:rFonts w:hint="eastAsia"/>
          <w:color w:val="auto"/>
          <w:szCs w:val="21"/>
          <w:highlight w:val="none"/>
        </w:rPr>
        <w:t>个工作日。</w:t>
      </w:r>
    </w:p>
    <w:p w14:paraId="10FA0694">
      <w:pPr>
        <w:pStyle w:val="369"/>
        <w:keepNext w:val="0"/>
        <w:keepLines w:val="0"/>
        <w:pageBreakBefore w:val="0"/>
        <w:widowControl w:val="0"/>
        <w:kinsoku/>
        <w:wordWrap/>
        <w:overflowPunct/>
        <w:topLinePunct w:val="0"/>
        <w:autoSpaceDE/>
        <w:autoSpaceDN/>
        <w:bidi w:val="0"/>
        <w:spacing w:line="360" w:lineRule="auto"/>
        <w:outlineLvl w:val="1"/>
        <w:rPr>
          <w:rFonts w:hint="eastAsia"/>
          <w:color w:val="auto"/>
          <w:sz w:val="21"/>
          <w:szCs w:val="21"/>
          <w:highlight w:val="none"/>
          <w:lang w:eastAsia="zh-CN"/>
        </w:rPr>
      </w:pPr>
      <w:bookmarkStart w:id="33" w:name="_Toc104131888"/>
      <w:bookmarkStart w:id="34" w:name="_Toc112002505"/>
      <w:bookmarkStart w:id="35" w:name="_Toc18773"/>
      <w:r>
        <w:rPr>
          <w:rFonts w:hint="eastAsia"/>
          <w:color w:val="auto"/>
          <w:sz w:val="21"/>
          <w:szCs w:val="21"/>
          <w:highlight w:val="none"/>
          <w:lang w:eastAsia="zh-CN"/>
        </w:rPr>
        <w:t>七、其他补充事宜</w:t>
      </w:r>
      <w:bookmarkEnd w:id="33"/>
      <w:bookmarkEnd w:id="34"/>
      <w:bookmarkEnd w:id="35"/>
    </w:p>
    <w:p w14:paraId="7A3ADA4D">
      <w:pPr>
        <w:keepNext w:val="0"/>
        <w:keepLines w:val="0"/>
        <w:pageBreakBefore w:val="0"/>
        <w:widowControl w:val="0"/>
        <w:kinsoku/>
        <w:wordWrap/>
        <w:overflowPunct/>
        <w:topLinePunct w:val="0"/>
        <w:bidi w:val="0"/>
        <w:adjustRightInd w:val="0"/>
        <w:snapToGrid w:val="0"/>
        <w:spacing w:line="360" w:lineRule="auto"/>
        <w:ind w:firstLine="490"/>
        <w:rPr>
          <w:rFonts w:hint="eastAsia"/>
          <w:color w:val="auto"/>
          <w:szCs w:val="21"/>
          <w:highlight w:val="none"/>
        </w:rPr>
      </w:pPr>
      <w:r>
        <w:rPr>
          <w:rFonts w:hint="eastAsia"/>
          <w:color w:val="auto"/>
          <w:szCs w:val="21"/>
          <w:highlight w:val="none"/>
        </w:rPr>
        <w:t>资格要求中所指“其他组织”不包括法人的分支机构，由于法人分支机构不能独立承担民事责任，不能以分支机构的身份参加政府采购，只能以法人身份参加。但由于银行、保险、石油石化、电力、电信、邮政、铁路等行业具有其特殊性，如果能够提供其法人给予的相应授权证明材料，可以参加政府采购活动。</w:t>
      </w:r>
    </w:p>
    <w:p w14:paraId="0EC82232">
      <w:pPr>
        <w:pStyle w:val="369"/>
        <w:keepNext w:val="0"/>
        <w:keepLines w:val="0"/>
        <w:pageBreakBefore w:val="0"/>
        <w:widowControl w:val="0"/>
        <w:kinsoku/>
        <w:wordWrap/>
        <w:overflowPunct/>
        <w:topLinePunct w:val="0"/>
        <w:autoSpaceDE/>
        <w:autoSpaceDN/>
        <w:bidi w:val="0"/>
        <w:spacing w:line="360" w:lineRule="auto"/>
        <w:outlineLvl w:val="1"/>
        <w:rPr>
          <w:rFonts w:hint="eastAsia"/>
          <w:color w:val="auto"/>
          <w:sz w:val="21"/>
          <w:szCs w:val="21"/>
          <w:highlight w:val="none"/>
          <w:lang w:eastAsia="zh-CN"/>
        </w:rPr>
      </w:pPr>
      <w:bookmarkStart w:id="36" w:name="_Toc112002506"/>
      <w:bookmarkStart w:id="37" w:name="_Toc104131889"/>
      <w:bookmarkStart w:id="38" w:name="_Toc21119"/>
      <w:r>
        <w:rPr>
          <w:rFonts w:hint="eastAsia"/>
          <w:color w:val="auto"/>
          <w:sz w:val="21"/>
          <w:szCs w:val="21"/>
          <w:highlight w:val="none"/>
          <w:lang w:eastAsia="zh-CN"/>
        </w:rPr>
        <w:t>八、凡对本次采购提出询问，请按以下方式联系</w:t>
      </w:r>
      <w:bookmarkEnd w:id="36"/>
      <w:bookmarkEnd w:id="37"/>
      <w:bookmarkEnd w:id="38"/>
    </w:p>
    <w:p w14:paraId="6FD82CD2">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1.采购人信息</w:t>
      </w:r>
    </w:p>
    <w:p w14:paraId="168E460C">
      <w:pPr>
        <w:keepNext w:val="0"/>
        <w:keepLines w:val="0"/>
        <w:pageBreakBefore w:val="0"/>
        <w:widowControl w:val="0"/>
        <w:kinsoku/>
        <w:wordWrap/>
        <w:overflowPunct/>
        <w:topLinePunct w:val="0"/>
        <w:bidi w:val="0"/>
        <w:spacing w:line="360" w:lineRule="auto"/>
        <w:ind w:firstLine="707" w:firstLineChars="337"/>
        <w:rPr>
          <w:rFonts w:hint="eastAsia" w:eastAsia="宋体"/>
          <w:color w:val="auto"/>
          <w:szCs w:val="21"/>
          <w:highlight w:val="none"/>
          <w:lang w:eastAsia="zh-CN"/>
        </w:rPr>
      </w:pPr>
      <w:r>
        <w:rPr>
          <w:rFonts w:hint="eastAsia"/>
          <w:color w:val="auto"/>
          <w:szCs w:val="21"/>
          <w:highlight w:val="none"/>
        </w:rPr>
        <w:t xml:space="preserve">名 </w:t>
      </w:r>
      <w:r>
        <w:rPr>
          <w:color w:val="auto"/>
          <w:szCs w:val="21"/>
          <w:highlight w:val="none"/>
        </w:rPr>
        <w:t xml:space="preserve">   </w:t>
      </w:r>
      <w:r>
        <w:rPr>
          <w:rFonts w:hint="eastAsia"/>
          <w:color w:val="auto"/>
          <w:szCs w:val="21"/>
          <w:highlight w:val="none"/>
        </w:rPr>
        <w:t>称：</w:t>
      </w:r>
      <w:r>
        <w:rPr>
          <w:rFonts w:hint="eastAsia"/>
          <w:color w:val="auto"/>
          <w:szCs w:val="21"/>
          <w:highlight w:val="none"/>
          <w:lang w:eastAsia="zh-CN"/>
        </w:rPr>
        <w:t>中华人民共和国青茂出入境边防检查站</w:t>
      </w:r>
    </w:p>
    <w:p w14:paraId="03338C01">
      <w:pPr>
        <w:keepNext w:val="0"/>
        <w:keepLines w:val="0"/>
        <w:pageBreakBefore w:val="0"/>
        <w:widowControl w:val="0"/>
        <w:kinsoku/>
        <w:wordWrap/>
        <w:overflowPunct/>
        <w:topLinePunct w:val="0"/>
        <w:bidi w:val="0"/>
        <w:spacing w:line="360" w:lineRule="auto"/>
        <w:ind w:firstLine="707" w:firstLineChars="337"/>
        <w:rPr>
          <w:bCs/>
          <w:color w:val="auto"/>
          <w:szCs w:val="21"/>
          <w:highlight w:val="none"/>
        </w:rPr>
      </w:pPr>
      <w:r>
        <w:rPr>
          <w:rFonts w:hint="eastAsia"/>
          <w:color w:val="auto"/>
          <w:szCs w:val="21"/>
          <w:highlight w:val="none"/>
        </w:rPr>
        <w:t xml:space="preserve">地 </w:t>
      </w:r>
      <w:r>
        <w:rPr>
          <w:color w:val="auto"/>
          <w:szCs w:val="21"/>
          <w:highlight w:val="none"/>
        </w:rPr>
        <w:t xml:space="preserve">   </w:t>
      </w:r>
      <w:r>
        <w:rPr>
          <w:rFonts w:hint="eastAsia"/>
          <w:color w:val="auto"/>
          <w:szCs w:val="21"/>
          <w:highlight w:val="none"/>
        </w:rPr>
        <w:t>址：广东省珠海市香洲区国防路99号青茂口岸联检楼</w:t>
      </w:r>
    </w:p>
    <w:p w14:paraId="797B5AD0">
      <w:pPr>
        <w:keepNext w:val="0"/>
        <w:keepLines w:val="0"/>
        <w:pageBreakBefore w:val="0"/>
        <w:widowControl w:val="0"/>
        <w:kinsoku/>
        <w:wordWrap/>
        <w:overflowPunct/>
        <w:topLinePunct w:val="0"/>
        <w:bidi w:val="0"/>
        <w:spacing w:line="360" w:lineRule="auto"/>
        <w:ind w:firstLine="707" w:firstLineChars="337"/>
        <w:rPr>
          <w:color w:val="auto"/>
          <w:szCs w:val="21"/>
          <w:highlight w:val="none"/>
        </w:rPr>
      </w:pPr>
      <w:r>
        <w:rPr>
          <w:rFonts w:hint="eastAsia"/>
          <w:color w:val="auto"/>
          <w:szCs w:val="21"/>
          <w:highlight w:val="none"/>
        </w:rPr>
        <w:t>联系方式：谭琪，0756-8160155</w:t>
      </w:r>
    </w:p>
    <w:p w14:paraId="62C477A0">
      <w:pPr>
        <w:keepNext w:val="0"/>
        <w:keepLines w:val="0"/>
        <w:pageBreakBefore w:val="0"/>
        <w:widowControl w:val="0"/>
        <w:kinsoku/>
        <w:wordWrap/>
        <w:overflowPunct/>
        <w:topLinePunct w:val="0"/>
        <w:bidi w:val="0"/>
        <w:spacing w:line="360" w:lineRule="auto"/>
        <w:ind w:firstLine="420" w:firstLineChars="200"/>
        <w:rPr>
          <w:color w:val="auto"/>
          <w:szCs w:val="21"/>
          <w:highlight w:val="none"/>
        </w:rPr>
      </w:pPr>
      <w:r>
        <w:rPr>
          <w:rFonts w:hint="eastAsia"/>
          <w:color w:val="auto"/>
          <w:szCs w:val="21"/>
          <w:highlight w:val="none"/>
        </w:rPr>
        <w:t>2.采购代理机构信息</w:t>
      </w:r>
    </w:p>
    <w:p w14:paraId="53044EBF">
      <w:pPr>
        <w:keepNext w:val="0"/>
        <w:keepLines w:val="0"/>
        <w:pageBreakBefore w:val="0"/>
        <w:widowControl w:val="0"/>
        <w:kinsoku/>
        <w:wordWrap/>
        <w:overflowPunct/>
        <w:topLinePunct w:val="0"/>
        <w:bidi w:val="0"/>
        <w:spacing w:line="360" w:lineRule="auto"/>
        <w:ind w:firstLine="707" w:firstLineChars="337"/>
        <w:rPr>
          <w:color w:val="auto"/>
          <w:szCs w:val="21"/>
          <w:highlight w:val="none"/>
        </w:rPr>
      </w:pPr>
      <w:r>
        <w:rPr>
          <w:rFonts w:hint="eastAsia"/>
          <w:color w:val="auto"/>
          <w:szCs w:val="21"/>
          <w:highlight w:val="none"/>
        </w:rPr>
        <w:t xml:space="preserve">名 </w:t>
      </w:r>
      <w:r>
        <w:rPr>
          <w:color w:val="auto"/>
          <w:szCs w:val="21"/>
          <w:highlight w:val="none"/>
        </w:rPr>
        <w:t xml:space="preserve">   </w:t>
      </w:r>
      <w:r>
        <w:rPr>
          <w:rFonts w:hint="eastAsia"/>
          <w:color w:val="auto"/>
          <w:szCs w:val="21"/>
          <w:highlight w:val="none"/>
        </w:rPr>
        <w:t>称：公诚管理咨询有限公司</w:t>
      </w:r>
    </w:p>
    <w:p w14:paraId="01CB61F9">
      <w:pPr>
        <w:keepNext w:val="0"/>
        <w:keepLines w:val="0"/>
        <w:pageBreakBefore w:val="0"/>
        <w:widowControl w:val="0"/>
        <w:kinsoku/>
        <w:wordWrap/>
        <w:overflowPunct/>
        <w:topLinePunct w:val="0"/>
        <w:bidi w:val="0"/>
        <w:spacing w:line="360" w:lineRule="auto"/>
        <w:ind w:firstLine="707" w:firstLineChars="337"/>
        <w:rPr>
          <w:color w:val="auto"/>
          <w:szCs w:val="21"/>
          <w:highlight w:val="none"/>
        </w:rPr>
      </w:pPr>
      <w:r>
        <w:rPr>
          <w:rFonts w:hint="eastAsia"/>
          <w:color w:val="auto"/>
          <w:szCs w:val="21"/>
          <w:highlight w:val="none"/>
        </w:rPr>
        <w:t xml:space="preserve">地 </w:t>
      </w:r>
      <w:r>
        <w:rPr>
          <w:color w:val="auto"/>
          <w:szCs w:val="21"/>
          <w:highlight w:val="none"/>
        </w:rPr>
        <w:t xml:space="preserve">   </w:t>
      </w:r>
      <w:r>
        <w:rPr>
          <w:rFonts w:hint="eastAsia"/>
          <w:color w:val="auto"/>
          <w:szCs w:val="21"/>
          <w:highlight w:val="none"/>
        </w:rPr>
        <w:t>址：广东省珠海市香洲区兴华路1</w:t>
      </w:r>
      <w:r>
        <w:rPr>
          <w:color w:val="auto"/>
          <w:szCs w:val="21"/>
          <w:highlight w:val="none"/>
        </w:rPr>
        <w:t>92</w:t>
      </w:r>
      <w:r>
        <w:rPr>
          <w:rFonts w:hint="eastAsia"/>
          <w:color w:val="auto"/>
          <w:szCs w:val="21"/>
          <w:highlight w:val="none"/>
        </w:rPr>
        <w:t>号</w:t>
      </w:r>
    </w:p>
    <w:p w14:paraId="5873D890">
      <w:pPr>
        <w:keepNext w:val="0"/>
        <w:keepLines w:val="0"/>
        <w:pageBreakBefore w:val="0"/>
        <w:widowControl w:val="0"/>
        <w:kinsoku/>
        <w:wordWrap/>
        <w:overflowPunct/>
        <w:topLinePunct w:val="0"/>
        <w:bidi w:val="0"/>
        <w:spacing w:line="360" w:lineRule="auto"/>
        <w:ind w:firstLine="707" w:firstLineChars="337"/>
        <w:rPr>
          <w:rFonts w:hint="eastAsia"/>
          <w:color w:val="auto"/>
          <w:szCs w:val="21"/>
          <w:highlight w:val="none"/>
        </w:rPr>
      </w:pPr>
      <w:r>
        <w:rPr>
          <w:rFonts w:hint="eastAsia"/>
          <w:color w:val="auto"/>
          <w:szCs w:val="21"/>
          <w:highlight w:val="none"/>
        </w:rPr>
        <w:t>联系方式：</w:t>
      </w:r>
      <w:r>
        <w:rPr>
          <w:rFonts w:hint="eastAsia"/>
          <w:color w:val="auto"/>
          <w:szCs w:val="21"/>
          <w:highlight w:val="none"/>
          <w:lang w:val="en-US" w:eastAsia="zh-CN"/>
        </w:rPr>
        <w:t>杨述文</w:t>
      </w:r>
      <w:r>
        <w:rPr>
          <w:rFonts w:hint="eastAsia"/>
          <w:color w:val="auto"/>
          <w:szCs w:val="21"/>
          <w:highlight w:val="none"/>
        </w:rPr>
        <w:t>、郑凯存、刘华辉、秦晓波、盛菲、李涛，0756-2666861</w:t>
      </w:r>
    </w:p>
    <w:p w14:paraId="364D1698">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3.项目联系方式</w:t>
      </w:r>
    </w:p>
    <w:p w14:paraId="07CC5161">
      <w:pPr>
        <w:keepNext w:val="0"/>
        <w:keepLines w:val="0"/>
        <w:pageBreakBefore w:val="0"/>
        <w:widowControl w:val="0"/>
        <w:kinsoku/>
        <w:wordWrap/>
        <w:overflowPunct/>
        <w:topLinePunct w:val="0"/>
        <w:bidi w:val="0"/>
        <w:spacing w:line="360" w:lineRule="auto"/>
        <w:ind w:firstLine="707" w:firstLineChars="337"/>
        <w:rPr>
          <w:rFonts w:hint="eastAsia" w:eastAsia="宋体"/>
          <w:color w:val="auto"/>
          <w:szCs w:val="21"/>
          <w:highlight w:val="none"/>
          <w:lang w:eastAsia="zh-CN"/>
        </w:rPr>
      </w:pPr>
      <w:r>
        <w:rPr>
          <w:rFonts w:hint="eastAsia"/>
          <w:color w:val="auto"/>
          <w:szCs w:val="21"/>
          <w:highlight w:val="none"/>
        </w:rPr>
        <w:t>项目联系人：</w:t>
      </w:r>
      <w:r>
        <w:rPr>
          <w:rFonts w:hint="eastAsia"/>
          <w:color w:val="auto"/>
          <w:szCs w:val="21"/>
          <w:highlight w:val="none"/>
          <w:lang w:val="en-US" w:eastAsia="zh-CN"/>
        </w:rPr>
        <w:t>杨述文</w:t>
      </w:r>
    </w:p>
    <w:p w14:paraId="30898D92">
      <w:pPr>
        <w:keepNext w:val="0"/>
        <w:keepLines w:val="0"/>
        <w:pageBreakBefore w:val="0"/>
        <w:widowControl w:val="0"/>
        <w:kinsoku/>
        <w:wordWrap/>
        <w:overflowPunct/>
        <w:topLinePunct w:val="0"/>
        <w:bidi w:val="0"/>
        <w:spacing w:line="360" w:lineRule="auto"/>
        <w:ind w:firstLine="707" w:firstLineChars="337"/>
        <w:rPr>
          <w:rFonts w:hint="eastAsia" w:cs="仿宋_GB2312"/>
          <w:color w:val="auto"/>
          <w:szCs w:val="21"/>
          <w:highlight w:val="none"/>
        </w:rPr>
      </w:pPr>
      <w:r>
        <w:rPr>
          <w:rFonts w:hint="eastAsia"/>
          <w:color w:val="auto"/>
          <w:szCs w:val="21"/>
          <w:highlight w:val="none"/>
        </w:rPr>
        <w:t xml:space="preserve">电 </w:t>
      </w:r>
      <w:r>
        <w:rPr>
          <w:color w:val="auto"/>
          <w:szCs w:val="21"/>
          <w:highlight w:val="none"/>
        </w:rPr>
        <w:t xml:space="preserve">   </w:t>
      </w:r>
      <w:r>
        <w:rPr>
          <w:rFonts w:hint="eastAsia"/>
          <w:color w:val="auto"/>
          <w:szCs w:val="21"/>
          <w:highlight w:val="none"/>
        </w:rPr>
        <w:t>话：0756-2666861</w:t>
      </w:r>
    </w:p>
    <w:p w14:paraId="1CEA00E3">
      <w:pPr>
        <w:keepNext w:val="0"/>
        <w:keepLines w:val="0"/>
        <w:pageBreakBefore w:val="0"/>
        <w:widowControl w:val="0"/>
        <w:shd w:val="clear" w:color="auto" w:fill="FFFFFF"/>
        <w:kinsoku/>
        <w:wordWrap/>
        <w:overflowPunct/>
        <w:topLinePunct w:val="0"/>
        <w:bidi w:val="0"/>
        <w:spacing w:line="360" w:lineRule="auto"/>
        <w:ind w:firstLine="1260"/>
        <w:jc w:val="right"/>
        <w:rPr>
          <w:rFonts w:hint="eastAsia" w:cs="仿宋_GB2312"/>
          <w:color w:val="auto"/>
          <w:szCs w:val="21"/>
          <w:highlight w:val="none"/>
        </w:rPr>
      </w:pPr>
      <w:r>
        <w:rPr>
          <w:rFonts w:hint="eastAsia" w:cs="Futura-Heavy"/>
          <w:color w:val="auto"/>
          <w:szCs w:val="21"/>
          <w:highlight w:val="none"/>
          <w:shd w:val="clear" w:color="auto" w:fill="FFFFFF"/>
          <w:lang w:bidi="ar"/>
        </w:rPr>
        <w:t> </w:t>
      </w:r>
      <w:r>
        <w:rPr>
          <w:rFonts w:cs="Futura-Heavy"/>
          <w:color w:val="auto"/>
          <w:szCs w:val="21"/>
          <w:highlight w:val="none"/>
          <w:shd w:val="clear" w:color="auto" w:fill="FFFFFF"/>
          <w:lang w:bidi="ar"/>
        </w:rPr>
        <w:t xml:space="preserve">                                     </w:t>
      </w:r>
      <w:r>
        <w:rPr>
          <w:rFonts w:hint="eastAsia" w:cs="Futura-Heavy"/>
          <w:color w:val="auto"/>
          <w:szCs w:val="21"/>
          <w:highlight w:val="none"/>
          <w:shd w:val="clear" w:color="auto" w:fill="FFFFFF"/>
          <w:lang w:bidi="ar"/>
        </w:rPr>
        <w:t>公诚管理咨询有限公司</w:t>
      </w:r>
    </w:p>
    <w:p w14:paraId="6BE14182">
      <w:pPr>
        <w:pStyle w:val="356"/>
        <w:keepNext w:val="0"/>
        <w:keepLines w:val="0"/>
        <w:pageBreakBefore w:val="0"/>
        <w:widowControl w:val="0"/>
        <w:kinsoku/>
        <w:wordWrap/>
        <w:overflowPunct/>
        <w:topLinePunct w:val="0"/>
        <w:autoSpaceDE/>
        <w:autoSpaceDN/>
        <w:bidi w:val="0"/>
        <w:spacing w:line="360" w:lineRule="auto"/>
        <w:ind w:firstLine="420"/>
        <w:jc w:val="right"/>
        <w:rPr>
          <w:rFonts w:hint="eastAsia"/>
          <w:color w:val="auto"/>
          <w:sz w:val="21"/>
          <w:szCs w:val="21"/>
          <w:highlight w:val="none"/>
          <w:lang w:eastAsia="zh-CN"/>
        </w:rPr>
      </w:pPr>
      <w:r>
        <w:rPr>
          <w:rFonts w:hint="eastAsia" w:cs="Futura-Heavy"/>
          <w:color w:val="auto"/>
          <w:sz w:val="21"/>
          <w:szCs w:val="21"/>
          <w:highlight w:val="none"/>
          <w:shd w:val="clear" w:color="auto" w:fill="FFFFFF"/>
          <w:lang w:eastAsia="zh-CN" w:bidi="ar"/>
        </w:rPr>
        <w:t>20</w:t>
      </w:r>
      <w:r>
        <w:rPr>
          <w:rFonts w:hint="eastAsia" w:cs="Futura-Heavy"/>
          <w:color w:val="auto"/>
          <w:sz w:val="21"/>
          <w:szCs w:val="21"/>
          <w:highlight w:val="none"/>
          <w:shd w:val="clear" w:color="auto" w:fill="FFFFFF"/>
          <w:lang w:val="en-US" w:eastAsia="zh-CN" w:bidi="ar"/>
        </w:rPr>
        <w:t>25</w:t>
      </w:r>
      <w:r>
        <w:rPr>
          <w:rFonts w:hint="eastAsia" w:cs="Futura-Heavy"/>
          <w:color w:val="auto"/>
          <w:sz w:val="21"/>
          <w:szCs w:val="21"/>
          <w:highlight w:val="none"/>
          <w:shd w:val="clear" w:color="auto" w:fill="FFFFFF"/>
          <w:lang w:eastAsia="zh-CN" w:bidi="ar"/>
        </w:rPr>
        <w:t>年</w:t>
      </w:r>
      <w:r>
        <w:rPr>
          <w:rFonts w:cs="Futura-Heavy"/>
          <w:color w:val="auto"/>
          <w:sz w:val="21"/>
          <w:szCs w:val="21"/>
          <w:highlight w:val="none"/>
          <w:shd w:val="clear" w:color="auto" w:fill="FFFFFF"/>
          <w:lang w:eastAsia="zh-CN" w:bidi="ar"/>
        </w:rPr>
        <w:t>XX</w:t>
      </w:r>
      <w:r>
        <w:rPr>
          <w:rFonts w:hint="eastAsia" w:cs="Futura-Heavy"/>
          <w:color w:val="auto"/>
          <w:sz w:val="21"/>
          <w:szCs w:val="21"/>
          <w:highlight w:val="none"/>
          <w:shd w:val="clear" w:color="auto" w:fill="FFFFFF"/>
          <w:lang w:eastAsia="zh-CN" w:bidi="ar"/>
        </w:rPr>
        <w:t>月</w:t>
      </w:r>
      <w:r>
        <w:rPr>
          <w:rFonts w:cs="Futura-Heavy"/>
          <w:color w:val="auto"/>
          <w:sz w:val="21"/>
          <w:szCs w:val="21"/>
          <w:highlight w:val="none"/>
          <w:shd w:val="clear" w:color="auto" w:fill="FFFFFF"/>
          <w:lang w:eastAsia="zh-CN" w:bidi="ar"/>
        </w:rPr>
        <w:t>XX</w:t>
      </w:r>
      <w:r>
        <w:rPr>
          <w:rFonts w:hint="eastAsia" w:cs="Futura-Heavy"/>
          <w:color w:val="auto"/>
          <w:sz w:val="21"/>
          <w:szCs w:val="21"/>
          <w:highlight w:val="none"/>
          <w:shd w:val="clear" w:color="auto" w:fill="FFFFFF"/>
          <w:lang w:eastAsia="zh-CN" w:bidi="ar"/>
        </w:rPr>
        <w:t>日</w:t>
      </w:r>
    </w:p>
    <w:p w14:paraId="454B0911">
      <w:pPr>
        <w:keepNext w:val="0"/>
        <w:keepLines w:val="0"/>
        <w:pageBreakBefore w:val="0"/>
        <w:widowControl w:val="0"/>
        <w:kinsoku/>
        <w:wordWrap/>
        <w:overflowPunct/>
        <w:topLinePunct w:val="0"/>
        <w:bidi w:val="0"/>
        <w:spacing w:line="360" w:lineRule="auto"/>
        <w:jc w:val="left"/>
        <w:rPr>
          <w:rFonts w:hint="eastAsia"/>
          <w:color w:val="auto"/>
          <w:sz w:val="28"/>
          <w:highlight w:val="none"/>
        </w:rPr>
      </w:pPr>
      <w:r>
        <w:rPr>
          <w:color w:val="auto"/>
          <w:highlight w:val="none"/>
        </w:rPr>
        <w:br w:type="page"/>
      </w:r>
    </w:p>
    <w:p w14:paraId="1BC98F3A">
      <w:pPr>
        <w:pStyle w:val="2"/>
        <w:keepNext w:val="0"/>
        <w:keepLines w:val="0"/>
        <w:pageBreakBefore w:val="0"/>
        <w:widowControl w:val="0"/>
        <w:kinsoku/>
        <w:wordWrap/>
        <w:overflowPunct/>
        <w:topLinePunct w:val="0"/>
        <w:bidi w:val="0"/>
        <w:spacing w:before="0" w:after="0" w:line="360" w:lineRule="auto"/>
        <w:rPr>
          <w:rFonts w:hint="eastAsia" w:eastAsia="宋体"/>
          <w:color w:val="auto"/>
          <w:sz w:val="24"/>
          <w:szCs w:val="24"/>
          <w:highlight w:val="none"/>
        </w:rPr>
      </w:pPr>
      <w:bookmarkStart w:id="39" w:name="_Toc101122290"/>
      <w:bookmarkStart w:id="40" w:name="_Toc24431"/>
      <w:bookmarkStart w:id="41" w:name="_Toc104040685"/>
      <w:bookmarkStart w:id="42" w:name="_Toc103033202"/>
      <w:bookmarkStart w:id="43" w:name="_Toc104040739"/>
      <w:bookmarkStart w:id="44" w:name="_Toc103216634"/>
      <w:bookmarkStart w:id="45" w:name="_Hlk103194593"/>
      <w:r>
        <w:rPr>
          <w:rFonts w:hint="eastAsia" w:eastAsia="宋体"/>
          <w:color w:val="auto"/>
          <w:sz w:val="24"/>
          <w:szCs w:val="24"/>
          <w:highlight w:val="none"/>
        </w:rPr>
        <w:t>第二章</w:t>
      </w:r>
      <w:r>
        <w:rPr>
          <w:rFonts w:eastAsia="宋体"/>
          <w:color w:val="auto"/>
          <w:sz w:val="24"/>
          <w:szCs w:val="24"/>
          <w:highlight w:val="none"/>
        </w:rPr>
        <w:t xml:space="preserve"> </w:t>
      </w:r>
      <w:r>
        <w:rPr>
          <w:rFonts w:hint="eastAsia" w:eastAsia="宋体"/>
          <w:color w:val="auto"/>
          <w:sz w:val="24"/>
          <w:szCs w:val="24"/>
          <w:highlight w:val="none"/>
        </w:rPr>
        <w:t>采购需求</w:t>
      </w:r>
      <w:bookmarkEnd w:id="39"/>
      <w:bookmarkEnd w:id="40"/>
      <w:bookmarkEnd w:id="41"/>
      <w:bookmarkEnd w:id="42"/>
      <w:bookmarkEnd w:id="43"/>
      <w:bookmarkEnd w:id="44"/>
    </w:p>
    <w:bookmarkEnd w:id="45"/>
    <w:p w14:paraId="4761A8F0">
      <w:pPr>
        <w:pStyle w:val="45"/>
        <w:keepNext w:val="0"/>
        <w:keepLines w:val="0"/>
        <w:pageBreakBefore w:val="0"/>
        <w:widowControl w:val="0"/>
        <w:kinsoku/>
        <w:wordWrap/>
        <w:overflowPunct/>
        <w:topLinePunct w:val="0"/>
        <w:bidi w:val="0"/>
        <w:spacing w:after="0" w:line="360" w:lineRule="auto"/>
        <w:ind w:left="0" w:leftChars="0" w:firstLine="0" w:firstLineChars="0"/>
        <w:rPr>
          <w:rFonts w:hint="eastAsia"/>
          <w:b/>
          <w:bCs/>
          <w:color w:val="auto"/>
          <w:szCs w:val="21"/>
          <w:highlight w:val="none"/>
        </w:rPr>
      </w:pPr>
      <w:bookmarkStart w:id="46" w:name="_Toc104040741"/>
      <w:bookmarkStart w:id="47" w:name="_Toc103033203"/>
      <w:bookmarkStart w:id="48" w:name="_Toc104040687"/>
      <w:bookmarkStart w:id="49" w:name="_Toc103216635"/>
      <w:bookmarkStart w:id="50" w:name="_Toc101122291"/>
      <w:r>
        <w:rPr>
          <w:rFonts w:hint="eastAsia"/>
          <w:b/>
          <w:bCs/>
          <w:color w:val="auto"/>
          <w:szCs w:val="21"/>
          <w:highlight w:val="none"/>
        </w:rPr>
        <w:t>说明：</w:t>
      </w:r>
    </w:p>
    <w:p w14:paraId="0887AC68">
      <w:pPr>
        <w:pStyle w:val="45"/>
        <w:keepNext w:val="0"/>
        <w:keepLines w:val="0"/>
        <w:pageBreakBefore w:val="0"/>
        <w:widowControl w:val="0"/>
        <w:kinsoku/>
        <w:wordWrap/>
        <w:overflowPunct/>
        <w:topLinePunct w:val="0"/>
        <w:bidi w:val="0"/>
        <w:spacing w:after="0" w:line="360" w:lineRule="auto"/>
        <w:ind w:left="0" w:leftChars="0" w:firstLine="422"/>
        <w:rPr>
          <w:rFonts w:hint="eastAsia"/>
          <w:b/>
          <w:bCs/>
          <w:color w:val="auto"/>
          <w:szCs w:val="21"/>
          <w:highlight w:val="none"/>
        </w:rPr>
      </w:pPr>
      <w:r>
        <w:rPr>
          <w:b/>
          <w:bCs/>
          <w:color w:val="auto"/>
          <w:szCs w:val="21"/>
          <w:highlight w:val="none"/>
        </w:rPr>
        <w:t>1.</w:t>
      </w:r>
      <w:r>
        <w:rPr>
          <w:rFonts w:hint="eastAsia"/>
          <w:b/>
          <w:bCs/>
          <w:color w:val="auto"/>
          <w:szCs w:val="21"/>
          <w:highlight w:val="none"/>
        </w:rPr>
        <w:t>供应商须对本项目的采购标的进行整体响应，任何只对本项目采购标的其中一部分内容或数量进行响应的，将作无效投标（响应）处理</w:t>
      </w:r>
      <w:r>
        <w:rPr>
          <w:b/>
          <w:bCs/>
          <w:color w:val="auto"/>
          <w:szCs w:val="21"/>
          <w:highlight w:val="none"/>
        </w:rPr>
        <w:t>。</w:t>
      </w:r>
    </w:p>
    <w:p w14:paraId="0EE48F56">
      <w:pPr>
        <w:pStyle w:val="45"/>
        <w:keepNext w:val="0"/>
        <w:keepLines w:val="0"/>
        <w:pageBreakBefore w:val="0"/>
        <w:widowControl w:val="0"/>
        <w:kinsoku/>
        <w:wordWrap/>
        <w:overflowPunct/>
        <w:topLinePunct w:val="0"/>
        <w:bidi w:val="0"/>
        <w:spacing w:after="0" w:line="360" w:lineRule="auto"/>
        <w:ind w:left="0" w:leftChars="0" w:firstLine="422"/>
        <w:rPr>
          <w:rFonts w:hint="eastAsia"/>
          <w:b/>
          <w:bCs/>
          <w:color w:val="auto"/>
          <w:szCs w:val="21"/>
          <w:highlight w:val="none"/>
        </w:rPr>
      </w:pPr>
      <w:r>
        <w:rPr>
          <w:b/>
          <w:bCs/>
          <w:color w:val="auto"/>
          <w:szCs w:val="21"/>
          <w:highlight w:val="none"/>
        </w:rPr>
        <w:t>2.采购需求中标注“★”号条款为实质性条款，供应商须按要求对其进行逐条响应，当出现负偏离或未响应，将作无效</w:t>
      </w:r>
      <w:r>
        <w:rPr>
          <w:rFonts w:hint="eastAsia"/>
          <w:b/>
          <w:bCs/>
          <w:color w:val="auto"/>
          <w:szCs w:val="21"/>
          <w:highlight w:val="none"/>
        </w:rPr>
        <w:t>投标（响应）</w:t>
      </w:r>
      <w:r>
        <w:rPr>
          <w:b/>
          <w:bCs/>
          <w:color w:val="auto"/>
          <w:szCs w:val="21"/>
          <w:highlight w:val="none"/>
        </w:rPr>
        <w:t>处理；若要求提供证明材料，还须按要求提供证明材料，否则将作无效</w:t>
      </w:r>
      <w:r>
        <w:rPr>
          <w:rFonts w:hint="eastAsia"/>
          <w:b/>
          <w:bCs/>
          <w:color w:val="auto"/>
          <w:szCs w:val="21"/>
          <w:highlight w:val="none"/>
        </w:rPr>
        <w:t>投标（响应）</w:t>
      </w:r>
      <w:r>
        <w:rPr>
          <w:b/>
          <w:bCs/>
          <w:color w:val="auto"/>
          <w:szCs w:val="21"/>
          <w:highlight w:val="none"/>
        </w:rPr>
        <w:t>处理。</w:t>
      </w:r>
    </w:p>
    <w:p w14:paraId="085EA392">
      <w:pPr>
        <w:pStyle w:val="45"/>
        <w:keepNext w:val="0"/>
        <w:keepLines w:val="0"/>
        <w:pageBreakBefore w:val="0"/>
        <w:widowControl w:val="0"/>
        <w:kinsoku/>
        <w:wordWrap/>
        <w:overflowPunct/>
        <w:topLinePunct w:val="0"/>
        <w:bidi w:val="0"/>
        <w:spacing w:after="0" w:line="360" w:lineRule="auto"/>
        <w:ind w:left="0" w:leftChars="0" w:firstLine="422"/>
        <w:rPr>
          <w:rFonts w:hint="eastAsia"/>
          <w:color w:val="auto"/>
          <w:szCs w:val="21"/>
          <w:highlight w:val="none"/>
        </w:rPr>
      </w:pPr>
      <w:r>
        <w:rPr>
          <w:b/>
          <w:bCs/>
          <w:color w:val="auto"/>
          <w:szCs w:val="21"/>
          <w:highlight w:val="none"/>
        </w:rPr>
        <w:t>3.采购需求中标注“▲”号条款为重要技术条款，供应商须按要求对其进行逐条响应，当出现负偏离或未响应，对应项将不予以计分，不会作无效</w:t>
      </w:r>
      <w:r>
        <w:rPr>
          <w:rFonts w:hint="eastAsia"/>
          <w:b/>
          <w:bCs/>
          <w:color w:val="auto"/>
          <w:szCs w:val="21"/>
          <w:highlight w:val="none"/>
        </w:rPr>
        <w:t>投标（响应）</w:t>
      </w:r>
      <w:r>
        <w:rPr>
          <w:b/>
          <w:bCs/>
          <w:color w:val="auto"/>
          <w:szCs w:val="21"/>
          <w:highlight w:val="none"/>
        </w:rPr>
        <w:t>处理；若要求提供证明材料，还须按要求提供证明材料，否则不予计分。</w:t>
      </w:r>
    </w:p>
    <w:p w14:paraId="45AD76F6">
      <w:pPr>
        <w:keepNext w:val="0"/>
        <w:keepLines w:val="0"/>
        <w:pageBreakBefore w:val="0"/>
        <w:widowControl w:val="0"/>
        <w:kinsoku/>
        <w:wordWrap/>
        <w:overflowPunct/>
        <w:topLinePunct w:val="0"/>
        <w:bidi w:val="0"/>
        <w:adjustRightInd w:val="0"/>
        <w:snapToGrid w:val="0"/>
        <w:spacing w:line="360" w:lineRule="auto"/>
        <w:rPr>
          <w:rFonts w:hint="eastAsia"/>
          <w:color w:val="auto"/>
          <w:szCs w:val="21"/>
          <w:highlight w:val="none"/>
        </w:rPr>
      </w:pPr>
    </w:p>
    <w:p w14:paraId="6606878F">
      <w:pPr>
        <w:keepNext w:val="0"/>
        <w:keepLines w:val="0"/>
        <w:pageBreakBefore w:val="0"/>
        <w:widowControl w:val="0"/>
        <w:kinsoku/>
        <w:wordWrap/>
        <w:overflowPunct/>
        <w:topLinePunct w:val="0"/>
        <w:bidi w:val="0"/>
        <w:spacing w:line="360" w:lineRule="auto"/>
        <w:outlineLvl w:val="1"/>
        <w:rPr>
          <w:rFonts w:hint="eastAsia"/>
          <w:b/>
          <w:bCs/>
          <w:color w:val="auto"/>
          <w:highlight w:val="none"/>
        </w:rPr>
      </w:pPr>
      <w:bookmarkStart w:id="51" w:name="_Toc171529101"/>
      <w:bookmarkStart w:id="52" w:name="_Toc104160554"/>
      <w:bookmarkStart w:id="53" w:name="_Toc104040686"/>
      <w:bookmarkStart w:id="54" w:name="_Toc7170"/>
      <w:r>
        <w:rPr>
          <w:rFonts w:hint="eastAsia"/>
          <w:b/>
          <w:bCs/>
          <w:color w:val="auto"/>
          <w:highlight w:val="none"/>
        </w:rPr>
        <w:t>一、项目概述</w:t>
      </w:r>
      <w:bookmarkEnd w:id="51"/>
      <w:bookmarkEnd w:id="52"/>
      <w:bookmarkEnd w:id="53"/>
      <w:bookmarkEnd w:id="54"/>
    </w:p>
    <w:p w14:paraId="7F2AAD04">
      <w:pPr>
        <w:pStyle w:val="356"/>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color w:val="auto"/>
          <w:sz w:val="21"/>
          <w:szCs w:val="21"/>
          <w:highlight w:val="none"/>
          <w:lang w:eastAsia="zh-CN"/>
        </w:rPr>
      </w:pPr>
      <w:r>
        <w:rPr>
          <w:rFonts w:hint="eastAsia"/>
          <w:color w:val="auto"/>
          <w:sz w:val="21"/>
          <w:szCs w:val="21"/>
          <w:highlight w:val="none"/>
          <w:lang w:val="en-US" w:eastAsia="zh-CN"/>
        </w:rPr>
        <w:t>采购包1拟采购一名合格供应商，在12个月的服务周期内，提供7天*24小时全天候响应服务，保证青茂口岸珠海侧边检通关区域内全部快捷查验通道及人工查验通道系统设施设备（包含学童通道及学童通道监管平台、防尾随设备、LED条屏、补光灯等通道查验相关所有前后台设备）在青茂口岸通关时间内持续稳定正常运行。成交供应商需对服务范围内的所有设备提供故障维修更换保障，负责故障维修更换保障工作的一切费用及风险，包括但不限于购置设备费、材料费、人工费、安装调试费、维修维护费等。</w:t>
      </w:r>
    </w:p>
    <w:p w14:paraId="5F1553D6">
      <w:pPr>
        <w:pStyle w:val="356"/>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采购包2拟采购一名合格供应商，保证青茂边检梅沙查验系统（后台）、视频监控系统、视频会议系统及配套设施设备，及青茂边检所属UPS供配电系统、机房空调系统、弱电信息化系统（含信息发布系统、机房动力环境系统、联动报警系统等7套信息化系统）7*24小时持续稳定正常运行。成交供应商需提供7天*24小时响应的上门服务及现场维护（包含维护维修所需更换设备零部件、易损易耗件及人工、调试等所有支出）；应急状态下、重大节假日及口岸重要敏感时期需安排维护人员到口岸现场值守，以确保故障及时处置。</w:t>
      </w:r>
    </w:p>
    <w:p w14:paraId="5A5C1D33">
      <w:pPr>
        <w:pStyle w:val="356"/>
        <w:keepNext w:val="0"/>
        <w:keepLines w:val="0"/>
        <w:pageBreakBefore w:val="0"/>
        <w:widowControl w:val="0"/>
        <w:kinsoku/>
        <w:wordWrap/>
        <w:overflowPunct/>
        <w:topLinePunct w:val="0"/>
        <w:autoSpaceDE/>
        <w:autoSpaceDN/>
        <w:bidi w:val="0"/>
        <w:spacing w:line="360" w:lineRule="auto"/>
        <w:ind w:firstLine="0" w:firstLineChars="0"/>
        <w:rPr>
          <w:rFonts w:hint="eastAsia"/>
          <w:color w:val="auto"/>
          <w:sz w:val="21"/>
          <w:szCs w:val="21"/>
          <w:highlight w:val="none"/>
          <w:lang w:eastAsia="zh-CN"/>
        </w:rPr>
      </w:pPr>
    </w:p>
    <w:p w14:paraId="25BEDD5A">
      <w:pPr>
        <w:pStyle w:val="364"/>
        <w:keepNext w:val="0"/>
        <w:keepLines w:val="0"/>
        <w:pageBreakBefore w:val="0"/>
        <w:widowControl w:val="0"/>
        <w:kinsoku/>
        <w:wordWrap/>
        <w:overflowPunct/>
        <w:topLinePunct w:val="0"/>
        <w:autoSpaceDE/>
        <w:autoSpaceDN/>
        <w:bidi w:val="0"/>
        <w:spacing w:line="360" w:lineRule="auto"/>
        <w:outlineLvl w:val="1"/>
        <w:rPr>
          <w:rFonts w:hint="default"/>
          <w:color w:val="auto"/>
          <w:sz w:val="21"/>
          <w:szCs w:val="21"/>
          <w:highlight w:val="none"/>
          <w:lang w:val="en-US" w:eastAsia="zh-CN"/>
        </w:rPr>
      </w:pPr>
      <w:bookmarkStart w:id="55" w:name="_Toc26132"/>
      <w:bookmarkStart w:id="56" w:name="_Toc171503946"/>
      <w:r>
        <w:rPr>
          <w:rFonts w:hint="eastAsia"/>
          <w:color w:val="auto"/>
          <w:sz w:val="21"/>
          <w:szCs w:val="21"/>
          <w:highlight w:val="none"/>
          <w:lang w:eastAsia="zh-CN"/>
        </w:rPr>
        <w:t>二、主要商务要求</w:t>
      </w:r>
      <w:bookmarkEnd w:id="55"/>
      <w:r>
        <w:rPr>
          <w:rFonts w:hint="eastAsia"/>
          <w:color w:val="auto"/>
          <w:sz w:val="21"/>
          <w:szCs w:val="21"/>
          <w:highlight w:val="none"/>
          <w:lang w:val="en-US" w:eastAsia="zh-CN"/>
        </w:rPr>
        <w:t>（适用于采购包1、采购包2）：</w:t>
      </w:r>
    </w:p>
    <w:p w14:paraId="139F3AFE">
      <w:pPr>
        <w:pStyle w:val="45"/>
        <w:keepNext w:val="0"/>
        <w:keepLines w:val="0"/>
        <w:pageBreakBefore w:val="0"/>
        <w:widowControl w:val="0"/>
        <w:numPr>
          <w:ilvl w:val="0"/>
          <w:numId w:val="5"/>
        </w:numPr>
        <w:kinsoku/>
        <w:wordWrap/>
        <w:overflowPunct/>
        <w:topLinePunct w:val="0"/>
        <w:bidi w:val="0"/>
        <w:spacing w:after="0" w:line="360" w:lineRule="auto"/>
        <w:ind w:left="0" w:leftChars="0" w:firstLine="420"/>
        <w:jc w:val="both"/>
        <w:rPr>
          <w:rFonts w:hint="eastAsia"/>
          <w:color w:val="auto"/>
          <w:szCs w:val="21"/>
          <w:highlight w:val="none"/>
        </w:rPr>
      </w:pPr>
      <w:r>
        <w:rPr>
          <w:rFonts w:hint="eastAsia"/>
          <w:color w:val="auto"/>
          <w:szCs w:val="21"/>
          <w:highlight w:val="none"/>
        </w:rPr>
        <w:t>标的提供的时间：合同签定前提前5个工作日派人到现场熟悉工作环境并做好维护工作交接，合同签订之日起正式入驻</w:t>
      </w:r>
      <w:r>
        <w:rPr>
          <w:rFonts w:hint="eastAsia"/>
          <w:color w:val="auto"/>
          <w:szCs w:val="21"/>
          <w:highlight w:val="none"/>
          <w:lang w:eastAsia="zh-CN"/>
        </w:rPr>
        <w:t>，</w:t>
      </w:r>
      <w:r>
        <w:rPr>
          <w:rFonts w:hint="eastAsia"/>
          <w:color w:val="auto"/>
          <w:szCs w:val="21"/>
          <w:highlight w:val="none"/>
        </w:rPr>
        <w:t>按要求提供12个月现场维保服务。</w:t>
      </w:r>
    </w:p>
    <w:p w14:paraId="130CD5E0">
      <w:pPr>
        <w:pStyle w:val="45"/>
        <w:keepNext w:val="0"/>
        <w:keepLines w:val="0"/>
        <w:pageBreakBefore w:val="0"/>
        <w:widowControl w:val="0"/>
        <w:numPr>
          <w:ilvl w:val="0"/>
          <w:numId w:val="5"/>
        </w:numPr>
        <w:kinsoku/>
        <w:wordWrap/>
        <w:overflowPunct/>
        <w:topLinePunct w:val="0"/>
        <w:bidi w:val="0"/>
        <w:spacing w:after="0" w:line="360" w:lineRule="auto"/>
        <w:ind w:left="0" w:leftChars="0" w:firstLine="420"/>
        <w:jc w:val="left"/>
        <w:rPr>
          <w:rFonts w:hint="eastAsia"/>
          <w:color w:val="auto"/>
          <w:szCs w:val="21"/>
          <w:highlight w:val="none"/>
        </w:rPr>
      </w:pPr>
      <w:r>
        <w:rPr>
          <w:rFonts w:hint="eastAsia"/>
          <w:color w:val="auto"/>
          <w:szCs w:val="21"/>
          <w:highlight w:val="none"/>
        </w:rPr>
        <w:t>标的提供的地点：广东省珠海市香洲区青茂口岸以及采购</w:t>
      </w:r>
      <w:r>
        <w:rPr>
          <w:rFonts w:hint="eastAsia"/>
          <w:color w:val="auto"/>
          <w:szCs w:val="21"/>
          <w:highlight w:val="none"/>
          <w:lang w:eastAsia="zh-CN"/>
        </w:rPr>
        <w:t>人</w:t>
      </w:r>
      <w:r>
        <w:rPr>
          <w:rFonts w:hint="eastAsia"/>
          <w:color w:val="auto"/>
          <w:szCs w:val="21"/>
          <w:highlight w:val="none"/>
        </w:rPr>
        <w:t>指定的其他地点。</w:t>
      </w:r>
    </w:p>
    <w:p w14:paraId="38DC100E">
      <w:pPr>
        <w:pStyle w:val="45"/>
        <w:keepNext w:val="0"/>
        <w:keepLines w:val="0"/>
        <w:pageBreakBefore w:val="0"/>
        <w:widowControl w:val="0"/>
        <w:numPr>
          <w:ilvl w:val="0"/>
          <w:numId w:val="5"/>
        </w:numPr>
        <w:kinsoku/>
        <w:wordWrap/>
        <w:overflowPunct/>
        <w:topLinePunct w:val="0"/>
        <w:bidi w:val="0"/>
        <w:spacing w:after="0" w:line="360" w:lineRule="auto"/>
        <w:ind w:left="0" w:leftChars="0" w:firstLine="420"/>
        <w:jc w:val="left"/>
        <w:rPr>
          <w:rFonts w:hint="eastAsia"/>
          <w:color w:val="auto"/>
          <w:szCs w:val="21"/>
          <w:highlight w:val="none"/>
        </w:rPr>
      </w:pPr>
      <w:r>
        <w:rPr>
          <w:rFonts w:hint="eastAsia"/>
          <w:color w:val="auto"/>
          <w:szCs w:val="21"/>
          <w:highlight w:val="none"/>
        </w:rPr>
        <w:t>付款方式：</w:t>
      </w:r>
    </w:p>
    <w:p w14:paraId="0BC2805D">
      <w:pPr>
        <w:pStyle w:val="45"/>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Chars="0" w:firstLine="420" w:firstLineChars="200"/>
        <w:jc w:val="both"/>
        <w:textAlignment w:val="auto"/>
        <w:rPr>
          <w:rFonts w:hint="eastAsia"/>
          <w:color w:val="auto"/>
          <w:szCs w:val="21"/>
          <w:highlight w:val="none"/>
        </w:rPr>
      </w:pPr>
      <w:r>
        <w:rPr>
          <w:rFonts w:hint="eastAsia"/>
          <w:color w:val="auto"/>
          <w:szCs w:val="21"/>
          <w:highlight w:val="none"/>
          <w:lang w:eastAsia="zh-CN"/>
        </w:rPr>
        <w:t>（</w:t>
      </w:r>
      <w:r>
        <w:rPr>
          <w:rFonts w:hint="eastAsia"/>
          <w:color w:val="auto"/>
          <w:szCs w:val="21"/>
          <w:highlight w:val="none"/>
          <w:lang w:val="en-US" w:eastAsia="zh-CN"/>
        </w:rPr>
        <w:t>1</w:t>
      </w:r>
      <w:r>
        <w:rPr>
          <w:rFonts w:hint="eastAsia"/>
          <w:color w:val="auto"/>
          <w:szCs w:val="21"/>
          <w:highlight w:val="none"/>
          <w:lang w:eastAsia="zh-CN"/>
        </w:rPr>
        <w:t>）</w:t>
      </w:r>
      <w:r>
        <w:rPr>
          <w:rFonts w:hint="eastAsia"/>
          <w:color w:val="auto"/>
          <w:szCs w:val="21"/>
          <w:highlight w:val="none"/>
        </w:rPr>
        <w:t>合同签订生效后，经</w:t>
      </w:r>
      <w:r>
        <w:rPr>
          <w:rFonts w:hint="eastAsia"/>
          <w:color w:val="auto"/>
          <w:szCs w:val="21"/>
          <w:highlight w:val="none"/>
          <w:lang w:eastAsia="zh-CN"/>
        </w:rPr>
        <w:t>成交供应商</w:t>
      </w:r>
      <w:r>
        <w:rPr>
          <w:rFonts w:hint="eastAsia"/>
          <w:color w:val="auto"/>
          <w:szCs w:val="21"/>
          <w:highlight w:val="none"/>
        </w:rPr>
        <w:t>提出申请，采购</w:t>
      </w:r>
      <w:r>
        <w:rPr>
          <w:rFonts w:hint="eastAsia"/>
          <w:color w:val="auto"/>
          <w:szCs w:val="21"/>
          <w:highlight w:val="none"/>
          <w:lang w:eastAsia="zh-CN"/>
        </w:rPr>
        <w:t>人</w:t>
      </w:r>
      <w:r>
        <w:rPr>
          <w:rFonts w:hint="eastAsia"/>
          <w:color w:val="auto"/>
          <w:szCs w:val="21"/>
          <w:highlight w:val="none"/>
        </w:rPr>
        <w:t>审核通过后，采购</w:t>
      </w:r>
      <w:r>
        <w:rPr>
          <w:rFonts w:hint="eastAsia"/>
          <w:color w:val="auto"/>
          <w:szCs w:val="21"/>
          <w:highlight w:val="none"/>
          <w:lang w:eastAsia="zh-CN"/>
        </w:rPr>
        <w:t>人</w:t>
      </w:r>
      <w:r>
        <w:rPr>
          <w:rFonts w:hint="eastAsia"/>
          <w:color w:val="auto"/>
          <w:szCs w:val="21"/>
          <w:highlight w:val="none"/>
        </w:rPr>
        <w:t>凭</w:t>
      </w:r>
      <w:r>
        <w:rPr>
          <w:rFonts w:hint="eastAsia"/>
          <w:color w:val="auto"/>
          <w:szCs w:val="21"/>
          <w:highlight w:val="none"/>
          <w:lang w:eastAsia="zh-CN"/>
        </w:rPr>
        <w:t>成交供应商</w:t>
      </w:r>
      <w:r>
        <w:rPr>
          <w:rFonts w:hint="eastAsia"/>
          <w:color w:val="auto"/>
          <w:szCs w:val="21"/>
          <w:highlight w:val="none"/>
        </w:rPr>
        <w:t>提供的有效发票于10个工作日内以银行转账形式向</w:t>
      </w:r>
      <w:r>
        <w:rPr>
          <w:rFonts w:hint="eastAsia"/>
          <w:color w:val="auto"/>
          <w:szCs w:val="21"/>
          <w:highlight w:val="none"/>
          <w:lang w:eastAsia="zh-CN"/>
        </w:rPr>
        <w:t>成交供应商</w:t>
      </w:r>
      <w:r>
        <w:rPr>
          <w:rFonts w:hint="eastAsia"/>
          <w:color w:val="auto"/>
          <w:szCs w:val="21"/>
          <w:highlight w:val="none"/>
        </w:rPr>
        <w:t>支付合同</w:t>
      </w:r>
      <w:r>
        <w:rPr>
          <w:rFonts w:hint="eastAsia"/>
          <w:color w:val="auto"/>
          <w:szCs w:val="21"/>
          <w:highlight w:val="none"/>
          <w:lang w:val="en-US" w:eastAsia="zh-CN"/>
        </w:rPr>
        <w:t>总</w:t>
      </w:r>
      <w:r>
        <w:rPr>
          <w:rFonts w:hint="eastAsia"/>
          <w:color w:val="auto"/>
          <w:szCs w:val="21"/>
          <w:highlight w:val="none"/>
        </w:rPr>
        <w:t>金额的30%。</w:t>
      </w:r>
    </w:p>
    <w:p w14:paraId="124E4552">
      <w:pPr>
        <w:pStyle w:val="45"/>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Chars="0" w:firstLine="420" w:firstLineChars="200"/>
        <w:jc w:val="both"/>
        <w:textAlignment w:val="auto"/>
        <w:rPr>
          <w:rFonts w:hint="eastAsia"/>
          <w:color w:val="auto"/>
          <w:szCs w:val="21"/>
          <w:highlight w:val="none"/>
          <w:lang w:eastAsia="zh-CN"/>
        </w:rPr>
      </w:pPr>
      <w:r>
        <w:rPr>
          <w:rFonts w:hint="eastAsia"/>
          <w:color w:val="auto"/>
          <w:szCs w:val="21"/>
          <w:highlight w:val="none"/>
          <w:lang w:eastAsia="zh-CN"/>
        </w:rPr>
        <w:t>（</w:t>
      </w:r>
      <w:r>
        <w:rPr>
          <w:rFonts w:hint="eastAsia"/>
          <w:color w:val="auto"/>
          <w:szCs w:val="21"/>
          <w:highlight w:val="none"/>
          <w:lang w:val="en-US" w:eastAsia="zh-CN"/>
        </w:rPr>
        <w:t>2</w:t>
      </w:r>
      <w:r>
        <w:rPr>
          <w:rFonts w:hint="eastAsia"/>
          <w:color w:val="auto"/>
          <w:szCs w:val="21"/>
          <w:highlight w:val="none"/>
          <w:lang w:eastAsia="zh-CN"/>
        </w:rPr>
        <w:t>）</w:t>
      </w:r>
      <w:r>
        <w:rPr>
          <w:rFonts w:hint="eastAsia"/>
          <w:color w:val="auto"/>
          <w:szCs w:val="21"/>
          <w:highlight w:val="none"/>
          <w:lang w:val="en-US" w:eastAsia="zh-CN"/>
        </w:rPr>
        <w:t>成交供应商</w:t>
      </w:r>
      <w:r>
        <w:rPr>
          <w:rFonts w:hint="eastAsia"/>
          <w:color w:val="auto"/>
          <w:szCs w:val="21"/>
          <w:highlight w:val="none"/>
          <w:lang w:eastAsia="zh-CN"/>
        </w:rPr>
        <w:t>于2025年7月</w:t>
      </w:r>
      <w:r>
        <w:rPr>
          <w:rFonts w:hint="eastAsia"/>
          <w:color w:val="auto"/>
          <w:szCs w:val="21"/>
          <w:highlight w:val="none"/>
          <w:lang w:val="en-US" w:eastAsia="zh-CN"/>
        </w:rPr>
        <w:t>31日前</w:t>
      </w:r>
      <w:r>
        <w:rPr>
          <w:rFonts w:hint="eastAsia"/>
          <w:color w:val="auto"/>
          <w:szCs w:val="21"/>
          <w:highlight w:val="none"/>
          <w:lang w:eastAsia="zh-CN"/>
        </w:rPr>
        <w:t>提出申请，</w:t>
      </w:r>
      <w:r>
        <w:rPr>
          <w:rFonts w:hint="eastAsia"/>
          <w:color w:val="auto"/>
          <w:szCs w:val="21"/>
          <w:highlight w:val="none"/>
          <w:lang w:val="en-US" w:eastAsia="zh-CN"/>
        </w:rPr>
        <w:t>采购人</w:t>
      </w:r>
      <w:r>
        <w:rPr>
          <w:rFonts w:hint="eastAsia"/>
          <w:color w:val="auto"/>
          <w:szCs w:val="21"/>
          <w:highlight w:val="none"/>
          <w:lang w:eastAsia="zh-CN"/>
        </w:rPr>
        <w:t>审核通过后，</w:t>
      </w:r>
      <w:r>
        <w:rPr>
          <w:rFonts w:hint="eastAsia"/>
          <w:color w:val="auto"/>
          <w:szCs w:val="21"/>
          <w:highlight w:val="none"/>
        </w:rPr>
        <w:t>采购</w:t>
      </w:r>
      <w:r>
        <w:rPr>
          <w:rFonts w:hint="eastAsia"/>
          <w:color w:val="auto"/>
          <w:szCs w:val="21"/>
          <w:highlight w:val="none"/>
          <w:lang w:eastAsia="zh-CN"/>
        </w:rPr>
        <w:t>人</w:t>
      </w:r>
      <w:r>
        <w:rPr>
          <w:rFonts w:hint="eastAsia"/>
          <w:color w:val="auto"/>
          <w:szCs w:val="21"/>
          <w:highlight w:val="none"/>
        </w:rPr>
        <w:t>凭</w:t>
      </w:r>
      <w:r>
        <w:rPr>
          <w:rFonts w:hint="eastAsia"/>
          <w:color w:val="auto"/>
          <w:szCs w:val="21"/>
          <w:highlight w:val="none"/>
          <w:lang w:eastAsia="zh-CN"/>
        </w:rPr>
        <w:t>成交供应商提供的有效发票于10个工作日内以银行转账形式向成交供应商支付合同金额的40%。</w:t>
      </w:r>
    </w:p>
    <w:p w14:paraId="0BAE2654">
      <w:pPr>
        <w:pStyle w:val="45"/>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Chars="0" w:firstLine="420" w:firstLineChars="200"/>
        <w:jc w:val="both"/>
        <w:textAlignment w:val="auto"/>
        <w:rPr>
          <w:rFonts w:hint="eastAsia"/>
          <w:color w:val="auto"/>
          <w:szCs w:val="21"/>
          <w:highlight w:val="none"/>
          <w:lang w:eastAsia="zh-CN"/>
        </w:rPr>
      </w:pPr>
      <w:r>
        <w:rPr>
          <w:rFonts w:hint="eastAsia"/>
          <w:color w:val="auto"/>
          <w:szCs w:val="21"/>
          <w:highlight w:val="none"/>
          <w:lang w:eastAsia="zh-CN"/>
        </w:rPr>
        <w:t>（</w:t>
      </w:r>
      <w:r>
        <w:rPr>
          <w:rFonts w:hint="eastAsia"/>
          <w:color w:val="auto"/>
          <w:szCs w:val="21"/>
          <w:highlight w:val="none"/>
          <w:lang w:val="en-US" w:eastAsia="zh-CN"/>
        </w:rPr>
        <w:t>3</w:t>
      </w:r>
      <w:r>
        <w:rPr>
          <w:rFonts w:hint="eastAsia"/>
          <w:color w:val="auto"/>
          <w:szCs w:val="21"/>
          <w:highlight w:val="none"/>
          <w:lang w:eastAsia="zh-CN"/>
        </w:rPr>
        <w:t>）成交供应商于2025年9月</w:t>
      </w:r>
      <w:r>
        <w:rPr>
          <w:rFonts w:hint="eastAsia"/>
          <w:color w:val="auto"/>
          <w:szCs w:val="21"/>
          <w:highlight w:val="none"/>
          <w:lang w:val="en-US" w:eastAsia="zh-CN"/>
        </w:rPr>
        <w:t>30日前</w:t>
      </w:r>
      <w:r>
        <w:rPr>
          <w:rFonts w:hint="eastAsia"/>
          <w:color w:val="auto"/>
          <w:szCs w:val="21"/>
          <w:highlight w:val="none"/>
          <w:lang w:eastAsia="zh-CN"/>
        </w:rPr>
        <w:t>提出申请，</w:t>
      </w:r>
      <w:r>
        <w:rPr>
          <w:rFonts w:hint="eastAsia"/>
          <w:color w:val="auto"/>
          <w:szCs w:val="21"/>
          <w:highlight w:val="none"/>
          <w:lang w:val="en-US" w:eastAsia="zh-CN"/>
        </w:rPr>
        <w:t>采购人</w:t>
      </w:r>
      <w:r>
        <w:rPr>
          <w:rFonts w:hint="eastAsia"/>
          <w:color w:val="auto"/>
          <w:szCs w:val="21"/>
          <w:highlight w:val="none"/>
          <w:lang w:eastAsia="zh-CN"/>
        </w:rPr>
        <w:t>审核通过后，</w:t>
      </w:r>
      <w:r>
        <w:rPr>
          <w:rFonts w:hint="eastAsia"/>
          <w:color w:val="auto"/>
          <w:szCs w:val="21"/>
          <w:highlight w:val="none"/>
        </w:rPr>
        <w:t>采购</w:t>
      </w:r>
      <w:r>
        <w:rPr>
          <w:rFonts w:hint="eastAsia"/>
          <w:color w:val="auto"/>
          <w:szCs w:val="21"/>
          <w:highlight w:val="none"/>
          <w:lang w:eastAsia="zh-CN"/>
        </w:rPr>
        <w:t>人</w:t>
      </w:r>
      <w:r>
        <w:rPr>
          <w:rFonts w:hint="eastAsia"/>
          <w:color w:val="auto"/>
          <w:szCs w:val="21"/>
          <w:highlight w:val="none"/>
        </w:rPr>
        <w:t>凭</w:t>
      </w:r>
      <w:r>
        <w:rPr>
          <w:rFonts w:hint="eastAsia"/>
          <w:color w:val="auto"/>
          <w:szCs w:val="21"/>
          <w:highlight w:val="none"/>
          <w:lang w:eastAsia="zh-CN"/>
        </w:rPr>
        <w:t>成交供应商提供的有效发票于10个工作日内以银行转账形式向成交供应商支付合同金额的30%。</w:t>
      </w:r>
    </w:p>
    <w:p w14:paraId="5CBF036A">
      <w:pPr>
        <w:pStyle w:val="45"/>
        <w:keepNext w:val="0"/>
        <w:keepLines w:val="0"/>
        <w:pageBreakBefore w:val="0"/>
        <w:widowControl w:val="0"/>
        <w:numPr>
          <w:ilvl w:val="0"/>
          <w:numId w:val="5"/>
        </w:numPr>
        <w:kinsoku/>
        <w:wordWrap/>
        <w:overflowPunct/>
        <w:topLinePunct w:val="0"/>
        <w:bidi w:val="0"/>
        <w:spacing w:after="0" w:line="360" w:lineRule="auto"/>
        <w:ind w:left="0" w:leftChars="0" w:firstLine="420"/>
        <w:jc w:val="left"/>
        <w:rPr>
          <w:rFonts w:hint="eastAsia"/>
          <w:color w:val="auto"/>
          <w:szCs w:val="21"/>
          <w:highlight w:val="none"/>
        </w:rPr>
      </w:pPr>
      <w:r>
        <w:rPr>
          <w:rFonts w:hint="eastAsia"/>
          <w:color w:val="auto"/>
          <w:szCs w:val="21"/>
          <w:highlight w:val="none"/>
        </w:rPr>
        <w:t>验收要求：</w:t>
      </w:r>
    </w:p>
    <w:p w14:paraId="76B214FE">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rPr>
      </w:pPr>
      <w:r>
        <w:rPr>
          <w:color w:val="auto"/>
          <w:szCs w:val="21"/>
          <w:highlight w:val="none"/>
        </w:rPr>
        <w:t>验收方式：</w:t>
      </w:r>
      <w:r>
        <w:rPr>
          <w:rFonts w:hint="eastAsia"/>
          <w:color w:val="auto"/>
          <w:szCs w:val="21"/>
          <w:highlight w:val="none"/>
        </w:rPr>
        <w:t>在12个月的服务周期</w:t>
      </w:r>
      <w:r>
        <w:rPr>
          <w:rFonts w:hint="eastAsia"/>
          <w:color w:val="auto"/>
          <w:szCs w:val="21"/>
          <w:highlight w:val="none"/>
          <w:lang w:val="en-US" w:eastAsia="zh-CN"/>
        </w:rPr>
        <w:t>内</w:t>
      </w:r>
      <w:r>
        <w:rPr>
          <w:rFonts w:hint="eastAsia"/>
          <w:color w:val="auto"/>
          <w:szCs w:val="21"/>
          <w:highlight w:val="none"/>
          <w:lang w:eastAsia="zh-CN"/>
        </w:rPr>
        <w:t>，</w:t>
      </w:r>
      <w:r>
        <w:rPr>
          <w:rFonts w:hint="eastAsia"/>
          <w:color w:val="auto"/>
          <w:szCs w:val="21"/>
          <w:highlight w:val="none"/>
        </w:rPr>
        <w:t>采购</w:t>
      </w:r>
      <w:r>
        <w:rPr>
          <w:rFonts w:hint="eastAsia"/>
          <w:color w:val="auto"/>
          <w:szCs w:val="21"/>
          <w:highlight w:val="none"/>
          <w:lang w:eastAsia="zh-CN"/>
        </w:rPr>
        <w:t>人</w:t>
      </w:r>
      <w:r>
        <w:rPr>
          <w:rFonts w:hint="eastAsia"/>
          <w:color w:val="auto"/>
          <w:szCs w:val="21"/>
          <w:highlight w:val="none"/>
        </w:rPr>
        <w:t>对成交供应商的履约情况进行考核检查，考核结果与支付的服务费挂钩</w:t>
      </w:r>
      <w:r>
        <w:rPr>
          <w:rFonts w:hint="eastAsia"/>
          <w:color w:val="auto"/>
          <w:szCs w:val="21"/>
          <w:highlight w:val="none"/>
          <w:lang w:eastAsia="zh-CN"/>
        </w:rPr>
        <w:t>。</w:t>
      </w:r>
      <w:r>
        <w:rPr>
          <w:rFonts w:hint="eastAsia"/>
          <w:color w:val="auto"/>
          <w:szCs w:val="21"/>
          <w:highlight w:val="none"/>
          <w:lang w:val="en-US" w:eastAsia="zh-CN"/>
        </w:rPr>
        <w:t>若成交供应商出现对采购人</w:t>
      </w:r>
      <w:r>
        <w:rPr>
          <w:rFonts w:hint="eastAsia"/>
          <w:color w:val="auto"/>
          <w:szCs w:val="21"/>
          <w:highlight w:val="none"/>
        </w:rPr>
        <w:t>提出的正常需求不及时响应</w:t>
      </w:r>
      <w:r>
        <w:rPr>
          <w:rFonts w:hint="eastAsia"/>
          <w:color w:val="auto"/>
          <w:szCs w:val="21"/>
          <w:highlight w:val="none"/>
          <w:lang w:eastAsia="zh-CN"/>
        </w:rPr>
        <w:t>，</w:t>
      </w:r>
      <w:r>
        <w:rPr>
          <w:rFonts w:hint="eastAsia"/>
          <w:color w:val="auto"/>
          <w:szCs w:val="21"/>
          <w:highlight w:val="none"/>
        </w:rPr>
        <w:t>不严格履行合同内容</w:t>
      </w:r>
      <w:r>
        <w:rPr>
          <w:rFonts w:hint="eastAsia"/>
          <w:color w:val="auto"/>
          <w:szCs w:val="21"/>
          <w:highlight w:val="none"/>
          <w:lang w:eastAsia="zh-CN"/>
        </w:rPr>
        <w:t>，</w:t>
      </w:r>
      <w:r>
        <w:rPr>
          <w:rFonts w:hint="eastAsia"/>
          <w:color w:val="auto"/>
          <w:szCs w:val="21"/>
          <w:highlight w:val="none"/>
        </w:rPr>
        <w:t>在合同期内不能按要求和响应承诺响应服务</w:t>
      </w:r>
      <w:r>
        <w:rPr>
          <w:rFonts w:hint="eastAsia"/>
          <w:color w:val="auto"/>
          <w:szCs w:val="21"/>
          <w:highlight w:val="none"/>
          <w:lang w:eastAsia="zh-CN"/>
        </w:rPr>
        <w:t>，</w:t>
      </w:r>
      <w:r>
        <w:rPr>
          <w:rFonts w:hint="eastAsia"/>
          <w:color w:val="auto"/>
          <w:szCs w:val="21"/>
          <w:highlight w:val="none"/>
        </w:rPr>
        <w:t>以及成交供应商维护不力造成采购</w:t>
      </w:r>
      <w:r>
        <w:rPr>
          <w:rFonts w:hint="eastAsia"/>
          <w:color w:val="auto"/>
          <w:szCs w:val="21"/>
          <w:highlight w:val="none"/>
          <w:lang w:eastAsia="zh-CN"/>
        </w:rPr>
        <w:t>人</w:t>
      </w:r>
      <w:r>
        <w:rPr>
          <w:rFonts w:hint="eastAsia"/>
          <w:color w:val="auto"/>
          <w:szCs w:val="21"/>
          <w:highlight w:val="none"/>
        </w:rPr>
        <w:t>系统故障及利益受损等</w:t>
      </w:r>
      <w:r>
        <w:rPr>
          <w:rFonts w:hint="eastAsia"/>
          <w:color w:val="auto"/>
          <w:szCs w:val="21"/>
          <w:highlight w:val="none"/>
          <w:lang w:val="en-US" w:eastAsia="zh-CN"/>
        </w:rPr>
        <w:t>任一情形，视为成交供应商违约，采购人有权要求成交供应商赔偿损失</w:t>
      </w:r>
      <w:r>
        <w:rPr>
          <w:rFonts w:hint="eastAsia"/>
          <w:color w:val="auto"/>
          <w:szCs w:val="21"/>
          <w:highlight w:val="none"/>
        </w:rPr>
        <w:t>。</w:t>
      </w:r>
    </w:p>
    <w:p w14:paraId="50CFB181">
      <w:pPr>
        <w:pStyle w:val="45"/>
        <w:keepNext w:val="0"/>
        <w:keepLines w:val="0"/>
        <w:pageBreakBefore w:val="0"/>
        <w:widowControl w:val="0"/>
        <w:kinsoku/>
        <w:wordWrap/>
        <w:overflowPunct/>
        <w:topLinePunct w:val="0"/>
        <w:bidi w:val="0"/>
        <w:spacing w:after="0" w:line="360" w:lineRule="auto"/>
        <w:ind w:left="0" w:leftChars="0"/>
        <w:outlineLvl w:val="1"/>
        <w:rPr>
          <w:rFonts w:hint="eastAsia" w:ascii="宋体" w:hAnsi="宋体" w:eastAsia="宋体" w:cs="宋体"/>
          <w:b/>
          <w:bCs/>
          <w:color w:val="auto"/>
          <w:kern w:val="21"/>
          <w:szCs w:val="21"/>
          <w:highlight w:val="none"/>
          <w:lang w:eastAsia="zh-CN"/>
        </w:rPr>
      </w:pPr>
      <w:r>
        <w:rPr>
          <w:rFonts w:hint="eastAsia" w:ascii="宋体" w:hAnsi="宋体" w:eastAsia="宋体" w:cs="宋体"/>
          <w:b/>
          <w:bCs/>
          <w:color w:val="auto"/>
          <w:kern w:val="21"/>
          <w:szCs w:val="21"/>
          <w:highlight w:val="none"/>
          <w:lang w:eastAsia="zh-CN"/>
        </w:rPr>
        <w:t>采购包1（查验设施设备保养维护）：</w:t>
      </w:r>
    </w:p>
    <w:p w14:paraId="772EE37E">
      <w:pPr>
        <w:pStyle w:val="45"/>
        <w:keepNext w:val="0"/>
        <w:keepLines w:val="0"/>
        <w:pageBreakBefore w:val="0"/>
        <w:widowControl w:val="0"/>
        <w:kinsoku/>
        <w:wordWrap/>
        <w:overflowPunct/>
        <w:topLinePunct w:val="0"/>
        <w:bidi w:val="0"/>
        <w:spacing w:after="0" w:line="360" w:lineRule="auto"/>
        <w:ind w:left="0" w:leftChars="0"/>
        <w:rPr>
          <w:color w:val="auto"/>
          <w:highlight w:val="none"/>
        </w:rPr>
      </w:pPr>
      <w:r>
        <w:rPr>
          <w:color w:val="auto"/>
          <w:szCs w:val="21"/>
          <w:highlight w:val="none"/>
        </w:rPr>
        <w:t>验收标准：</w:t>
      </w:r>
      <w:r>
        <w:rPr>
          <w:rFonts w:hint="eastAsia"/>
          <w:color w:val="auto"/>
          <w:szCs w:val="21"/>
          <w:highlight w:val="none"/>
        </w:rPr>
        <w:t>供应商提供的货物或服务质量符合国家及行业强制标准，采购文件要求、投标（响应）文件承诺及合同要求</w:t>
      </w:r>
      <w:r>
        <w:rPr>
          <w:color w:val="auto"/>
          <w:szCs w:val="21"/>
          <w:highlight w:val="none"/>
        </w:rPr>
        <w:t>。</w:t>
      </w:r>
      <w:r>
        <w:rPr>
          <w:rFonts w:hint="eastAsia"/>
          <w:color w:val="auto"/>
          <w:szCs w:val="21"/>
          <w:highlight w:val="none"/>
        </w:rPr>
        <w:t>在12个月的服务周期内，保证青茂口岸珠海侧边检通关区域内快捷查验通道（100条）及人工查验通道（16条）系统设施设备（包含学童通道及学童通道监管平台、防尾随设备、LED条屏、补光灯等通道查验相关所有前后台设备）在青茂口岸通关时间内持续稳定正常运行。成交供应商需提供7天</w:t>
      </w:r>
      <w:r>
        <w:rPr>
          <w:rFonts w:hint="eastAsia"/>
          <w:color w:val="auto"/>
          <w:szCs w:val="21"/>
          <w:highlight w:val="none"/>
          <w:lang w:val="en-US" w:eastAsia="zh-CN"/>
        </w:rPr>
        <w:t>×</w:t>
      </w:r>
      <w:r>
        <w:rPr>
          <w:rFonts w:hint="eastAsia"/>
          <w:color w:val="auto"/>
          <w:szCs w:val="21"/>
          <w:highlight w:val="none"/>
        </w:rPr>
        <w:t>24小时全天候响应服务，需对服务范围内的所有设备提供故障维修更换保障，负责故障维修更换保障工作的一切费用及风险，包括但不限于购置设备费、材料费、人工费、安装调试费、维修维护费等</w:t>
      </w:r>
      <w:r>
        <w:rPr>
          <w:rFonts w:hint="eastAsia"/>
          <w:color w:val="auto"/>
          <w:szCs w:val="21"/>
          <w:highlight w:val="none"/>
          <w:lang w:eastAsia="zh-CN"/>
        </w:rPr>
        <w:t>。</w:t>
      </w:r>
    </w:p>
    <w:p w14:paraId="75709C06">
      <w:pPr>
        <w:pStyle w:val="45"/>
        <w:keepNext w:val="0"/>
        <w:keepLines w:val="0"/>
        <w:pageBreakBefore w:val="0"/>
        <w:widowControl w:val="0"/>
        <w:kinsoku/>
        <w:wordWrap/>
        <w:overflowPunct/>
        <w:topLinePunct w:val="0"/>
        <w:bidi w:val="0"/>
        <w:spacing w:after="0" w:line="360" w:lineRule="auto"/>
        <w:ind w:left="0" w:leftChars="0"/>
        <w:outlineLvl w:val="1"/>
        <w:rPr>
          <w:rFonts w:hint="eastAsia" w:ascii="宋体" w:hAnsi="宋体" w:eastAsia="宋体" w:cs="宋体"/>
          <w:b/>
          <w:bCs/>
          <w:color w:val="auto"/>
          <w:kern w:val="21"/>
          <w:szCs w:val="21"/>
          <w:highlight w:val="none"/>
          <w:lang w:eastAsia="zh-CN"/>
        </w:rPr>
      </w:pPr>
      <w:r>
        <w:rPr>
          <w:rFonts w:hint="eastAsia" w:ascii="宋体" w:hAnsi="宋体" w:eastAsia="宋体" w:cs="宋体"/>
          <w:b/>
          <w:bCs/>
          <w:color w:val="auto"/>
          <w:kern w:val="21"/>
          <w:szCs w:val="21"/>
          <w:highlight w:val="none"/>
          <w:lang w:eastAsia="zh-CN"/>
        </w:rPr>
        <w:t>采购包</w:t>
      </w:r>
      <w:r>
        <w:rPr>
          <w:rFonts w:hint="eastAsia" w:ascii="宋体" w:hAnsi="宋体" w:eastAsia="宋体" w:cs="宋体"/>
          <w:b/>
          <w:bCs/>
          <w:color w:val="auto"/>
          <w:kern w:val="21"/>
          <w:szCs w:val="21"/>
          <w:highlight w:val="none"/>
          <w:lang w:val="en-US" w:eastAsia="zh-CN"/>
        </w:rPr>
        <w:t>2</w:t>
      </w:r>
      <w:r>
        <w:rPr>
          <w:rFonts w:hint="eastAsia" w:ascii="宋体" w:hAnsi="宋体" w:eastAsia="宋体" w:cs="宋体"/>
          <w:b/>
          <w:bCs/>
          <w:color w:val="auto"/>
          <w:kern w:val="21"/>
          <w:szCs w:val="21"/>
          <w:highlight w:val="none"/>
          <w:lang w:eastAsia="zh-CN"/>
        </w:rPr>
        <w:t>（信息化系统设备保养维护）：</w:t>
      </w:r>
    </w:p>
    <w:p w14:paraId="515AF208">
      <w:pPr>
        <w:pStyle w:val="45"/>
        <w:keepNext w:val="0"/>
        <w:keepLines w:val="0"/>
        <w:pageBreakBefore w:val="0"/>
        <w:widowControl w:val="0"/>
        <w:kinsoku/>
        <w:wordWrap/>
        <w:overflowPunct/>
        <w:topLinePunct w:val="0"/>
        <w:bidi w:val="0"/>
        <w:spacing w:after="0" w:line="360" w:lineRule="auto"/>
        <w:ind w:left="0" w:leftChars="0"/>
        <w:rPr>
          <w:rFonts w:hint="eastAsia"/>
          <w:color w:val="auto"/>
          <w:highlight w:val="none"/>
          <w:lang w:eastAsia="zh-CN"/>
        </w:rPr>
      </w:pPr>
      <w:r>
        <w:rPr>
          <w:color w:val="auto"/>
          <w:szCs w:val="21"/>
          <w:highlight w:val="none"/>
        </w:rPr>
        <w:t>验收标准：</w:t>
      </w:r>
      <w:r>
        <w:rPr>
          <w:rFonts w:hint="eastAsia"/>
          <w:color w:val="auto"/>
          <w:szCs w:val="21"/>
          <w:highlight w:val="none"/>
        </w:rPr>
        <w:t>供应商提供的货物或服务质量符合国家及行业强制标准，采购文件要求、投标（响应）文件承诺及合同要求。在12个月的服务周期内，</w:t>
      </w:r>
      <w:r>
        <w:rPr>
          <w:rFonts w:hint="default"/>
          <w:color w:val="auto"/>
          <w:szCs w:val="21"/>
          <w:highlight w:val="none"/>
          <w:lang w:val="en-US" w:eastAsia="zh-CN"/>
        </w:rPr>
        <w:t>在</w:t>
      </w:r>
      <w:r>
        <w:rPr>
          <w:rFonts w:hint="eastAsia"/>
          <w:color w:val="auto"/>
          <w:szCs w:val="21"/>
          <w:highlight w:val="none"/>
          <w:lang w:val="en-US" w:eastAsia="zh-CN"/>
        </w:rPr>
        <w:t>约定</w:t>
      </w:r>
      <w:r>
        <w:rPr>
          <w:rFonts w:hint="default"/>
          <w:color w:val="auto"/>
          <w:szCs w:val="21"/>
          <w:highlight w:val="none"/>
          <w:lang w:val="en-US" w:eastAsia="zh-CN"/>
        </w:rPr>
        <w:t>的服务周期内，</w:t>
      </w:r>
      <w:r>
        <w:rPr>
          <w:rFonts w:hint="eastAsia"/>
          <w:color w:val="auto"/>
          <w:szCs w:val="21"/>
          <w:highlight w:val="none"/>
          <w:lang w:val="en-US" w:eastAsia="zh-CN"/>
        </w:rPr>
        <w:t>保证青茂边检梅沙查验系统（后台）、视频监控系统、视频会议系统及配套设施设备，及青茂边检所属UPS供配电系统、机房空调系统、弱电信息化系统（含信息发布系统、机房动力环境系统、联动报警系统等7套信息化系统）7*24小时持续稳定正常运行。成交供应商需提供7天*24小时响应的上门服务及现场维护（包含维护维修所需更换设备零部件、易损易耗件及人工、调试等所有支出）；应急状态下、重大节假日及口岸重要敏感时期需安排维护人员到口岸现场值守，以确保故障及时处置。</w:t>
      </w:r>
    </w:p>
    <w:p w14:paraId="7BF5F926">
      <w:pPr>
        <w:pStyle w:val="45"/>
        <w:keepNext w:val="0"/>
        <w:keepLines w:val="0"/>
        <w:pageBreakBefore w:val="0"/>
        <w:widowControl w:val="0"/>
        <w:numPr>
          <w:ilvl w:val="0"/>
          <w:numId w:val="5"/>
        </w:numPr>
        <w:kinsoku/>
        <w:wordWrap/>
        <w:overflowPunct/>
        <w:topLinePunct w:val="0"/>
        <w:bidi w:val="0"/>
        <w:spacing w:after="0" w:line="360" w:lineRule="auto"/>
        <w:ind w:left="0" w:leftChars="0" w:firstLine="420"/>
        <w:jc w:val="left"/>
        <w:rPr>
          <w:rFonts w:hint="eastAsia"/>
          <w:color w:val="auto"/>
          <w:szCs w:val="21"/>
          <w:highlight w:val="none"/>
        </w:rPr>
      </w:pPr>
      <w:r>
        <w:rPr>
          <w:rFonts w:hint="eastAsia"/>
          <w:color w:val="auto"/>
          <w:szCs w:val="21"/>
          <w:highlight w:val="none"/>
        </w:rPr>
        <w:t>履约保证金：本项目收取履约保证金，具体规定如下：</w:t>
      </w:r>
    </w:p>
    <w:p w14:paraId="61FDBF5D">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（1）履约保证金金额：按</w:t>
      </w:r>
      <w:r>
        <w:rPr>
          <w:rFonts w:hint="eastAsia"/>
          <w:color w:val="auto"/>
          <w:szCs w:val="21"/>
          <w:highlight w:val="none"/>
          <w:lang w:val="en-US" w:eastAsia="zh-CN"/>
        </w:rPr>
        <w:t>成交</w:t>
      </w:r>
      <w:r>
        <w:rPr>
          <w:rFonts w:hint="eastAsia"/>
          <w:color w:val="auto"/>
          <w:szCs w:val="21"/>
          <w:highlight w:val="none"/>
        </w:rPr>
        <w:t>金额的</w:t>
      </w:r>
      <w:r>
        <w:rPr>
          <w:color w:val="auto"/>
          <w:szCs w:val="21"/>
          <w:highlight w:val="none"/>
          <w:u w:val="single"/>
        </w:rPr>
        <w:t xml:space="preserve"> </w:t>
      </w:r>
      <w:r>
        <w:rPr>
          <w:rFonts w:hint="eastAsia"/>
          <w:color w:val="auto"/>
          <w:szCs w:val="21"/>
          <w:highlight w:val="none"/>
          <w:u w:val="single"/>
          <w:lang w:val="en-US" w:eastAsia="zh-CN"/>
        </w:rPr>
        <w:t>10</w:t>
      </w:r>
      <w:r>
        <w:rPr>
          <w:color w:val="auto"/>
          <w:szCs w:val="21"/>
          <w:highlight w:val="none"/>
          <w:u w:val="single"/>
        </w:rPr>
        <w:t xml:space="preserve"> </w:t>
      </w:r>
      <w:r>
        <w:rPr>
          <w:color w:val="auto"/>
          <w:szCs w:val="21"/>
          <w:highlight w:val="none"/>
        </w:rPr>
        <w:t>%</w:t>
      </w:r>
      <w:r>
        <w:rPr>
          <w:rFonts w:hint="eastAsia"/>
          <w:color w:val="auto"/>
          <w:szCs w:val="21"/>
          <w:highlight w:val="none"/>
        </w:rPr>
        <w:t>，向下求整收取</w:t>
      </w:r>
      <w:r>
        <w:rPr>
          <w:rFonts w:hint="eastAsia"/>
          <w:color w:val="auto"/>
          <w:szCs w:val="21"/>
          <w:highlight w:val="none"/>
          <w:lang w:eastAsia="zh-CN"/>
        </w:rPr>
        <w:t>，成交供应商</w:t>
      </w:r>
      <w:r>
        <w:rPr>
          <w:rFonts w:hint="eastAsia"/>
          <w:color w:val="auto"/>
          <w:szCs w:val="21"/>
          <w:highlight w:val="none"/>
          <w:lang w:val="en-US" w:eastAsia="zh-CN"/>
        </w:rPr>
        <w:t>应</w:t>
      </w:r>
      <w:r>
        <w:rPr>
          <w:rFonts w:hint="eastAsia"/>
          <w:color w:val="auto"/>
          <w:szCs w:val="21"/>
          <w:highlight w:val="none"/>
          <w:lang w:eastAsia="zh-CN"/>
        </w:rPr>
        <w:t>在合同签订后七个工作日内缴纳</w:t>
      </w:r>
      <w:r>
        <w:rPr>
          <w:rFonts w:hint="eastAsia"/>
          <w:color w:val="auto"/>
          <w:szCs w:val="21"/>
          <w:highlight w:val="none"/>
        </w:rPr>
        <w:t>。</w:t>
      </w:r>
    </w:p>
    <w:p w14:paraId="782B0FB0">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（2）履约保证金递交方式：银行转账、支票、汇票、本票或者金融机构、担保机构出具的保函等非现金方式。</w:t>
      </w:r>
    </w:p>
    <w:p w14:paraId="72D2B523">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（3）履约保证金退还方式、时间及条件：</w:t>
      </w:r>
      <w:r>
        <w:rPr>
          <w:rFonts w:hint="eastAsia"/>
          <w:color w:val="auto"/>
          <w:szCs w:val="21"/>
          <w:highlight w:val="none"/>
          <w:u w:val="single"/>
        </w:rPr>
        <w:t xml:space="preserve">服务期满且无服务质量问题的情况下，由成交供应商向采购人提出书面申请，采购人根据合同履约情况并经审核程序后，30个日历日内无息退还。 </w:t>
      </w:r>
    </w:p>
    <w:p w14:paraId="0E0F6147">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（4）备注：</w:t>
      </w:r>
    </w:p>
    <w:p w14:paraId="18AEF572">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fldChar w:fldCharType="begin"/>
      </w:r>
      <w:r>
        <w:rPr>
          <w:rFonts w:hint="eastAsia"/>
          <w:color w:val="auto"/>
          <w:szCs w:val="21"/>
          <w:highlight w:val="none"/>
        </w:rPr>
        <w:instrText xml:space="preserve"> = 1 \* GB3 </w:instrText>
      </w:r>
      <w:r>
        <w:rPr>
          <w:rFonts w:hint="eastAsia"/>
          <w:color w:val="auto"/>
          <w:szCs w:val="21"/>
          <w:highlight w:val="none"/>
        </w:rPr>
        <w:fldChar w:fldCharType="separate"/>
      </w:r>
      <w:r>
        <w:rPr>
          <w:rFonts w:hint="eastAsia"/>
          <w:color w:val="auto"/>
          <w:szCs w:val="21"/>
          <w:highlight w:val="none"/>
        </w:rPr>
        <w:t>①</w:t>
      </w:r>
      <w:r>
        <w:rPr>
          <w:rFonts w:hint="eastAsia"/>
          <w:color w:val="auto"/>
          <w:szCs w:val="21"/>
          <w:highlight w:val="none"/>
        </w:rPr>
        <w:fldChar w:fldCharType="end"/>
      </w:r>
      <w:r>
        <w:rPr>
          <w:rFonts w:hint="eastAsia"/>
          <w:color w:val="auto"/>
          <w:szCs w:val="21"/>
          <w:highlight w:val="none"/>
        </w:rPr>
        <w:t>履约保证金不足额缴纳的（包含保函额度不足的），或者不按规定提交方式提交的，或者保函有效期低于合同履行期限（即合同中规定的当事人履行自己的义务，如交付标的物、价款或者报酬，履行劳务、完成工作的时间界限）的，不予签订合同。</w:t>
      </w:r>
    </w:p>
    <w:p w14:paraId="7C1D90E6">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lang w:val="en-US" w:eastAsia="zh-CN"/>
        </w:rPr>
      </w:pPr>
      <w:r>
        <w:rPr>
          <w:rFonts w:hint="eastAsia"/>
          <w:color w:val="auto"/>
          <w:szCs w:val="21"/>
          <w:highlight w:val="none"/>
        </w:rPr>
        <w:fldChar w:fldCharType="begin"/>
      </w:r>
      <w:r>
        <w:rPr>
          <w:rFonts w:hint="eastAsia"/>
          <w:color w:val="auto"/>
          <w:szCs w:val="21"/>
          <w:highlight w:val="none"/>
        </w:rPr>
        <w:instrText xml:space="preserve"> = 2 \* GB3 </w:instrText>
      </w:r>
      <w:r>
        <w:rPr>
          <w:rFonts w:hint="eastAsia"/>
          <w:color w:val="auto"/>
          <w:szCs w:val="21"/>
          <w:highlight w:val="none"/>
        </w:rPr>
        <w:fldChar w:fldCharType="separate"/>
      </w:r>
      <w:r>
        <w:rPr>
          <w:rFonts w:hint="eastAsia"/>
          <w:color w:val="auto"/>
          <w:szCs w:val="21"/>
          <w:highlight w:val="none"/>
        </w:rPr>
        <w:t>②</w:t>
      </w:r>
      <w:r>
        <w:rPr>
          <w:rFonts w:hint="eastAsia"/>
          <w:color w:val="auto"/>
          <w:szCs w:val="21"/>
          <w:highlight w:val="none"/>
        </w:rPr>
        <w:fldChar w:fldCharType="end"/>
      </w:r>
      <w:r>
        <w:rPr>
          <w:rFonts w:hint="eastAsia"/>
          <w:color w:val="auto"/>
          <w:szCs w:val="21"/>
          <w:highlight w:val="none"/>
        </w:rPr>
        <w:t>如有违约情形，采购人有权直接扣除相应金额。</w:t>
      </w:r>
    </w:p>
    <w:p w14:paraId="4E92BE20">
      <w:pPr>
        <w:widowControl w:val="0"/>
        <w:spacing w:line="360" w:lineRule="auto"/>
        <w:ind w:firstLine="420" w:firstLineChars="200"/>
        <w:rPr>
          <w:rFonts w:hint="eastAsia"/>
          <w:color w:val="auto"/>
          <w:szCs w:val="21"/>
          <w:highlight w:val="none"/>
        </w:rPr>
      </w:pPr>
      <w:r>
        <w:rPr>
          <w:rFonts w:hint="eastAsia"/>
          <w:color w:val="auto"/>
          <w:szCs w:val="21"/>
          <w:highlight w:val="none"/>
          <w:lang w:val="en-US" w:eastAsia="zh-CN"/>
        </w:rPr>
        <w:t>③</w:t>
      </w:r>
      <w:r>
        <w:rPr>
          <w:rFonts w:hint="eastAsia"/>
          <w:color w:val="auto"/>
          <w:szCs w:val="21"/>
          <w:highlight w:val="none"/>
        </w:rPr>
        <w:t>成交供应商在合同期内不能按要求和响应承诺响应服务导致履约保证金被扣除的，成交供应商须在五个工作日内对履约保证金进行补齐至合同金额的10%。</w:t>
      </w:r>
    </w:p>
    <w:p w14:paraId="1DF5A01F">
      <w:pPr>
        <w:pStyle w:val="45"/>
        <w:keepNext w:val="0"/>
        <w:keepLines w:val="0"/>
        <w:pageBreakBefore w:val="0"/>
        <w:widowControl w:val="0"/>
        <w:numPr>
          <w:ilvl w:val="0"/>
          <w:numId w:val="5"/>
        </w:numPr>
        <w:kinsoku/>
        <w:wordWrap/>
        <w:overflowPunct/>
        <w:topLinePunct w:val="0"/>
        <w:bidi w:val="0"/>
        <w:spacing w:after="0" w:line="360" w:lineRule="auto"/>
        <w:ind w:left="0" w:leftChars="0" w:firstLine="42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违约责任：</w:t>
      </w:r>
    </w:p>
    <w:p w14:paraId="24888B29">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outlineLvl w:val="1"/>
        <w:rPr>
          <w:rFonts w:hint="eastAsia" w:ascii="宋体" w:hAnsi="宋体" w:eastAsia="宋体" w:cs="宋体"/>
          <w:b/>
          <w:bCs/>
          <w:color w:val="auto"/>
          <w:kern w:val="21"/>
          <w:szCs w:val="21"/>
          <w:highlight w:val="none"/>
          <w:lang w:eastAsia="zh-CN"/>
        </w:rPr>
      </w:pPr>
      <w:r>
        <w:rPr>
          <w:rFonts w:hint="eastAsia" w:ascii="宋体" w:hAnsi="宋体" w:eastAsia="宋体" w:cs="宋体"/>
          <w:b/>
          <w:bCs/>
          <w:color w:val="auto"/>
          <w:kern w:val="21"/>
          <w:szCs w:val="21"/>
          <w:highlight w:val="none"/>
          <w:lang w:eastAsia="zh-CN"/>
        </w:rPr>
        <w:t>采购包1（查验设施设备保养维护）：</w:t>
      </w:r>
    </w:p>
    <w:p w14:paraId="31AF6D1F">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color w:val="auto"/>
          <w:szCs w:val="21"/>
          <w:highlight w:val="none"/>
        </w:rPr>
      </w:pPr>
      <w:r>
        <w:rPr>
          <w:rFonts w:hint="eastAsia"/>
          <w:color w:val="auto"/>
          <w:szCs w:val="21"/>
          <w:highlight w:val="none"/>
        </w:rPr>
        <w:t>（1）因成交供应商响应不及时和维护不力造成口岸开关期间快捷查验通道及人工通道可使用数低于合同维护数量50%，每</w:t>
      </w:r>
      <w:r>
        <w:rPr>
          <w:rFonts w:hint="eastAsia"/>
          <w:color w:val="auto"/>
          <w:szCs w:val="21"/>
          <w:highlight w:val="none"/>
          <w:lang w:val="en-US" w:eastAsia="zh-CN"/>
        </w:rPr>
        <w:t>一</w:t>
      </w:r>
      <w:r>
        <w:rPr>
          <w:rFonts w:hint="eastAsia"/>
          <w:color w:val="auto"/>
          <w:szCs w:val="21"/>
          <w:highlight w:val="none"/>
        </w:rPr>
        <w:t>小时</w:t>
      </w:r>
      <w:r>
        <w:rPr>
          <w:rFonts w:hint="eastAsia"/>
          <w:color w:val="auto"/>
          <w:szCs w:val="21"/>
          <w:highlight w:val="none"/>
          <w:lang w:val="en-US" w:eastAsia="zh-CN"/>
        </w:rPr>
        <w:t>扣除履约保证金</w:t>
      </w:r>
      <w:r>
        <w:rPr>
          <w:rFonts w:hint="eastAsia"/>
          <w:color w:val="auto"/>
          <w:szCs w:val="21"/>
          <w:highlight w:val="none"/>
        </w:rPr>
        <w:t>1万元</w:t>
      </w:r>
      <w:r>
        <w:rPr>
          <w:rFonts w:hint="eastAsia"/>
          <w:color w:val="auto"/>
          <w:szCs w:val="21"/>
          <w:highlight w:val="none"/>
          <w:lang w:eastAsia="zh-CN"/>
        </w:rPr>
        <w:t>，</w:t>
      </w:r>
      <w:r>
        <w:rPr>
          <w:rFonts w:hint="eastAsia"/>
          <w:color w:val="auto"/>
          <w:szCs w:val="21"/>
          <w:highlight w:val="none"/>
          <w:lang w:val="en-US" w:eastAsia="zh-CN"/>
        </w:rPr>
        <w:t>长达3小时未恢复通道使用数，采购人有权解除合同，并要求成交供应商赔偿因此造成的损失</w:t>
      </w:r>
      <w:r>
        <w:rPr>
          <w:rFonts w:hint="eastAsia"/>
          <w:color w:val="auto"/>
          <w:szCs w:val="21"/>
          <w:highlight w:val="none"/>
        </w:rPr>
        <w:t>；对于发生重大故障超过24小时无法解决的</w:t>
      </w:r>
      <w:r>
        <w:rPr>
          <w:rFonts w:hint="eastAsia"/>
          <w:color w:val="auto"/>
          <w:szCs w:val="21"/>
          <w:highlight w:val="none"/>
          <w:lang w:val="en-US" w:eastAsia="zh-CN"/>
        </w:rPr>
        <w:t>情况</w:t>
      </w:r>
      <w:r>
        <w:rPr>
          <w:rFonts w:hint="eastAsia"/>
          <w:color w:val="auto"/>
          <w:szCs w:val="21"/>
          <w:highlight w:val="none"/>
        </w:rPr>
        <w:t>，每</w:t>
      </w:r>
      <w:r>
        <w:rPr>
          <w:rFonts w:hint="eastAsia"/>
          <w:color w:val="auto"/>
          <w:szCs w:val="21"/>
          <w:highlight w:val="none"/>
          <w:lang w:val="en-US" w:eastAsia="zh-CN"/>
        </w:rPr>
        <w:t>有一</w:t>
      </w:r>
      <w:r>
        <w:rPr>
          <w:rFonts w:hint="eastAsia"/>
          <w:color w:val="auto"/>
          <w:szCs w:val="21"/>
          <w:highlight w:val="none"/>
        </w:rPr>
        <w:t>次</w:t>
      </w:r>
      <w:r>
        <w:rPr>
          <w:rFonts w:hint="eastAsia"/>
          <w:color w:val="auto"/>
          <w:szCs w:val="21"/>
          <w:highlight w:val="none"/>
          <w:lang w:val="en-US" w:eastAsia="zh-CN"/>
        </w:rPr>
        <w:t>扣除履约保证金</w:t>
      </w:r>
      <w:r>
        <w:rPr>
          <w:rFonts w:hint="eastAsia"/>
          <w:color w:val="auto"/>
          <w:szCs w:val="21"/>
          <w:highlight w:val="none"/>
        </w:rPr>
        <w:t>1万元</w:t>
      </w:r>
      <w:r>
        <w:rPr>
          <w:rFonts w:hint="eastAsia"/>
          <w:color w:val="auto"/>
          <w:szCs w:val="21"/>
          <w:highlight w:val="none"/>
          <w:lang w:eastAsia="zh-CN"/>
        </w:rPr>
        <w:t>，</w:t>
      </w:r>
      <w:r>
        <w:rPr>
          <w:rFonts w:hint="eastAsia"/>
          <w:color w:val="auto"/>
          <w:szCs w:val="21"/>
          <w:highlight w:val="none"/>
          <w:lang w:val="en-US" w:eastAsia="zh-CN"/>
        </w:rPr>
        <w:t>累计三次，采购人有权解除合同，并要求成交供应商赔偿因此造成的损失</w:t>
      </w:r>
      <w:r>
        <w:rPr>
          <w:rFonts w:hint="eastAsia"/>
          <w:color w:val="auto"/>
          <w:szCs w:val="21"/>
          <w:highlight w:val="none"/>
        </w:rPr>
        <w:t>。</w:t>
      </w:r>
    </w:p>
    <w:p w14:paraId="000751D7">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color w:val="auto"/>
          <w:szCs w:val="21"/>
          <w:highlight w:val="none"/>
        </w:rPr>
      </w:pPr>
      <w:r>
        <w:rPr>
          <w:rFonts w:hint="eastAsia"/>
          <w:color w:val="auto"/>
          <w:szCs w:val="21"/>
          <w:highlight w:val="none"/>
        </w:rPr>
        <w:t>（2）成交供应商到达维修现场超过响应承诺时限30分钟以上的，每</w:t>
      </w:r>
      <w:r>
        <w:rPr>
          <w:rFonts w:hint="eastAsia"/>
          <w:color w:val="auto"/>
          <w:szCs w:val="21"/>
          <w:highlight w:val="none"/>
          <w:lang w:val="en-US" w:eastAsia="zh-CN"/>
        </w:rPr>
        <w:t>有一次扣除履约保证金</w:t>
      </w:r>
      <w:r>
        <w:rPr>
          <w:rFonts w:hint="eastAsia"/>
          <w:color w:val="auto"/>
          <w:szCs w:val="21"/>
          <w:highlight w:val="none"/>
        </w:rPr>
        <w:t>1000元</w:t>
      </w:r>
      <w:r>
        <w:rPr>
          <w:rFonts w:hint="eastAsia"/>
          <w:color w:val="auto"/>
          <w:szCs w:val="21"/>
          <w:highlight w:val="none"/>
          <w:lang w:eastAsia="zh-CN"/>
        </w:rPr>
        <w:t>，</w:t>
      </w:r>
      <w:r>
        <w:rPr>
          <w:rFonts w:hint="eastAsia"/>
          <w:color w:val="auto"/>
          <w:szCs w:val="21"/>
          <w:highlight w:val="none"/>
          <w:lang w:val="en-US" w:eastAsia="zh-CN"/>
        </w:rPr>
        <w:t>单次超时累计每满30分钟扣除履约保证金</w:t>
      </w:r>
      <w:r>
        <w:rPr>
          <w:rFonts w:hint="eastAsia"/>
          <w:color w:val="auto"/>
          <w:szCs w:val="21"/>
          <w:highlight w:val="none"/>
        </w:rPr>
        <w:t>1000元。</w:t>
      </w:r>
    </w:p>
    <w:p w14:paraId="53A710E2">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color w:val="auto"/>
          <w:szCs w:val="21"/>
          <w:highlight w:val="none"/>
        </w:rPr>
      </w:pPr>
      <w:r>
        <w:rPr>
          <w:rFonts w:hint="eastAsia"/>
          <w:color w:val="auto"/>
          <w:szCs w:val="21"/>
          <w:highlight w:val="none"/>
        </w:rPr>
        <w:t>（3）成交供应商三个月内出现3次以上不</w:t>
      </w:r>
      <w:r>
        <w:rPr>
          <w:rFonts w:hint="eastAsia"/>
          <w:color w:val="auto"/>
          <w:szCs w:val="21"/>
          <w:highlight w:val="none"/>
          <w:lang w:val="en-US" w:eastAsia="zh-CN"/>
        </w:rPr>
        <w:t>响应或不</w:t>
      </w:r>
      <w:r>
        <w:rPr>
          <w:rFonts w:hint="eastAsia"/>
          <w:color w:val="auto"/>
          <w:szCs w:val="21"/>
          <w:highlight w:val="none"/>
        </w:rPr>
        <w:t>按时响应服务的，</w:t>
      </w:r>
      <w:r>
        <w:rPr>
          <w:rFonts w:hint="eastAsia"/>
          <w:color w:val="auto"/>
          <w:szCs w:val="21"/>
          <w:highlight w:val="none"/>
          <w:lang w:val="en-US" w:eastAsia="zh-CN"/>
        </w:rPr>
        <w:t>扣除履约保证金</w:t>
      </w:r>
      <w:r>
        <w:rPr>
          <w:rFonts w:hint="eastAsia"/>
          <w:color w:val="auto"/>
          <w:szCs w:val="21"/>
          <w:highlight w:val="none"/>
        </w:rPr>
        <w:t>25%。</w:t>
      </w:r>
    </w:p>
    <w:p w14:paraId="45FA0864">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color w:val="auto"/>
          <w:szCs w:val="21"/>
          <w:highlight w:val="none"/>
        </w:rPr>
      </w:pPr>
      <w:r>
        <w:rPr>
          <w:rFonts w:hint="eastAsia"/>
          <w:color w:val="auto"/>
          <w:szCs w:val="21"/>
          <w:highlight w:val="none"/>
        </w:rPr>
        <w:t>（4）成交供应商维护人员未能按要求在青茂口岸早、晚高峰期间到达指定地点的时间，</w:t>
      </w:r>
      <w:r>
        <w:rPr>
          <w:rFonts w:hint="eastAsia"/>
          <w:color w:val="auto"/>
          <w:szCs w:val="21"/>
          <w:highlight w:val="none"/>
          <w:lang w:val="en-US" w:eastAsia="zh-CN"/>
        </w:rPr>
        <w:t>单人单次迟到</w:t>
      </w:r>
      <w:r>
        <w:rPr>
          <w:rFonts w:hint="eastAsia"/>
          <w:color w:val="auto"/>
          <w:szCs w:val="21"/>
          <w:highlight w:val="none"/>
        </w:rPr>
        <w:t>超</w:t>
      </w:r>
      <w:r>
        <w:rPr>
          <w:rFonts w:hint="eastAsia"/>
          <w:color w:val="auto"/>
          <w:szCs w:val="21"/>
          <w:highlight w:val="none"/>
          <w:lang w:val="en-US" w:eastAsia="zh-CN"/>
        </w:rPr>
        <w:t>时累计每满</w:t>
      </w:r>
      <w:r>
        <w:rPr>
          <w:rFonts w:hint="eastAsia"/>
          <w:color w:val="auto"/>
          <w:szCs w:val="21"/>
          <w:highlight w:val="none"/>
        </w:rPr>
        <w:t>10分钟</w:t>
      </w:r>
      <w:r>
        <w:rPr>
          <w:rFonts w:hint="eastAsia"/>
          <w:color w:val="auto"/>
          <w:szCs w:val="21"/>
          <w:highlight w:val="none"/>
          <w:lang w:eastAsia="zh-CN"/>
        </w:rPr>
        <w:t>，</w:t>
      </w:r>
      <w:r>
        <w:rPr>
          <w:rFonts w:hint="eastAsia"/>
          <w:color w:val="auto"/>
          <w:szCs w:val="21"/>
          <w:highlight w:val="none"/>
          <w:lang w:val="en-US" w:eastAsia="zh-CN"/>
        </w:rPr>
        <w:t>扣除履约保证金</w:t>
      </w:r>
      <w:r>
        <w:rPr>
          <w:rFonts w:hint="eastAsia"/>
          <w:color w:val="auto"/>
          <w:szCs w:val="21"/>
          <w:highlight w:val="none"/>
        </w:rPr>
        <w:t>100元/人。</w:t>
      </w:r>
    </w:p>
    <w:p w14:paraId="6895C04E">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rPr>
      </w:pPr>
      <w:r>
        <w:rPr>
          <w:rFonts w:hint="eastAsia"/>
          <w:color w:val="auto"/>
          <w:szCs w:val="21"/>
          <w:highlight w:val="none"/>
        </w:rPr>
        <w:t>（5）如安排现场人数未达到要求，每发现一次，</w:t>
      </w:r>
      <w:r>
        <w:rPr>
          <w:rFonts w:hint="eastAsia"/>
          <w:color w:val="auto"/>
          <w:szCs w:val="21"/>
          <w:highlight w:val="none"/>
          <w:lang w:val="en-US" w:eastAsia="zh-CN"/>
        </w:rPr>
        <w:t>扣除履约保证金</w:t>
      </w:r>
      <w:r>
        <w:rPr>
          <w:rFonts w:hint="eastAsia"/>
          <w:color w:val="auto"/>
          <w:szCs w:val="21"/>
          <w:highlight w:val="none"/>
        </w:rPr>
        <w:t>2000元；重大节假日或应急状态下，成交供应商未能按采购</w:t>
      </w:r>
      <w:r>
        <w:rPr>
          <w:rFonts w:hint="eastAsia"/>
          <w:color w:val="auto"/>
          <w:szCs w:val="21"/>
          <w:highlight w:val="none"/>
          <w:lang w:eastAsia="zh-CN"/>
        </w:rPr>
        <w:t>人</w:t>
      </w:r>
      <w:r>
        <w:rPr>
          <w:rFonts w:hint="eastAsia"/>
          <w:color w:val="auto"/>
          <w:szCs w:val="21"/>
          <w:highlight w:val="none"/>
        </w:rPr>
        <w:t>要求增派维护人员到口岸现场维护的，</w:t>
      </w:r>
      <w:r>
        <w:rPr>
          <w:rFonts w:hint="eastAsia"/>
          <w:color w:val="auto"/>
          <w:szCs w:val="21"/>
          <w:highlight w:val="none"/>
          <w:lang w:val="en-US" w:eastAsia="zh-CN"/>
        </w:rPr>
        <w:t>按</w:t>
      </w:r>
      <w:r>
        <w:rPr>
          <w:rFonts w:hint="eastAsia"/>
          <w:color w:val="auto"/>
          <w:szCs w:val="21"/>
          <w:highlight w:val="none"/>
        </w:rPr>
        <w:t>每天2000元</w:t>
      </w:r>
      <w:r>
        <w:rPr>
          <w:rFonts w:hint="eastAsia"/>
          <w:color w:val="auto"/>
          <w:szCs w:val="21"/>
          <w:highlight w:val="none"/>
          <w:lang w:val="en-US" w:eastAsia="zh-CN"/>
        </w:rPr>
        <w:t>扣除履约保证金</w:t>
      </w:r>
      <w:r>
        <w:rPr>
          <w:rFonts w:hint="eastAsia"/>
          <w:color w:val="auto"/>
          <w:szCs w:val="21"/>
          <w:highlight w:val="none"/>
        </w:rPr>
        <w:t>。</w:t>
      </w:r>
    </w:p>
    <w:p w14:paraId="1CE732A2">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rPr>
      </w:pPr>
      <w:r>
        <w:rPr>
          <w:rFonts w:hint="eastAsia"/>
          <w:color w:val="auto"/>
          <w:szCs w:val="21"/>
          <w:highlight w:val="none"/>
        </w:rPr>
        <w:t>（6）采购</w:t>
      </w:r>
      <w:r>
        <w:rPr>
          <w:rFonts w:hint="eastAsia"/>
          <w:color w:val="auto"/>
          <w:szCs w:val="21"/>
          <w:highlight w:val="none"/>
          <w:lang w:eastAsia="zh-CN"/>
        </w:rPr>
        <w:t>人</w:t>
      </w:r>
      <w:r>
        <w:rPr>
          <w:rFonts w:hint="eastAsia"/>
          <w:color w:val="auto"/>
          <w:szCs w:val="21"/>
          <w:highlight w:val="none"/>
        </w:rPr>
        <w:t>逾期付款的，应按未付款项部分计算，以每日0.1%的比例向成交供应商偿付逾期付款的违约金，该违约金总额不超过合同金额的5%。</w:t>
      </w:r>
    </w:p>
    <w:p w14:paraId="25DB6BAD">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rPr>
      </w:pPr>
      <w:r>
        <w:rPr>
          <w:rFonts w:hint="eastAsia"/>
          <w:color w:val="auto"/>
          <w:szCs w:val="21"/>
          <w:highlight w:val="none"/>
        </w:rPr>
        <w:t>（7）成交供应商未按设备定期保养服务要求进行定期维护的，每次</w:t>
      </w:r>
      <w:r>
        <w:rPr>
          <w:rFonts w:hint="eastAsia"/>
          <w:color w:val="auto"/>
          <w:szCs w:val="21"/>
          <w:highlight w:val="none"/>
          <w:lang w:val="en-US" w:eastAsia="zh-CN"/>
        </w:rPr>
        <w:t>扣除履约保证金</w:t>
      </w:r>
      <w:r>
        <w:rPr>
          <w:rFonts w:hint="eastAsia"/>
          <w:color w:val="auto"/>
          <w:szCs w:val="21"/>
          <w:highlight w:val="none"/>
        </w:rPr>
        <w:t>2000元。</w:t>
      </w:r>
    </w:p>
    <w:p w14:paraId="69798DE7">
      <w:pPr>
        <w:pStyle w:val="45"/>
        <w:keepNext w:val="0"/>
        <w:keepLines w:val="0"/>
        <w:pageBreakBefore w:val="0"/>
        <w:widowControl w:val="0"/>
        <w:kinsoku/>
        <w:wordWrap/>
        <w:overflowPunct/>
        <w:topLinePunct w:val="0"/>
        <w:bidi w:val="0"/>
        <w:spacing w:after="0" w:line="360" w:lineRule="auto"/>
        <w:ind w:left="0" w:leftChars="0"/>
        <w:rPr>
          <w:rFonts w:hint="eastAsia" w:ascii="宋体" w:hAnsi="宋体" w:eastAsia="宋体" w:cs="Times New Roman"/>
          <w:color w:val="auto"/>
          <w:szCs w:val="21"/>
          <w:highlight w:val="none"/>
        </w:rPr>
      </w:pPr>
      <w:r>
        <w:rPr>
          <w:rFonts w:hint="eastAsia"/>
          <w:color w:val="auto"/>
          <w:szCs w:val="21"/>
          <w:highlight w:val="none"/>
        </w:rPr>
        <w:t>（8）</w:t>
      </w:r>
      <w:r>
        <w:rPr>
          <w:rFonts w:hint="eastAsia"/>
          <w:color w:val="auto"/>
          <w:szCs w:val="21"/>
          <w:highlight w:val="none"/>
          <w:lang w:val="en-US" w:eastAsia="zh-CN"/>
        </w:rPr>
        <w:t>如果</w:t>
      </w:r>
      <w:r>
        <w:rPr>
          <w:rFonts w:hint="eastAsia"/>
          <w:color w:val="auto"/>
          <w:szCs w:val="21"/>
          <w:highlight w:val="none"/>
        </w:rPr>
        <w:t>快捷通道</w:t>
      </w:r>
      <w:r>
        <w:rPr>
          <w:rFonts w:hint="eastAsia"/>
          <w:color w:val="auto"/>
          <w:szCs w:val="21"/>
          <w:highlight w:val="none"/>
          <w:lang w:val="en-US" w:eastAsia="zh-CN"/>
        </w:rPr>
        <w:t>因故障无法正常使用</w:t>
      </w:r>
      <w:r>
        <w:rPr>
          <w:rFonts w:hint="eastAsia"/>
          <w:color w:val="auto"/>
          <w:szCs w:val="21"/>
          <w:highlight w:val="none"/>
          <w:lang w:eastAsia="zh-CN"/>
        </w:rPr>
        <w:t>，成交供应商未在24小时之内进行响应或不能排除故障的，</w:t>
      </w:r>
      <w:r>
        <w:rPr>
          <w:rFonts w:hint="eastAsia"/>
          <w:color w:val="auto"/>
          <w:szCs w:val="21"/>
          <w:highlight w:val="none"/>
        </w:rPr>
        <w:t>每</w:t>
      </w:r>
      <w:r>
        <w:rPr>
          <w:rFonts w:hint="eastAsia"/>
          <w:color w:val="auto"/>
          <w:szCs w:val="21"/>
          <w:highlight w:val="none"/>
          <w:lang w:val="en-US" w:eastAsia="zh-CN"/>
        </w:rPr>
        <w:t>出现一</w:t>
      </w:r>
      <w:r>
        <w:rPr>
          <w:rFonts w:hint="eastAsia"/>
          <w:color w:val="auto"/>
          <w:szCs w:val="21"/>
          <w:highlight w:val="none"/>
        </w:rPr>
        <w:t>次</w:t>
      </w:r>
      <w:r>
        <w:rPr>
          <w:rFonts w:hint="eastAsia"/>
          <w:color w:val="auto"/>
          <w:szCs w:val="21"/>
          <w:highlight w:val="none"/>
          <w:lang w:val="en-US" w:eastAsia="zh-CN"/>
        </w:rPr>
        <w:t>该情况</w:t>
      </w:r>
      <w:r>
        <w:rPr>
          <w:rFonts w:hint="eastAsia"/>
          <w:color w:val="auto"/>
          <w:szCs w:val="21"/>
          <w:highlight w:val="none"/>
        </w:rPr>
        <w:t>按合同总金额3%扣除最终结算维护费用</w:t>
      </w:r>
      <w:r>
        <w:rPr>
          <w:rFonts w:hint="eastAsia"/>
          <w:color w:val="auto"/>
          <w:szCs w:val="21"/>
          <w:highlight w:val="none"/>
          <w:lang w:eastAsia="zh-CN"/>
        </w:rPr>
        <w:t>，</w:t>
      </w:r>
      <w:r>
        <w:rPr>
          <w:rFonts w:hint="eastAsia"/>
          <w:color w:val="auto"/>
          <w:szCs w:val="21"/>
          <w:highlight w:val="none"/>
          <w:lang w:val="en-US" w:eastAsia="zh-CN"/>
        </w:rPr>
        <w:t>并且</w:t>
      </w:r>
      <w:r>
        <w:rPr>
          <w:rFonts w:hint="eastAsia"/>
          <w:color w:val="auto"/>
          <w:szCs w:val="21"/>
          <w:highlight w:val="none"/>
          <w:lang w:val="en-US" w:eastAsia="zh-CN"/>
        </w:rPr>
        <w:t>采购人有权单方</w:t>
      </w:r>
      <w:r>
        <w:rPr>
          <w:rFonts w:hint="eastAsia"/>
          <w:color w:val="auto"/>
          <w:szCs w:val="21"/>
          <w:highlight w:val="none"/>
        </w:rPr>
        <w:t>委托第三</w:t>
      </w:r>
      <w:r>
        <w:rPr>
          <w:rFonts w:hint="eastAsia"/>
          <w:color w:val="auto"/>
          <w:szCs w:val="21"/>
          <w:highlight w:val="none"/>
          <w:lang w:val="en-US" w:eastAsia="zh-CN"/>
        </w:rPr>
        <w:t>人</w:t>
      </w:r>
      <w:r>
        <w:rPr>
          <w:rFonts w:hint="eastAsia"/>
          <w:color w:val="auto"/>
          <w:szCs w:val="21"/>
          <w:highlight w:val="none"/>
        </w:rPr>
        <w:t>进行维修，因此发生的所有费用由</w:t>
      </w:r>
      <w:r>
        <w:rPr>
          <w:rFonts w:hint="eastAsia"/>
          <w:color w:val="auto"/>
          <w:szCs w:val="21"/>
          <w:highlight w:val="none"/>
          <w:lang w:val="en-US" w:eastAsia="zh-CN"/>
        </w:rPr>
        <w:t>成交供应商</w:t>
      </w:r>
      <w:r>
        <w:rPr>
          <w:rFonts w:hint="eastAsia"/>
          <w:color w:val="auto"/>
          <w:szCs w:val="21"/>
          <w:highlight w:val="none"/>
        </w:rPr>
        <w:t>承担，</w:t>
      </w:r>
      <w:r>
        <w:rPr>
          <w:rFonts w:hint="eastAsia"/>
          <w:color w:val="auto"/>
          <w:szCs w:val="21"/>
          <w:highlight w:val="none"/>
          <w:lang w:val="en-US" w:eastAsia="zh-CN"/>
        </w:rPr>
        <w:t>成交供应商</w:t>
      </w:r>
      <w:r>
        <w:rPr>
          <w:rFonts w:hint="eastAsia"/>
          <w:color w:val="auto"/>
          <w:szCs w:val="21"/>
          <w:highlight w:val="none"/>
        </w:rPr>
        <w:t>应对维修后成果负担质保责任。</w:t>
      </w:r>
      <w:r>
        <w:rPr>
          <w:rFonts w:hint="eastAsia"/>
          <w:color w:val="auto"/>
          <w:szCs w:val="21"/>
          <w:highlight w:val="none"/>
          <w:lang w:val="en-US" w:eastAsia="zh-CN"/>
        </w:rPr>
        <w:t>在未委托第三人维修的前提下，故障未修复时间每满24小时</w:t>
      </w:r>
      <w:r>
        <w:rPr>
          <w:rFonts w:hint="eastAsia"/>
          <w:color w:val="auto"/>
          <w:szCs w:val="21"/>
          <w:highlight w:val="none"/>
        </w:rPr>
        <w:t>按合同总金额</w:t>
      </w:r>
      <w:r>
        <w:rPr>
          <w:rFonts w:hint="eastAsia"/>
          <w:color w:val="auto"/>
          <w:szCs w:val="21"/>
          <w:highlight w:val="none"/>
          <w:lang w:val="en-US" w:eastAsia="zh-CN"/>
        </w:rPr>
        <w:t>3％额外</w:t>
      </w:r>
      <w:r>
        <w:rPr>
          <w:rFonts w:hint="eastAsia" w:ascii="宋体" w:hAnsi="宋体" w:eastAsia="宋体" w:cs="Times New Roman"/>
          <w:color w:val="auto"/>
          <w:szCs w:val="21"/>
          <w:highlight w:val="none"/>
        </w:rPr>
        <w:t>扣除最终结算维护费用</w:t>
      </w:r>
      <w:r>
        <w:rPr>
          <w:rFonts w:hint="eastAsia" w:cs="Times New Roman"/>
          <w:color w:val="auto"/>
          <w:szCs w:val="21"/>
          <w:highlight w:val="none"/>
          <w:lang w:eastAsia="zh-CN"/>
        </w:rPr>
        <w:t>；</w:t>
      </w:r>
      <w:r>
        <w:rPr>
          <w:rFonts w:hint="eastAsia" w:cs="Times New Roman"/>
          <w:color w:val="auto"/>
          <w:szCs w:val="21"/>
          <w:highlight w:val="none"/>
          <w:lang w:val="en-US" w:eastAsia="zh-CN"/>
        </w:rPr>
        <w:t>故障未修复时间以超过24小时后开始计算，不足1天的按1天计算</w:t>
      </w:r>
      <w:r>
        <w:rPr>
          <w:rFonts w:hint="eastAsia" w:ascii="宋体" w:hAnsi="宋体" w:eastAsia="宋体" w:cs="Times New Roman"/>
          <w:color w:val="auto"/>
          <w:szCs w:val="21"/>
          <w:highlight w:val="none"/>
        </w:rPr>
        <w:t>。</w:t>
      </w:r>
    </w:p>
    <w:p w14:paraId="3686E9C3">
      <w:pPr>
        <w:pStyle w:val="45"/>
        <w:widowControl w:val="0"/>
        <w:spacing w:line="360" w:lineRule="auto"/>
        <w:ind w:left="0" w:leftChars="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eastAsia="zh-CN"/>
        </w:rPr>
        <w:t>（</w:t>
      </w:r>
      <w:r>
        <w:rPr>
          <w:rFonts w:hint="eastAsia" w:cs="Times New Roman"/>
          <w:color w:val="auto"/>
          <w:szCs w:val="21"/>
          <w:highlight w:val="none"/>
          <w:lang w:val="en-US" w:eastAsia="zh-CN"/>
        </w:rPr>
        <w:t>9</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其他违约责任由</w:t>
      </w:r>
      <w:r>
        <w:rPr>
          <w:rFonts w:hint="eastAsia" w:ascii="宋体" w:hAnsi="宋体" w:eastAsia="宋体" w:cs="Times New Roman"/>
          <w:color w:val="auto"/>
          <w:szCs w:val="21"/>
          <w:highlight w:val="none"/>
          <w:lang w:val="en-US" w:eastAsia="zh-CN"/>
        </w:rPr>
        <w:t>采购人、成交供应商</w:t>
      </w:r>
      <w:r>
        <w:rPr>
          <w:rFonts w:hint="eastAsia" w:ascii="宋体" w:hAnsi="宋体" w:eastAsia="宋体" w:cs="Times New Roman"/>
          <w:color w:val="auto"/>
          <w:szCs w:val="21"/>
          <w:highlight w:val="none"/>
        </w:rPr>
        <w:t>双方协商确认，以合同补充文件形式。</w:t>
      </w:r>
    </w:p>
    <w:p w14:paraId="39D31476">
      <w:pPr>
        <w:pStyle w:val="45"/>
        <w:keepNext w:val="0"/>
        <w:keepLines w:val="0"/>
        <w:pageBreakBefore w:val="0"/>
        <w:widowControl w:val="0"/>
        <w:kinsoku/>
        <w:wordWrap/>
        <w:overflowPunct/>
        <w:topLinePunct w:val="0"/>
        <w:bidi w:val="0"/>
        <w:spacing w:after="0" w:line="360" w:lineRule="auto"/>
        <w:ind w:left="0" w:leftChars="0"/>
        <w:outlineLvl w:val="1"/>
        <w:rPr>
          <w:rFonts w:hint="eastAsia" w:ascii="宋体" w:hAnsi="宋体" w:eastAsia="宋体" w:cs="宋体"/>
          <w:b/>
          <w:bCs/>
          <w:color w:val="auto"/>
          <w:kern w:val="21"/>
          <w:szCs w:val="21"/>
          <w:highlight w:val="none"/>
          <w:lang w:eastAsia="zh-CN"/>
        </w:rPr>
      </w:pPr>
      <w:r>
        <w:rPr>
          <w:rFonts w:hint="eastAsia" w:ascii="宋体" w:hAnsi="宋体" w:eastAsia="宋体" w:cs="宋体"/>
          <w:b/>
          <w:bCs/>
          <w:color w:val="auto"/>
          <w:kern w:val="21"/>
          <w:szCs w:val="21"/>
          <w:highlight w:val="none"/>
          <w:lang w:eastAsia="zh-CN"/>
        </w:rPr>
        <w:t>采购包</w:t>
      </w:r>
      <w:r>
        <w:rPr>
          <w:rFonts w:hint="eastAsia" w:ascii="宋体" w:hAnsi="宋体" w:eastAsia="宋体" w:cs="宋体"/>
          <w:b/>
          <w:bCs/>
          <w:color w:val="auto"/>
          <w:kern w:val="21"/>
          <w:szCs w:val="21"/>
          <w:highlight w:val="none"/>
          <w:lang w:val="en-US" w:eastAsia="zh-CN"/>
        </w:rPr>
        <w:t>2</w:t>
      </w:r>
      <w:r>
        <w:rPr>
          <w:rFonts w:hint="eastAsia" w:ascii="宋体" w:hAnsi="宋体" w:eastAsia="宋体" w:cs="宋体"/>
          <w:b/>
          <w:bCs/>
          <w:color w:val="auto"/>
          <w:kern w:val="21"/>
          <w:szCs w:val="21"/>
          <w:highlight w:val="none"/>
          <w:lang w:eastAsia="zh-CN"/>
        </w:rPr>
        <w:t>（信息化系统设备保养维护）：</w:t>
      </w:r>
    </w:p>
    <w:p w14:paraId="5AF4C49E">
      <w:pPr>
        <w:pStyle w:val="45"/>
        <w:keepNext w:val="0"/>
        <w:keepLines w:val="0"/>
        <w:pageBreakBefore w:val="0"/>
        <w:widowControl w:val="0"/>
        <w:kinsoku/>
        <w:wordWrap/>
        <w:overflowPunct/>
        <w:topLinePunct w:val="0"/>
        <w:bidi w:val="0"/>
        <w:spacing w:after="0" w:line="360" w:lineRule="auto"/>
        <w:ind w:left="0" w:leftChars="0"/>
        <w:rPr>
          <w:rFonts w:hint="default"/>
          <w:color w:val="auto"/>
          <w:szCs w:val="21"/>
          <w:highlight w:val="none"/>
          <w:lang w:val="en-US" w:eastAsia="zh-CN"/>
        </w:rPr>
      </w:pPr>
      <w:r>
        <w:rPr>
          <w:rFonts w:hint="eastAsia"/>
          <w:color w:val="auto"/>
          <w:szCs w:val="21"/>
          <w:highlight w:val="none"/>
          <w:lang w:val="en-US" w:eastAsia="zh-CN"/>
        </w:rPr>
        <w:t>（1）成交供应商</w:t>
      </w:r>
      <w:r>
        <w:rPr>
          <w:rFonts w:hint="default"/>
          <w:color w:val="auto"/>
          <w:szCs w:val="21"/>
          <w:highlight w:val="none"/>
          <w:lang w:val="en-US" w:eastAsia="zh-CN"/>
        </w:rPr>
        <w:t>应按照合同规定的时间、地点提供服务。</w:t>
      </w:r>
    </w:p>
    <w:p w14:paraId="14A100E9">
      <w:pPr>
        <w:pStyle w:val="45"/>
        <w:keepNext w:val="0"/>
        <w:keepLines w:val="0"/>
        <w:pageBreakBefore w:val="0"/>
        <w:widowControl w:val="0"/>
        <w:kinsoku/>
        <w:wordWrap/>
        <w:overflowPunct/>
        <w:topLinePunct w:val="0"/>
        <w:bidi w:val="0"/>
        <w:spacing w:after="0" w:line="360" w:lineRule="auto"/>
        <w:ind w:left="0" w:leftChars="0"/>
        <w:rPr>
          <w:rFonts w:hint="default"/>
          <w:color w:val="auto"/>
          <w:szCs w:val="21"/>
          <w:highlight w:val="none"/>
          <w:lang w:val="en-US" w:eastAsia="zh-CN"/>
        </w:rPr>
      </w:pPr>
      <w:r>
        <w:rPr>
          <w:rFonts w:hint="eastAsia"/>
          <w:color w:val="auto"/>
          <w:szCs w:val="21"/>
          <w:highlight w:val="none"/>
          <w:lang w:val="en-US" w:eastAsia="zh-CN"/>
        </w:rPr>
        <w:t>（2）</w:t>
      </w:r>
      <w:r>
        <w:rPr>
          <w:rFonts w:hint="default"/>
          <w:color w:val="auto"/>
          <w:szCs w:val="21"/>
          <w:highlight w:val="none"/>
          <w:lang w:val="en-US" w:eastAsia="zh-CN"/>
        </w:rPr>
        <w:t>如任何一方无故解除合同或有其他违约行为，应向对方支付合同</w:t>
      </w:r>
      <w:r>
        <w:rPr>
          <w:rFonts w:hint="eastAsia"/>
          <w:color w:val="auto"/>
          <w:szCs w:val="21"/>
          <w:highlight w:val="none"/>
          <w:lang w:val="en-US" w:eastAsia="zh-CN"/>
        </w:rPr>
        <w:t>总价</w:t>
      </w:r>
      <w:r>
        <w:rPr>
          <w:rFonts w:hint="default"/>
          <w:color w:val="auto"/>
          <w:szCs w:val="21"/>
          <w:highlight w:val="none"/>
          <w:lang w:val="en-US" w:eastAsia="zh-CN"/>
        </w:rPr>
        <w:t>5%的违约金。</w:t>
      </w:r>
    </w:p>
    <w:p w14:paraId="4262A33D">
      <w:pPr>
        <w:pStyle w:val="45"/>
        <w:keepNext w:val="0"/>
        <w:keepLines w:val="0"/>
        <w:pageBreakBefore w:val="0"/>
        <w:widowControl w:val="0"/>
        <w:kinsoku/>
        <w:wordWrap/>
        <w:overflowPunct/>
        <w:topLinePunct w:val="0"/>
        <w:bidi w:val="0"/>
        <w:spacing w:after="0" w:line="360" w:lineRule="auto"/>
        <w:ind w:left="0" w:leftChars="0"/>
        <w:rPr>
          <w:rFonts w:hint="default"/>
          <w:color w:val="auto"/>
          <w:szCs w:val="21"/>
          <w:highlight w:val="none"/>
          <w:lang w:val="en-US" w:eastAsia="zh-CN"/>
        </w:rPr>
      </w:pPr>
      <w:r>
        <w:rPr>
          <w:rFonts w:hint="eastAsia"/>
          <w:color w:val="auto"/>
          <w:szCs w:val="21"/>
          <w:highlight w:val="none"/>
          <w:lang w:val="en-US" w:eastAsia="zh-CN"/>
        </w:rPr>
        <w:t>（3）</w:t>
      </w:r>
      <w:r>
        <w:rPr>
          <w:rFonts w:hint="default"/>
          <w:color w:val="auto"/>
          <w:szCs w:val="21"/>
          <w:highlight w:val="none"/>
          <w:lang w:val="en-US" w:eastAsia="zh-CN"/>
        </w:rPr>
        <w:t>在履行合同过程中，如果</w:t>
      </w:r>
      <w:r>
        <w:rPr>
          <w:rFonts w:hint="eastAsia"/>
          <w:color w:val="auto"/>
          <w:szCs w:val="21"/>
          <w:highlight w:val="none"/>
          <w:lang w:val="en-US" w:eastAsia="zh-CN"/>
        </w:rPr>
        <w:t>成交供应商</w:t>
      </w:r>
      <w:r>
        <w:rPr>
          <w:rFonts w:hint="default"/>
          <w:color w:val="auto"/>
          <w:szCs w:val="21"/>
          <w:highlight w:val="none"/>
          <w:lang w:val="en-US" w:eastAsia="zh-CN"/>
        </w:rPr>
        <w:t>可能遇到妨碍提供服务的情况</w:t>
      </w:r>
      <w:r>
        <w:rPr>
          <w:rFonts w:hint="eastAsia"/>
          <w:color w:val="auto"/>
          <w:szCs w:val="21"/>
          <w:highlight w:val="none"/>
          <w:lang w:val="en-US" w:eastAsia="zh-CN"/>
        </w:rPr>
        <w:t>时</w:t>
      </w:r>
      <w:r>
        <w:rPr>
          <w:rFonts w:hint="default"/>
          <w:color w:val="auto"/>
          <w:szCs w:val="21"/>
          <w:highlight w:val="none"/>
          <w:lang w:val="en-US" w:eastAsia="zh-CN"/>
        </w:rPr>
        <w:t>，应及时以书面形式将拖延的事实，可能拖延的期限和理由通知</w:t>
      </w:r>
      <w:r>
        <w:rPr>
          <w:rFonts w:hint="eastAsia"/>
          <w:color w:val="auto"/>
          <w:szCs w:val="21"/>
          <w:highlight w:val="none"/>
          <w:lang w:val="en-US" w:eastAsia="zh-CN"/>
        </w:rPr>
        <w:t>采购人</w:t>
      </w:r>
      <w:r>
        <w:rPr>
          <w:rFonts w:hint="default"/>
          <w:color w:val="auto"/>
          <w:szCs w:val="21"/>
          <w:highlight w:val="none"/>
          <w:lang w:val="en-US" w:eastAsia="zh-CN"/>
        </w:rPr>
        <w:t>。</w:t>
      </w:r>
      <w:r>
        <w:rPr>
          <w:rFonts w:hint="eastAsia"/>
          <w:color w:val="auto"/>
          <w:szCs w:val="21"/>
          <w:highlight w:val="none"/>
          <w:lang w:val="en-US" w:eastAsia="zh-CN"/>
        </w:rPr>
        <w:t>采购人</w:t>
      </w:r>
      <w:r>
        <w:rPr>
          <w:rFonts w:hint="default"/>
          <w:color w:val="auto"/>
          <w:szCs w:val="21"/>
          <w:highlight w:val="none"/>
          <w:lang w:val="en-US" w:eastAsia="zh-CN"/>
        </w:rPr>
        <w:t>在收到乙方通知后，应尽快对情况进行评价，并确定是否同意延期提供服务。</w:t>
      </w:r>
    </w:p>
    <w:p w14:paraId="27F8DD74">
      <w:pPr>
        <w:pStyle w:val="45"/>
        <w:keepNext w:val="0"/>
        <w:keepLines w:val="0"/>
        <w:pageBreakBefore w:val="0"/>
        <w:widowControl w:val="0"/>
        <w:kinsoku/>
        <w:wordWrap/>
        <w:overflowPunct/>
        <w:topLinePunct w:val="0"/>
        <w:bidi w:val="0"/>
        <w:spacing w:after="0" w:line="360" w:lineRule="auto"/>
        <w:ind w:left="0" w:leftChars="0"/>
        <w:rPr>
          <w:rFonts w:hint="default"/>
          <w:color w:val="auto"/>
          <w:szCs w:val="21"/>
          <w:highlight w:val="none"/>
          <w:lang w:val="en-US" w:eastAsia="zh-Hans"/>
        </w:rPr>
      </w:pPr>
      <w:r>
        <w:rPr>
          <w:rFonts w:hint="eastAsia"/>
          <w:color w:val="auto"/>
          <w:szCs w:val="21"/>
          <w:highlight w:val="none"/>
          <w:lang w:val="en-US" w:eastAsia="zh-CN"/>
        </w:rPr>
        <w:t>（4）成交供应商</w:t>
      </w:r>
      <w:r>
        <w:rPr>
          <w:rFonts w:hint="default"/>
          <w:color w:val="auto"/>
          <w:szCs w:val="21"/>
          <w:highlight w:val="none"/>
          <w:lang w:val="en-US" w:eastAsia="zh-CN"/>
        </w:rPr>
        <w:t>不能按照合同的约定提供服务的，每延期一日，应当向</w:t>
      </w:r>
      <w:r>
        <w:rPr>
          <w:rFonts w:hint="eastAsia"/>
          <w:color w:val="auto"/>
          <w:szCs w:val="21"/>
          <w:highlight w:val="none"/>
          <w:lang w:val="en-US" w:eastAsia="zh-CN"/>
        </w:rPr>
        <w:t>采购人</w:t>
      </w:r>
      <w:r>
        <w:rPr>
          <w:rFonts w:hint="default"/>
          <w:color w:val="auto"/>
          <w:szCs w:val="21"/>
          <w:highlight w:val="none"/>
          <w:lang w:val="en-US" w:eastAsia="zh-CN"/>
        </w:rPr>
        <w:t>支付</w:t>
      </w:r>
      <w:r>
        <w:rPr>
          <w:rFonts w:hint="default"/>
          <w:color w:val="auto"/>
          <w:szCs w:val="21"/>
          <w:highlight w:val="none"/>
          <w:lang w:val="en-US" w:eastAsia="zh-Hans"/>
        </w:rPr>
        <w:t>本合同</w:t>
      </w:r>
      <w:r>
        <w:rPr>
          <w:rFonts w:hint="eastAsia"/>
          <w:color w:val="auto"/>
          <w:szCs w:val="21"/>
          <w:highlight w:val="none"/>
          <w:lang w:val="en-US" w:eastAsia="zh-CN"/>
        </w:rPr>
        <w:t>总价</w:t>
      </w:r>
      <w:r>
        <w:rPr>
          <w:rFonts w:hint="default"/>
          <w:color w:val="auto"/>
          <w:szCs w:val="21"/>
          <w:highlight w:val="none"/>
          <w:lang w:val="en-US" w:eastAsia="zh-CN"/>
        </w:rPr>
        <w:t>1%的违约金，超过15日的，</w:t>
      </w:r>
      <w:r>
        <w:rPr>
          <w:rFonts w:hint="eastAsia"/>
          <w:color w:val="auto"/>
          <w:szCs w:val="21"/>
          <w:highlight w:val="none"/>
          <w:lang w:val="en-US" w:eastAsia="zh-CN"/>
        </w:rPr>
        <w:t>采购人</w:t>
      </w:r>
      <w:r>
        <w:rPr>
          <w:rFonts w:hint="default"/>
          <w:color w:val="auto"/>
          <w:szCs w:val="21"/>
          <w:highlight w:val="none"/>
          <w:lang w:val="en-US" w:eastAsia="zh-CN"/>
        </w:rPr>
        <w:t>有权解除合同</w:t>
      </w:r>
      <w:r>
        <w:rPr>
          <w:rFonts w:hint="default"/>
          <w:color w:val="auto"/>
          <w:szCs w:val="21"/>
          <w:highlight w:val="none"/>
          <w:lang w:val="en-US" w:eastAsia="zh-Hans"/>
        </w:rPr>
        <w:t>，</w:t>
      </w:r>
      <w:r>
        <w:rPr>
          <w:rFonts w:hint="eastAsia"/>
          <w:color w:val="auto"/>
          <w:szCs w:val="21"/>
          <w:highlight w:val="none"/>
          <w:lang w:val="en-US" w:eastAsia="zh-CN"/>
        </w:rPr>
        <w:t>成交供应商</w:t>
      </w:r>
      <w:r>
        <w:rPr>
          <w:rFonts w:hint="default"/>
          <w:color w:val="auto"/>
          <w:szCs w:val="21"/>
          <w:highlight w:val="none"/>
          <w:lang w:val="en-US" w:eastAsia="zh-CN"/>
        </w:rPr>
        <w:t>并按合同</w:t>
      </w:r>
      <w:r>
        <w:rPr>
          <w:rFonts w:hint="eastAsia"/>
          <w:color w:val="auto"/>
          <w:szCs w:val="21"/>
          <w:highlight w:val="none"/>
          <w:lang w:val="en-US" w:eastAsia="zh-CN"/>
        </w:rPr>
        <w:t>总价</w:t>
      </w:r>
      <w:r>
        <w:rPr>
          <w:rFonts w:hint="default"/>
          <w:color w:val="auto"/>
          <w:szCs w:val="21"/>
          <w:highlight w:val="none"/>
          <w:lang w:val="en-US" w:eastAsia="zh-CN"/>
        </w:rPr>
        <w:t>的10%向</w:t>
      </w:r>
      <w:r>
        <w:rPr>
          <w:rFonts w:hint="eastAsia"/>
          <w:color w:val="auto"/>
          <w:szCs w:val="21"/>
          <w:highlight w:val="none"/>
          <w:lang w:val="en-US" w:eastAsia="zh-CN"/>
        </w:rPr>
        <w:t>采购人</w:t>
      </w:r>
      <w:r>
        <w:rPr>
          <w:rFonts w:hint="default"/>
          <w:color w:val="auto"/>
          <w:szCs w:val="21"/>
          <w:highlight w:val="none"/>
          <w:lang w:val="en-US" w:eastAsia="zh-CN"/>
        </w:rPr>
        <w:t>承担违约责任</w:t>
      </w:r>
      <w:r>
        <w:rPr>
          <w:rFonts w:hint="default"/>
          <w:color w:val="auto"/>
          <w:szCs w:val="21"/>
          <w:highlight w:val="none"/>
          <w:lang w:val="en-US" w:eastAsia="zh-Hans"/>
        </w:rPr>
        <w:t>，不足以弥补实际损失的</w:t>
      </w:r>
      <w:r>
        <w:rPr>
          <w:rFonts w:hint="eastAsia"/>
          <w:color w:val="auto"/>
          <w:szCs w:val="21"/>
          <w:highlight w:val="none"/>
          <w:lang w:val="en-US" w:eastAsia="zh-CN"/>
        </w:rPr>
        <w:t>，应按实际损失向采购人赔偿</w:t>
      </w:r>
      <w:r>
        <w:rPr>
          <w:rFonts w:hint="default"/>
          <w:color w:val="auto"/>
          <w:szCs w:val="21"/>
          <w:highlight w:val="none"/>
          <w:lang w:val="en-US" w:eastAsia="zh-Hans"/>
        </w:rPr>
        <w:t>。</w:t>
      </w:r>
    </w:p>
    <w:p w14:paraId="29574CFB">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lang w:val="en-US" w:eastAsia="zh-CN"/>
        </w:rPr>
      </w:pPr>
      <w:r>
        <w:rPr>
          <w:rFonts w:hint="eastAsia"/>
          <w:color w:val="auto"/>
          <w:szCs w:val="21"/>
          <w:highlight w:val="none"/>
          <w:lang w:val="en-US" w:eastAsia="zh-CN"/>
        </w:rPr>
        <w:t>（5）采购人</w:t>
      </w:r>
      <w:r>
        <w:rPr>
          <w:rFonts w:hint="default"/>
          <w:color w:val="auto"/>
          <w:szCs w:val="21"/>
          <w:highlight w:val="none"/>
          <w:lang w:val="en-US" w:eastAsia="zh-CN"/>
        </w:rPr>
        <w:t>不能按照合同的约定按时付款的，每逾期一日，应按逾期付款金额的1%向</w:t>
      </w:r>
      <w:r>
        <w:rPr>
          <w:rFonts w:hint="eastAsia"/>
          <w:color w:val="auto"/>
          <w:szCs w:val="21"/>
          <w:highlight w:val="none"/>
          <w:lang w:val="en-US" w:eastAsia="zh-CN"/>
        </w:rPr>
        <w:t>成交供应商</w:t>
      </w:r>
      <w:r>
        <w:rPr>
          <w:rFonts w:hint="default"/>
          <w:color w:val="auto"/>
          <w:szCs w:val="21"/>
          <w:highlight w:val="none"/>
          <w:lang w:val="en-US" w:eastAsia="zh-CN"/>
        </w:rPr>
        <w:t>支付违约金，但该违约金累计不超过逾期付款金额的</w:t>
      </w:r>
      <w:r>
        <w:rPr>
          <w:rFonts w:hint="eastAsia"/>
          <w:color w:val="auto"/>
          <w:szCs w:val="21"/>
          <w:highlight w:val="none"/>
          <w:lang w:val="en-US" w:eastAsia="zh-CN"/>
        </w:rPr>
        <w:t>5</w:t>
      </w:r>
      <w:r>
        <w:rPr>
          <w:rFonts w:hint="default"/>
          <w:color w:val="auto"/>
          <w:szCs w:val="21"/>
          <w:highlight w:val="none"/>
          <w:lang w:val="en-US" w:eastAsia="zh-CN"/>
        </w:rPr>
        <w:t>%，逾期超过</w:t>
      </w:r>
      <w:r>
        <w:rPr>
          <w:rFonts w:hint="eastAsia"/>
          <w:color w:val="auto"/>
          <w:szCs w:val="21"/>
          <w:highlight w:val="none"/>
          <w:lang w:val="en-US" w:eastAsia="zh-CN"/>
        </w:rPr>
        <w:t>15</w:t>
      </w:r>
      <w:r>
        <w:rPr>
          <w:rFonts w:hint="default"/>
          <w:color w:val="auto"/>
          <w:szCs w:val="21"/>
          <w:highlight w:val="none"/>
          <w:lang w:val="en-US" w:eastAsia="zh-CN"/>
        </w:rPr>
        <w:t>日，</w:t>
      </w:r>
      <w:r>
        <w:rPr>
          <w:rFonts w:hint="eastAsia"/>
          <w:color w:val="auto"/>
          <w:szCs w:val="21"/>
          <w:highlight w:val="none"/>
          <w:lang w:val="en-US" w:eastAsia="zh-CN"/>
        </w:rPr>
        <w:t>成交供应商</w:t>
      </w:r>
      <w:r>
        <w:rPr>
          <w:rFonts w:hint="default"/>
          <w:color w:val="auto"/>
          <w:szCs w:val="21"/>
          <w:highlight w:val="none"/>
          <w:lang w:val="en-US" w:eastAsia="zh-CN"/>
        </w:rPr>
        <w:t>有权解除合同。</w:t>
      </w:r>
    </w:p>
    <w:p w14:paraId="717CBB54">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lang w:val="en-US" w:eastAsia="zh-CN"/>
        </w:rPr>
      </w:pPr>
      <w:r>
        <w:rPr>
          <w:rFonts w:hint="eastAsia"/>
          <w:color w:val="auto"/>
          <w:szCs w:val="21"/>
          <w:highlight w:val="none"/>
          <w:lang w:val="en-US" w:eastAsia="zh-CN"/>
        </w:rPr>
        <w:t>（6）采购人有权随时对成交供应商维护工作进行考核。凡扣分累计超过100分或达到取消其维护资格的其它条件的，用户有权终止合同，相关责任由成交供应商负责。</w:t>
      </w:r>
    </w:p>
    <w:p w14:paraId="2DAC500E">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lang w:val="en-US" w:eastAsia="zh-CN"/>
        </w:rPr>
      </w:pPr>
      <w:r>
        <w:rPr>
          <w:rFonts w:hint="eastAsia"/>
          <w:color w:val="auto"/>
          <w:szCs w:val="21"/>
          <w:highlight w:val="none"/>
          <w:lang w:val="en-US" w:eastAsia="zh-CN"/>
        </w:rPr>
        <w:t>（7）未满足本项目“服务内容”要求的，每次扣除合同结算款500元（本项扣款总额不超过合同总金额的20%，扣完为止），引起系统瘫痪等严重后果的，用户有权无条件终止合同，相关责任由成交供应商负责。</w:t>
      </w:r>
    </w:p>
    <w:p w14:paraId="5B2DA848">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lang w:val="en-US" w:eastAsia="zh-CN"/>
        </w:rPr>
      </w:pPr>
      <w:r>
        <w:rPr>
          <w:rFonts w:hint="eastAsia"/>
          <w:color w:val="auto"/>
          <w:szCs w:val="21"/>
          <w:highlight w:val="none"/>
          <w:lang w:val="en-US" w:eastAsia="zh-CN"/>
        </w:rPr>
        <w:t>（8）未满足本项目“应急服务响应时间要求”，每次响应到达维修现场超过响应承诺30分钟以上的，每30分钟扣除合同结算款500元（本项扣款总额不超过合同总金额的20%，扣完为止）。因响应迟缓，延误抢修时机，造成系统事故的，用户有权无条件终止合同，相关责任由成交供应商负责。</w:t>
      </w:r>
    </w:p>
    <w:p w14:paraId="543C15BC">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lang w:val="en-US" w:eastAsia="zh-CN"/>
        </w:rPr>
      </w:pPr>
      <w:r>
        <w:rPr>
          <w:rFonts w:hint="eastAsia"/>
          <w:color w:val="auto"/>
          <w:szCs w:val="21"/>
          <w:highlight w:val="none"/>
          <w:lang w:val="en-US" w:eastAsia="zh-CN"/>
        </w:rPr>
        <w:t>（9）成交供应商违反本项目“安全及保密要求”的，用户有权无条件终止合同，扣除所有履约保证金并依法追究成交供应商责任。</w:t>
      </w:r>
    </w:p>
    <w:p w14:paraId="25D0BBDF">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lang w:val="en-US" w:eastAsia="zh-CN"/>
        </w:rPr>
      </w:pPr>
    </w:p>
    <w:p w14:paraId="5509E5C4">
      <w:pPr>
        <w:pStyle w:val="364"/>
        <w:keepNext w:val="0"/>
        <w:keepLines w:val="0"/>
        <w:pageBreakBefore w:val="0"/>
        <w:widowControl w:val="0"/>
        <w:kinsoku/>
        <w:wordWrap/>
        <w:overflowPunct/>
        <w:topLinePunct w:val="0"/>
        <w:autoSpaceDE/>
        <w:autoSpaceDN/>
        <w:bidi w:val="0"/>
        <w:spacing w:line="360" w:lineRule="auto"/>
        <w:rPr>
          <w:rFonts w:hint="eastAsia"/>
          <w:color w:val="auto"/>
          <w:sz w:val="21"/>
          <w:szCs w:val="21"/>
          <w:highlight w:val="none"/>
          <w:lang w:eastAsia="zh-CN"/>
        </w:rPr>
      </w:pPr>
      <w:bookmarkStart w:id="57" w:name="_Toc19118"/>
      <w:r>
        <w:rPr>
          <w:rFonts w:hint="eastAsia"/>
          <w:color w:val="auto"/>
          <w:sz w:val="21"/>
          <w:szCs w:val="21"/>
          <w:highlight w:val="none"/>
          <w:lang w:eastAsia="zh-CN"/>
        </w:rPr>
        <w:t>三、技术标准与要求</w:t>
      </w:r>
      <w:bookmarkEnd w:id="57"/>
    </w:p>
    <w:p w14:paraId="42CA52B0">
      <w:pPr>
        <w:pStyle w:val="364"/>
        <w:keepNext w:val="0"/>
        <w:keepLines w:val="0"/>
        <w:pageBreakBefore w:val="0"/>
        <w:widowControl w:val="0"/>
        <w:kinsoku/>
        <w:wordWrap/>
        <w:overflowPunct/>
        <w:topLinePunct w:val="0"/>
        <w:autoSpaceDE/>
        <w:autoSpaceDN/>
        <w:bidi w:val="0"/>
        <w:spacing w:line="360" w:lineRule="auto"/>
        <w:outlineLvl w:val="1"/>
        <w:rPr>
          <w:rFonts w:hint="default"/>
          <w:color w:val="auto"/>
          <w:sz w:val="21"/>
          <w:szCs w:val="21"/>
          <w:highlight w:val="none"/>
          <w:lang w:val="en-US" w:eastAsia="zh-CN"/>
        </w:rPr>
      </w:pPr>
      <w:bookmarkStart w:id="58" w:name="_Toc19937"/>
      <w:r>
        <w:rPr>
          <w:rFonts w:hint="eastAsia"/>
          <w:color w:val="auto"/>
          <w:sz w:val="21"/>
          <w:szCs w:val="21"/>
          <w:highlight w:val="none"/>
          <w:lang w:val="en-US" w:eastAsia="zh-CN"/>
        </w:rPr>
        <w:t>采购包1（查验设施设备保养维护）：</w:t>
      </w:r>
      <w:bookmarkEnd w:id="58"/>
    </w:p>
    <w:p w14:paraId="2750A472">
      <w:pPr>
        <w:keepNext w:val="0"/>
        <w:keepLines w:val="0"/>
        <w:pageBreakBefore w:val="0"/>
        <w:widowControl w:val="0"/>
        <w:kinsoku/>
        <w:wordWrap/>
        <w:overflowPunct/>
        <w:topLinePunct w:val="0"/>
        <w:bidi w:val="0"/>
        <w:spacing w:line="360" w:lineRule="auto"/>
        <w:ind w:firstLine="422" w:firstLineChars="200"/>
        <w:outlineLvl w:val="2"/>
        <w:rPr>
          <w:rFonts w:hint="default"/>
          <w:b/>
          <w:bCs/>
          <w:color w:val="auto"/>
          <w:highlight w:val="none"/>
          <w:lang w:val="en-US" w:eastAsia="zh-CN"/>
        </w:rPr>
      </w:pPr>
      <w:r>
        <w:rPr>
          <w:rFonts w:hint="eastAsia"/>
          <w:b/>
          <w:bCs/>
          <w:color w:val="auto"/>
          <w:highlight w:val="none"/>
          <w:lang w:eastAsia="zh-CN"/>
        </w:rPr>
        <w:t>（</w:t>
      </w:r>
      <w:r>
        <w:rPr>
          <w:rFonts w:hint="eastAsia"/>
          <w:b/>
          <w:bCs/>
          <w:color w:val="auto"/>
          <w:highlight w:val="none"/>
          <w:lang w:val="en-US" w:eastAsia="zh-CN"/>
        </w:rPr>
        <w:t>一</w:t>
      </w:r>
      <w:r>
        <w:rPr>
          <w:rFonts w:hint="eastAsia"/>
          <w:b/>
          <w:bCs/>
          <w:color w:val="auto"/>
          <w:highlight w:val="none"/>
          <w:lang w:eastAsia="zh-CN"/>
        </w:rPr>
        <w:t>）</w:t>
      </w:r>
      <w:r>
        <w:rPr>
          <w:rFonts w:hint="eastAsia"/>
          <w:b/>
          <w:bCs/>
          <w:color w:val="auto"/>
          <w:highlight w:val="none"/>
          <w:lang w:val="en-US" w:eastAsia="zh-CN"/>
        </w:rPr>
        <w:t>设备保养标准</w:t>
      </w:r>
    </w:p>
    <w:p w14:paraId="7780F33B">
      <w:pPr>
        <w:keepNext w:val="0"/>
        <w:keepLines w:val="0"/>
        <w:pageBreakBefore w:val="0"/>
        <w:widowControl w:val="0"/>
        <w:kinsoku/>
        <w:wordWrap/>
        <w:overflowPunct/>
        <w:topLinePunct w:val="0"/>
        <w:bidi w:val="0"/>
        <w:spacing w:line="360" w:lineRule="auto"/>
        <w:ind w:firstLine="420" w:firstLineChars="200"/>
        <w:outlineLvl w:val="3"/>
        <w:rPr>
          <w:rFonts w:hint="eastAsia"/>
          <w:b w:val="0"/>
          <w:bCs w:val="0"/>
          <w:color w:val="auto"/>
          <w:highlight w:val="none"/>
        </w:rPr>
      </w:pPr>
      <w:r>
        <w:rPr>
          <w:rFonts w:hint="eastAsia"/>
          <w:b w:val="0"/>
          <w:bCs w:val="0"/>
          <w:color w:val="auto"/>
          <w:highlight w:val="none"/>
          <w:lang w:val="en-US" w:eastAsia="zh-CN"/>
        </w:rPr>
        <w:t>1、</w:t>
      </w:r>
      <w:r>
        <w:rPr>
          <w:rFonts w:hint="eastAsia"/>
          <w:b w:val="0"/>
          <w:bCs w:val="0"/>
          <w:color w:val="auto"/>
          <w:highlight w:val="none"/>
        </w:rPr>
        <w:t>快捷通道</w:t>
      </w:r>
    </w:p>
    <w:p w14:paraId="138C3730">
      <w:pPr>
        <w:keepNext w:val="0"/>
        <w:keepLines w:val="0"/>
        <w:pageBreakBefore w:val="0"/>
        <w:widowControl w:val="0"/>
        <w:kinsoku/>
        <w:wordWrap/>
        <w:overflowPunct/>
        <w:topLinePunct w:val="0"/>
        <w:bidi w:val="0"/>
        <w:spacing w:line="360" w:lineRule="auto"/>
        <w:ind w:firstLine="420" w:firstLineChars="200"/>
        <w:rPr>
          <w:rFonts w:hint="eastAsia" w:eastAsia="宋体"/>
          <w:color w:val="auto"/>
          <w:highlight w:val="none"/>
          <w:lang w:val="en-US" w:eastAsia="zh-CN"/>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rFonts w:hint="eastAsia"/>
          <w:color w:val="auto"/>
          <w:highlight w:val="none"/>
        </w:rPr>
        <w:t>成交供应商应具有维护珠海侧快捷通道各类部件的专业技能，掌握各类部件之间连接所需的驱动或调试测试软件及各类部件与边检查验系统软件的连接接口。每条快捷通道主要部件包括：闸机、闸机驱动器、闸机电源、工控机、第一功能柱LCD显示器、第二功能柱LCD显示器、LCD触摸显示屏、指纹仪、面相采集仪、红外对射、OCR证件阅读机、报警灯、流水灯及其他部件、线路等。</w:t>
      </w:r>
    </w:p>
    <w:tbl>
      <w:tblPr>
        <w:tblStyle w:val="46"/>
        <w:tblW w:w="9846" w:type="dxa"/>
        <w:jc w:val="center"/>
        <w:tblLayout w:type="fixed"/>
        <w:tblCellMar>
          <w:top w:w="0" w:type="dxa"/>
          <w:left w:w="108" w:type="dxa"/>
          <w:bottom w:w="0" w:type="dxa"/>
          <w:right w:w="108" w:type="dxa"/>
        </w:tblCellMar>
      </w:tblPr>
      <w:tblGrid>
        <w:gridCol w:w="701"/>
        <w:gridCol w:w="2129"/>
        <w:gridCol w:w="5950"/>
        <w:gridCol w:w="1066"/>
      </w:tblGrid>
      <w:tr w14:paraId="5EE1030B">
        <w:tblPrEx>
          <w:tblCellMar>
            <w:top w:w="0" w:type="dxa"/>
            <w:left w:w="108" w:type="dxa"/>
            <w:bottom w:w="0" w:type="dxa"/>
            <w:right w:w="108" w:type="dxa"/>
          </w:tblCellMar>
        </w:tblPrEx>
        <w:trPr>
          <w:tblHeader/>
          <w:jc w:val="center"/>
        </w:trPr>
        <w:tc>
          <w:tcPr>
            <w:tcW w:w="701" w:type="dxa"/>
            <w:tcBorders>
              <w:top w:val="single" w:color="auto" w:sz="4" w:space="0"/>
              <w:left w:val="single" w:color="auto" w:sz="4" w:space="0"/>
              <w:bottom w:val="single" w:color="auto" w:sz="4" w:space="0"/>
              <w:right w:val="single" w:color="auto" w:sz="4" w:space="0"/>
            </w:tcBorders>
            <w:vAlign w:val="center"/>
          </w:tcPr>
          <w:p w14:paraId="6E3BF6BD">
            <w:pPr>
              <w:snapToGrid w:val="0"/>
              <w:spacing w:line="360" w:lineRule="auto"/>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序号</w:t>
            </w:r>
          </w:p>
        </w:tc>
        <w:tc>
          <w:tcPr>
            <w:tcW w:w="2129" w:type="dxa"/>
            <w:tcBorders>
              <w:top w:val="single" w:color="auto" w:sz="4" w:space="0"/>
              <w:left w:val="nil"/>
              <w:bottom w:val="single" w:color="auto" w:sz="4" w:space="0"/>
              <w:right w:val="single" w:color="auto" w:sz="4" w:space="0"/>
            </w:tcBorders>
            <w:vAlign w:val="center"/>
          </w:tcPr>
          <w:p w14:paraId="6E352A0D">
            <w:pPr>
              <w:snapToGrid w:val="0"/>
              <w:spacing w:line="360" w:lineRule="auto"/>
              <w:jc w:val="center"/>
              <w:rPr>
                <w:rFonts w:hint="eastAsia" w:ascii="宋体" w:hAnsi="宋体" w:eastAsia="宋体" w:cs="宋体"/>
                <w:b/>
                <w:bCs/>
                <w:color w:val="auto"/>
                <w:kern w:val="0"/>
                <w:szCs w:val="21"/>
                <w:highlight w:val="none"/>
              </w:rPr>
            </w:pPr>
            <w:r>
              <w:rPr>
                <w:rFonts w:hint="eastAsia" w:cs="宋体"/>
                <w:b/>
                <w:bCs/>
                <w:color w:val="auto"/>
                <w:kern w:val="0"/>
                <w:szCs w:val="21"/>
                <w:highlight w:val="none"/>
                <w:lang w:val="en-US" w:eastAsia="zh-CN"/>
              </w:rPr>
              <w:t>现有</w:t>
            </w:r>
            <w:r>
              <w:rPr>
                <w:rFonts w:hint="eastAsia" w:ascii="宋体" w:hAnsi="宋体" w:eastAsia="宋体" w:cs="宋体"/>
                <w:b/>
                <w:bCs/>
                <w:color w:val="auto"/>
                <w:kern w:val="0"/>
                <w:szCs w:val="21"/>
                <w:highlight w:val="none"/>
              </w:rPr>
              <w:t>设备名称</w:t>
            </w:r>
          </w:p>
        </w:tc>
        <w:tc>
          <w:tcPr>
            <w:tcW w:w="5950" w:type="dxa"/>
            <w:tcBorders>
              <w:top w:val="single" w:color="auto" w:sz="4" w:space="0"/>
              <w:left w:val="nil"/>
              <w:bottom w:val="single" w:color="auto" w:sz="4" w:space="0"/>
              <w:right w:val="single" w:color="auto" w:sz="4" w:space="0"/>
            </w:tcBorders>
            <w:vAlign w:val="center"/>
          </w:tcPr>
          <w:p w14:paraId="380FAABD">
            <w:pPr>
              <w:snapToGrid w:val="0"/>
              <w:spacing w:line="360" w:lineRule="auto"/>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型号规格</w:t>
            </w:r>
          </w:p>
        </w:tc>
        <w:tc>
          <w:tcPr>
            <w:tcW w:w="1066" w:type="dxa"/>
            <w:tcBorders>
              <w:top w:val="single" w:color="auto" w:sz="4" w:space="0"/>
              <w:left w:val="nil"/>
              <w:bottom w:val="single" w:color="auto" w:sz="4" w:space="0"/>
              <w:right w:val="single" w:color="auto" w:sz="4" w:space="0"/>
            </w:tcBorders>
            <w:vAlign w:val="center"/>
          </w:tcPr>
          <w:p w14:paraId="47B8606F">
            <w:pPr>
              <w:snapToGrid w:val="0"/>
              <w:spacing w:line="360" w:lineRule="auto"/>
              <w:jc w:val="center"/>
              <w:rPr>
                <w:rFonts w:hint="eastAsia" w:ascii="宋体" w:hAnsi="宋体" w:eastAsia="宋体" w:cs="宋体"/>
                <w:b/>
                <w:bCs/>
                <w:color w:val="auto"/>
                <w:kern w:val="0"/>
                <w:szCs w:val="21"/>
                <w:highlight w:val="none"/>
              </w:rPr>
            </w:pPr>
            <w:r>
              <w:rPr>
                <w:rFonts w:hint="eastAsia" w:cs="宋体"/>
                <w:b/>
                <w:bCs/>
                <w:color w:val="auto"/>
                <w:kern w:val="0"/>
                <w:szCs w:val="21"/>
                <w:highlight w:val="none"/>
                <w:lang w:val="en-US" w:eastAsia="zh-CN"/>
              </w:rPr>
              <w:t>数量</w:t>
            </w:r>
          </w:p>
        </w:tc>
      </w:tr>
      <w:tr w14:paraId="07FC9177">
        <w:tblPrEx>
          <w:tblCellMar>
            <w:top w:w="0" w:type="dxa"/>
            <w:left w:w="108" w:type="dxa"/>
            <w:bottom w:w="0" w:type="dxa"/>
            <w:right w:w="108" w:type="dxa"/>
          </w:tblCellMar>
        </w:tblPrEx>
        <w:trPr>
          <w:jc w:val="center"/>
        </w:trPr>
        <w:tc>
          <w:tcPr>
            <w:tcW w:w="701" w:type="dxa"/>
            <w:tcBorders>
              <w:top w:val="nil"/>
              <w:left w:val="single" w:color="auto" w:sz="4" w:space="0"/>
              <w:bottom w:val="single" w:color="auto" w:sz="4" w:space="0"/>
              <w:right w:val="single" w:color="auto" w:sz="4" w:space="0"/>
            </w:tcBorders>
            <w:vAlign w:val="center"/>
          </w:tcPr>
          <w:p w14:paraId="29AF7458">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129" w:type="dxa"/>
            <w:tcBorders>
              <w:top w:val="nil"/>
              <w:left w:val="nil"/>
              <w:bottom w:val="single" w:color="auto" w:sz="4" w:space="0"/>
              <w:right w:val="single" w:color="auto" w:sz="4" w:space="0"/>
            </w:tcBorders>
            <w:vAlign w:val="center"/>
          </w:tcPr>
          <w:p w14:paraId="3E0D4CAB">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可见光摄像头</w:t>
            </w:r>
          </w:p>
        </w:tc>
        <w:tc>
          <w:tcPr>
            <w:tcW w:w="5950" w:type="dxa"/>
            <w:tcBorders>
              <w:top w:val="nil"/>
              <w:left w:val="nil"/>
              <w:bottom w:val="single" w:color="auto" w:sz="4" w:space="0"/>
              <w:right w:val="single" w:color="auto" w:sz="4" w:space="0"/>
            </w:tcBorders>
            <w:vAlign w:val="center"/>
          </w:tcPr>
          <w:p w14:paraId="63CEB61C">
            <w:pPr>
              <w:widowControl w:val="0"/>
              <w:topLinePunct/>
              <w:autoSpaceDE w:val="0"/>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航信定制，采用CMOS传感器，支持30FPS帧速及1080P动态分辨率；支持4倍数码变焦、自动对焦、自动白平衡及自动曝光控制 ；内置立体声麦克风，配备USB 2.0接口（兼容USB 3.0），连接线长1.8米；兼容Windows 8/7/Vista/XP系统，支持Microsoft Lync 2013的H.264 SVC优化；USB接口。</w:t>
            </w:r>
          </w:p>
        </w:tc>
        <w:tc>
          <w:tcPr>
            <w:tcW w:w="1066" w:type="dxa"/>
            <w:tcBorders>
              <w:top w:val="nil"/>
              <w:left w:val="nil"/>
              <w:bottom w:val="single" w:color="auto" w:sz="4" w:space="0"/>
              <w:right w:val="single" w:color="auto" w:sz="4" w:space="0"/>
            </w:tcBorders>
            <w:vAlign w:val="center"/>
          </w:tcPr>
          <w:p w14:paraId="35692AB5">
            <w:pPr>
              <w:snapToGrid w:val="0"/>
              <w:spacing w:line="360" w:lineRule="auto"/>
              <w:jc w:val="center"/>
              <w:rPr>
                <w:rFonts w:hint="eastAsia" w:ascii="宋体" w:hAnsi="宋体" w:eastAsia="宋体" w:cs="宋体"/>
                <w:color w:val="auto"/>
                <w:kern w:val="0"/>
                <w:szCs w:val="21"/>
                <w:highlight w:val="none"/>
              </w:rPr>
            </w:pPr>
            <w:r>
              <w:rPr>
                <w:rFonts w:hint="eastAsia" w:cs="宋体"/>
                <w:color w:val="auto"/>
                <w:kern w:val="0"/>
                <w:szCs w:val="21"/>
                <w:highlight w:val="none"/>
                <w:lang w:val="en-US" w:eastAsia="zh-CN"/>
              </w:rPr>
              <w:t>112</w:t>
            </w:r>
            <w:r>
              <w:rPr>
                <w:rFonts w:hint="eastAsia" w:ascii="宋体" w:hAnsi="宋体" w:eastAsia="宋体" w:cs="宋体"/>
                <w:color w:val="auto"/>
                <w:kern w:val="0"/>
                <w:szCs w:val="21"/>
                <w:highlight w:val="none"/>
              </w:rPr>
              <w:t>个</w:t>
            </w:r>
          </w:p>
        </w:tc>
      </w:tr>
      <w:tr w14:paraId="36A1F1A1">
        <w:tblPrEx>
          <w:tblCellMar>
            <w:top w:w="0" w:type="dxa"/>
            <w:left w:w="108" w:type="dxa"/>
            <w:bottom w:w="0" w:type="dxa"/>
            <w:right w:w="108" w:type="dxa"/>
          </w:tblCellMar>
        </w:tblPrEx>
        <w:trPr>
          <w:jc w:val="center"/>
        </w:trPr>
        <w:tc>
          <w:tcPr>
            <w:tcW w:w="701" w:type="dxa"/>
            <w:tcBorders>
              <w:top w:val="nil"/>
              <w:left w:val="single" w:color="auto" w:sz="4" w:space="0"/>
              <w:bottom w:val="single" w:color="auto" w:sz="4" w:space="0"/>
              <w:right w:val="single" w:color="auto" w:sz="4" w:space="0"/>
            </w:tcBorders>
            <w:vAlign w:val="center"/>
          </w:tcPr>
          <w:p w14:paraId="03D34475">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129" w:type="dxa"/>
            <w:tcBorders>
              <w:top w:val="nil"/>
              <w:left w:val="nil"/>
              <w:bottom w:val="single" w:color="auto" w:sz="4" w:space="0"/>
              <w:right w:val="single" w:color="auto" w:sz="4" w:space="0"/>
            </w:tcBorders>
            <w:vAlign w:val="center"/>
          </w:tcPr>
          <w:p w14:paraId="66BF3DF3">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指纹仪</w:t>
            </w:r>
          </w:p>
        </w:tc>
        <w:tc>
          <w:tcPr>
            <w:tcW w:w="5950" w:type="dxa"/>
            <w:tcBorders>
              <w:top w:val="nil"/>
              <w:left w:val="nil"/>
              <w:bottom w:val="single" w:color="auto" w:sz="4" w:space="0"/>
              <w:right w:val="single" w:color="auto" w:sz="4" w:space="0"/>
            </w:tcBorders>
            <w:vAlign w:val="center"/>
          </w:tcPr>
          <w:p w14:paraId="3AEB53C8">
            <w:pPr>
              <w:widowControl w:val="0"/>
              <w:topLinePunct/>
              <w:autoSpaceDE w:val="0"/>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海鑫HX-F310C活体指纹采集仪</w:t>
            </w:r>
          </w:p>
          <w:p w14:paraId="1A7C5ECC">
            <w:pPr>
              <w:widowControl w:val="0"/>
              <w:topLinePunct/>
              <w:autoSpaceDE w:val="0"/>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用于采集通道内旅客指纹信息，与备案信息进行比对，选用设备必须保证与采购人现使用的自助通道查验软件兼容。符合《公安出入境管理用指纹采集设备技术规范》，采集窗口尺寸：30mm×30mm</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感应窗口面积：452像素×452像素（23mm×23mm）；外观尺寸：144mm×62mm×58mm（长×宽×高）</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重量：650g</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分辨率：500dpi；图像灰度级：256级；图像数据位：无符号8位字节；电源功耗：微机USB口提供</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300mW；工作环境： 工作温度：-10℃～55℃工作湿度：</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 xml:space="preserve"> 93％；光学畸变：</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1%；采集速度：</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25帧/秒；</w:t>
            </w:r>
          </w:p>
          <w:p w14:paraId="7E55F09A">
            <w:pPr>
              <w:widowControl w:val="0"/>
              <w:topLinePunct/>
              <w:autoSpaceDE w:val="0"/>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采集器可保证每天24小时不停运作；video接口。</w:t>
            </w:r>
          </w:p>
        </w:tc>
        <w:tc>
          <w:tcPr>
            <w:tcW w:w="1066" w:type="dxa"/>
            <w:tcBorders>
              <w:top w:val="nil"/>
              <w:left w:val="nil"/>
              <w:bottom w:val="single" w:color="auto" w:sz="4" w:space="0"/>
              <w:right w:val="single" w:color="auto" w:sz="4" w:space="0"/>
            </w:tcBorders>
            <w:vAlign w:val="center"/>
          </w:tcPr>
          <w:p w14:paraId="749BE698">
            <w:pPr>
              <w:snapToGrid w:val="0"/>
              <w:spacing w:line="360" w:lineRule="auto"/>
              <w:jc w:val="center"/>
              <w:rPr>
                <w:rFonts w:hint="eastAsia" w:ascii="宋体" w:hAnsi="宋体" w:eastAsia="宋体" w:cs="宋体"/>
                <w:color w:val="auto"/>
                <w:kern w:val="0"/>
                <w:szCs w:val="21"/>
                <w:highlight w:val="none"/>
              </w:rPr>
            </w:pPr>
            <w:r>
              <w:rPr>
                <w:rFonts w:hint="eastAsia" w:cs="宋体"/>
                <w:color w:val="auto"/>
                <w:kern w:val="0"/>
                <w:szCs w:val="21"/>
                <w:highlight w:val="none"/>
                <w:lang w:val="en-US" w:eastAsia="zh-CN"/>
              </w:rPr>
              <w:t>50</w:t>
            </w:r>
            <w:r>
              <w:rPr>
                <w:rFonts w:hint="eastAsia" w:ascii="宋体" w:hAnsi="宋体" w:eastAsia="宋体" w:cs="宋体"/>
                <w:color w:val="auto"/>
                <w:kern w:val="0"/>
                <w:szCs w:val="21"/>
                <w:highlight w:val="none"/>
              </w:rPr>
              <w:t>个</w:t>
            </w:r>
          </w:p>
        </w:tc>
      </w:tr>
      <w:tr w14:paraId="453A7A7D">
        <w:tblPrEx>
          <w:tblCellMar>
            <w:top w:w="0" w:type="dxa"/>
            <w:left w:w="108" w:type="dxa"/>
            <w:bottom w:w="0" w:type="dxa"/>
            <w:right w:w="108" w:type="dxa"/>
          </w:tblCellMar>
        </w:tblPrEx>
        <w:trPr>
          <w:jc w:val="center"/>
        </w:trPr>
        <w:tc>
          <w:tcPr>
            <w:tcW w:w="701" w:type="dxa"/>
            <w:tcBorders>
              <w:top w:val="nil"/>
              <w:left w:val="single" w:color="auto" w:sz="4" w:space="0"/>
              <w:bottom w:val="single" w:color="auto" w:sz="4" w:space="0"/>
              <w:right w:val="single" w:color="auto" w:sz="4" w:space="0"/>
            </w:tcBorders>
            <w:vAlign w:val="center"/>
          </w:tcPr>
          <w:p w14:paraId="660D4211">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2129" w:type="dxa"/>
            <w:tcBorders>
              <w:top w:val="nil"/>
              <w:left w:val="nil"/>
              <w:bottom w:val="single" w:color="auto" w:sz="4" w:space="0"/>
              <w:right w:val="single" w:color="auto" w:sz="4" w:space="0"/>
            </w:tcBorders>
            <w:vAlign w:val="center"/>
          </w:tcPr>
          <w:p w14:paraId="0C45E958">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面相采集自动捕捉定位装置</w:t>
            </w:r>
          </w:p>
        </w:tc>
        <w:tc>
          <w:tcPr>
            <w:tcW w:w="5950" w:type="dxa"/>
            <w:tcBorders>
              <w:top w:val="nil"/>
              <w:left w:val="nil"/>
              <w:bottom w:val="single" w:color="auto" w:sz="4" w:space="0"/>
              <w:right w:val="single" w:color="auto" w:sz="4" w:space="0"/>
            </w:tcBorders>
            <w:vAlign w:val="center"/>
          </w:tcPr>
          <w:p w14:paraId="2FCB216B">
            <w:pPr>
              <w:widowControl w:val="0"/>
              <w:topLinePunct/>
              <w:autoSpaceDE w:val="0"/>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航天信息</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定制。</w:t>
            </w:r>
            <w:r>
              <w:rPr>
                <w:rFonts w:hint="eastAsia" w:ascii="宋体" w:hAnsi="宋体" w:eastAsia="宋体" w:cs="宋体"/>
                <w:color w:val="auto"/>
                <w:kern w:val="0"/>
                <w:szCs w:val="21"/>
                <w:highlight w:val="none"/>
              </w:rPr>
              <w:t>由双摄像头（即人脸采集摄像头和虹膜采集摄像头）、控制摄像头摆动的摇摆装置及补光装置等组成，用于获取通道内旅客的正面可见光面相照片，根据需求要求摇摆机构带动摄像机上下摇摆以适应不同身高的旅客，具备活体检测功能。工作环境光照度范围300-500Lux；对于可见光人像采集，人脸对焦清晰、肤色自然而且脸部曝光合适。</w:t>
            </w:r>
          </w:p>
        </w:tc>
        <w:tc>
          <w:tcPr>
            <w:tcW w:w="1066" w:type="dxa"/>
            <w:tcBorders>
              <w:top w:val="nil"/>
              <w:left w:val="nil"/>
              <w:bottom w:val="single" w:color="auto" w:sz="4" w:space="0"/>
              <w:right w:val="single" w:color="auto" w:sz="4" w:space="0"/>
            </w:tcBorders>
            <w:vAlign w:val="center"/>
          </w:tcPr>
          <w:p w14:paraId="04F81CBF">
            <w:pPr>
              <w:snapToGrid w:val="0"/>
              <w:spacing w:line="360" w:lineRule="auto"/>
              <w:jc w:val="center"/>
              <w:rPr>
                <w:rFonts w:hint="eastAsia" w:ascii="宋体" w:hAnsi="宋体" w:eastAsia="宋体" w:cs="宋体"/>
                <w:color w:val="auto"/>
                <w:kern w:val="0"/>
                <w:szCs w:val="21"/>
                <w:highlight w:val="none"/>
              </w:rPr>
            </w:pPr>
            <w:r>
              <w:rPr>
                <w:rFonts w:hint="eastAsia" w:cs="宋体"/>
                <w:color w:val="auto"/>
                <w:kern w:val="0"/>
                <w:szCs w:val="21"/>
                <w:highlight w:val="none"/>
                <w:lang w:val="en-US" w:eastAsia="zh-CN"/>
              </w:rPr>
              <w:t>50</w:t>
            </w:r>
            <w:r>
              <w:rPr>
                <w:rFonts w:hint="eastAsia" w:ascii="宋体" w:hAnsi="宋体" w:eastAsia="宋体" w:cs="宋体"/>
                <w:color w:val="auto"/>
                <w:kern w:val="0"/>
                <w:szCs w:val="21"/>
                <w:highlight w:val="none"/>
              </w:rPr>
              <w:t>套</w:t>
            </w:r>
          </w:p>
        </w:tc>
      </w:tr>
      <w:tr w14:paraId="10F2F1E2">
        <w:tblPrEx>
          <w:tblCellMar>
            <w:top w:w="0" w:type="dxa"/>
            <w:left w:w="108" w:type="dxa"/>
            <w:bottom w:w="0" w:type="dxa"/>
            <w:right w:w="108" w:type="dxa"/>
          </w:tblCellMar>
        </w:tblPrEx>
        <w:trPr>
          <w:jc w:val="center"/>
        </w:trPr>
        <w:tc>
          <w:tcPr>
            <w:tcW w:w="701" w:type="dxa"/>
            <w:tcBorders>
              <w:top w:val="nil"/>
              <w:left w:val="single" w:color="auto" w:sz="4" w:space="0"/>
              <w:bottom w:val="single" w:color="auto" w:sz="4" w:space="0"/>
              <w:right w:val="single" w:color="auto" w:sz="4" w:space="0"/>
            </w:tcBorders>
            <w:vAlign w:val="center"/>
          </w:tcPr>
          <w:p w14:paraId="05FA7A25">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2129" w:type="dxa"/>
            <w:tcBorders>
              <w:top w:val="nil"/>
              <w:left w:val="nil"/>
              <w:bottom w:val="single" w:color="auto" w:sz="4" w:space="0"/>
              <w:right w:val="single" w:color="auto" w:sz="4" w:space="0"/>
            </w:tcBorders>
            <w:vAlign w:val="center"/>
          </w:tcPr>
          <w:p w14:paraId="011C93EE">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通道主控设备</w:t>
            </w:r>
          </w:p>
        </w:tc>
        <w:tc>
          <w:tcPr>
            <w:tcW w:w="5950" w:type="dxa"/>
            <w:tcBorders>
              <w:top w:val="nil"/>
              <w:left w:val="nil"/>
              <w:bottom w:val="single" w:color="auto" w:sz="4" w:space="0"/>
              <w:right w:val="single" w:color="auto" w:sz="4" w:space="0"/>
            </w:tcBorders>
            <w:vAlign w:val="center"/>
          </w:tcPr>
          <w:p w14:paraId="49A6A2CF">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研扬</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BOXER6839处理器：i7-6700T，2.8GHz</w:t>
            </w:r>
          </w:p>
          <w:p w14:paraId="5ADB030A">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内存：DDR4，2133MHz，16GB</w:t>
            </w:r>
          </w:p>
          <w:p w14:paraId="7C8EF6DC">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SSD固态硬盘：SATA3，512GB</w:t>
            </w:r>
          </w:p>
        </w:tc>
        <w:tc>
          <w:tcPr>
            <w:tcW w:w="1066" w:type="dxa"/>
            <w:tcBorders>
              <w:top w:val="nil"/>
              <w:left w:val="nil"/>
              <w:bottom w:val="single" w:color="auto" w:sz="4" w:space="0"/>
              <w:right w:val="single" w:color="auto" w:sz="4" w:space="0"/>
            </w:tcBorders>
            <w:vAlign w:val="center"/>
          </w:tcPr>
          <w:p w14:paraId="0A5861CD">
            <w:pPr>
              <w:snapToGrid w:val="0"/>
              <w:spacing w:line="360" w:lineRule="auto"/>
              <w:jc w:val="center"/>
              <w:rPr>
                <w:rFonts w:hint="eastAsia" w:ascii="宋体" w:hAnsi="宋体" w:eastAsia="宋体" w:cs="宋体"/>
                <w:color w:val="auto"/>
                <w:kern w:val="0"/>
                <w:szCs w:val="21"/>
                <w:highlight w:val="none"/>
              </w:rPr>
            </w:pPr>
            <w:r>
              <w:rPr>
                <w:rFonts w:hint="eastAsia" w:cs="宋体"/>
                <w:color w:val="auto"/>
                <w:kern w:val="0"/>
                <w:szCs w:val="21"/>
                <w:highlight w:val="none"/>
                <w:lang w:val="en-US" w:eastAsia="zh-CN"/>
              </w:rPr>
              <w:t>100</w:t>
            </w:r>
            <w:r>
              <w:rPr>
                <w:rFonts w:hint="eastAsia" w:ascii="宋体" w:hAnsi="宋体" w:eastAsia="宋体" w:cs="宋体"/>
                <w:color w:val="auto"/>
                <w:kern w:val="0"/>
                <w:szCs w:val="21"/>
                <w:highlight w:val="none"/>
              </w:rPr>
              <w:t>套</w:t>
            </w:r>
          </w:p>
        </w:tc>
      </w:tr>
      <w:tr w14:paraId="18431A49">
        <w:tblPrEx>
          <w:tblCellMar>
            <w:top w:w="0" w:type="dxa"/>
            <w:left w:w="108" w:type="dxa"/>
            <w:bottom w:w="0" w:type="dxa"/>
            <w:right w:w="108" w:type="dxa"/>
          </w:tblCellMar>
        </w:tblPrEx>
        <w:trPr>
          <w:jc w:val="center"/>
        </w:trPr>
        <w:tc>
          <w:tcPr>
            <w:tcW w:w="701" w:type="dxa"/>
            <w:tcBorders>
              <w:top w:val="nil"/>
              <w:left w:val="single" w:color="auto" w:sz="4" w:space="0"/>
              <w:bottom w:val="single" w:color="auto" w:sz="4" w:space="0"/>
              <w:right w:val="single" w:color="auto" w:sz="4" w:space="0"/>
            </w:tcBorders>
            <w:vAlign w:val="center"/>
          </w:tcPr>
          <w:p w14:paraId="4C3DA25B">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2129" w:type="dxa"/>
            <w:tcBorders>
              <w:top w:val="nil"/>
              <w:left w:val="nil"/>
              <w:bottom w:val="single" w:color="auto" w:sz="4" w:space="0"/>
              <w:right w:val="single" w:color="auto" w:sz="4" w:space="0"/>
            </w:tcBorders>
            <w:vAlign w:val="center"/>
          </w:tcPr>
          <w:p w14:paraId="3563388A">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LCD显示器</w:t>
            </w:r>
          </w:p>
        </w:tc>
        <w:tc>
          <w:tcPr>
            <w:tcW w:w="5950" w:type="dxa"/>
            <w:tcBorders>
              <w:top w:val="nil"/>
              <w:left w:val="nil"/>
              <w:bottom w:val="single" w:color="auto" w:sz="4" w:space="0"/>
              <w:right w:val="single" w:color="auto" w:sz="4" w:space="0"/>
            </w:tcBorders>
            <w:vAlign w:val="center"/>
          </w:tcPr>
          <w:p w14:paraId="2B301E88">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航天信息定制</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PM08002-R03A旅客自助通道专用工业级显示屏，支持HDMI(Version1.1)，VGA(640*480，800*600，1024*768等常率)，CVBS。</w:t>
            </w:r>
          </w:p>
        </w:tc>
        <w:tc>
          <w:tcPr>
            <w:tcW w:w="1066" w:type="dxa"/>
            <w:tcBorders>
              <w:top w:val="nil"/>
              <w:left w:val="nil"/>
              <w:bottom w:val="single" w:color="auto" w:sz="4" w:space="0"/>
              <w:right w:val="single" w:color="auto" w:sz="4" w:space="0"/>
            </w:tcBorders>
            <w:vAlign w:val="center"/>
          </w:tcPr>
          <w:p w14:paraId="59BD6144">
            <w:pPr>
              <w:snapToGrid w:val="0"/>
              <w:spacing w:line="360" w:lineRule="auto"/>
              <w:jc w:val="center"/>
              <w:rPr>
                <w:rFonts w:hint="eastAsia" w:ascii="宋体" w:hAnsi="宋体" w:eastAsia="宋体" w:cs="宋体"/>
                <w:color w:val="auto"/>
                <w:kern w:val="0"/>
                <w:szCs w:val="21"/>
                <w:highlight w:val="none"/>
              </w:rPr>
            </w:pPr>
            <w:r>
              <w:rPr>
                <w:rFonts w:hint="eastAsia" w:cs="宋体"/>
                <w:color w:val="auto"/>
                <w:kern w:val="0"/>
                <w:szCs w:val="21"/>
                <w:highlight w:val="none"/>
                <w:lang w:val="en-US" w:eastAsia="zh-CN"/>
              </w:rPr>
              <w:t>200</w:t>
            </w:r>
            <w:r>
              <w:rPr>
                <w:rFonts w:hint="eastAsia" w:ascii="宋体" w:hAnsi="宋体" w:eastAsia="宋体" w:cs="宋体"/>
                <w:color w:val="auto"/>
                <w:kern w:val="0"/>
                <w:szCs w:val="21"/>
                <w:highlight w:val="none"/>
              </w:rPr>
              <w:t>套</w:t>
            </w:r>
          </w:p>
        </w:tc>
      </w:tr>
      <w:tr w14:paraId="34D23A0A">
        <w:tblPrEx>
          <w:tblCellMar>
            <w:top w:w="0" w:type="dxa"/>
            <w:left w:w="108" w:type="dxa"/>
            <w:bottom w:w="0" w:type="dxa"/>
            <w:right w:w="108" w:type="dxa"/>
          </w:tblCellMar>
        </w:tblPrEx>
        <w:trPr>
          <w:jc w:val="center"/>
        </w:trPr>
        <w:tc>
          <w:tcPr>
            <w:tcW w:w="701" w:type="dxa"/>
            <w:tcBorders>
              <w:top w:val="nil"/>
              <w:left w:val="single" w:color="auto" w:sz="4" w:space="0"/>
              <w:bottom w:val="single" w:color="auto" w:sz="4" w:space="0"/>
              <w:right w:val="single" w:color="auto" w:sz="4" w:space="0"/>
            </w:tcBorders>
            <w:vAlign w:val="center"/>
          </w:tcPr>
          <w:p w14:paraId="6F67B532">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2129" w:type="dxa"/>
            <w:tcBorders>
              <w:top w:val="nil"/>
              <w:left w:val="nil"/>
              <w:bottom w:val="single" w:color="auto" w:sz="4" w:space="0"/>
              <w:right w:val="single" w:color="auto" w:sz="4" w:space="0"/>
            </w:tcBorders>
            <w:vAlign w:val="center"/>
          </w:tcPr>
          <w:p w14:paraId="0A7CA0E6">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触摸屏</w:t>
            </w:r>
          </w:p>
        </w:tc>
        <w:tc>
          <w:tcPr>
            <w:tcW w:w="5950" w:type="dxa"/>
            <w:tcBorders>
              <w:top w:val="nil"/>
              <w:left w:val="nil"/>
              <w:bottom w:val="single" w:color="auto" w:sz="4" w:space="0"/>
              <w:right w:val="single" w:color="auto" w:sz="4" w:space="0"/>
            </w:tcBorders>
            <w:vAlign w:val="center"/>
          </w:tcPr>
          <w:p w14:paraId="561EA492">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航天信息定制</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EJ080NA-05B旅客自助通道专用工业级显示屏，支持HDMI(Version1.1)，VGA(640*480，800*600，1024*768等常率)，CVBS。电容屏；触摸接口：USB2.0</w:t>
            </w:r>
          </w:p>
        </w:tc>
        <w:tc>
          <w:tcPr>
            <w:tcW w:w="1066" w:type="dxa"/>
            <w:tcBorders>
              <w:top w:val="nil"/>
              <w:left w:val="nil"/>
              <w:bottom w:val="single" w:color="auto" w:sz="4" w:space="0"/>
              <w:right w:val="single" w:color="auto" w:sz="4" w:space="0"/>
            </w:tcBorders>
            <w:vAlign w:val="center"/>
          </w:tcPr>
          <w:p w14:paraId="4B5180D8">
            <w:pPr>
              <w:snapToGrid w:val="0"/>
              <w:spacing w:line="360" w:lineRule="auto"/>
              <w:jc w:val="center"/>
              <w:rPr>
                <w:rFonts w:hint="eastAsia" w:ascii="宋体" w:hAnsi="宋体" w:eastAsia="宋体" w:cs="宋体"/>
                <w:color w:val="auto"/>
                <w:kern w:val="0"/>
                <w:szCs w:val="21"/>
                <w:highlight w:val="none"/>
              </w:rPr>
            </w:pPr>
            <w:r>
              <w:rPr>
                <w:rFonts w:hint="eastAsia" w:cs="宋体"/>
                <w:color w:val="auto"/>
                <w:kern w:val="0"/>
                <w:szCs w:val="21"/>
                <w:highlight w:val="none"/>
                <w:lang w:val="en-US" w:eastAsia="zh-CN"/>
              </w:rPr>
              <w:t>100</w:t>
            </w:r>
            <w:r>
              <w:rPr>
                <w:rFonts w:hint="eastAsia" w:ascii="宋体" w:hAnsi="宋体" w:eastAsia="宋体" w:cs="宋体"/>
                <w:color w:val="auto"/>
                <w:kern w:val="0"/>
                <w:szCs w:val="21"/>
                <w:highlight w:val="none"/>
              </w:rPr>
              <w:t>套</w:t>
            </w:r>
          </w:p>
        </w:tc>
      </w:tr>
      <w:tr w14:paraId="1597E326">
        <w:tblPrEx>
          <w:tblCellMar>
            <w:top w:w="0" w:type="dxa"/>
            <w:left w:w="108" w:type="dxa"/>
            <w:bottom w:w="0" w:type="dxa"/>
            <w:right w:w="108" w:type="dxa"/>
          </w:tblCellMar>
        </w:tblPrEx>
        <w:trPr>
          <w:jc w:val="center"/>
        </w:trPr>
        <w:tc>
          <w:tcPr>
            <w:tcW w:w="701" w:type="dxa"/>
            <w:tcBorders>
              <w:top w:val="nil"/>
              <w:left w:val="single" w:color="auto" w:sz="4" w:space="0"/>
              <w:bottom w:val="single" w:color="auto" w:sz="4" w:space="0"/>
              <w:right w:val="single" w:color="auto" w:sz="4" w:space="0"/>
            </w:tcBorders>
            <w:vAlign w:val="center"/>
          </w:tcPr>
          <w:p w14:paraId="59737083">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p>
        </w:tc>
        <w:tc>
          <w:tcPr>
            <w:tcW w:w="2129" w:type="dxa"/>
            <w:tcBorders>
              <w:top w:val="nil"/>
              <w:left w:val="nil"/>
              <w:bottom w:val="single" w:color="auto" w:sz="4" w:space="0"/>
              <w:right w:val="single" w:color="auto" w:sz="4" w:space="0"/>
            </w:tcBorders>
            <w:vAlign w:val="center"/>
          </w:tcPr>
          <w:p w14:paraId="239CF3F3">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流水灯</w:t>
            </w:r>
          </w:p>
        </w:tc>
        <w:tc>
          <w:tcPr>
            <w:tcW w:w="5950" w:type="dxa"/>
            <w:tcBorders>
              <w:top w:val="nil"/>
              <w:left w:val="nil"/>
              <w:bottom w:val="single" w:color="auto" w:sz="4" w:space="0"/>
              <w:right w:val="single" w:color="auto" w:sz="4" w:space="0"/>
            </w:tcBorders>
            <w:vAlign w:val="center"/>
          </w:tcPr>
          <w:p w14:paraId="6EECDE3F">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单箭头，箭头向上，红绿双色，具有通道运行或者暂停指示。</w:t>
            </w:r>
          </w:p>
        </w:tc>
        <w:tc>
          <w:tcPr>
            <w:tcW w:w="1066" w:type="dxa"/>
            <w:tcBorders>
              <w:top w:val="nil"/>
              <w:left w:val="nil"/>
              <w:bottom w:val="single" w:color="auto" w:sz="4" w:space="0"/>
              <w:right w:val="single" w:color="auto" w:sz="4" w:space="0"/>
            </w:tcBorders>
            <w:vAlign w:val="center"/>
          </w:tcPr>
          <w:p w14:paraId="4E5FBB0C">
            <w:pPr>
              <w:snapToGrid w:val="0"/>
              <w:spacing w:line="360" w:lineRule="auto"/>
              <w:jc w:val="center"/>
              <w:rPr>
                <w:rFonts w:hint="eastAsia" w:ascii="宋体" w:hAnsi="宋体" w:eastAsia="宋体" w:cs="宋体"/>
                <w:color w:val="auto"/>
                <w:kern w:val="0"/>
                <w:szCs w:val="21"/>
                <w:highlight w:val="none"/>
              </w:rPr>
            </w:pPr>
            <w:r>
              <w:rPr>
                <w:rFonts w:hint="eastAsia" w:cs="宋体"/>
                <w:color w:val="auto"/>
                <w:kern w:val="0"/>
                <w:szCs w:val="21"/>
                <w:highlight w:val="none"/>
                <w:lang w:val="en-US" w:eastAsia="zh-CN"/>
              </w:rPr>
              <w:t>50</w:t>
            </w:r>
            <w:r>
              <w:rPr>
                <w:rFonts w:hint="eastAsia" w:ascii="宋体" w:hAnsi="宋体" w:eastAsia="宋体" w:cs="宋体"/>
                <w:color w:val="auto"/>
                <w:kern w:val="0"/>
                <w:szCs w:val="21"/>
                <w:highlight w:val="none"/>
              </w:rPr>
              <w:t>套</w:t>
            </w:r>
          </w:p>
        </w:tc>
      </w:tr>
      <w:tr w14:paraId="5B516D00">
        <w:tblPrEx>
          <w:tblCellMar>
            <w:top w:w="0" w:type="dxa"/>
            <w:left w:w="108" w:type="dxa"/>
            <w:bottom w:w="0" w:type="dxa"/>
            <w:right w:w="108" w:type="dxa"/>
          </w:tblCellMar>
        </w:tblPrEx>
        <w:trPr>
          <w:jc w:val="center"/>
        </w:trPr>
        <w:tc>
          <w:tcPr>
            <w:tcW w:w="701" w:type="dxa"/>
            <w:tcBorders>
              <w:top w:val="nil"/>
              <w:left w:val="single" w:color="auto" w:sz="4" w:space="0"/>
              <w:bottom w:val="single" w:color="auto" w:sz="4" w:space="0"/>
              <w:right w:val="single" w:color="auto" w:sz="4" w:space="0"/>
            </w:tcBorders>
            <w:vAlign w:val="center"/>
          </w:tcPr>
          <w:p w14:paraId="09A6499E">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p>
        </w:tc>
        <w:tc>
          <w:tcPr>
            <w:tcW w:w="2129" w:type="dxa"/>
            <w:tcBorders>
              <w:top w:val="nil"/>
              <w:left w:val="nil"/>
              <w:bottom w:val="single" w:color="auto" w:sz="4" w:space="0"/>
              <w:right w:val="single" w:color="auto" w:sz="4" w:space="0"/>
            </w:tcBorders>
            <w:vAlign w:val="center"/>
          </w:tcPr>
          <w:p w14:paraId="6AB0A1EA">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对射光幕</w:t>
            </w:r>
          </w:p>
        </w:tc>
        <w:tc>
          <w:tcPr>
            <w:tcW w:w="5950" w:type="dxa"/>
            <w:tcBorders>
              <w:top w:val="nil"/>
              <w:left w:val="nil"/>
              <w:bottom w:val="single" w:color="auto" w:sz="4" w:space="0"/>
              <w:right w:val="single" w:color="auto" w:sz="4" w:space="0"/>
            </w:tcBorders>
            <w:vAlign w:val="center"/>
          </w:tcPr>
          <w:p w14:paraId="2895B0EC">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航天信息，JKCM092</w:t>
            </w:r>
          </w:p>
          <w:p w14:paraId="06B4F0EC">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传感器类型：工业用测量光幕及安全光幕；</w:t>
            </w:r>
          </w:p>
          <w:p w14:paraId="3D77E18F">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通讯接口： RS485（整套仅1个对外通讯接口）；</w:t>
            </w:r>
          </w:p>
          <w:p w14:paraId="682DDD6C">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监控精度：横条点间距小于等于4cm，竖条点间距小于等于8cm；</w:t>
            </w:r>
          </w:p>
          <w:p w14:paraId="4A7F1036">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数据采集：可返回每个点的状态；</w:t>
            </w:r>
          </w:p>
          <w:p w14:paraId="5862BC0D">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采集速度：＜1ms；</w:t>
            </w:r>
          </w:p>
          <w:p w14:paraId="695B5103">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安装要求：通讯线仅有一收一发两根连接线，通道上下以及三列竖立安装，采用串行连接；</w:t>
            </w:r>
          </w:p>
          <w:p w14:paraId="717846C6">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保护电路内置（包括输入电源反接保护，过压保护，输出短路保护等）；</w:t>
            </w:r>
          </w:p>
          <w:p w14:paraId="6626DD02">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外观：有明显安装方向标识；同步方式：数据通讯同步；</w:t>
            </w:r>
          </w:p>
          <w:p w14:paraId="74C600D6">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抗干扰：循环扫描方式抗外界光和通道之间干扰。</w:t>
            </w:r>
          </w:p>
        </w:tc>
        <w:tc>
          <w:tcPr>
            <w:tcW w:w="1066" w:type="dxa"/>
            <w:tcBorders>
              <w:top w:val="nil"/>
              <w:left w:val="nil"/>
              <w:bottom w:val="single" w:color="auto" w:sz="4" w:space="0"/>
              <w:right w:val="single" w:color="auto" w:sz="4" w:space="0"/>
            </w:tcBorders>
            <w:vAlign w:val="center"/>
          </w:tcPr>
          <w:p w14:paraId="2FED95E4">
            <w:pPr>
              <w:snapToGrid w:val="0"/>
              <w:spacing w:line="360" w:lineRule="auto"/>
              <w:jc w:val="center"/>
              <w:rPr>
                <w:rFonts w:hint="eastAsia" w:ascii="宋体" w:hAnsi="宋体" w:eastAsia="宋体" w:cs="宋体"/>
                <w:color w:val="auto"/>
                <w:kern w:val="0"/>
                <w:szCs w:val="21"/>
                <w:highlight w:val="none"/>
              </w:rPr>
            </w:pPr>
            <w:r>
              <w:rPr>
                <w:rFonts w:hint="eastAsia" w:cs="宋体"/>
                <w:color w:val="auto"/>
                <w:kern w:val="0"/>
                <w:szCs w:val="21"/>
                <w:highlight w:val="none"/>
                <w:lang w:val="en-US" w:eastAsia="zh-CN"/>
              </w:rPr>
              <w:t>100</w:t>
            </w:r>
            <w:r>
              <w:rPr>
                <w:rFonts w:hint="eastAsia" w:ascii="宋体" w:hAnsi="宋体" w:eastAsia="宋体" w:cs="宋体"/>
                <w:color w:val="auto"/>
                <w:kern w:val="0"/>
                <w:szCs w:val="21"/>
                <w:highlight w:val="none"/>
              </w:rPr>
              <w:t>套</w:t>
            </w:r>
          </w:p>
        </w:tc>
      </w:tr>
      <w:tr w14:paraId="65672465">
        <w:tblPrEx>
          <w:tblCellMar>
            <w:top w:w="0" w:type="dxa"/>
            <w:left w:w="108" w:type="dxa"/>
            <w:bottom w:w="0" w:type="dxa"/>
            <w:right w:w="108" w:type="dxa"/>
          </w:tblCellMar>
        </w:tblPrEx>
        <w:trPr>
          <w:jc w:val="center"/>
        </w:trPr>
        <w:tc>
          <w:tcPr>
            <w:tcW w:w="701" w:type="dxa"/>
            <w:tcBorders>
              <w:top w:val="nil"/>
              <w:left w:val="single" w:color="auto" w:sz="4" w:space="0"/>
              <w:bottom w:val="single" w:color="auto" w:sz="4" w:space="0"/>
              <w:right w:val="single" w:color="auto" w:sz="4" w:space="0"/>
            </w:tcBorders>
            <w:vAlign w:val="center"/>
          </w:tcPr>
          <w:p w14:paraId="67D6C5FC">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p>
        </w:tc>
        <w:tc>
          <w:tcPr>
            <w:tcW w:w="2129" w:type="dxa"/>
            <w:tcBorders>
              <w:top w:val="nil"/>
              <w:left w:val="nil"/>
              <w:bottom w:val="single" w:color="auto" w:sz="4" w:space="0"/>
              <w:right w:val="single" w:color="auto" w:sz="4" w:space="0"/>
            </w:tcBorders>
            <w:vAlign w:val="center"/>
          </w:tcPr>
          <w:p w14:paraId="754E0FC2">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通道供电控制集成控制器</w:t>
            </w:r>
          </w:p>
        </w:tc>
        <w:tc>
          <w:tcPr>
            <w:tcW w:w="5950" w:type="dxa"/>
            <w:tcBorders>
              <w:top w:val="nil"/>
              <w:left w:val="nil"/>
              <w:bottom w:val="single" w:color="auto" w:sz="4" w:space="0"/>
              <w:right w:val="single" w:color="auto" w:sz="4" w:space="0"/>
            </w:tcBorders>
            <w:vAlign w:val="center"/>
          </w:tcPr>
          <w:p w14:paraId="58029A5D">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航天信息，JKCM094</w:t>
            </w:r>
          </w:p>
          <w:p w14:paraId="2334FBE4">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输出：5V、12V和24V直流输出；</w:t>
            </w:r>
          </w:p>
          <w:p w14:paraId="61389087">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漏电流：＜2mA/230VAC；</w:t>
            </w:r>
          </w:p>
          <w:p w14:paraId="0E78B246">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过载保护：105%～135%；</w:t>
            </w:r>
          </w:p>
          <w:p w14:paraId="7F0A7F21">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纹波与噪声：＜150mvp-p</w:t>
            </w:r>
          </w:p>
          <w:p w14:paraId="48177D34">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电压精度：±1.0%</w:t>
            </w:r>
          </w:p>
          <w:p w14:paraId="5E904167">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线性调整率：±0.5%</w:t>
            </w:r>
          </w:p>
          <w:p w14:paraId="681D0558">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负载调整率：±0.5%</w:t>
            </w:r>
          </w:p>
          <w:p w14:paraId="47BB3F86">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启动时间：≤100ms</w:t>
            </w:r>
          </w:p>
          <w:p w14:paraId="04EE8720">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上升时间：≤50ms</w:t>
            </w:r>
          </w:p>
          <w:p w14:paraId="48FBDAB7">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保持时间：≤30ms</w:t>
            </w:r>
          </w:p>
          <w:p w14:paraId="021416BF">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频率范围：47～63Hz</w:t>
            </w:r>
          </w:p>
          <w:p w14:paraId="4CFB4886">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效率：＞85%</w:t>
            </w:r>
          </w:p>
          <w:p w14:paraId="0FADF305">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高温保护：≥ 40°C FAN ON， ＜35°C FAN OFF， ≥70°C切断输出</w:t>
            </w:r>
          </w:p>
          <w:p w14:paraId="5FD4F2F0">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过压保护：105%～130%，</w:t>
            </w:r>
          </w:p>
          <w:p w14:paraId="58BD069F">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类型：切断输出，自动恢复；</w:t>
            </w:r>
          </w:p>
          <w:p w14:paraId="6932D20D">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高温保护： ≥70°C切断输出，重启恢复；</w:t>
            </w:r>
          </w:p>
          <w:p w14:paraId="7AADB21F">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符合UL60590-1或IEC/EN60590-1，分别预留出输出接口。</w:t>
            </w:r>
          </w:p>
          <w:p w14:paraId="14F30DD6">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输出：24V直流输出；</w:t>
            </w:r>
          </w:p>
          <w:p w14:paraId="7B7C39EA">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过载保护：105%～135%，</w:t>
            </w:r>
          </w:p>
          <w:p w14:paraId="4CE88224">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类型：切断输出，自动恢复，恒流模式输出，异常条件移除后自动恢复；</w:t>
            </w:r>
          </w:p>
          <w:p w14:paraId="4FB4FECD">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符合UL508或TUV EN60590-1。</w:t>
            </w:r>
          </w:p>
        </w:tc>
        <w:tc>
          <w:tcPr>
            <w:tcW w:w="1066" w:type="dxa"/>
            <w:tcBorders>
              <w:top w:val="nil"/>
              <w:left w:val="nil"/>
              <w:bottom w:val="single" w:color="auto" w:sz="4" w:space="0"/>
              <w:right w:val="single" w:color="auto" w:sz="4" w:space="0"/>
            </w:tcBorders>
            <w:vAlign w:val="center"/>
          </w:tcPr>
          <w:p w14:paraId="1FE9A340">
            <w:pPr>
              <w:snapToGrid w:val="0"/>
              <w:spacing w:line="360" w:lineRule="auto"/>
              <w:jc w:val="center"/>
              <w:rPr>
                <w:rFonts w:hint="eastAsia" w:ascii="宋体" w:hAnsi="宋体" w:eastAsia="宋体" w:cs="宋体"/>
                <w:color w:val="auto"/>
                <w:kern w:val="0"/>
                <w:szCs w:val="21"/>
                <w:highlight w:val="none"/>
              </w:rPr>
            </w:pPr>
            <w:r>
              <w:rPr>
                <w:rFonts w:hint="eastAsia" w:cs="宋体"/>
                <w:color w:val="auto"/>
                <w:kern w:val="0"/>
                <w:szCs w:val="21"/>
                <w:highlight w:val="none"/>
                <w:lang w:val="en-US" w:eastAsia="zh-CN"/>
              </w:rPr>
              <w:t>100</w:t>
            </w:r>
            <w:r>
              <w:rPr>
                <w:rFonts w:hint="eastAsia" w:ascii="宋体" w:hAnsi="宋体" w:eastAsia="宋体" w:cs="宋体"/>
                <w:color w:val="auto"/>
                <w:kern w:val="0"/>
                <w:szCs w:val="21"/>
                <w:highlight w:val="none"/>
              </w:rPr>
              <w:t>套</w:t>
            </w:r>
          </w:p>
        </w:tc>
      </w:tr>
      <w:tr w14:paraId="4EBC7618">
        <w:tblPrEx>
          <w:tblCellMar>
            <w:top w:w="0" w:type="dxa"/>
            <w:left w:w="108" w:type="dxa"/>
            <w:bottom w:w="0" w:type="dxa"/>
            <w:right w:w="108" w:type="dxa"/>
          </w:tblCellMar>
        </w:tblPrEx>
        <w:trPr>
          <w:jc w:val="center"/>
        </w:trPr>
        <w:tc>
          <w:tcPr>
            <w:tcW w:w="701" w:type="dxa"/>
            <w:tcBorders>
              <w:top w:val="nil"/>
              <w:left w:val="single" w:color="auto" w:sz="4" w:space="0"/>
              <w:bottom w:val="single" w:color="auto" w:sz="4" w:space="0"/>
              <w:right w:val="single" w:color="auto" w:sz="4" w:space="0"/>
            </w:tcBorders>
            <w:vAlign w:val="center"/>
          </w:tcPr>
          <w:p w14:paraId="4DDA0854">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2129" w:type="dxa"/>
            <w:tcBorders>
              <w:top w:val="nil"/>
              <w:left w:val="nil"/>
              <w:bottom w:val="single" w:color="auto" w:sz="4" w:space="0"/>
              <w:right w:val="single" w:color="auto" w:sz="4" w:space="0"/>
            </w:tcBorders>
            <w:vAlign w:val="center"/>
          </w:tcPr>
          <w:p w14:paraId="644E5BA5">
            <w:pPr>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闸机</w:t>
            </w:r>
          </w:p>
        </w:tc>
        <w:tc>
          <w:tcPr>
            <w:tcW w:w="5950" w:type="dxa"/>
            <w:tcBorders>
              <w:top w:val="nil"/>
              <w:left w:val="nil"/>
              <w:bottom w:val="single" w:color="auto" w:sz="4" w:space="0"/>
              <w:right w:val="single" w:color="auto" w:sz="4" w:space="0"/>
            </w:tcBorders>
            <w:vAlign w:val="center"/>
          </w:tcPr>
          <w:p w14:paraId="0AE1CD12">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航天信息</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JKCM0911．通信接口： CAN/IO；</w:t>
            </w:r>
          </w:p>
          <w:p w14:paraId="4A7F9578">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2．工作方式：自动找零位、开门、关门、锁定抱闸、释放抱闸、防夹、防碰撞、防闯关功能；</w:t>
            </w:r>
          </w:p>
          <w:p w14:paraId="74D2E9CD">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3．保护功能：具有过压、欠压、缺相、超速、过流、过载、编码器异常、位置超差等保护；</w:t>
            </w:r>
          </w:p>
          <w:p w14:paraId="2D01D99E">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4．驱动方式：采用直流无刷伺服电机；</w:t>
            </w:r>
          </w:p>
          <w:p w14:paraId="21C425DB">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5．开门方式：双摆式；</w:t>
            </w:r>
          </w:p>
          <w:p w14:paraId="68F2FE98">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6．工作制：连续工作制；</w:t>
            </w:r>
          </w:p>
          <w:p w14:paraId="77F17A11">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7．安全功能：</w:t>
            </w:r>
          </w:p>
          <w:p w14:paraId="1816636E">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4)转动力矩恒定且小于10 N·m，确保冲击力不会对人体造成伤害；</w:t>
            </w:r>
          </w:p>
          <w:p w14:paraId="2E45AB9C">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5)锁定力矩不小于100 N·m，受外力冲击时确保门翼处于锁定状态；</w:t>
            </w:r>
          </w:p>
          <w:p w14:paraId="312BC368">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6)驱动控制电路有力矩反馈设计，当门扇关闭过程中门扇将瞬间停止，避免意外伤害；</w:t>
            </w:r>
          </w:p>
          <w:p w14:paraId="774A0E66">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当停电或紧急状况发生时，扇门可自由摆动，让旅客快速进出。</w:t>
            </w:r>
          </w:p>
        </w:tc>
        <w:tc>
          <w:tcPr>
            <w:tcW w:w="1066" w:type="dxa"/>
            <w:tcBorders>
              <w:top w:val="nil"/>
              <w:left w:val="nil"/>
              <w:bottom w:val="single" w:color="auto" w:sz="4" w:space="0"/>
              <w:right w:val="single" w:color="auto" w:sz="4" w:space="0"/>
            </w:tcBorders>
            <w:vAlign w:val="center"/>
          </w:tcPr>
          <w:p w14:paraId="03541FFD">
            <w:pPr>
              <w:snapToGrid w:val="0"/>
              <w:spacing w:line="360" w:lineRule="auto"/>
              <w:jc w:val="center"/>
              <w:rPr>
                <w:rFonts w:hint="eastAsia" w:ascii="宋体" w:hAnsi="宋体" w:eastAsia="宋体" w:cs="宋体"/>
                <w:color w:val="auto"/>
                <w:kern w:val="0"/>
                <w:szCs w:val="21"/>
                <w:highlight w:val="none"/>
              </w:rPr>
            </w:pPr>
            <w:r>
              <w:rPr>
                <w:rFonts w:hint="eastAsia" w:cs="宋体"/>
                <w:color w:val="auto"/>
                <w:kern w:val="0"/>
                <w:szCs w:val="21"/>
                <w:highlight w:val="none"/>
                <w:lang w:val="en-US" w:eastAsia="zh-CN"/>
              </w:rPr>
              <w:t>150</w:t>
            </w:r>
            <w:r>
              <w:rPr>
                <w:rFonts w:hint="eastAsia" w:ascii="宋体" w:hAnsi="宋体" w:eastAsia="宋体" w:cs="宋体"/>
                <w:color w:val="auto"/>
                <w:kern w:val="0"/>
                <w:szCs w:val="21"/>
                <w:highlight w:val="none"/>
              </w:rPr>
              <w:t>个</w:t>
            </w:r>
          </w:p>
        </w:tc>
      </w:tr>
      <w:tr w14:paraId="29CCE444">
        <w:tblPrEx>
          <w:tblCellMar>
            <w:top w:w="0" w:type="dxa"/>
            <w:left w:w="108" w:type="dxa"/>
            <w:bottom w:w="0" w:type="dxa"/>
            <w:right w:w="108" w:type="dxa"/>
          </w:tblCellMar>
        </w:tblPrEx>
        <w:trPr>
          <w:jc w:val="center"/>
        </w:trPr>
        <w:tc>
          <w:tcPr>
            <w:tcW w:w="701" w:type="dxa"/>
            <w:tcBorders>
              <w:top w:val="single" w:color="auto" w:sz="4" w:space="0"/>
              <w:left w:val="single" w:color="auto" w:sz="4" w:space="0"/>
              <w:bottom w:val="single" w:color="auto" w:sz="4" w:space="0"/>
              <w:right w:val="single" w:color="auto" w:sz="4" w:space="0"/>
            </w:tcBorders>
            <w:vAlign w:val="center"/>
          </w:tcPr>
          <w:p w14:paraId="68F5878B">
            <w:pPr>
              <w:snapToGrid w:val="0"/>
              <w:spacing w:line="360" w:lineRule="auto"/>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11</w:t>
            </w:r>
          </w:p>
        </w:tc>
        <w:tc>
          <w:tcPr>
            <w:tcW w:w="2129" w:type="dxa"/>
            <w:tcBorders>
              <w:top w:val="single" w:color="auto" w:sz="4" w:space="0"/>
              <w:left w:val="nil"/>
              <w:bottom w:val="single" w:color="auto" w:sz="4" w:space="0"/>
              <w:right w:val="single" w:color="auto" w:sz="4" w:space="0"/>
            </w:tcBorders>
            <w:vAlign w:val="center"/>
          </w:tcPr>
          <w:p w14:paraId="6BAB2E0D">
            <w:pPr>
              <w:snapToGrid w:val="0"/>
              <w:spacing w:line="360" w:lineRule="auto"/>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通道综合控制器</w:t>
            </w:r>
          </w:p>
        </w:tc>
        <w:tc>
          <w:tcPr>
            <w:tcW w:w="5950" w:type="dxa"/>
            <w:tcBorders>
              <w:top w:val="single" w:color="auto" w:sz="4" w:space="0"/>
              <w:left w:val="nil"/>
              <w:bottom w:val="single" w:color="auto" w:sz="4" w:space="0"/>
              <w:right w:val="single" w:color="auto" w:sz="4" w:space="0"/>
            </w:tcBorders>
            <w:vAlign w:val="center"/>
          </w:tcPr>
          <w:p w14:paraId="0FC2ECBB">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可编程控制：可用C语言编程控制；</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　</w:t>
            </w:r>
          </w:p>
          <w:p w14:paraId="741A6101">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CPU频率：72MHz或以上；</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　</w:t>
            </w:r>
          </w:p>
          <w:p w14:paraId="4E223FAF">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内置Flash空间：256K字节或以上；</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　</w:t>
            </w:r>
          </w:p>
          <w:p w14:paraId="5628C9B4">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SRAM：48K字节或以上；</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　</w:t>
            </w:r>
          </w:p>
          <w:p w14:paraId="5CC4597D">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看门狗定时器：内置1个看门狗定时器；</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　</w:t>
            </w:r>
          </w:p>
          <w:p w14:paraId="456F6A30">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输入接口DI：16路或以上；</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　</w:t>
            </w:r>
          </w:p>
          <w:p w14:paraId="71A1A47A">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输出接口DO：16路或以上；</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　</w:t>
            </w:r>
          </w:p>
          <w:p w14:paraId="57B05474">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串口：RS-232*1，复用型RS-232/485接口*3；</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　</w:t>
            </w:r>
          </w:p>
          <w:p w14:paraId="154BCDE4">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总线接口：CAN*1；</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　</w:t>
            </w:r>
          </w:p>
          <w:p w14:paraId="30089EF5">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测试接口：JTAG*1；</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　</w:t>
            </w:r>
          </w:p>
          <w:p w14:paraId="4FCC3A6C">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扩展接口：预留至少1路I/O扩展接口；</w:t>
            </w:r>
          </w:p>
          <w:p w14:paraId="69B09F94">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工作电压：DC24V；</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　</w:t>
            </w:r>
          </w:p>
          <w:p w14:paraId="4568E208">
            <w:pPr>
              <w:snapToGrid w:val="0"/>
              <w:spacing w:line="360" w:lineRule="auto"/>
              <w:jc w:val="both"/>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输出电压：DC3.3V、5V、12V、24V。</w:t>
            </w:r>
          </w:p>
        </w:tc>
        <w:tc>
          <w:tcPr>
            <w:tcW w:w="1066" w:type="dxa"/>
            <w:tcBorders>
              <w:top w:val="single" w:color="auto" w:sz="4" w:space="0"/>
              <w:left w:val="nil"/>
              <w:bottom w:val="single" w:color="auto" w:sz="4" w:space="0"/>
              <w:right w:val="single" w:color="auto" w:sz="4" w:space="0"/>
            </w:tcBorders>
            <w:vAlign w:val="center"/>
          </w:tcPr>
          <w:p w14:paraId="110D46B5">
            <w:pPr>
              <w:snapToGrid w:val="0"/>
              <w:spacing w:line="360" w:lineRule="auto"/>
              <w:jc w:val="center"/>
              <w:rPr>
                <w:rFonts w:hint="eastAsia" w:ascii="宋体" w:hAnsi="宋体" w:eastAsia="宋体" w:cs="宋体"/>
                <w:color w:val="auto"/>
                <w:kern w:val="0"/>
                <w:szCs w:val="21"/>
                <w:highlight w:val="none"/>
                <w:lang w:val="en-US" w:eastAsia="zh-CN"/>
              </w:rPr>
            </w:pPr>
            <w:r>
              <w:rPr>
                <w:rFonts w:hint="eastAsia" w:cs="宋体"/>
                <w:color w:val="auto"/>
                <w:kern w:val="0"/>
                <w:szCs w:val="21"/>
                <w:highlight w:val="none"/>
                <w:lang w:val="en-US" w:eastAsia="zh-CN"/>
              </w:rPr>
              <w:t>100</w:t>
            </w:r>
            <w:r>
              <w:rPr>
                <w:rFonts w:hint="eastAsia" w:ascii="宋体" w:hAnsi="宋体" w:eastAsia="宋体" w:cs="宋体"/>
                <w:color w:val="auto"/>
                <w:kern w:val="0"/>
                <w:szCs w:val="21"/>
                <w:highlight w:val="none"/>
                <w:lang w:val="en-US" w:eastAsia="zh-CN"/>
              </w:rPr>
              <w:t>个</w:t>
            </w:r>
          </w:p>
        </w:tc>
      </w:tr>
    </w:tbl>
    <w:p w14:paraId="575C54D8">
      <w:pPr>
        <w:spacing w:line="360" w:lineRule="auto"/>
        <w:rPr>
          <w:rFonts w:hint="eastAsia"/>
          <w:color w:val="auto"/>
          <w:highlight w:val="none"/>
        </w:rPr>
      </w:pPr>
    </w:p>
    <w:p w14:paraId="2BC2997A">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对学童通道及监管平台进行维护升级，对数据接口和数据类型进行维护改造，用以实时监测通道运行状态以及通道软硬件状态：对通道硬件控制器内核升级，增加接口协议；新增通道通行人数统计功能；新增有效人员通行次数统计功能；新增旅客进入通道次数统计功能；新增旅客平局通关时间统计功能：新增生物信息采集时间统计功能；新增旅客人脸采集时间统计功能；增加尾随报警、旅客进入、旅客离开、闸门开关统计功能。维护升级需1个月内完成测试验收并投入正常使用。</w:t>
      </w:r>
    </w:p>
    <w:p w14:paraId="1C1AE165">
      <w:pPr>
        <w:keepNext w:val="0"/>
        <w:keepLines w:val="0"/>
        <w:pageBreakBefore w:val="0"/>
        <w:widowControl w:val="0"/>
        <w:kinsoku/>
        <w:wordWrap/>
        <w:overflowPunct/>
        <w:topLinePunct w:val="0"/>
        <w:bidi w:val="0"/>
        <w:spacing w:line="360" w:lineRule="auto"/>
        <w:ind w:firstLine="420" w:firstLineChars="200"/>
        <w:outlineLvl w:val="3"/>
        <w:rPr>
          <w:rFonts w:hint="eastAsia"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2、人工验证台及移动查验台</w:t>
      </w:r>
    </w:p>
    <w:p w14:paraId="1F5AB44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color w:val="auto"/>
          <w:highlight w:val="none"/>
        </w:rPr>
      </w:pPr>
      <w:r>
        <w:rPr>
          <w:rFonts w:hint="eastAsia"/>
          <w:color w:val="auto"/>
          <w:highlight w:val="none"/>
        </w:rPr>
        <w:t>成交供应商应具有维护珠海侧人工验证台及移动查验台各类部件的专业技能，掌握各类部件之间连接所需的驱动或调试测试软件及各类部件与边检查验系统软件的连接接口。每张人工验证台主要部件包括：闸机、闸机驱动器、闸机电源、工控机、配电箱、指纹面相采集一体仪、红外对射、OCR证件阅读机、盲区监视系统、监控及拾音设备、满意度评价器、LED显示屏、设备控制器及其他部件、线路等；移动查验台主要部件包括电源和网络等接口、电源插座等。</w:t>
      </w:r>
    </w:p>
    <w:p w14:paraId="42EA0A18">
      <w:pPr>
        <w:keepNext w:val="0"/>
        <w:keepLines w:val="0"/>
        <w:pageBreakBefore w:val="0"/>
        <w:widowControl w:val="0"/>
        <w:kinsoku/>
        <w:wordWrap/>
        <w:overflowPunct/>
        <w:topLinePunct w:val="0"/>
        <w:bidi w:val="0"/>
        <w:spacing w:line="360" w:lineRule="auto"/>
        <w:ind w:firstLine="420" w:firstLineChars="200"/>
        <w:outlineLvl w:val="3"/>
        <w:rPr>
          <w:rFonts w:hint="eastAsia"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3、旅客资料采集备案设备</w:t>
      </w:r>
    </w:p>
    <w:p w14:paraId="5E94F06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color w:val="auto"/>
          <w:highlight w:val="none"/>
        </w:rPr>
      </w:pPr>
      <w:r>
        <w:rPr>
          <w:rFonts w:hint="eastAsia"/>
          <w:color w:val="auto"/>
          <w:highlight w:val="none"/>
        </w:rPr>
        <w:t>包括旅客资料采集备案所需的各类部件，主要部件包括计算机、OCR证件阅读机、可见光摄像头、指纹仪、凭证打印机、LED补光灯及其他部件。旅客资料采集备案设备包括人工备案采集设备和自助备案采集一体机。</w:t>
      </w:r>
    </w:p>
    <w:p w14:paraId="3A728EBB">
      <w:pPr>
        <w:keepNext w:val="0"/>
        <w:keepLines w:val="0"/>
        <w:pageBreakBefore w:val="0"/>
        <w:widowControl w:val="0"/>
        <w:kinsoku/>
        <w:wordWrap/>
        <w:overflowPunct/>
        <w:topLinePunct w:val="0"/>
        <w:bidi w:val="0"/>
        <w:spacing w:line="360" w:lineRule="auto"/>
        <w:ind w:firstLine="420" w:firstLineChars="200"/>
        <w:outlineLvl w:val="3"/>
        <w:rPr>
          <w:rFonts w:hint="eastAsia"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4、查验通道LED显示屏</w:t>
      </w:r>
    </w:p>
    <w:p w14:paraId="18A0AB51">
      <w:pPr>
        <w:keepNext w:val="0"/>
        <w:keepLines w:val="0"/>
        <w:pageBreakBefore w:val="0"/>
        <w:widowControl w:val="0"/>
        <w:kinsoku/>
        <w:wordWrap/>
        <w:overflowPunct/>
        <w:topLinePunct w:val="0"/>
        <w:bidi w:val="0"/>
        <w:spacing w:line="360" w:lineRule="auto"/>
        <w:ind w:firstLine="420" w:firstLineChars="200"/>
        <w:outlineLvl w:val="3"/>
        <w:rPr>
          <w:rFonts w:hint="eastAsia"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5、查验通道补光灯</w:t>
      </w:r>
    </w:p>
    <w:p w14:paraId="7D07CF32">
      <w:pPr>
        <w:keepNext w:val="0"/>
        <w:keepLines w:val="0"/>
        <w:pageBreakBefore w:val="0"/>
        <w:widowControl w:val="0"/>
        <w:kinsoku/>
        <w:wordWrap/>
        <w:overflowPunct/>
        <w:topLinePunct w:val="0"/>
        <w:bidi w:val="0"/>
        <w:spacing w:line="360" w:lineRule="auto"/>
        <w:ind w:firstLine="420" w:firstLineChars="200"/>
        <w:outlineLvl w:val="3"/>
        <w:rPr>
          <w:rFonts w:hint="eastAsia"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6、其他信息系统及配套机电设备</w:t>
      </w:r>
    </w:p>
    <w:p w14:paraId="3124C527">
      <w:pPr>
        <w:keepNext w:val="0"/>
        <w:keepLines w:val="0"/>
        <w:pageBreakBefore w:val="0"/>
        <w:widowControl w:val="0"/>
        <w:kinsoku/>
        <w:wordWrap/>
        <w:overflowPunct/>
        <w:topLinePunct w:val="0"/>
        <w:bidi w:val="0"/>
        <w:spacing w:line="360" w:lineRule="auto"/>
        <w:ind w:firstLine="420" w:firstLineChars="200"/>
        <w:rPr>
          <w:rFonts w:hint="eastAsia" w:ascii="宋体" w:hAnsi="宋体" w:eastAsia="宋体" w:cs="Times New Roman"/>
          <w:b w:val="0"/>
          <w:bCs w:val="0"/>
          <w:color w:val="auto"/>
          <w:highlight w:val="none"/>
          <w:lang w:val="en-US" w:eastAsia="zh-CN"/>
        </w:rPr>
      </w:pPr>
      <w:r>
        <w:rPr>
          <w:rFonts w:hint="eastAsia"/>
          <w:color w:val="auto"/>
          <w:highlight w:val="none"/>
        </w:rPr>
        <w:t>主要包括外国人前置采集机（后继业务扩展）、自助出入境记录凭证打印机、出境签注次数查询机（后继业务扩展）、外国人验放一体机（后继业务扩展）、工作人员通道（后继业务扩展）、前台指纹比对</w:t>
      </w:r>
      <w:r>
        <w:rPr>
          <w:rFonts w:hint="eastAsia" w:ascii="宋体" w:hAnsi="宋体" w:eastAsia="宋体" w:cs="Times New Roman"/>
          <w:b w:val="0"/>
          <w:bCs w:val="0"/>
          <w:color w:val="auto"/>
          <w:highlight w:val="none"/>
          <w:lang w:val="en-US" w:eastAsia="zh-CN"/>
        </w:rPr>
        <w:t>系统及采集系统等在用信息系统及配套机电设备。</w:t>
      </w:r>
    </w:p>
    <w:p w14:paraId="37EAC7E4">
      <w:pPr>
        <w:keepNext w:val="0"/>
        <w:keepLines w:val="0"/>
        <w:pageBreakBefore w:val="0"/>
        <w:widowControl w:val="0"/>
        <w:kinsoku/>
        <w:wordWrap/>
        <w:overflowPunct/>
        <w:topLinePunct w:val="0"/>
        <w:bidi w:val="0"/>
        <w:spacing w:line="360" w:lineRule="auto"/>
        <w:ind w:firstLine="420" w:firstLineChars="200"/>
        <w:outlineLvl w:val="3"/>
        <w:rPr>
          <w:rFonts w:hint="eastAsia"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7、视频防尾随设备</w:t>
      </w:r>
    </w:p>
    <w:p w14:paraId="00A39642">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p>
    <w:p w14:paraId="4C175D90">
      <w:pPr>
        <w:keepNext w:val="0"/>
        <w:keepLines w:val="0"/>
        <w:pageBreakBefore w:val="0"/>
        <w:widowControl w:val="0"/>
        <w:kinsoku/>
        <w:wordWrap/>
        <w:overflowPunct/>
        <w:topLinePunct w:val="0"/>
        <w:bidi w:val="0"/>
        <w:spacing w:line="360" w:lineRule="auto"/>
        <w:ind w:firstLine="422" w:firstLineChars="200"/>
        <w:outlineLvl w:val="2"/>
        <w:rPr>
          <w:rFonts w:hint="default"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eastAsia="zh-CN"/>
        </w:rPr>
        <w:t>（</w:t>
      </w:r>
      <w:r>
        <w:rPr>
          <w:rFonts w:hint="eastAsia" w:ascii="宋体" w:hAnsi="宋体" w:eastAsia="宋体" w:cs="Times New Roman"/>
          <w:b/>
          <w:bCs/>
          <w:color w:val="auto"/>
          <w:highlight w:val="none"/>
          <w:lang w:val="en-US" w:eastAsia="zh-CN"/>
        </w:rPr>
        <w:t>二</w:t>
      </w:r>
      <w:r>
        <w:rPr>
          <w:rFonts w:hint="eastAsia" w:ascii="宋体" w:hAnsi="宋体" w:eastAsia="宋体" w:cs="Times New Roman"/>
          <w:b/>
          <w:bCs/>
          <w:color w:val="auto"/>
          <w:highlight w:val="none"/>
          <w:lang w:eastAsia="zh-CN"/>
        </w:rPr>
        <w:t>）</w:t>
      </w:r>
      <w:r>
        <w:rPr>
          <w:rFonts w:hint="eastAsia" w:ascii="宋体" w:hAnsi="宋体" w:eastAsia="宋体" w:cs="Times New Roman"/>
          <w:b/>
          <w:bCs/>
          <w:color w:val="auto"/>
          <w:highlight w:val="none"/>
          <w:lang w:val="en-US" w:eastAsia="zh-CN"/>
        </w:rPr>
        <w:t>服务要求</w:t>
      </w:r>
    </w:p>
    <w:p w14:paraId="2C925E04">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lang w:val="en-US" w:eastAsia="zh-CN"/>
        </w:rPr>
        <w:t>1、</w:t>
      </w:r>
      <w:r>
        <w:rPr>
          <w:rFonts w:hint="eastAsia"/>
          <w:color w:val="auto"/>
          <w:highlight w:val="none"/>
        </w:rPr>
        <w:t>在12个月的服务周期内，保证以上维护内容所列的系统设备及线路在青茂口岸通关时间内持续稳定正常运行。成交供应商需提供7天*24小时全天候现场响应服务，并根据要求，至少安排2名专门负责维护的技术人员同时在现场给予技术支持。安排本项目的人员不得复用于其他项目。应急状态、重大节假日及口岸重要敏感时期采购人可提出要求由成交供应商加派维护人员并增派现场维护人员至采购人指定地点，以确保故障及时处置和通道正常使用；临时加派的维护人员应按</w:t>
      </w:r>
      <w:r>
        <w:rPr>
          <w:rFonts w:hint="eastAsia"/>
          <w:color w:val="auto"/>
          <w:highlight w:val="none"/>
          <w:lang w:eastAsia="zh-CN"/>
        </w:rPr>
        <w:t>采购人</w:t>
      </w:r>
      <w:r>
        <w:rPr>
          <w:rFonts w:hint="eastAsia"/>
          <w:color w:val="auto"/>
          <w:highlight w:val="none"/>
        </w:rPr>
        <w:t>要求提前驻点到现场准备。</w:t>
      </w:r>
    </w:p>
    <w:p w14:paraId="5F5A0C05">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lang w:val="en-US" w:eastAsia="zh-CN"/>
        </w:rPr>
        <w:t>2、</w:t>
      </w:r>
      <w:r>
        <w:rPr>
          <w:rFonts w:hint="eastAsia"/>
          <w:color w:val="auto"/>
          <w:highlight w:val="none"/>
        </w:rPr>
        <w:t>合同生效期间，成交供应商应积极响应</w:t>
      </w:r>
      <w:r>
        <w:rPr>
          <w:rFonts w:hint="eastAsia"/>
          <w:color w:val="auto"/>
          <w:highlight w:val="none"/>
          <w:lang w:eastAsia="zh-CN"/>
        </w:rPr>
        <w:t>采购人</w:t>
      </w:r>
      <w:r>
        <w:rPr>
          <w:rFonts w:hint="eastAsia"/>
          <w:color w:val="auto"/>
          <w:highlight w:val="none"/>
        </w:rPr>
        <w:t>提出的维护人员指派需求，安排具有相应技术能力的人员配合采购人对其他在用信息系统及配套机电设备的技术巡检、故障维修、备件更换等工作并提供维修及优化的专业技术意见。</w:t>
      </w:r>
    </w:p>
    <w:p w14:paraId="49560B64">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lang w:val="en-US" w:eastAsia="zh-CN"/>
        </w:rPr>
        <w:t>3、</w:t>
      </w:r>
      <w:r>
        <w:rPr>
          <w:rFonts w:hint="eastAsia"/>
          <w:color w:val="auto"/>
          <w:highlight w:val="none"/>
        </w:rPr>
        <w:t>成交供应商应具有保证以上维护内容所列的系统设备及线路正常运转所需的专业技能，掌握各类系统或部件之间连接所需的驱动或调试测试软件及各类系统或部件与边检查验系统软件的连接接口。</w:t>
      </w:r>
    </w:p>
    <w:p w14:paraId="29A85B76">
      <w:pPr>
        <w:widowControl w:val="0"/>
        <w:spacing w:line="360" w:lineRule="auto"/>
        <w:ind w:firstLine="420" w:firstLineChars="200"/>
        <w:rPr>
          <w:rFonts w:hint="eastAsia" w:eastAsia="宋体"/>
          <w:color w:val="auto"/>
          <w:highlight w:val="none"/>
          <w:lang w:eastAsia="zh-CN"/>
        </w:rPr>
      </w:pPr>
      <w:r>
        <w:rPr>
          <w:rFonts w:hint="eastAsia"/>
          <w:color w:val="auto"/>
          <w:highlight w:val="none"/>
          <w:lang w:val="en-US" w:eastAsia="zh-CN"/>
        </w:rPr>
        <w:t>4、</w:t>
      </w:r>
      <w:r>
        <w:rPr>
          <w:rFonts w:hint="eastAsia"/>
          <w:color w:val="auto"/>
          <w:highlight w:val="none"/>
        </w:rPr>
        <w:t>成交供应商应常备充足</w:t>
      </w:r>
      <w:r>
        <w:rPr>
          <w:rFonts w:hint="eastAsia"/>
          <w:color w:val="auto"/>
          <w:highlight w:val="none"/>
        </w:rPr>
        <w:t>的</w:t>
      </w:r>
      <w:r>
        <w:rPr>
          <w:rFonts w:hint="eastAsia"/>
          <w:color w:val="auto"/>
          <w:highlight w:val="none"/>
          <w:lang w:val="en-US" w:eastAsia="zh-CN"/>
        </w:rPr>
        <w:t>常用</w:t>
      </w:r>
      <w:r>
        <w:rPr>
          <w:rFonts w:hint="eastAsia"/>
          <w:color w:val="auto"/>
          <w:highlight w:val="none"/>
        </w:rPr>
        <w:t>零部件</w:t>
      </w:r>
      <w:r>
        <w:rPr>
          <w:rFonts w:hint="eastAsia"/>
          <w:color w:val="auto"/>
          <w:highlight w:val="none"/>
          <w:lang w:eastAsia="zh-CN"/>
        </w:rPr>
        <w:t>（</w:t>
      </w:r>
      <w:r>
        <w:rPr>
          <w:rFonts w:hint="eastAsia"/>
          <w:color w:val="auto"/>
          <w:highlight w:val="none"/>
          <w:lang w:val="en-US" w:eastAsia="zh-CN"/>
        </w:rPr>
        <w:t>可见光摄像头、指纹仪、通道主控设备、LCD显示器、触摸屏、流水灯、对射光幕、通道供电控制集成控制器、闸机、通道综合控制器）</w:t>
      </w:r>
      <w:r>
        <w:rPr>
          <w:rFonts w:hint="eastAsia"/>
          <w:color w:val="auto"/>
          <w:highlight w:val="none"/>
        </w:rPr>
        <w:t>以提</w:t>
      </w:r>
      <w:r>
        <w:rPr>
          <w:rFonts w:hint="eastAsia"/>
          <w:color w:val="auto"/>
          <w:highlight w:val="none"/>
        </w:rPr>
        <w:t>供所有故障设备的及时快速更换及易损易耗件的更新服务</w:t>
      </w:r>
      <w:r>
        <w:rPr>
          <w:rFonts w:hint="eastAsia"/>
          <w:color w:val="auto"/>
          <w:highlight w:val="none"/>
          <w:lang w:eastAsia="zh-CN"/>
        </w:rPr>
        <w:t>，</w:t>
      </w:r>
      <w:r>
        <w:rPr>
          <w:rFonts w:hint="eastAsia"/>
          <w:color w:val="auto"/>
          <w:highlight w:val="none"/>
        </w:rPr>
        <w:t>确保服务期内遇相应设备配件故障，能在2小时内完成替换维修。</w:t>
      </w:r>
    </w:p>
    <w:p w14:paraId="47F0ECF5">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p>
    <w:p w14:paraId="50B63044">
      <w:pPr>
        <w:keepNext w:val="0"/>
        <w:keepLines w:val="0"/>
        <w:pageBreakBefore w:val="0"/>
        <w:widowControl w:val="0"/>
        <w:kinsoku/>
        <w:wordWrap/>
        <w:overflowPunct/>
        <w:topLinePunct w:val="0"/>
        <w:bidi w:val="0"/>
        <w:spacing w:line="360" w:lineRule="auto"/>
        <w:ind w:firstLine="422" w:firstLineChars="200"/>
        <w:outlineLvl w:val="2"/>
        <w:rPr>
          <w:rFonts w:hint="eastAsia" w:ascii="宋体" w:hAnsi="宋体" w:eastAsia="宋体" w:cs="Times New Roman"/>
          <w:b/>
          <w:bCs/>
          <w:color w:val="auto"/>
          <w:highlight w:val="none"/>
          <w:lang w:eastAsia="zh-CN"/>
        </w:rPr>
      </w:pPr>
      <w:r>
        <w:rPr>
          <w:rFonts w:hint="eastAsia" w:ascii="宋体" w:hAnsi="宋体" w:eastAsia="宋体" w:cs="Times New Roman"/>
          <w:b/>
          <w:bCs/>
          <w:color w:val="auto"/>
          <w:highlight w:val="none"/>
          <w:lang w:eastAsia="zh-CN"/>
        </w:rPr>
        <w:t>（</w:t>
      </w:r>
      <w:r>
        <w:rPr>
          <w:rFonts w:hint="eastAsia" w:ascii="宋体" w:hAnsi="宋体" w:eastAsia="宋体" w:cs="Times New Roman"/>
          <w:b/>
          <w:bCs/>
          <w:color w:val="auto"/>
          <w:highlight w:val="none"/>
          <w:lang w:val="en-US" w:eastAsia="zh-CN"/>
        </w:rPr>
        <w:t>三</w:t>
      </w:r>
      <w:r>
        <w:rPr>
          <w:rFonts w:hint="eastAsia" w:ascii="宋体" w:hAnsi="宋体" w:eastAsia="宋体" w:cs="Times New Roman"/>
          <w:b/>
          <w:bCs/>
          <w:color w:val="auto"/>
          <w:highlight w:val="none"/>
          <w:lang w:eastAsia="zh-CN"/>
        </w:rPr>
        <w:t>）工作原则</w:t>
      </w:r>
    </w:p>
    <w:p w14:paraId="5379D76B">
      <w:pPr>
        <w:keepNext w:val="0"/>
        <w:keepLines w:val="0"/>
        <w:pageBreakBefore w:val="0"/>
        <w:widowControl w:val="0"/>
        <w:kinsoku/>
        <w:wordWrap/>
        <w:overflowPunct/>
        <w:topLinePunct w:val="0"/>
        <w:bidi w:val="0"/>
        <w:spacing w:line="360" w:lineRule="auto"/>
        <w:ind w:firstLine="420" w:firstLineChars="200"/>
        <w:outlineLvl w:val="3"/>
        <w:rPr>
          <w:rFonts w:hint="eastAsia"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1、保密性原则</w:t>
      </w:r>
    </w:p>
    <w:p w14:paraId="4AFBC30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rPr>
        <w:t>成交供应商应配合采购人做好合作企业备案等相关手续，对服务过程中获知的任何采购人系统信息均须做好保密，遵守双方签定的保密协议，不得泄露给第三方单位或个人，不得利用这些信息实施任何侵害采购人的行为。</w:t>
      </w:r>
    </w:p>
    <w:p w14:paraId="2A0DCE1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3"/>
        <w:rPr>
          <w:rFonts w:hint="eastAsia"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2、规范性原则</w:t>
      </w:r>
    </w:p>
    <w:p w14:paraId="160209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rPr>
        <w:t>服务的实施必须由专业技术维护人员依照规范的操作流程进行，对操作过程和结果要有相应的记录，提供完整的服务报告。</w:t>
      </w:r>
    </w:p>
    <w:p w14:paraId="28FD31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3"/>
        <w:rPr>
          <w:rFonts w:hint="eastAsia"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3、可控性原则</w:t>
      </w:r>
    </w:p>
    <w:p w14:paraId="55C2F40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rPr>
        <w:t>服务的工具、方法和过程要在双方认可的范围之内，保证采购人对于服务过程的可控性。</w:t>
      </w:r>
    </w:p>
    <w:p w14:paraId="777671B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3"/>
        <w:rPr>
          <w:rFonts w:hint="eastAsia"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4、最小影响原则</w:t>
      </w:r>
    </w:p>
    <w:p w14:paraId="7BD323B4">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服务工作应不能对现有业务的正常运行产生显著影响（包括系统性能明显下降、服务中断等）。</w:t>
      </w:r>
    </w:p>
    <w:p w14:paraId="092B46D6">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在提供维护服务过程中，成交供应商必须采取预防与应急响应并重的措施，定期对被维护的系统及相关环境进行预防性检查，防患于未然。对可能的突发故障事先制定应急预案，确保在出现紧急情况时，将业务系统的中断减至最低程度，确保业务系统服务的连续性。</w:t>
      </w:r>
    </w:p>
    <w:p w14:paraId="3B560211">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p>
    <w:p w14:paraId="16CF7E09">
      <w:pPr>
        <w:keepNext w:val="0"/>
        <w:keepLines w:val="0"/>
        <w:pageBreakBefore w:val="0"/>
        <w:widowControl w:val="0"/>
        <w:kinsoku/>
        <w:wordWrap/>
        <w:overflowPunct/>
        <w:topLinePunct w:val="0"/>
        <w:bidi w:val="0"/>
        <w:spacing w:line="360" w:lineRule="auto"/>
        <w:ind w:firstLine="422" w:firstLineChars="200"/>
        <w:outlineLvl w:val="2"/>
        <w:rPr>
          <w:rFonts w:hint="eastAsia" w:ascii="宋体" w:hAnsi="宋体" w:eastAsia="宋体" w:cs="Times New Roman"/>
          <w:b/>
          <w:bCs/>
          <w:color w:val="auto"/>
          <w:highlight w:val="none"/>
          <w:lang w:eastAsia="zh-CN"/>
        </w:rPr>
      </w:pPr>
      <w:r>
        <w:rPr>
          <w:rFonts w:hint="eastAsia" w:ascii="宋体" w:hAnsi="宋体" w:eastAsia="宋体" w:cs="Times New Roman"/>
          <w:b/>
          <w:bCs/>
          <w:color w:val="auto"/>
          <w:highlight w:val="none"/>
          <w:lang w:eastAsia="zh-CN"/>
        </w:rPr>
        <w:t>（</w:t>
      </w:r>
      <w:r>
        <w:rPr>
          <w:rFonts w:hint="eastAsia" w:ascii="宋体" w:hAnsi="宋体" w:eastAsia="宋体" w:cs="Times New Roman"/>
          <w:b/>
          <w:bCs/>
          <w:color w:val="auto"/>
          <w:highlight w:val="none"/>
          <w:lang w:val="en-US" w:eastAsia="zh-CN"/>
        </w:rPr>
        <w:t>四</w:t>
      </w:r>
      <w:r>
        <w:rPr>
          <w:rFonts w:hint="eastAsia" w:ascii="宋体" w:hAnsi="宋体" w:eastAsia="宋体" w:cs="Times New Roman"/>
          <w:b/>
          <w:bCs/>
          <w:color w:val="auto"/>
          <w:highlight w:val="none"/>
          <w:lang w:eastAsia="zh-CN"/>
        </w:rPr>
        <w:t>）定期保养服务要求</w:t>
      </w:r>
    </w:p>
    <w:p w14:paraId="66A9C439">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成交供应商应建立快捷查验通道及人工查验通道系统设施设备（包含防尾随设备、LED条屏、补光灯等通道查验相关所有前后台设备）定期保养维护制度，确保各项硬件设备得到有效保养，处于良好的运行状态。每月8号前向采购人技术部门提交上月维修服务总结、人员考核表，加盖公章，经采购人技术部门负责领导签字确认视为完成。具体措施应涵盖但不限于以下要求：</w:t>
      </w:r>
    </w:p>
    <w:p w14:paraId="7680FE52">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lang w:val="en-US" w:eastAsia="zh-CN"/>
        </w:rPr>
        <w:t>1、</w:t>
      </w:r>
      <w:r>
        <w:rPr>
          <w:rFonts w:hint="eastAsia"/>
          <w:color w:val="auto"/>
          <w:highlight w:val="none"/>
        </w:rPr>
        <w:t>每日维护标准。检查测试整机各模块运行情况；检查查验通道部分开关运动是否顺畅，开门关门位置是否正确；检查通道指示灯、流水灯、状态指示灯、警报蜂鸣器、求助麦克风和语音喇叭等工作情况；检查传感器是否正常工作；检查清洁证件阅读器、指纹仪、传感器模块、人像采集装置、显示屏等窗口；检查并校对触摸屏；完成每日闸机电脑重启；检查防尾随设备、LED条屏、补光灯等配套查验设备正常运行。</w:t>
      </w:r>
    </w:p>
    <w:p w14:paraId="5F9D8982">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2</w:t>
      </w:r>
      <w:r>
        <w:rPr>
          <w:rFonts w:hint="eastAsia"/>
          <w:color w:val="auto"/>
          <w:highlight w:val="none"/>
          <w:lang w:eastAsia="zh-CN"/>
        </w:rPr>
        <w:t>、</w:t>
      </w:r>
      <w:r>
        <w:rPr>
          <w:rFonts w:hint="eastAsia"/>
          <w:color w:val="auto"/>
          <w:highlight w:val="none"/>
        </w:rPr>
        <w:t>每周维护标准。检查查验通道电机是否有杂音；检查电机、电机固定架、闸门是否有松动；整机表面搽拭清洁。</w:t>
      </w:r>
    </w:p>
    <w:p w14:paraId="7A618354">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3</w:t>
      </w:r>
      <w:r>
        <w:rPr>
          <w:rFonts w:hint="eastAsia"/>
          <w:color w:val="auto"/>
          <w:highlight w:val="none"/>
          <w:lang w:eastAsia="zh-CN"/>
        </w:rPr>
        <w:t>、</w:t>
      </w:r>
      <w:r>
        <w:rPr>
          <w:rFonts w:hint="eastAsia"/>
          <w:color w:val="auto"/>
          <w:highlight w:val="none"/>
        </w:rPr>
        <w:t>每月维护标准。传感器工作效能并测试调整；检查证件阅读器、指纹仪、人像采集装置工作效能并测试调整；检查各模块固定螺丝是否松动；检查机壳拼接螺丝是否松动；检查机座固定螺丝是否松动；检查OCR证件阅读机玻璃保护膜是否清晰可用，如已磨损影响读证需及时更换；检查电源模组输入及输出电压,并做好记录。</w:t>
      </w:r>
    </w:p>
    <w:p w14:paraId="6563E860">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4</w:t>
      </w:r>
      <w:r>
        <w:rPr>
          <w:rFonts w:hint="eastAsia"/>
          <w:color w:val="auto"/>
          <w:highlight w:val="none"/>
          <w:lang w:eastAsia="zh-CN"/>
        </w:rPr>
        <w:t>、</w:t>
      </w:r>
      <w:r>
        <w:rPr>
          <w:rFonts w:hint="eastAsia"/>
          <w:color w:val="auto"/>
          <w:highlight w:val="none"/>
        </w:rPr>
        <w:t>每季维护标准。整机除尘清洁；检查各模块连接线和接插件是否接插牢固，各接触面是否有锈蚀接触不良现象。</w:t>
      </w:r>
    </w:p>
    <w:p w14:paraId="6EB4DCC4">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5</w:t>
      </w:r>
      <w:r>
        <w:rPr>
          <w:rFonts w:hint="eastAsia"/>
          <w:color w:val="auto"/>
          <w:highlight w:val="none"/>
          <w:lang w:eastAsia="zh-CN"/>
        </w:rPr>
        <w:t>、</w:t>
      </w:r>
      <w:r>
        <w:rPr>
          <w:rFonts w:hint="eastAsia"/>
          <w:color w:val="auto"/>
          <w:highlight w:val="none"/>
        </w:rPr>
        <w:t>半年维护标准。检查全部连接线、接插件是否存在老化现象；检查测试伺服系统；对整机作健康评估并作出维护计划。</w:t>
      </w:r>
    </w:p>
    <w:p w14:paraId="54EB066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rPr>
        <w:t>6</w:t>
      </w:r>
      <w:r>
        <w:rPr>
          <w:rFonts w:hint="eastAsia"/>
          <w:color w:val="auto"/>
          <w:highlight w:val="none"/>
          <w:lang w:eastAsia="zh-CN"/>
        </w:rPr>
        <w:t>、</w:t>
      </w:r>
      <w:r>
        <w:rPr>
          <w:rFonts w:hint="eastAsia"/>
          <w:color w:val="auto"/>
          <w:highlight w:val="none"/>
        </w:rPr>
        <w:t>快捷通道软件版本、通道工控机客户端配置检查，每天进行1次，于每天定期完成。</w:t>
      </w:r>
    </w:p>
    <w:p w14:paraId="7A5AAA2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rPr>
        <w:t>7</w:t>
      </w:r>
      <w:r>
        <w:rPr>
          <w:rFonts w:hint="eastAsia"/>
          <w:color w:val="auto"/>
          <w:highlight w:val="none"/>
          <w:lang w:eastAsia="zh-CN"/>
        </w:rPr>
        <w:t>、</w:t>
      </w:r>
      <w:r>
        <w:rPr>
          <w:rFonts w:hint="eastAsia"/>
          <w:color w:val="auto"/>
          <w:highlight w:val="none"/>
        </w:rPr>
        <w:t>成交供应商该项目主管或技术总监需每三个月1次以上到采购人技术部门召开维护工作例会，共同解决设备维护工作遇到的疑难问题。</w:t>
      </w:r>
    </w:p>
    <w:p w14:paraId="71F6264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rPr>
        <w:t>8</w:t>
      </w:r>
      <w:r>
        <w:rPr>
          <w:rFonts w:hint="eastAsia"/>
          <w:color w:val="auto"/>
          <w:highlight w:val="none"/>
          <w:lang w:eastAsia="zh-CN"/>
        </w:rPr>
        <w:t>、</w:t>
      </w:r>
      <w:r>
        <w:rPr>
          <w:rFonts w:hint="eastAsia"/>
          <w:color w:val="auto"/>
          <w:highlight w:val="none"/>
        </w:rPr>
        <w:t>实施设备正常维护保养时间与应急维护如有交叉，成交供应商需增派维护人员协助完成。</w:t>
      </w:r>
    </w:p>
    <w:p w14:paraId="1237B92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rPr>
        <w:t>9</w:t>
      </w:r>
      <w:r>
        <w:rPr>
          <w:rFonts w:hint="eastAsia"/>
          <w:color w:val="auto"/>
          <w:highlight w:val="none"/>
          <w:lang w:eastAsia="zh-CN"/>
        </w:rPr>
        <w:t>、</w:t>
      </w:r>
      <w:r>
        <w:rPr>
          <w:rFonts w:hint="eastAsia"/>
          <w:color w:val="auto"/>
          <w:highlight w:val="none"/>
        </w:rPr>
        <w:t>采购人可根据在用青茂口岸珠海侧边检通关区域内快捷查验通道及人工查验通道系统设施设备（包学童通道及学童通道监管平台、含防尾随设备、LED条屏、补光灯等通道查验相关所有前后台设备）的实际使用、运行情况提出巡检、部件更换及技术维护需求，成交供应商应积极响应并安排具有相应技术能力的人员配合采购人实施技术巡检、故障维修、备件更换等工作并提供维修及优化的专业技术意见。</w:t>
      </w:r>
    </w:p>
    <w:p w14:paraId="645B5BE5">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10</w:t>
      </w:r>
      <w:r>
        <w:rPr>
          <w:rFonts w:hint="eastAsia"/>
          <w:color w:val="auto"/>
          <w:highlight w:val="none"/>
          <w:lang w:eastAsia="zh-CN"/>
        </w:rPr>
        <w:t>、</w:t>
      </w:r>
      <w:r>
        <w:rPr>
          <w:rFonts w:hint="eastAsia"/>
          <w:color w:val="auto"/>
          <w:highlight w:val="none"/>
        </w:rPr>
        <w:t>实施定期维护保养时间与应急维护如有交叉，成交供应商需增派维护人员协助完成。</w:t>
      </w:r>
    </w:p>
    <w:p w14:paraId="18B78610">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p>
    <w:p w14:paraId="4EE8D64E">
      <w:pPr>
        <w:keepNext w:val="0"/>
        <w:keepLines w:val="0"/>
        <w:pageBreakBefore w:val="0"/>
        <w:widowControl w:val="0"/>
        <w:kinsoku/>
        <w:wordWrap/>
        <w:overflowPunct/>
        <w:topLinePunct w:val="0"/>
        <w:bidi w:val="0"/>
        <w:spacing w:line="360" w:lineRule="auto"/>
        <w:ind w:firstLine="422" w:firstLineChars="200"/>
        <w:outlineLvl w:val="2"/>
        <w:rPr>
          <w:rFonts w:hint="eastAsia" w:ascii="宋体" w:hAnsi="宋体" w:eastAsia="宋体" w:cs="Times New Roman"/>
          <w:b/>
          <w:bCs/>
          <w:color w:val="auto"/>
          <w:highlight w:val="none"/>
          <w:lang w:eastAsia="zh-CN"/>
        </w:rPr>
      </w:pPr>
      <w:r>
        <w:rPr>
          <w:rFonts w:hint="eastAsia" w:ascii="宋体" w:hAnsi="宋体" w:eastAsia="宋体" w:cs="Times New Roman"/>
          <w:b/>
          <w:bCs/>
          <w:color w:val="auto"/>
          <w:highlight w:val="none"/>
          <w:lang w:eastAsia="zh-CN"/>
        </w:rPr>
        <w:t>（</w:t>
      </w:r>
      <w:r>
        <w:rPr>
          <w:rFonts w:hint="eastAsia" w:ascii="宋体" w:hAnsi="宋体" w:eastAsia="宋体" w:cs="Times New Roman"/>
          <w:b/>
          <w:bCs/>
          <w:color w:val="auto"/>
          <w:highlight w:val="none"/>
          <w:lang w:val="en-US" w:eastAsia="zh-CN"/>
        </w:rPr>
        <w:t>五</w:t>
      </w:r>
      <w:r>
        <w:rPr>
          <w:rFonts w:hint="eastAsia" w:ascii="宋体" w:hAnsi="宋体" w:eastAsia="宋体" w:cs="Times New Roman"/>
          <w:b/>
          <w:bCs/>
          <w:color w:val="auto"/>
          <w:highlight w:val="none"/>
          <w:lang w:eastAsia="zh-CN"/>
        </w:rPr>
        <w:t>）常规维修服务要求</w:t>
      </w:r>
    </w:p>
    <w:p w14:paraId="35948CB6">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成交供应商所提供的每日常规维修服务应涵盖但不限于下列要求：</w:t>
      </w:r>
    </w:p>
    <w:p w14:paraId="31C648FE">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lang w:val="en-US" w:eastAsia="zh-CN"/>
        </w:rPr>
        <w:t>1、</w:t>
      </w:r>
      <w:r>
        <w:rPr>
          <w:rFonts w:hint="eastAsia"/>
          <w:color w:val="auto"/>
          <w:highlight w:val="none"/>
        </w:rPr>
        <w:t>对快捷查验通道及人工查验通道系统设施设备（包含学童通道及学童通道监管平台、防尾随设备、LED条屏、补光灯等通道查验相关所有前后台设备）进行现场维护及一级、二级维修服务(一级维修，定义为维修对象是设备的某一部件，维修方法主要是通过简单的操作，如替换、调试等来定位故障部件，并予以排除；二级维修，定义为是对元、器件和定制电路板的维修，通过专用测试仪器来定位部件有故障的元件、器件，从而达到排除故障的目的)。</w:t>
      </w:r>
    </w:p>
    <w:p w14:paraId="594B099E">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2</w:t>
      </w:r>
      <w:r>
        <w:rPr>
          <w:rFonts w:hint="eastAsia"/>
          <w:color w:val="auto"/>
          <w:highlight w:val="none"/>
          <w:lang w:eastAsia="zh-CN"/>
        </w:rPr>
        <w:t>、</w:t>
      </w:r>
      <w:r>
        <w:rPr>
          <w:rFonts w:hint="eastAsia"/>
          <w:color w:val="auto"/>
          <w:highlight w:val="none"/>
        </w:rPr>
        <w:t>对快捷通道工控机操作系统、应用软件、业务应用系统、可选软件的安装，对快捷通道系统等在用信息系统接口调用程序的修改、升级更新。</w:t>
      </w:r>
    </w:p>
    <w:p w14:paraId="7942998D">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3</w:t>
      </w:r>
      <w:r>
        <w:rPr>
          <w:rFonts w:hint="eastAsia"/>
          <w:color w:val="auto"/>
          <w:highlight w:val="none"/>
          <w:lang w:eastAsia="zh-CN"/>
        </w:rPr>
        <w:t>、</w:t>
      </w:r>
      <w:r>
        <w:rPr>
          <w:rFonts w:hint="eastAsia"/>
          <w:color w:val="auto"/>
          <w:highlight w:val="none"/>
        </w:rPr>
        <w:t>对采购人在使用软硬件过程中遇到的问题给予现场简单辅导。</w:t>
      </w:r>
    </w:p>
    <w:p w14:paraId="46A2D0EA">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4</w:t>
      </w:r>
      <w:r>
        <w:rPr>
          <w:rFonts w:hint="eastAsia"/>
          <w:color w:val="auto"/>
          <w:highlight w:val="none"/>
          <w:lang w:eastAsia="zh-CN"/>
        </w:rPr>
        <w:t>、</w:t>
      </w:r>
      <w:r>
        <w:rPr>
          <w:rFonts w:hint="eastAsia"/>
          <w:color w:val="auto"/>
          <w:highlight w:val="none"/>
        </w:rPr>
        <w:t>在维修维护过程中，确保系统、工作站配置的准确和采购人资料不丢失。工控机操作系统无法修复需重装时，必须咨询采购人需保留的文件内容，确保对相关文档进行拷贝，防止丢失，并按采购人要求安装与通道相关连的应用软件；工作站配置与采购人技术人员共同确定并确保正确。</w:t>
      </w:r>
    </w:p>
    <w:p w14:paraId="3ED3D352">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5</w:t>
      </w:r>
      <w:r>
        <w:rPr>
          <w:rFonts w:hint="eastAsia"/>
          <w:color w:val="auto"/>
          <w:highlight w:val="none"/>
          <w:lang w:eastAsia="zh-CN"/>
        </w:rPr>
        <w:t>、</w:t>
      </w:r>
      <w:r>
        <w:rPr>
          <w:rFonts w:hint="eastAsia"/>
          <w:color w:val="auto"/>
          <w:highlight w:val="none"/>
        </w:rPr>
        <w:t>所有快捷通道的日常客户端的安装、维护，故障处理，部分系统业务数据的日常维护。</w:t>
      </w:r>
    </w:p>
    <w:p w14:paraId="60EFA622">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6</w:t>
      </w:r>
      <w:r>
        <w:rPr>
          <w:rFonts w:hint="eastAsia"/>
          <w:color w:val="auto"/>
          <w:highlight w:val="none"/>
          <w:lang w:eastAsia="zh-CN"/>
        </w:rPr>
        <w:t>、</w:t>
      </w:r>
      <w:r>
        <w:rPr>
          <w:rFonts w:hint="eastAsia"/>
          <w:color w:val="auto"/>
          <w:highlight w:val="none"/>
        </w:rPr>
        <w:t>采购人认为必要时，成交供应商必须免费派出具有相关能力的技术维护人员完成快捷通道系统硬件接口的升级。</w:t>
      </w:r>
    </w:p>
    <w:p w14:paraId="1940F445">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7</w:t>
      </w:r>
      <w:r>
        <w:rPr>
          <w:rFonts w:hint="eastAsia"/>
          <w:color w:val="auto"/>
          <w:highlight w:val="none"/>
          <w:lang w:eastAsia="zh-CN"/>
        </w:rPr>
        <w:t>、</w:t>
      </w:r>
      <w:r>
        <w:rPr>
          <w:rFonts w:hint="eastAsia"/>
          <w:color w:val="auto"/>
          <w:highlight w:val="none"/>
        </w:rPr>
        <w:t>负责网络机房快捷、人工通道系统交换机柜的维护（包括保障设备供电，保障清洁度，配线间网线整理，网络设备运行维护和故障处理，网线、网络设备及端口、设备运行状态档案的建立和及时更新），及时发现网络异常并及时排除故障，确保网络系统和信息系统安全；配合实施网络系统及网络安全系统更新、改造项目；按照采购人要求，定期撰写网络系统运行维护报告和特殊故障处理情况报告。</w:t>
      </w:r>
    </w:p>
    <w:p w14:paraId="481AB76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rPr>
        <w:t>8</w:t>
      </w:r>
      <w:r>
        <w:rPr>
          <w:rFonts w:hint="eastAsia"/>
          <w:color w:val="auto"/>
          <w:highlight w:val="none"/>
          <w:lang w:eastAsia="zh-CN"/>
        </w:rPr>
        <w:t>、</w:t>
      </w:r>
      <w:r>
        <w:rPr>
          <w:rFonts w:hint="eastAsia"/>
          <w:color w:val="auto"/>
          <w:highlight w:val="none"/>
        </w:rPr>
        <w:t>采购人用户发出设备故障申报后，现场维护人员需在5分钟内响应，对于查验通道的设备故障应在5分钟内到达故障地点组织检修，一般故障30分钟内解决，重大故障24小时内解决。未能及时解决的需向采购人用户说明情况，并按采购人要求提供备用设备。本项目中的“重大故障”特指因维护不当或未预先采取有效措施预防，致使故障无法使用的快捷通道或人工通道数量达同场地同类型通道总维护数10%以上（含10%）的故障（同场地同类型，以在出境、入境两个场地的快捷通道或人工查验通道数量作为基数核算，例如：入境大厅快捷通道总维护数为50条，则10%计算为5条）；除重大故障外的其他故障，为一般故障。</w:t>
      </w:r>
    </w:p>
    <w:p w14:paraId="6F69D61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rPr>
        <w:t>9</w:t>
      </w:r>
      <w:r>
        <w:rPr>
          <w:rFonts w:hint="eastAsia"/>
          <w:color w:val="auto"/>
          <w:highlight w:val="none"/>
          <w:lang w:eastAsia="zh-CN"/>
        </w:rPr>
        <w:t>、</w:t>
      </w:r>
      <w:r>
        <w:rPr>
          <w:rFonts w:hint="eastAsia"/>
          <w:color w:val="auto"/>
          <w:highlight w:val="none"/>
        </w:rPr>
        <w:t>因成交供应商技术维护人员造成的数据丢失，恢复数据所产生的费用由成交供应商支付。</w:t>
      </w:r>
    </w:p>
    <w:p w14:paraId="40B61AA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lang w:val="en-US" w:eastAsia="zh-CN"/>
        </w:rPr>
        <w:t>10</w:t>
      </w:r>
      <w:r>
        <w:rPr>
          <w:rFonts w:hint="eastAsia"/>
          <w:color w:val="auto"/>
          <w:highlight w:val="none"/>
          <w:lang w:eastAsia="zh-CN"/>
        </w:rPr>
        <w:t>、</w:t>
      </w:r>
      <w:r>
        <w:rPr>
          <w:rFonts w:hint="eastAsia"/>
          <w:color w:val="auto"/>
          <w:highlight w:val="none"/>
        </w:rPr>
        <w:t>每次维修任务完成后，需经采购人技术部门领导签字确认视为完成，并及时更新维修档案。</w:t>
      </w:r>
    </w:p>
    <w:p w14:paraId="0983EB9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rPr>
        <w:t>11</w:t>
      </w:r>
      <w:r>
        <w:rPr>
          <w:rFonts w:hint="eastAsia"/>
          <w:color w:val="auto"/>
          <w:highlight w:val="none"/>
          <w:lang w:eastAsia="zh-CN"/>
        </w:rPr>
        <w:t>、</w:t>
      </w:r>
      <w:r>
        <w:rPr>
          <w:rFonts w:hint="eastAsia"/>
          <w:color w:val="auto"/>
          <w:highlight w:val="none"/>
        </w:rPr>
        <w:t>维修员在每次维护工作中需按采购人认可的格式记录各项资料，确保档案资料与实际一致，以便于科学管理及统计。</w:t>
      </w:r>
    </w:p>
    <w:p w14:paraId="44555385">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12</w:t>
      </w:r>
      <w:r>
        <w:rPr>
          <w:rFonts w:hint="eastAsia"/>
          <w:color w:val="auto"/>
          <w:highlight w:val="none"/>
          <w:lang w:eastAsia="zh-CN"/>
        </w:rPr>
        <w:t>、</w:t>
      </w:r>
      <w:r>
        <w:rPr>
          <w:rFonts w:hint="eastAsia"/>
          <w:color w:val="auto"/>
          <w:highlight w:val="none"/>
        </w:rPr>
        <w:t>不少于1名维护人员必须在每日青茂口岸早、晚高峰期（早7：00至早9：00，晚16：00至19：00）抵达采购人技术部门指定的执勤现场值守，随时处理查验通道及配套设备故障。如有特殊客流高峰，需按采购人技术部门要求到达指定执勤现场值守，随时处理查验通道及配套设备故障。</w:t>
      </w:r>
    </w:p>
    <w:p w14:paraId="5BE53EA7">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p>
    <w:p w14:paraId="2F058B63">
      <w:pPr>
        <w:keepNext w:val="0"/>
        <w:keepLines w:val="0"/>
        <w:pageBreakBefore w:val="0"/>
        <w:widowControl w:val="0"/>
        <w:kinsoku/>
        <w:wordWrap/>
        <w:overflowPunct/>
        <w:topLinePunct w:val="0"/>
        <w:bidi w:val="0"/>
        <w:spacing w:line="360" w:lineRule="auto"/>
        <w:ind w:firstLine="422" w:firstLineChars="200"/>
        <w:outlineLvl w:val="2"/>
        <w:rPr>
          <w:rFonts w:hint="default"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eastAsia="zh-CN"/>
        </w:rPr>
        <w:t>（</w:t>
      </w:r>
      <w:r>
        <w:rPr>
          <w:rFonts w:hint="eastAsia" w:ascii="宋体" w:hAnsi="宋体" w:eastAsia="宋体" w:cs="Times New Roman"/>
          <w:b/>
          <w:bCs/>
          <w:color w:val="auto"/>
          <w:highlight w:val="none"/>
          <w:lang w:val="en-US" w:eastAsia="zh-CN"/>
        </w:rPr>
        <w:t>六</w:t>
      </w:r>
      <w:r>
        <w:rPr>
          <w:rFonts w:hint="eastAsia" w:ascii="宋体" w:hAnsi="宋体" w:eastAsia="宋体" w:cs="Times New Roman"/>
          <w:b/>
          <w:bCs/>
          <w:color w:val="auto"/>
          <w:highlight w:val="none"/>
          <w:lang w:eastAsia="zh-CN"/>
        </w:rPr>
        <w:t>）应急故障排除服务</w:t>
      </w:r>
      <w:r>
        <w:rPr>
          <w:rFonts w:hint="eastAsia" w:ascii="宋体" w:hAnsi="宋体" w:eastAsia="宋体" w:cs="Times New Roman"/>
          <w:b/>
          <w:bCs/>
          <w:color w:val="auto"/>
          <w:highlight w:val="none"/>
          <w:lang w:val="en-US" w:eastAsia="zh-CN"/>
        </w:rPr>
        <w:t>要求</w:t>
      </w:r>
    </w:p>
    <w:p w14:paraId="4BBC13B0">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lang w:val="en-US" w:eastAsia="zh-CN"/>
        </w:rPr>
        <w:t>1、</w:t>
      </w:r>
      <w:r>
        <w:rPr>
          <w:rFonts w:hint="eastAsia"/>
          <w:color w:val="auto"/>
          <w:highlight w:val="none"/>
        </w:rPr>
        <w:t>采购人发生大规模病毒灾难、软硬件升级、大批量设备安装调试、需大规模手工维护设备、故障通道达总维护数的10%或出境方向故障通道超5条或入境方向故障通道超7条时、以及采购人认为工作需要时，成交供应商要根据采购人发出的需求及时增加相应人数的维护人员配合采购人技术人员进行以上工作，必须在采购人规定的期限内完成，第一时间确保口岸现场验放和客流畅通，不得影响正常工作使用；</w:t>
      </w:r>
    </w:p>
    <w:p w14:paraId="51BB2198">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lang w:val="en-US" w:eastAsia="zh-CN"/>
        </w:rPr>
        <w:t>2、</w:t>
      </w:r>
      <w:r>
        <w:rPr>
          <w:rFonts w:hint="eastAsia"/>
          <w:color w:val="auto"/>
          <w:highlight w:val="none"/>
        </w:rPr>
        <w:t>当天所报故障原则上当天必须解决，出境方向故障通道超5条或入境方向故障通道超7条时，成交供应商必须在2个小时内增派维护人员协助处理；</w:t>
      </w:r>
    </w:p>
    <w:p w14:paraId="0924C963">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lang w:val="en-US" w:eastAsia="zh-CN"/>
        </w:rPr>
        <w:t>3、</w:t>
      </w:r>
      <w:r>
        <w:rPr>
          <w:rFonts w:hint="eastAsia"/>
          <w:color w:val="auto"/>
          <w:highlight w:val="none"/>
        </w:rPr>
        <w:t>提供节假日设备应急维修保障，提供值班人员联系电话，驻点维护人员无法解决时，需在3个小时内增派维护人员到达现场进行维护处理。</w:t>
      </w:r>
    </w:p>
    <w:p w14:paraId="600C3180">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p>
    <w:p w14:paraId="0D68E543">
      <w:pPr>
        <w:keepNext w:val="0"/>
        <w:keepLines w:val="0"/>
        <w:pageBreakBefore w:val="0"/>
        <w:widowControl w:val="0"/>
        <w:kinsoku/>
        <w:wordWrap/>
        <w:overflowPunct/>
        <w:topLinePunct w:val="0"/>
        <w:bidi w:val="0"/>
        <w:spacing w:line="360" w:lineRule="auto"/>
        <w:ind w:firstLine="422" w:firstLineChars="200"/>
        <w:outlineLvl w:val="2"/>
        <w:rPr>
          <w:rFonts w:hint="eastAsia" w:ascii="宋体" w:hAnsi="宋体" w:eastAsia="宋体" w:cs="Times New Roman"/>
          <w:b/>
          <w:bCs/>
          <w:color w:val="auto"/>
          <w:highlight w:val="none"/>
          <w:lang w:eastAsia="zh-CN"/>
        </w:rPr>
      </w:pPr>
      <w:r>
        <w:rPr>
          <w:rFonts w:hint="eastAsia" w:ascii="宋体" w:hAnsi="宋体" w:eastAsia="宋体" w:cs="Times New Roman"/>
          <w:b/>
          <w:bCs/>
          <w:color w:val="auto"/>
          <w:highlight w:val="none"/>
          <w:lang w:eastAsia="zh-CN"/>
        </w:rPr>
        <w:t>（</w:t>
      </w:r>
      <w:r>
        <w:rPr>
          <w:rFonts w:hint="eastAsia" w:ascii="宋体" w:hAnsi="宋体" w:eastAsia="宋体" w:cs="Times New Roman"/>
          <w:b/>
          <w:bCs/>
          <w:color w:val="auto"/>
          <w:highlight w:val="none"/>
          <w:lang w:val="en-US" w:eastAsia="zh-CN"/>
        </w:rPr>
        <w:t>七</w:t>
      </w:r>
      <w:r>
        <w:rPr>
          <w:rFonts w:hint="eastAsia" w:ascii="宋体" w:hAnsi="宋体" w:eastAsia="宋体" w:cs="Times New Roman"/>
          <w:b/>
          <w:bCs/>
          <w:color w:val="auto"/>
          <w:highlight w:val="none"/>
          <w:lang w:eastAsia="zh-CN"/>
        </w:rPr>
        <w:t>）技术培训服务</w:t>
      </w:r>
      <w:r>
        <w:rPr>
          <w:rFonts w:hint="eastAsia" w:ascii="宋体" w:hAnsi="宋体" w:eastAsia="宋体" w:cs="Times New Roman"/>
          <w:b/>
          <w:bCs/>
          <w:color w:val="auto"/>
          <w:highlight w:val="none"/>
          <w:lang w:val="en-US" w:eastAsia="zh-CN"/>
        </w:rPr>
        <w:t>要求</w:t>
      </w:r>
    </w:p>
    <w:p w14:paraId="3CDDE62D">
      <w:pPr>
        <w:widowControl w:val="0"/>
        <w:spacing w:line="360" w:lineRule="auto"/>
        <w:ind w:firstLine="420" w:firstLineChars="200"/>
        <w:rPr>
          <w:rFonts w:hint="eastAsia"/>
          <w:color w:val="auto"/>
          <w:highlight w:val="none"/>
        </w:rPr>
      </w:pPr>
      <w:r>
        <w:rPr>
          <w:rFonts w:hint="eastAsia"/>
          <w:color w:val="auto"/>
          <w:highlight w:val="none"/>
          <w:lang w:val="en-US" w:eastAsia="zh-CN"/>
        </w:rPr>
        <w:t>1、</w:t>
      </w:r>
      <w:r>
        <w:rPr>
          <w:rFonts w:hint="eastAsia"/>
          <w:color w:val="auto"/>
          <w:highlight w:val="none"/>
        </w:rPr>
        <w:t>合同期内</w:t>
      </w:r>
      <w:r>
        <w:rPr>
          <w:rFonts w:hint="eastAsia"/>
          <w:color w:val="auto"/>
          <w:highlight w:val="none"/>
          <w:lang w:eastAsia="zh-CN"/>
        </w:rPr>
        <w:t>，</w:t>
      </w:r>
      <w:r>
        <w:rPr>
          <w:rFonts w:hint="eastAsia"/>
          <w:color w:val="auto"/>
          <w:highlight w:val="none"/>
          <w:lang w:val="en-US" w:eastAsia="zh-CN"/>
        </w:rPr>
        <w:t>如有需要，</w:t>
      </w:r>
      <w:r>
        <w:rPr>
          <w:rFonts w:hint="eastAsia"/>
          <w:color w:val="auto"/>
          <w:highlight w:val="none"/>
        </w:rPr>
        <w:t>成交供应商</w:t>
      </w:r>
      <w:r>
        <w:rPr>
          <w:rFonts w:hint="eastAsia"/>
          <w:color w:val="auto"/>
          <w:highlight w:val="none"/>
          <w:lang w:val="en-US" w:eastAsia="zh-CN"/>
        </w:rPr>
        <w:t>应根据采购人要求</w:t>
      </w:r>
      <w:r>
        <w:rPr>
          <w:rFonts w:hint="eastAsia"/>
          <w:color w:val="auto"/>
          <w:highlight w:val="none"/>
        </w:rPr>
        <w:t>为采购人技术维护人员提供技术操作、维护培训。培训方式为现场讲解和集中授课相结合，同时提供有关培训文档，确保采购人前台查验人员能正确使用查验设备和查验软件，确保采购人技术维护人员能及时了解、跟进并掌握快捷查验系统的维护。成交供应商需做好培训记录，并有相关参训人员签名确认。</w:t>
      </w:r>
    </w:p>
    <w:p w14:paraId="53CDB015">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p>
    <w:p w14:paraId="3C4D7E9E">
      <w:pPr>
        <w:keepNext w:val="0"/>
        <w:keepLines w:val="0"/>
        <w:pageBreakBefore w:val="0"/>
        <w:widowControl w:val="0"/>
        <w:kinsoku/>
        <w:wordWrap/>
        <w:overflowPunct/>
        <w:topLinePunct w:val="0"/>
        <w:bidi w:val="0"/>
        <w:spacing w:line="360" w:lineRule="auto"/>
        <w:ind w:firstLine="422" w:firstLineChars="200"/>
        <w:outlineLvl w:val="2"/>
        <w:rPr>
          <w:rFonts w:hint="eastAsia" w:ascii="宋体" w:hAnsi="宋体" w:eastAsia="宋体" w:cs="Times New Roman"/>
          <w:b/>
          <w:bCs/>
          <w:color w:val="auto"/>
          <w:highlight w:val="none"/>
          <w:lang w:eastAsia="zh-CN"/>
        </w:rPr>
      </w:pPr>
      <w:r>
        <w:rPr>
          <w:rFonts w:hint="eastAsia" w:ascii="宋体" w:hAnsi="宋体" w:eastAsia="宋体" w:cs="Times New Roman"/>
          <w:b/>
          <w:bCs/>
          <w:color w:val="auto"/>
          <w:highlight w:val="none"/>
          <w:lang w:eastAsia="zh-CN"/>
        </w:rPr>
        <w:t>（</w:t>
      </w:r>
      <w:r>
        <w:rPr>
          <w:rFonts w:hint="eastAsia" w:ascii="宋体" w:hAnsi="宋体" w:eastAsia="宋体" w:cs="Times New Roman"/>
          <w:b/>
          <w:bCs/>
          <w:color w:val="auto"/>
          <w:highlight w:val="none"/>
          <w:lang w:val="en-US" w:eastAsia="zh-CN"/>
        </w:rPr>
        <w:t>八</w:t>
      </w:r>
      <w:r>
        <w:rPr>
          <w:rFonts w:hint="eastAsia" w:ascii="宋体" w:hAnsi="宋体" w:eastAsia="宋体" w:cs="Times New Roman"/>
          <w:b/>
          <w:bCs/>
          <w:color w:val="auto"/>
          <w:highlight w:val="none"/>
          <w:lang w:eastAsia="zh-CN"/>
        </w:rPr>
        <w:t>）基本工具</w:t>
      </w:r>
      <w:r>
        <w:rPr>
          <w:rFonts w:hint="eastAsia" w:ascii="宋体" w:hAnsi="宋体" w:eastAsia="宋体" w:cs="Times New Roman"/>
          <w:b/>
          <w:bCs/>
          <w:color w:val="auto"/>
          <w:highlight w:val="none"/>
          <w:lang w:val="en-US" w:eastAsia="zh-CN"/>
        </w:rPr>
        <w:t>要求</w:t>
      </w:r>
    </w:p>
    <w:p w14:paraId="5A13116B">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成交供应商应为驻场人员提供必要的值班保障设施确保驻场人员及时响应维护需求，并配备工作电脑、常用维修工具，如螺丝刀、万用表、网线钳、寻线器、冲击钻等用于确保维护工作的正常开展。</w:t>
      </w:r>
    </w:p>
    <w:bookmarkEnd w:id="56"/>
    <w:p w14:paraId="6E71ED21">
      <w:pPr>
        <w:keepNext w:val="0"/>
        <w:keepLines w:val="0"/>
        <w:pageBreakBefore w:val="0"/>
        <w:widowControl w:val="0"/>
        <w:kinsoku/>
        <w:wordWrap/>
        <w:overflowPunct/>
        <w:topLinePunct w:val="0"/>
        <w:bidi w:val="0"/>
        <w:spacing w:line="360" w:lineRule="auto"/>
        <w:ind w:firstLine="420" w:firstLineChars="200"/>
        <w:rPr>
          <w:color w:val="auto"/>
          <w:highlight w:val="none"/>
        </w:rPr>
      </w:pPr>
    </w:p>
    <w:p w14:paraId="4185BA78">
      <w:pPr>
        <w:keepNext w:val="0"/>
        <w:keepLines w:val="0"/>
        <w:pageBreakBefore w:val="0"/>
        <w:widowControl w:val="0"/>
        <w:kinsoku/>
        <w:wordWrap/>
        <w:overflowPunct/>
        <w:topLinePunct w:val="0"/>
        <w:bidi w:val="0"/>
        <w:spacing w:line="360" w:lineRule="auto"/>
        <w:ind w:firstLine="422" w:firstLineChars="200"/>
        <w:outlineLvl w:val="2"/>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eastAsia="zh-CN"/>
        </w:rPr>
        <w:t>（</w:t>
      </w:r>
      <w:r>
        <w:rPr>
          <w:rFonts w:hint="eastAsia" w:ascii="宋体" w:hAnsi="宋体" w:eastAsia="宋体" w:cs="Times New Roman"/>
          <w:b/>
          <w:bCs/>
          <w:color w:val="auto"/>
          <w:highlight w:val="none"/>
          <w:lang w:val="en-US" w:eastAsia="zh-CN"/>
        </w:rPr>
        <w:t>九</w:t>
      </w:r>
      <w:r>
        <w:rPr>
          <w:rFonts w:hint="eastAsia" w:ascii="宋体" w:hAnsi="宋体" w:eastAsia="宋体" w:cs="Times New Roman"/>
          <w:b/>
          <w:bCs/>
          <w:color w:val="auto"/>
          <w:highlight w:val="none"/>
          <w:lang w:eastAsia="zh-CN"/>
        </w:rPr>
        <w:t>）</w:t>
      </w:r>
      <w:r>
        <w:rPr>
          <w:rFonts w:hint="eastAsia" w:ascii="宋体" w:hAnsi="宋体" w:eastAsia="宋体" w:cs="Times New Roman"/>
          <w:b/>
          <w:bCs/>
          <w:color w:val="auto"/>
          <w:highlight w:val="none"/>
          <w:lang w:val="en-US" w:eastAsia="zh-CN"/>
        </w:rPr>
        <w:t>人员要求</w:t>
      </w:r>
    </w:p>
    <w:p w14:paraId="5A6956EA">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lang w:val="en-US" w:eastAsia="zh-CN"/>
        </w:rPr>
        <w:t>1、</w:t>
      </w:r>
      <w:r>
        <w:rPr>
          <w:rFonts w:hint="eastAsia"/>
          <w:color w:val="auto"/>
          <w:highlight w:val="none"/>
        </w:rPr>
        <w:t>成交供应商应具有保证以上维护内容所列的系统设备及线路正常运转所需的专业技能，掌握各类系统或部件之间连接所需的驱动或调试测试软件及各类系统或部件与边检查验系统软件的连接接口。</w:t>
      </w:r>
    </w:p>
    <w:p w14:paraId="56D5DA92">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rPr>
        <w:t>2</w:t>
      </w:r>
      <w:r>
        <w:rPr>
          <w:rFonts w:hint="eastAsia"/>
          <w:color w:val="auto"/>
          <w:highlight w:val="none"/>
          <w:lang w:eastAsia="zh-CN"/>
        </w:rPr>
        <w:t>、</w:t>
      </w:r>
      <w:r>
        <w:rPr>
          <w:rFonts w:hint="eastAsia"/>
          <w:color w:val="auto"/>
          <w:highlight w:val="none"/>
        </w:rPr>
        <w:t>本项目要求至少4名技术维护人员参与维护值班</w:t>
      </w:r>
      <w:r>
        <w:rPr>
          <w:rFonts w:hint="eastAsia"/>
          <w:color w:val="auto"/>
          <w:highlight w:val="none"/>
          <w:lang w:eastAsia="zh-CN"/>
        </w:rPr>
        <w:t>；</w:t>
      </w:r>
      <w:r>
        <w:rPr>
          <w:rFonts w:hint="eastAsia"/>
          <w:color w:val="auto"/>
          <w:highlight w:val="none"/>
        </w:rPr>
        <w:t>本项目要求的在现场值守的技术维保人员，不得复用于其他项目。</w:t>
      </w:r>
    </w:p>
    <w:p w14:paraId="6BD7DA06">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lang w:val="en-US" w:eastAsia="zh-CN"/>
        </w:rPr>
        <w:t>3、</w:t>
      </w:r>
      <w:r>
        <w:rPr>
          <w:rFonts w:hint="eastAsia"/>
          <w:color w:val="auto"/>
          <w:highlight w:val="none"/>
        </w:rPr>
        <w:t>技术维护人员资质及能力要求如下：</w:t>
      </w:r>
    </w:p>
    <w:p w14:paraId="52C46BAD">
      <w:pPr>
        <w:widowControl w:val="0"/>
        <w:numPr>
          <w:ilvl w:val="0"/>
          <w:numId w:val="6"/>
        </w:numPr>
        <w:spacing w:line="360" w:lineRule="auto"/>
        <w:ind w:firstLine="420" w:firstLineChars="200"/>
        <w:rPr>
          <w:rFonts w:hint="eastAsia"/>
          <w:color w:val="auto"/>
          <w:highlight w:val="none"/>
        </w:rPr>
      </w:pPr>
      <w:r>
        <w:rPr>
          <w:rFonts w:hint="eastAsia"/>
          <w:color w:val="auto"/>
          <w:highlight w:val="none"/>
        </w:rPr>
        <w:t>大专以上学历，</w:t>
      </w:r>
      <w:r>
        <w:rPr>
          <w:rFonts w:hint="eastAsia"/>
          <w:color w:val="auto"/>
          <w:highlight w:val="none"/>
          <w:lang w:val="en-US" w:eastAsia="zh-CN"/>
        </w:rPr>
        <w:t>理工科</w:t>
      </w:r>
      <w:r>
        <w:rPr>
          <w:rFonts w:hint="eastAsia"/>
          <w:color w:val="auto"/>
          <w:highlight w:val="none"/>
        </w:rPr>
        <w:t>专业毕业；</w:t>
      </w:r>
    </w:p>
    <w:p w14:paraId="7E927F1D">
      <w:pPr>
        <w:widowControl w:val="0"/>
        <w:numPr>
          <w:ilvl w:val="0"/>
          <w:numId w:val="6"/>
        </w:numPr>
        <w:spacing w:line="360" w:lineRule="auto"/>
        <w:ind w:firstLine="420" w:firstLineChars="200"/>
        <w:rPr>
          <w:color w:val="auto"/>
          <w:highlight w:val="none"/>
        </w:rPr>
      </w:pPr>
      <w:r>
        <w:rPr>
          <w:rFonts w:hint="eastAsia"/>
          <w:color w:val="auto"/>
          <w:highlight w:val="none"/>
        </w:rPr>
        <w:t>具有中级工程师及以上职称证书</w:t>
      </w:r>
      <w:r>
        <w:rPr>
          <w:rFonts w:hint="eastAsia"/>
          <w:color w:val="auto"/>
          <w:highlight w:val="none"/>
          <w:lang w:eastAsia="zh-CN"/>
        </w:rPr>
        <w:t>；</w:t>
      </w:r>
    </w:p>
    <w:p w14:paraId="05638EDF">
      <w:pPr>
        <w:widowControl w:val="0"/>
        <w:spacing w:line="360" w:lineRule="auto"/>
        <w:ind w:firstLine="420" w:firstLineChars="200"/>
        <w:rPr>
          <w:color w:val="auto"/>
          <w:highlight w:val="none"/>
        </w:rPr>
      </w:pPr>
      <w:r>
        <w:rPr>
          <w:rFonts w:hint="eastAsia"/>
          <w:color w:val="auto"/>
          <w:highlight w:val="none"/>
        </w:rPr>
        <w:t>（</w:t>
      </w:r>
      <w:r>
        <w:rPr>
          <w:rFonts w:hint="eastAsia"/>
          <w:color w:val="auto"/>
          <w:highlight w:val="none"/>
          <w:lang w:val="en-US" w:eastAsia="zh-CN"/>
        </w:rPr>
        <w:t>3</w:t>
      </w:r>
      <w:r>
        <w:rPr>
          <w:rFonts w:hint="eastAsia"/>
          <w:color w:val="auto"/>
          <w:highlight w:val="none"/>
        </w:rPr>
        <w:t>）从事电子工程、电气工程相关和计算机硬件维护工作</w:t>
      </w:r>
      <w:r>
        <w:rPr>
          <w:rFonts w:hint="eastAsia"/>
          <w:color w:val="auto"/>
          <w:highlight w:val="none"/>
          <w:lang w:val="en-US" w:eastAsia="zh-CN"/>
        </w:rPr>
        <w:t>1</w:t>
      </w:r>
      <w:r>
        <w:rPr>
          <w:rFonts w:hint="eastAsia"/>
          <w:color w:val="auto"/>
          <w:highlight w:val="none"/>
        </w:rPr>
        <w:t>年以上，有较强电子工程、电气工程、计算机硬件设备维护能力，工作勤勉、踏实、细心、负责。</w:t>
      </w:r>
    </w:p>
    <w:p w14:paraId="6A02EE99">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lang w:val="en-US" w:eastAsia="zh-CN"/>
        </w:rPr>
        <w:t>4、</w:t>
      </w:r>
      <w:r>
        <w:rPr>
          <w:rFonts w:hint="eastAsia"/>
          <w:color w:val="auto"/>
          <w:highlight w:val="none"/>
        </w:rPr>
        <w:t>合同存续期间人员离职需及时补充人员，补充的人员需经过培训并具备相应资质、能力，采购人可视情对人员进行维护能力抽查。</w:t>
      </w:r>
    </w:p>
    <w:p w14:paraId="5961D032">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color w:val="auto"/>
          <w:highlight w:val="none"/>
          <w:lang w:val="en-US" w:eastAsia="zh-CN"/>
        </w:rPr>
        <w:t>5、</w:t>
      </w:r>
      <w:r>
        <w:rPr>
          <w:rFonts w:hint="eastAsia"/>
          <w:color w:val="auto"/>
          <w:highlight w:val="none"/>
        </w:rPr>
        <w:t>采购人如发现由成交供应商派驻人员存在违法违规、能力不足、不配合工作、不服务管理等情况，采购人有权向成交供应商申请更换派驻人员。</w:t>
      </w:r>
    </w:p>
    <w:p w14:paraId="0211077F">
      <w:pPr>
        <w:pStyle w:val="45"/>
        <w:widowControl w:val="0"/>
        <w:spacing w:line="360" w:lineRule="auto"/>
        <w:rPr>
          <w:rFonts w:hint="eastAsia"/>
          <w:color w:val="auto"/>
          <w:highlight w:val="none"/>
        </w:rPr>
      </w:pPr>
    </w:p>
    <w:p w14:paraId="03505E32">
      <w:pPr>
        <w:pStyle w:val="364"/>
        <w:keepNext w:val="0"/>
        <w:keepLines w:val="0"/>
        <w:pageBreakBefore w:val="0"/>
        <w:widowControl w:val="0"/>
        <w:kinsoku/>
        <w:wordWrap/>
        <w:overflowPunct/>
        <w:topLinePunct w:val="0"/>
        <w:autoSpaceDE/>
        <w:autoSpaceDN/>
        <w:bidi w:val="0"/>
        <w:spacing w:line="360" w:lineRule="auto"/>
        <w:outlineLvl w:val="1"/>
        <w:rPr>
          <w:rFonts w:hint="eastAsia"/>
          <w:color w:val="auto"/>
          <w:sz w:val="21"/>
          <w:szCs w:val="21"/>
          <w:highlight w:val="none"/>
          <w:lang w:val="en-US" w:eastAsia="zh-CN"/>
        </w:rPr>
      </w:pPr>
      <w:bookmarkStart w:id="59" w:name="_Toc1269"/>
      <w:r>
        <w:rPr>
          <w:rFonts w:hint="eastAsia"/>
          <w:color w:val="auto"/>
          <w:sz w:val="21"/>
          <w:szCs w:val="21"/>
          <w:highlight w:val="none"/>
          <w:lang w:val="en-US" w:eastAsia="zh-CN"/>
        </w:rPr>
        <w:t>采购包2（信息化系统设备保养维护）：</w:t>
      </w:r>
      <w:bookmarkEnd w:id="59"/>
    </w:p>
    <w:p w14:paraId="71A9E304">
      <w:pPr>
        <w:keepNext w:val="0"/>
        <w:keepLines w:val="0"/>
        <w:pageBreakBefore w:val="0"/>
        <w:widowControl w:val="0"/>
        <w:kinsoku/>
        <w:wordWrap/>
        <w:overflowPunct/>
        <w:topLinePunct w:val="0"/>
        <w:bidi w:val="0"/>
        <w:spacing w:line="360" w:lineRule="auto"/>
        <w:ind w:firstLine="422" w:firstLineChars="200"/>
        <w:outlineLvl w:val="2"/>
        <w:rPr>
          <w:rFonts w:hint="default"/>
          <w:b/>
          <w:bCs/>
          <w:color w:val="auto"/>
          <w:highlight w:val="none"/>
          <w:lang w:val="en-US" w:eastAsia="zh-CN"/>
        </w:rPr>
      </w:pPr>
      <w:r>
        <w:rPr>
          <w:rFonts w:hint="eastAsia"/>
          <w:b/>
          <w:bCs/>
          <w:color w:val="auto"/>
          <w:highlight w:val="none"/>
          <w:lang w:eastAsia="zh-CN"/>
        </w:rPr>
        <w:t>（</w:t>
      </w:r>
      <w:r>
        <w:rPr>
          <w:rFonts w:hint="eastAsia"/>
          <w:b/>
          <w:bCs/>
          <w:color w:val="auto"/>
          <w:highlight w:val="none"/>
          <w:lang w:val="en-US" w:eastAsia="zh-CN"/>
        </w:rPr>
        <w:t>一</w:t>
      </w:r>
      <w:r>
        <w:rPr>
          <w:rFonts w:hint="eastAsia"/>
          <w:b/>
          <w:bCs/>
          <w:color w:val="auto"/>
          <w:highlight w:val="none"/>
          <w:lang w:eastAsia="zh-CN"/>
        </w:rPr>
        <w:t>）</w:t>
      </w:r>
      <w:r>
        <w:rPr>
          <w:rFonts w:hint="eastAsia"/>
          <w:b/>
          <w:bCs/>
          <w:color w:val="auto"/>
          <w:highlight w:val="none"/>
          <w:lang w:val="en-US" w:eastAsia="zh-CN"/>
        </w:rPr>
        <w:t>技术标准</w:t>
      </w:r>
    </w:p>
    <w:p w14:paraId="3DE7BF48">
      <w:pPr>
        <w:keepNext w:val="0"/>
        <w:keepLines w:val="0"/>
        <w:pageBreakBefore w:val="0"/>
        <w:widowControl w:val="0"/>
        <w:kinsoku/>
        <w:wordWrap/>
        <w:overflowPunct/>
        <w:topLinePunct w:val="0"/>
        <w:bidi w:val="0"/>
        <w:spacing w:line="360" w:lineRule="auto"/>
        <w:ind w:firstLine="420" w:firstLineChars="200"/>
        <w:outlineLvl w:val="3"/>
        <w:rPr>
          <w:rFonts w:hint="eastAsia"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1、软硬件巡检</w:t>
      </w:r>
    </w:p>
    <w:p w14:paraId="37CCBD99">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color w:val="auto"/>
          <w:highlight w:val="none"/>
          <w:lang w:eastAsia="zh-CN"/>
        </w:rPr>
        <w:t>每</w:t>
      </w:r>
      <w:r>
        <w:rPr>
          <w:rFonts w:hint="eastAsia" w:ascii="宋体" w:hAnsi="宋体" w:eastAsia="宋体" w:cs="宋体"/>
          <w:color w:val="auto"/>
          <w:highlight w:val="none"/>
          <w:lang w:eastAsia="zh-CN"/>
        </w:rPr>
        <w:t>次巡检后须向用户提供完整的巡检报告（提供巡检报告模版），提出存在问题（隐患）和合理建议。每次巡检现场需提供巡检人</w:t>
      </w:r>
      <w:r>
        <w:rPr>
          <w:rFonts w:hint="eastAsia" w:ascii="宋体" w:hAnsi="宋体" w:eastAsia="宋体" w:cs="宋体"/>
          <w:color w:val="auto"/>
          <w:highlight w:val="none"/>
          <w:lang w:eastAsia="zh-CN"/>
        </w:rPr>
        <w:t>员</w:t>
      </w:r>
      <w:r>
        <w:rPr>
          <w:rFonts w:hint="eastAsia" w:cs="宋体"/>
          <w:color w:val="auto"/>
          <w:highlight w:val="none"/>
          <w:lang w:val="en-US" w:eastAsia="zh-CN"/>
        </w:rPr>
        <w:t>身份证</w:t>
      </w:r>
      <w:r>
        <w:rPr>
          <w:rFonts w:hint="eastAsia" w:ascii="宋体" w:hAnsi="宋体" w:eastAsia="宋体" w:cs="宋体"/>
          <w:color w:val="auto"/>
          <w:highlight w:val="none"/>
          <w:lang w:eastAsia="zh-CN"/>
        </w:rPr>
        <w:t>和在</w:t>
      </w:r>
      <w:r>
        <w:rPr>
          <w:rFonts w:hint="eastAsia" w:ascii="宋体" w:hAnsi="宋体" w:eastAsia="宋体" w:cs="宋体"/>
          <w:color w:val="auto"/>
          <w:highlight w:val="none"/>
          <w:lang w:eastAsia="zh-CN"/>
        </w:rPr>
        <w:t>供应商单位的社保证明复印件加盖供应商公章。</w:t>
      </w:r>
    </w:p>
    <w:p w14:paraId="4DD66C48">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主要巡检内容：</w:t>
      </w:r>
    </w:p>
    <w:p w14:paraId="328A1B96">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（1）UPS主机</w:t>
      </w:r>
    </w:p>
    <w:p w14:paraId="2F965468">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设备运行状态检查：检查UPS主机状态指示灯是否在正常状态；报警指示灯是否亮起；听UPS运行声音是否有异响，检查散热风扇运行是否正常；</w:t>
      </w:r>
    </w:p>
    <w:p w14:paraId="6BF35A7A">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设备开关投入情况检查：检查各个空气开关和断路器是否在正常分合状态，包括交流输入开关、直流输入开关、旁路输入开关、交流输出开关等状态；</w:t>
      </w:r>
    </w:p>
    <w:p w14:paraId="1F314C25">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装置硬件检查：主机柜内整流器、逆变器、静态开关、交直流电容等相关设备检查；旁路柜调压器链条、炭刷，隔离变压器、稳压器、接触器、指示灯、指示按钮等检查；馈线柜逆止二极管、直流熔断器、指示灯、开关等检查；</w:t>
      </w:r>
    </w:p>
    <w:p w14:paraId="0A5308BF">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回路检查：主机柜、馈线柜内相关接线回路及板卡接口检查，是否有松动或接触不良；旁路柜内相关接线回路及板卡接口检查，是否有松动或接触不良；</w:t>
      </w:r>
    </w:p>
    <w:p w14:paraId="5B87A3B4">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端子紧固：对所有接线端子及螺丝进行紧固；</w:t>
      </w:r>
    </w:p>
    <w:p w14:paraId="37C1522C">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表计检查：检查各个电压表、电流表指示数值是否正确；</w:t>
      </w:r>
    </w:p>
    <w:p w14:paraId="28DBB814">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清扫保洁设备：检查内容：对主机柜、馈线柜、主回路、装置外观及板卡积尘清洁和吹灰；旁路柜屏柜、主回路、装置外观及板卡积尘清洁和吹灰；主机柜冷却风扇检查及清扫，确保整洁无灰尘；</w:t>
      </w:r>
    </w:p>
    <w:p w14:paraId="18D597A3">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输入输出电流电压检查内容：用万用表测量输入输出电流、电压是否在正常范围内；</w:t>
      </w:r>
    </w:p>
    <w:p w14:paraId="00BFE7B1">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（2）蓄电池</w:t>
      </w:r>
    </w:p>
    <w:p w14:paraId="68E8ED6B">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蓄电池电压测量：用万用表直流档逐一测量每节蓄电池的端电压是否在正常范围内，并做记录进行分析，对于电压过低的蓄电池进行及时更换；</w:t>
      </w:r>
    </w:p>
    <w:p w14:paraId="1A977E29">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蓄电池外观检查：检查蓄电池外观是否有破损、漏液等现象，对于异常电池进行记录并及时更换；</w:t>
      </w:r>
    </w:p>
    <w:p w14:paraId="333D786B">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蓄电池极柱接线检查：用专用扳手紧固每节蓄电池的连接线螺丝，保证无松动和接触不良现象；</w:t>
      </w:r>
    </w:p>
    <w:p w14:paraId="384DA07B">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清扫保洁设备：对蓄电池及其电池柜进行积尘清洁和吹灰，确保整洁无灰尘； </w:t>
      </w:r>
    </w:p>
    <w:p w14:paraId="1211FC63">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（3）输入输出配电</w:t>
      </w:r>
    </w:p>
    <w:p w14:paraId="27DD0EAD">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设备开关投入情况检查：检查各个空气开关和断路器是否在正常分合状态，包括交流输入开关、旁路输出开关、交流输出开关等状态；</w:t>
      </w:r>
    </w:p>
    <w:p w14:paraId="57C37B09">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配电柜内部检查：检查配电柜内的接触器、指示灯、电缆绝缘皮、散热风扇等是否有变形、发热、破损、裸露等现象；</w:t>
      </w:r>
    </w:p>
    <w:p w14:paraId="653C7CDD">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回路检查：检查内相关接线回路及板卡接口是否有松动或接触不良；</w:t>
      </w:r>
    </w:p>
    <w:p w14:paraId="51C2E65E">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端子紧固：对所有接线端子及螺丝进行紧固；</w:t>
      </w:r>
    </w:p>
    <w:p w14:paraId="4A33294B">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表计检查：检查各个电压表、电流表指示数值是否正确；</w:t>
      </w:r>
    </w:p>
    <w:p w14:paraId="2B7D8E07">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清扫保洁设备：对柜内进行积尘清扫和吹灰，确保整洁无灰尘；</w:t>
      </w:r>
    </w:p>
    <w:p w14:paraId="6BB6892C">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输入输出电流电压检查：用万用表测量输入输出电流、电压是否在正常范围内；</w:t>
      </w:r>
    </w:p>
    <w:p w14:paraId="4369136D">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输入输出线路检查：线缆表皮是否破损，线缆温度是否正常等；</w:t>
      </w:r>
    </w:p>
    <w:p w14:paraId="329BB0D6">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（4）机房空调（精密空调及壁挂式空调）</w:t>
      </w:r>
    </w:p>
    <w:p w14:paraId="2A4B525B">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控制系统检查：从空调系统的显示屏上检查空调系统的各项功能及参数是否正常；如有报警的情况要检查报警记录，并分析报警原因，检查温度、湿度传感器的工作状态是否正常； </w:t>
      </w:r>
    </w:p>
    <w:p w14:paraId="6722C524">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压缩机的巡回检查：观察制冷剂的液面，核实是否缺少制冷剂，免费为精密空调提供加雪种，处理漏水等服务。测量在压缩机运行时的电流及吸、排气压力，能够正确判断压缩机的运行状况；</w:t>
      </w:r>
    </w:p>
    <w:p w14:paraId="44CFB195">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过滤网检查：检查过滤网是否有破损、堵塞，检查过滤网堵塞开关，清洗过滤网，精密空调每半年更换一次空气滤网，必要时即时更换；</w:t>
      </w:r>
    </w:p>
    <w:p w14:paraId="7599C5E8">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风机组件：检查风机叶轮有无变形，轴承有无磨损、皮带松紧度状况；</w:t>
      </w:r>
    </w:p>
    <w:p w14:paraId="6CC9EA93">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压缩机组件: 检查有无泄漏、运行声音、观察运行振动情况；</w:t>
      </w:r>
    </w:p>
    <w:p w14:paraId="78B7DCAA">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风冷冷凝器（室外机）：检查冷凝器翅片的清洁度，室外机安装底座是否牢固，风机减震垫是否出现老化或损坏，制冷剂管路支架是否牢固以及防雷板是否仍有效；</w:t>
      </w:r>
    </w:p>
    <w:p w14:paraId="0C7C38BF">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制冷循环系统：检查吸气压力，检查排气压力，检查制冷剂管路，检查系统含水分情况（视液镜观察），检查热力膨胀阀；</w:t>
      </w:r>
    </w:p>
    <w:p w14:paraId="431B0B80">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加热系统：检查系统元件的运行，检查元件受腐蚀情况；</w:t>
      </w:r>
    </w:p>
    <w:p w14:paraId="537CAAFE">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远红外加湿器：检查水槽排水有无堵塞，检查结垢情况。</w:t>
      </w:r>
    </w:p>
    <w:p w14:paraId="0B122C1C">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（5）前端摄像机</w:t>
      </w:r>
    </w:p>
    <w:p w14:paraId="6817D498">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检查设备是否有破损；检查摄像机、支架是否牢靠稳固；检查摄像机护罩是否完好；检查摄像机工作状态、云台控制状态；检查电源、防雷器的工作状态；检查接线是否完好；对设备的镜头清理、设备除尘、位置调整。</w:t>
      </w:r>
    </w:p>
    <w:p w14:paraId="704B9A5B">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（6）拾音器</w:t>
      </w:r>
    </w:p>
    <w:p w14:paraId="411EE9B0">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检查外观是否完好，检查支架是否牢靠；检查接线是否牢靠，监听状态是否正常。</w:t>
      </w:r>
    </w:p>
    <w:p w14:paraId="1C059181">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（7）线路</w:t>
      </w:r>
    </w:p>
    <w:p w14:paraId="08D1ABC7">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检查线缆外观是否有破损；检查线缆接口；检查线缆传输是否正常。</w:t>
      </w:r>
    </w:p>
    <w:p w14:paraId="79C8DA9D">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（8）DVR、NVR、磁盘阵列设备</w:t>
      </w:r>
    </w:p>
    <w:p w14:paraId="37C74E0E">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检查设备面板显示、信号灯状态；检查通讯是否正常；软件功能检查：实时播放、录像存储、回访、设置状态；检查硬盘录像机按钮、录像存储时间、回放状态功能；检查有无死机、定格、严重延迟等现象；检查接线是否牢靠；设备清洁、除尘。</w:t>
      </w:r>
    </w:p>
    <w:p w14:paraId="154B42B1">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（9）服务器</w:t>
      </w:r>
    </w:p>
    <w:p w14:paraId="42236058">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检查服务器状态、通讯情况、连接线路，对设备除尘，整理线路；检查硬盘存储空间；检查系统的操作日志；检查监控软件检测、软件升级、软件维护、数据备份；定期对应用软件及数据备份。</w:t>
      </w:r>
    </w:p>
    <w:p w14:paraId="0DD036D4">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（10）视频监控应用软件</w:t>
      </w:r>
    </w:p>
    <w:p w14:paraId="1DB4C8CE">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定期更新漏洞补丁、数据管理与备份，审计用户操作日志（记录视频导出、删除行为）</w:t>
      </w:r>
    </w:p>
    <w:p w14:paraId="21DBB439">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（11）交换机</w:t>
      </w:r>
    </w:p>
    <w:p w14:paraId="7316A816">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检查工作是否正常、电源灯状态、接口卡指示灯状态、指示灯状态、电源连接，对设备除尘，整理线路；检查有无延迟丢帧现象系统检查：日志检查、CPU利用率、内存利用率、缓存利用率、板卡状态、路由表状态、VLAN状态、系统报错；检查系统的配置情况；检查网络连通性：物理接口状态、VLAN接口状态、PING包测试。</w:t>
      </w:r>
    </w:p>
    <w:p w14:paraId="6A4B1C20">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（12）显示大屏系统</w:t>
      </w:r>
    </w:p>
    <w:p w14:paraId="3A440385">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检查设备外观，检查设备的指示灯；检查设备环境温湿度、防雷接地、通风散热等，对设备进行清洁去灰，检查设备的拼接平整度、色彩亮度、灰度、均匀度、色差及信号干扰，检查设备接口、接线情况，检查控制软件功能；检查控制软件及数据的备份，检查系统的切换、分割、漫游等功能。</w:t>
      </w:r>
    </w:p>
    <w:p w14:paraId="418EB961">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（13）视频综合应用管理平台</w:t>
      </w:r>
    </w:p>
    <w:p w14:paraId="3A305A66">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检查平台镜头名称和画面显示名称是否一致；检查镜头时间是否与北京时间一致；检查录像回放功能是否正常，检查录音录像质量和时长；检查软件进程运行状态（如视频流分发服务、存储管理服务）；监控关键指标：视频流延迟、解码成功率、存储设备剩余容量；每日审查系统日志，识别异常告警（如视频丢失、设备离线）；重点排查：用户登录失败记录、视频流中断频次、存储写入错误；处理总站及各站平台各类异常问题。</w:t>
      </w:r>
    </w:p>
    <w:p w14:paraId="62D82B74">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（14）联动报警系统</w:t>
      </w:r>
    </w:p>
    <w:p w14:paraId="6CBDED13">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日常检查、定期功能测试、设备清洁维护、电源管理、联动功能测试以及应急设备测试等。</w:t>
      </w:r>
    </w:p>
    <w:p w14:paraId="12FAFDD3">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（15）口岸数字广播系统</w:t>
      </w:r>
    </w:p>
    <w:p w14:paraId="1D27FA59">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检查广播系统主机的电源、指示灯、显示屏等是否正常，确认系统时间准确。  </w:t>
      </w:r>
    </w:p>
    <w:p w14:paraId="00FDEA80">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测试广播系统的麦克风、功放、扬声器等设备是否正常工作，确保音质清晰、音量适中。  </w:t>
      </w:r>
    </w:p>
    <w:p w14:paraId="73C59119">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验证应急广播功能是否正常，确保紧急情况下能快速切换至应急广播模式。</w:t>
      </w:r>
    </w:p>
    <w:p w14:paraId="3F879CCF">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检查广播线路的连接是否牢固，是否存在松动或破损。  </w:t>
      </w:r>
    </w:p>
    <w:p w14:paraId="26C46185">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测试备用电源（如UPS）的充放电功能，确保断电时广播系统能正常运行。  </w:t>
      </w:r>
    </w:p>
    <w:p w14:paraId="49F209B6">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对扬声器进行抽查，确保其安装牢固、音质清晰，无杂音或失真现象。</w:t>
      </w:r>
    </w:p>
    <w:p w14:paraId="407EBDD4">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清洁广播主机、功放设备、麦克风等设备的表面灰尘，检查散热风扇是否正常运转。  </w:t>
      </w:r>
    </w:p>
    <w:p w14:paraId="1ACD306A">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检查扬声器的安装位置是否被遮挡或损坏，确保其覆盖范围无盲区。  </w:t>
      </w:r>
    </w:p>
    <w:p w14:paraId="4A5B208C">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紧固所有接线端子，检查线路是否存在老化或破损。</w:t>
      </w:r>
    </w:p>
    <w:p w14:paraId="40C2C149">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测试广播系统的分区控制功能，确保各区域（如通关大厅、候检区、办公区等）能独立广播。  </w:t>
      </w:r>
    </w:p>
    <w:p w14:paraId="3065ADA2">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验证背景音乐与应急广播的切换功能，确保切换迅速、无延迟。  </w:t>
      </w:r>
    </w:p>
    <w:p w14:paraId="295CAE29">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测试远程控制功能，确保其操作便捷、响应及时。</w:t>
      </w:r>
    </w:p>
    <w:p w14:paraId="74304914">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对功放设备进行负载测试，确保其输出功率符合设计要求。  </w:t>
      </w:r>
    </w:p>
    <w:p w14:paraId="1387E0AE">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检查麦克风的灵敏度及抗干扰能力，确保语音清晰、无杂音。</w:t>
      </w:r>
    </w:p>
    <w:p w14:paraId="387963FA">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测试广播系统与消防报警系统的联动功能，确保火灾等紧急情况下能自动切换至应急广播模式。  </w:t>
      </w:r>
    </w:p>
    <w:p w14:paraId="01824A6A">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验证广播系统与监控系统的联动功能，确保在突发事件（如人员倒地、快速奔跑）时能及时广播提醒。</w:t>
      </w:r>
    </w:p>
    <w:p w14:paraId="42995CFF">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（16）机房冷通道</w:t>
      </w:r>
    </w:p>
    <w:p w14:paraId="15036B28">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检查冷通道的封闭门、顶板、侧板等结构是否完好，确保无破损或松动。  </w:t>
      </w:r>
    </w:p>
    <w:p w14:paraId="05678297">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确认冷通道的密封性良好，无冷气泄漏现象。</w:t>
      </w:r>
    </w:p>
    <w:p w14:paraId="22708131">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使用温湿度传感器监测冷通道内的温度、湿度，确保其在设定范围内（通常温度为22±2℃，湿度为40%~60%）。  </w:t>
      </w:r>
    </w:p>
    <w:p w14:paraId="6A561A97">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检查冷通道内外的温差是否合理，确保冷气有效利用。</w:t>
      </w:r>
    </w:p>
    <w:p w14:paraId="73F90644">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检查空调机组、风机、过滤器等设备的运行状态，确保其正常工作。  </w:t>
      </w:r>
    </w:p>
    <w:p w14:paraId="17348033">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确认冷通道内的气流组织合理，无气流短路或死角。</w:t>
      </w:r>
    </w:p>
    <w:p w14:paraId="48C35ADD">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清洁冷通道的封闭门、顶板、侧板等表面灰尘，保持通道内部清洁。  </w:t>
      </w:r>
    </w:p>
    <w:p w14:paraId="001B604B">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清洁空调机组的过滤网，确保其通风顺畅，必要时更换过滤网。</w:t>
      </w:r>
    </w:p>
    <w:p w14:paraId="05F5C377">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检查空调机组的制冷效果，确认其输出冷量符合设计要求。  </w:t>
      </w:r>
    </w:p>
    <w:p w14:paraId="4A24D84B">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测试风机的风速和风量，确保其运行平稳、无异常噪音。</w:t>
      </w:r>
    </w:p>
    <w:p w14:paraId="3F963DB0">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检查冷通道的密封条是否老化或损坏，必要时更换密封条。  </w:t>
      </w:r>
    </w:p>
    <w:p w14:paraId="1CEA8D7A">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确认冷通道与机柜之间的连接处无缝隙，防止冷气泄漏。</w:t>
      </w:r>
    </w:p>
    <w:p w14:paraId="76C32CE1">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使用烟雾测试或气流测试仪，检查冷通道内的气流分布，优化气流组织。  </w:t>
      </w:r>
    </w:p>
    <w:p w14:paraId="364F0F11">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调整机柜的进风量和出风量，确保冷气均匀分布。 </w:t>
      </w:r>
    </w:p>
    <w:p w14:paraId="482D1520">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对空调机组进行深度清洁，检查冷凝器、蒸发器等部件的运行状态。  </w:t>
      </w:r>
    </w:p>
    <w:p w14:paraId="092817DA">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测试备用空调机组的切换功能，确保其能在主空调故障时及时启动。</w:t>
      </w:r>
    </w:p>
    <w:p w14:paraId="09A94356">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检查冷通道内电气线路的连接是否牢固，是否存在老化或破损。  </w:t>
      </w:r>
    </w:p>
    <w:p w14:paraId="144F70B6">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测试UPS电源的充放电功能，确保断电时冷通道设备能正常运行。</w:t>
      </w:r>
    </w:p>
    <w:p w14:paraId="78B43B02">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对冷通道的所有设备（如空调机组、风机、传感器等）进行全面检测，确保其性能符合设计要求。  </w:t>
      </w:r>
    </w:p>
    <w:p w14:paraId="756DF88F">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检查冷通道的结构稳定性，必要时进行加固或更换。 </w:t>
      </w:r>
    </w:p>
    <w:p w14:paraId="18385CC6">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评估冷通道的能效比（PUE），分析制冷效率，提出优化建议。  </w:t>
      </w:r>
    </w:p>
    <w:p w14:paraId="1D7ED37D">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根据机房设备的负载变化，调整冷通道的运行参数，提高能效。</w:t>
      </w:r>
    </w:p>
    <w:p w14:paraId="4B0B779A">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（17）会议系统</w:t>
      </w:r>
    </w:p>
    <w:p w14:paraId="6469CF1F">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检查系统设备外观，检查设备指示灯；检查系统设备接口、接线情况，对系统设备的清洁去灰；检查视频、音频输入输出信号是否正常，检查重点设备如无纸化办公系统、MCU、会议终端、调音台、矩阵、摄像头和麦克风等设备是否正常。</w:t>
      </w:r>
    </w:p>
    <w:p w14:paraId="148A5F3E">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（18）网络类设备</w:t>
      </w:r>
    </w:p>
    <w:p w14:paraId="5E506387">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包含但不限于以下工作：检查工作是否正常、电源灯状态、接口卡指示灯状态、指示灯状态、电源连接。检查有无延迟丢帧现象。系统检查：日志检查、CPU利用率、内存利用率、缓存利用率、板卡状态、路由表状态、VLAN状态、系统报错。检查系统的配置情况。检查网络连通性：物理接口状态、VLAN接口状态、PING包测试。其他用户要求检查的设备情况。</w:t>
      </w:r>
    </w:p>
    <w:p w14:paraId="586B429B">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（19）服务器和小机类（AIX系统）设备</w:t>
      </w:r>
    </w:p>
    <w:p w14:paraId="0F5E85B5">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包含但不限于以下工作：检查服务器、小型机工作状态、通讯情况、连接线路。检查硬盘存储空间。检查操作系统的运行状态及操作日志。检查监控软件检测、软件升级、软件维护、数据备份。定期对应用软件及数据备份。检查操作系统的漏洞及补丁并根据用户的要求及时升级。数据库运行情况及日志。检查数据库漏洞及补丁并根据用户的要求及时升级。其他用户要求检查的设备情况。</w:t>
      </w:r>
    </w:p>
    <w:p w14:paraId="1DCE8E81">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（20）存储类设备</w:t>
      </w:r>
    </w:p>
    <w:p w14:paraId="1C00CE38">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包含但不限于以下工作：检查存储设备机身显示灯号信息，故障信号灯信息，硬盘故障灯是否亮起。检查存储电源线缆连接状态。检查存储光纤或者网线线缆连接状态。检查存储前面板显示屏信息。检查存储的系统日志。检查存储的空间容量状态。检查存储与主机映射关系状态。其他用户要求检查的设备情况。</w:t>
      </w:r>
    </w:p>
    <w:p w14:paraId="23D57FD8">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（21）操作系统</w:t>
      </w:r>
    </w:p>
    <w:p w14:paraId="7A27424E">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包含但不限于以下工作：系统资源的使用情况，包括系统运行时间、CPU、内存、换页空间、文件系统、磁盘IO等主要资源的使用情况、VG卷的空间划分和使用率、双网卡运行情况、僵死进程的数量，系统运行日志的检查和分析（如/var/log目录下的日志文件）。</w:t>
      </w:r>
    </w:p>
    <w:p w14:paraId="3E9BB9F2">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（22）数据库</w:t>
      </w:r>
    </w:p>
    <w:p w14:paraId="2C3068A9">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包含但不限于以下工作：数据库操作系统性能CPU利用率 paging swapping IO等、检查数据文件状态、对重点表空间的使用率、资源占用较高的SQL语句、会话连接数、DBLINK连接数、检查后台ALERT日志。</w:t>
      </w:r>
    </w:p>
    <w:p w14:paraId="1EF4245B">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（23）虚拟化</w:t>
      </w:r>
    </w:p>
    <w:p w14:paraId="13C85CA3">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包含但不限于以下工作：平台的硬件设备工作状态，包括主机，存储等；平台支撑的应用环境，虚拟机列表的工作状态；可用的CPU，内存，存储空间等资源及当前已分配的资源工作状态等；各虚拟机占用的资源使用情况；存储设备上的配额管理；平台的工作运行日志检查。</w:t>
      </w:r>
    </w:p>
    <w:p w14:paraId="2DF70961">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（24）无线对讲机通讯系统</w:t>
      </w:r>
    </w:p>
    <w:p w14:paraId="22B2E4BE">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包括但不限于以下工作：检查对讲机基站、光纤收发器、信号耦合器、光纤设备近端和远端、室内信号覆盖设备、通讯链路等工作是否正常，发生故障时及时维修或更换零部件。</w:t>
      </w:r>
    </w:p>
    <w:p w14:paraId="1E7B9053">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（25）机房动力环境系统</w:t>
      </w:r>
    </w:p>
    <w:p w14:paraId="1087DF1E">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包括但不限于以下工作：检查青茂边检所配备的包括机房动力环境监控、智能温湿度监控、漏水检测、烟雾监控、精密空调监控、门禁管理等功能，并进行告警功能测试，生成测试报告。</w:t>
      </w:r>
    </w:p>
    <w:p w14:paraId="0E3B037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outlineLvl w:val="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2、白天或夜间维护、技术支持</w:t>
      </w:r>
    </w:p>
    <w:p w14:paraId="2FECFBDD">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（1）7天</w:t>
      </w:r>
      <w:r>
        <w:rPr>
          <w:rFonts w:hint="default" w:ascii="宋体" w:hAnsi="宋体" w:eastAsia="宋体" w:cs="宋体"/>
          <w:color w:val="auto"/>
          <w:highlight w:val="none"/>
          <w:lang w:val="en-US"/>
        </w:rPr>
        <w:t>×</w:t>
      </w:r>
      <w:r>
        <w:rPr>
          <w:rFonts w:hint="eastAsia" w:ascii="宋体" w:hAnsi="宋体" w:eastAsia="宋体" w:cs="宋体"/>
          <w:color w:val="auto"/>
          <w:highlight w:val="none"/>
          <w:lang w:eastAsia="zh-CN"/>
        </w:rPr>
        <w:t>24小时远程电话支持或上门服务</w:t>
      </w:r>
    </w:p>
    <w:p w14:paraId="04BFC381">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为确保系统的稳定运行，成交供应商需提供全年无休的7天</w:t>
      </w:r>
      <w:r>
        <w:rPr>
          <w:rFonts w:hint="default" w:ascii="宋体" w:hAnsi="宋体" w:eastAsia="宋体" w:cs="宋体"/>
          <w:color w:val="auto"/>
          <w:highlight w:val="none"/>
          <w:lang w:val="en-US"/>
        </w:rPr>
        <w:t>×</w:t>
      </w:r>
      <w:r>
        <w:rPr>
          <w:rFonts w:hint="eastAsia" w:ascii="宋体" w:hAnsi="宋体" w:eastAsia="宋体" w:cs="宋体"/>
          <w:color w:val="auto"/>
          <w:highlight w:val="none"/>
          <w:lang w:eastAsia="zh-CN"/>
        </w:rPr>
        <w:t>24小时技术支持服务，10分钟内响应。当系统出现故障或需要紧急处理时，技术人员可通过电话远程诊断问题，快速响应并提供解决方案。在必要时，技术支持团队可立即上门服务，确保问题得到及时处理，最大限度减少对业务的影响。</w:t>
      </w:r>
    </w:p>
    <w:p w14:paraId="7021F1B9">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（2）系统优化及前期调研咨询服务</w:t>
      </w:r>
    </w:p>
    <w:p w14:paraId="024DE6D6">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在系统运行过程中，成交供应商需定期进行性能评估和优化建议，确保系统高效稳定运行。同时，在甲方其他项目启动或升级前，提供全面的前期调研和咨询服务，包括需求分析、技术选型、方案设计等，帮助客户选择最适合的解决方案，为后续项目实施打下坚实基础。</w:t>
      </w:r>
    </w:p>
    <w:p w14:paraId="6B294EB3">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（3）现场技术支撑、故障处理支持</w:t>
      </w:r>
    </w:p>
    <w:p w14:paraId="2ECFA645">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当系统出现问题时，成交供应商技术支持工程师需在接到采购人报修后，1小时内到达现场并开始处理故障，并于到达现场后4小时内恢复服务（非硬件故障）；如果判断为硬件故障，需要更换备用零部件，成交供应商需提供备用零部件，在备用零部件到达现场起，4小时内恢复系统正常服务；如果判断更换备用零部件不能恢复设备正常功能，需更换备用设备恢复的，成交供应商需提供备用设备，在备用设备到达现场起，8小时内恢复系统正常服务。确保成交供应商技术支持工程师第一时间到达现场，快速诊断并解决问题，确保系统尽快恢复正常运行，保障业务的连续性和稳定性。</w:t>
      </w:r>
    </w:p>
    <w:p w14:paraId="32E8C7B4">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（4）资料管理</w:t>
      </w:r>
    </w:p>
    <w:p w14:paraId="4F5A27EC">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成交供应商需为客户提供全面的资料管理服务，包括设备清单、配置文件、操作手册、维护记录等技术文档的整理和更新。通过建立完善的文档管理系统，确保所有资料的准确性和可访问性，方便后续维护和管理，同时为紧急情况下的快速处理提供支持。</w:t>
      </w:r>
    </w:p>
    <w:p w14:paraId="6E8222CA">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（5）对新购软硬件的安装、调试、扩充、巡检等服务</w:t>
      </w:r>
    </w:p>
    <w:p w14:paraId="71206ADE">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成交供应商需为客户新采购的软硬件提供全面的安装和调试服务，帮助客户灵活应对业务需求的变化，确保系统的持续稳定运行。</w:t>
      </w:r>
    </w:p>
    <w:p w14:paraId="1D491C4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outlineLvl w:val="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3、培训服务</w:t>
      </w:r>
    </w:p>
    <w:p w14:paraId="1393176E">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成交供应商提供系统性培训服务，培训内容包括：运维技术知识、现网业务架构、常规故障处理等培训，帮助采购方提高使用及维护方面的能力。通过理论讲解和实操演练，帮助采购方全面掌握系统的运行机制、管理策略及维护技巧，提升其在设备使用和日常维护方面的专业能力。通过系统化的培训服务，助力采购方建立高效的运维团队，保障系统的稳定运行和业务的持续发展。</w:t>
      </w:r>
    </w:p>
    <w:p w14:paraId="1380C9C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outlineLvl w:val="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4、法定节假日重点现场保障（梅沙系统）</w:t>
      </w:r>
    </w:p>
    <w:p w14:paraId="6FF5C5B6">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根据服务内容清单内时间要求，法定节假日现场保障人员具备处理复杂技术难题的能力，能够迅速准确地判断技术问题的根源，并制定有效的解决方案。</w:t>
      </w:r>
    </w:p>
    <w:p w14:paraId="21368C60">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在节假日重点保障期间，安排专业技术人员，在节前提前准备，熟悉应急处置流程，合理安排值班人员，确保法定节假日期间现场有人值守；节中保障时，加强对各系统的监控，密切关注系统运行状态，重点关注系统性能指标、日志信息、安全事件等，及时响应和处理系统故障，尽快恢复系统正常运行；对节假日期间各系统的运行情况进行评估，总结节假日期间运维保障工作的经验和教训，持续改进系统运维工作，提升系统稳定性和可靠性。</w:t>
      </w:r>
    </w:p>
    <w:p w14:paraId="2328E34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outlineLvl w:val="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5、重点保障</w:t>
      </w:r>
    </w:p>
    <w:p w14:paraId="31570AD4">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根据服务内容清单内时间要求，重点保障期间（例如市电断电等期间）根据实际情况在指定地点提供巡检维护和现场技术支持。</w:t>
      </w:r>
    </w:p>
    <w:p w14:paraId="3BAED61E">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现场保障人员具备处理复杂技术难题的能力，能够迅速准确地判断技术问题的根源，并制定有效的解决方案。</w:t>
      </w:r>
    </w:p>
    <w:p w14:paraId="1C210C6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p>
    <w:p w14:paraId="1946F3B3">
      <w:pPr>
        <w:keepNext w:val="0"/>
        <w:keepLines w:val="0"/>
        <w:pageBreakBefore w:val="0"/>
        <w:widowControl w:val="0"/>
        <w:kinsoku/>
        <w:wordWrap/>
        <w:overflowPunct/>
        <w:topLinePunct w:val="0"/>
        <w:bidi w:val="0"/>
        <w:spacing w:line="360" w:lineRule="auto"/>
        <w:ind w:firstLine="422" w:firstLineChars="200"/>
        <w:outlineLvl w:val="2"/>
        <w:rPr>
          <w:rFonts w:hint="default"/>
          <w:b/>
          <w:bCs/>
          <w:color w:val="auto"/>
          <w:highlight w:val="none"/>
          <w:lang w:val="en-US" w:eastAsia="zh-CN"/>
        </w:rPr>
      </w:pPr>
      <w:r>
        <w:rPr>
          <w:rFonts w:hint="eastAsia"/>
          <w:b/>
          <w:bCs/>
          <w:color w:val="auto"/>
          <w:highlight w:val="none"/>
          <w:lang w:eastAsia="zh-CN"/>
        </w:rPr>
        <w:t>（</w:t>
      </w:r>
      <w:r>
        <w:rPr>
          <w:rFonts w:hint="eastAsia"/>
          <w:b/>
          <w:bCs/>
          <w:color w:val="auto"/>
          <w:highlight w:val="none"/>
          <w:lang w:val="en-US" w:eastAsia="zh-CN"/>
        </w:rPr>
        <w:t>二</w:t>
      </w:r>
      <w:r>
        <w:rPr>
          <w:rFonts w:hint="eastAsia"/>
          <w:b/>
          <w:bCs/>
          <w:color w:val="auto"/>
          <w:highlight w:val="none"/>
          <w:lang w:eastAsia="zh-CN"/>
        </w:rPr>
        <w:t>）</w:t>
      </w:r>
      <w:r>
        <w:rPr>
          <w:rFonts w:hint="eastAsia"/>
          <w:b/>
          <w:bCs/>
          <w:color w:val="auto"/>
          <w:highlight w:val="none"/>
          <w:lang w:val="en-US" w:eastAsia="zh-CN"/>
        </w:rPr>
        <w:t>服务要求</w:t>
      </w:r>
    </w:p>
    <w:p w14:paraId="249172D8">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outlineLvl w:val="3"/>
        <w:rPr>
          <w:rFonts w:hint="eastAsia" w:ascii="宋体" w:hAnsi="宋体" w:eastAsia="宋体" w:cs="宋体"/>
          <w:b w:val="0"/>
          <w:bCs w:val="0"/>
          <w:color w:val="auto"/>
          <w:highlight w:val="none"/>
          <w:lang w:val="en-US" w:eastAsia="zh-CN"/>
        </w:rPr>
      </w:pPr>
      <w:r>
        <w:rPr>
          <w:rFonts w:hint="eastAsia" w:ascii="宋体" w:hAnsi="宋体" w:eastAsia="宋体" w:cs="宋体"/>
          <w:color w:val="auto"/>
          <w:sz w:val="22"/>
          <w:szCs w:val="22"/>
          <w:highlight w:val="none"/>
          <w:lang w:val="en-US" w:eastAsia="zh-CN"/>
        </w:rPr>
        <w:t>▲</w:t>
      </w:r>
      <w:r>
        <w:rPr>
          <w:rFonts w:hint="eastAsia" w:ascii="宋体" w:hAnsi="宋体" w:eastAsia="宋体" w:cs="宋体"/>
          <w:b w:val="0"/>
          <w:bCs w:val="0"/>
          <w:color w:val="auto"/>
          <w:highlight w:val="none"/>
          <w:lang w:val="en-US" w:eastAsia="zh-CN"/>
        </w:rPr>
        <w:t>1、总体服务要求</w:t>
      </w:r>
    </w:p>
    <w:p w14:paraId="5BEA48A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成交供应商须充分考虑青茂口岸岀入境边防检查站外包维护服务难度和相关风险。青茂口岸是一个独立开放的信息化24小时电子口岸，青茂口岸涵盖业务网（梅沙查验系统）、办公网、视频网与智能网四套专用网络架构，对维护团队提出较高要求，维护过程中需严格遵循专网专用原则。其中，24小时不间断运行的边检业务网（梅沙查验系统）因使用频率高、业务连续性强，对运维要求极高，需全面排查故障隐患，做到出现故障时极短时间内响应并恢复，以保障口岸正常运作。另外系统维护的种类繁多，包括各类UPS、精密空调、视频监控、存储设备、信息公告屏系统、联动报警系统、口岸数字广播系统、机房冷通道、会议系统、网络设备、服务器、存储、小型机、操作系统、数据库、无线对讲机系统、机房动力环境系统等，维护种类多样性增加了运维的复杂性和难度。这要求成交供应商对上述系设备组成，接线要求，线路路由都要有深入的认识及了解，出现故障时，能够快速定位并解决问题。因此，成交供应商需确保运维团队具备高水平的专业技能，能够快速定位和解决系统故障，具备较强的应急响应能力和抗压能力。</w:t>
      </w:r>
      <w:r>
        <w:rPr>
          <w:rFonts w:hint="eastAsia" w:cs="宋体"/>
          <w:color w:val="auto"/>
          <w:highlight w:val="none"/>
          <w:lang w:val="en-US" w:eastAsia="zh-CN"/>
        </w:rPr>
        <w:t>部分维护项</w:t>
      </w:r>
      <w:r>
        <w:rPr>
          <w:rFonts w:hint="eastAsia" w:ascii="宋体" w:hAnsi="宋体" w:eastAsia="宋体" w:cs="宋体"/>
          <w:color w:val="auto"/>
          <w:highlight w:val="none"/>
        </w:rPr>
        <w:t>涉及2米以上高处作业，投标人应配备合法合规的高空作业人员、高空作业车辆或设备</w:t>
      </w:r>
      <w:r>
        <w:rPr>
          <w:rFonts w:hint="eastAsia" w:cs="宋体"/>
          <w:color w:val="auto"/>
          <w:highlight w:val="none"/>
          <w:lang w:eastAsia="zh-CN"/>
        </w:rPr>
        <w:t>，</w:t>
      </w:r>
      <w:r>
        <w:rPr>
          <w:rFonts w:hint="eastAsia" w:cs="宋体"/>
          <w:color w:val="auto"/>
          <w:highlight w:val="none"/>
          <w:lang w:val="en-US" w:eastAsia="zh-CN"/>
        </w:rPr>
        <w:t>保障维保过程安全合法</w:t>
      </w:r>
      <w:r>
        <w:rPr>
          <w:rFonts w:hint="eastAsia" w:ascii="宋体" w:hAnsi="宋体" w:eastAsia="宋体" w:cs="宋体"/>
          <w:color w:val="auto"/>
          <w:highlight w:val="none"/>
        </w:rPr>
        <w:t>。</w:t>
      </w:r>
    </w:p>
    <w:p w14:paraId="2F721A6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outlineLvl w:val="3"/>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保密性原则</w:t>
      </w:r>
    </w:p>
    <w:p w14:paraId="01FEAFC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对服务过程中获知的任何招标方系统信息均属秘密信息，不得泄露给第三方单位或个人，不得利用这些信息进行任何侵害招标方系统的行为。</w:t>
      </w:r>
    </w:p>
    <w:p w14:paraId="1B3FAF8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outlineLvl w:val="3"/>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规范性原则</w:t>
      </w:r>
    </w:p>
    <w:p w14:paraId="5ADCE03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服务的实施必须由专业技术人员依照规范的操作流程进行，对操作过程和结果要有相应的记录，提供完整的服务报告。</w:t>
      </w:r>
    </w:p>
    <w:p w14:paraId="4D95979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outlineLvl w:val="3"/>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可控性原则</w:t>
      </w:r>
    </w:p>
    <w:p w14:paraId="534A707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服务的工具、方法和过程要在双方认可的范围之内，保证招标方对于服务过程的可控性。</w:t>
      </w:r>
    </w:p>
    <w:p w14:paraId="5282C40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outlineLvl w:val="3"/>
        <w:rPr>
          <w:rFonts w:hint="eastAsia" w:ascii="宋体" w:hAnsi="宋体" w:eastAsia="宋体" w:cs="宋体"/>
          <w:color w:val="auto"/>
          <w:highlight w:val="none"/>
        </w:rPr>
      </w:pPr>
      <w:r>
        <w:rPr>
          <w:rFonts w:hint="eastAsia" w:ascii="宋体" w:hAnsi="宋体" w:eastAsia="宋体" w:cs="宋体"/>
          <w:color w:val="auto"/>
          <w:highlight w:val="none"/>
        </w:rPr>
        <w:t>5</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最小影响原则</w:t>
      </w:r>
    </w:p>
    <w:p w14:paraId="114DE74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服务工作应不能对现有业务的正常运行产生显著影响（包括系统性能明显下降、服务中断等）。</w:t>
      </w:r>
    </w:p>
    <w:p w14:paraId="222EA28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outlineLvl w:val="3"/>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6</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预防应急原则</w:t>
      </w:r>
    </w:p>
    <w:p w14:paraId="08813CB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在提供维护服务过程中，成交供应商必须采取预防与应急响应并重的措施，定期对被维护的系统及相关环境进行预防性检查，防患于未然。对可能的突发故障事先制定应急预案，确保在出现紧急情况时，将业务系统的中断减至最低，确保业务系统服务的连续性。</w:t>
      </w:r>
    </w:p>
    <w:p w14:paraId="75A57AAA">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outlineLvl w:val="3"/>
        <w:rPr>
          <w:rFonts w:hint="eastAsia" w:ascii="宋体" w:hAnsi="宋体" w:eastAsia="宋体" w:cs="宋体"/>
          <w:color w:val="auto"/>
          <w:highlight w:val="none"/>
        </w:rPr>
      </w:pP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highlight w:val="none"/>
        </w:rPr>
        <w:t>7</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应急服务响应时间要求</w:t>
      </w:r>
    </w:p>
    <w:p w14:paraId="6B6DC24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color w:val="auto"/>
          <w:highlight w:val="none"/>
        </w:rPr>
      </w:pPr>
      <w:r>
        <w:rPr>
          <w:rFonts w:hint="eastAsia" w:ascii="宋体" w:hAnsi="宋体" w:eastAsia="宋体" w:cs="宋体"/>
          <w:color w:val="auto"/>
          <w:highlight w:val="none"/>
        </w:rPr>
        <w:t>要求提供每周7天</w:t>
      </w:r>
      <w:r>
        <w:rPr>
          <w:rFonts w:hint="default" w:ascii="宋体" w:hAnsi="宋体" w:eastAsia="宋体" w:cs="宋体"/>
          <w:color w:val="auto"/>
          <w:highlight w:val="none"/>
          <w:lang w:val="en-US"/>
        </w:rPr>
        <w:t>×</w:t>
      </w:r>
      <w:r>
        <w:rPr>
          <w:rFonts w:hint="eastAsia" w:ascii="宋体" w:hAnsi="宋体" w:eastAsia="宋体" w:cs="宋体"/>
          <w:color w:val="auto"/>
          <w:highlight w:val="none"/>
        </w:rPr>
        <w:t>24小时不间断的电话应急服务支持。成交供应商工作人员在使用维保范围内的设备如遇到问题,无论是软件,硬件或,都随时可以从成交供应商得到电话支持与帮助。成交供应商需指定一名主要联系人及两名替补联系人与用户方联系。一旦接到用户方请求电话,成交供应商的技术人员将在电话</w:t>
      </w:r>
      <w:r>
        <w:rPr>
          <w:rFonts w:hint="eastAsia" w:ascii="宋体" w:hAnsi="宋体" w:eastAsia="宋体" w:cs="宋体"/>
          <w:color w:val="auto"/>
          <w:highlight w:val="none"/>
        </w:rPr>
        <w:t>内立刻响应用户所提出的问题，并立刻提供解决方案。如果电话支持不能解决问题，成交供应商的技术人员应该按照服务要求规定的时间，到达客户设备所在地提供现场支持。</w:t>
      </w:r>
    </w:p>
    <w:p w14:paraId="11B58656">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当系统出现问题时，成交供应商技术支持工程师需在接到采购人报修后，1小时内到达现场并开始处理故障，并于到达现场后4小时内恢复服务（非硬件故障）；如果判断为硬件故障，需要更换备用零部件，成交供应商需提供备用零部件，在备用零部件到达现场起，4小时内恢复系统正常服务；如果判断更换备用零部件不能恢复设备正常功能，需更换备用设备恢复的，成交供应商需提供备用设备，在备用设备到达现场起，8小时内恢复系统正常服务。确保成交供应商技术支持工程师第一时间到达现场，快速诊断并解决问题，确保系统尽快恢复正常运行，保障业务的连续性和稳定性。</w:t>
      </w:r>
    </w:p>
    <w:p w14:paraId="6E4E808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outlineLvl w:val="3"/>
        <w:rPr>
          <w:rFonts w:hint="eastAsia" w:ascii="宋体" w:hAnsi="宋体" w:eastAsia="宋体" w:cs="宋体"/>
          <w:color w:val="auto"/>
          <w:highlight w:val="none"/>
        </w:rPr>
      </w:pPr>
      <w:r>
        <w:rPr>
          <w:rFonts w:hint="eastAsia" w:cs="宋体"/>
          <w:color w:val="auto"/>
          <w:highlight w:val="none"/>
          <w:lang w:val="en-US" w:eastAsia="zh-CN"/>
        </w:rPr>
        <w:t>8</w:t>
      </w:r>
      <w:r>
        <w:rPr>
          <w:rFonts w:hint="eastAsia" w:ascii="宋体" w:hAnsi="宋体" w:eastAsia="宋体" w:cs="宋体"/>
          <w:color w:val="auto"/>
          <w:highlight w:val="none"/>
        </w:rPr>
        <w:t>、服务人员要求</w:t>
      </w:r>
    </w:p>
    <w:p w14:paraId="1E672B8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（1）服务团队需要具备扎实的UPS、精密空调、视频监控、会议系统、IT、网络等基础知识，具备丰富的运维经验，包括但不</w:t>
      </w:r>
      <w:r>
        <w:rPr>
          <w:rFonts w:hint="eastAsia" w:ascii="宋体" w:hAnsi="宋体" w:eastAsia="宋体" w:cs="宋体"/>
          <w:color w:val="auto"/>
          <w:highlight w:val="none"/>
        </w:rPr>
        <w:t>限于UPS、精密空调、视频监控、会议系统、网络安全设备、服务器、存储阵列、操作系统、网络协议、安全防护、虚拟化系统运维、系统备份等运维经验。</w:t>
      </w:r>
      <w:r>
        <w:rPr>
          <w:rFonts w:hint="eastAsia" w:ascii="宋体" w:hAnsi="宋体" w:eastAsia="宋体" w:cs="宋体"/>
          <w:color w:val="auto"/>
          <w:highlight w:val="none"/>
          <w:lang w:val="en-US" w:eastAsia="zh-CN"/>
        </w:rPr>
        <w:t>整体运维团队配备1名项目经理统一管理运维工作，1名技术负责人全面把控技术管理，其他服务团队成员需要涵盖网络相关工程师、操作系统相关工程师、信息安全相关工程师、精密空调相关工程师、视频会议系统相关工程师、电工相关工程师、软件相关工程师等，保证各系统都有相关类别工程师进行技术支持保障，服务供应商需</w:t>
      </w:r>
      <w:r>
        <w:rPr>
          <w:rFonts w:hint="eastAsia" w:cs="宋体"/>
          <w:color w:val="auto"/>
          <w:highlight w:val="none"/>
          <w:lang w:val="en-US" w:eastAsia="zh-CN"/>
        </w:rPr>
        <w:t>投入</w:t>
      </w:r>
      <w:r>
        <w:rPr>
          <w:rFonts w:hint="eastAsia" w:ascii="宋体" w:hAnsi="宋体" w:eastAsia="宋体" w:cs="宋体"/>
          <w:color w:val="auto"/>
          <w:highlight w:val="none"/>
          <w:lang w:val="en-US" w:eastAsia="zh-CN"/>
        </w:rPr>
        <w:t>工作经验三年或以上的项目运维团队成员</w:t>
      </w:r>
      <w:r>
        <w:rPr>
          <w:rFonts w:hint="eastAsia" w:cs="宋体"/>
          <w:color w:val="auto"/>
          <w:highlight w:val="none"/>
          <w:lang w:val="en-US" w:eastAsia="zh-CN"/>
        </w:rPr>
        <w:t>。</w:t>
      </w:r>
    </w:p>
    <w:p w14:paraId="7DFEBA2E">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宋体" w:hAnsi="宋体" w:eastAsia="宋体" w:cs="宋体"/>
          <w:color w:val="auto"/>
          <w:highlight w:val="none"/>
        </w:rPr>
      </w:pP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highlight w:val="none"/>
        </w:rPr>
        <w:t>（2）服务人员必须具备技术维护保障能力，熟悉青茂口岸岀入境边防检查站各系统业务及现网软硬件设备；每次现场服务需提供服务人员</w:t>
      </w:r>
      <w:r>
        <w:rPr>
          <w:rFonts w:hint="eastAsia" w:cs="宋体"/>
          <w:color w:val="auto"/>
          <w:highlight w:val="none"/>
          <w:lang w:val="en-US" w:eastAsia="zh-CN"/>
        </w:rPr>
        <w:t>身份证</w:t>
      </w:r>
      <w:r>
        <w:rPr>
          <w:rFonts w:hint="eastAsia" w:ascii="宋体" w:hAnsi="宋体" w:eastAsia="宋体" w:cs="宋体"/>
          <w:color w:val="auto"/>
          <w:highlight w:val="none"/>
        </w:rPr>
        <w:t>和在供应商单位的社保证明复印件加盖供应商公章。</w:t>
      </w:r>
    </w:p>
    <w:p w14:paraId="683B1B5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（3）成交供应商及其派出维护人员必须在上岗前经过安全保密教育培训，培训内容须用户认可，与用户签订保密协议，本项目所涉及的全部资料不得以任何形式外泄，包括但不限于文档、照片、图像、数据等。</w:t>
      </w:r>
    </w:p>
    <w:p w14:paraId="6F88E6ED">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default" w:ascii="宋体" w:hAnsi="宋体" w:eastAsia="宋体" w:cs="宋体"/>
          <w:color w:val="auto"/>
          <w:highlight w:val="none"/>
          <w:lang w:val="en-US"/>
        </w:rPr>
      </w:pP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highlight w:val="none"/>
        </w:rPr>
        <w:t>（4）为保证维护的及时性，成交供应商需在项目主要运行地点（珠海市）有服务保障能力，能够提供本地化服务</w:t>
      </w:r>
      <w:r>
        <w:rPr>
          <w:rFonts w:hint="eastAsia" w:cs="宋体"/>
          <w:color w:val="auto"/>
          <w:highlight w:val="none"/>
          <w:lang w:eastAsia="zh-CN"/>
        </w:rPr>
        <w:t>。</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承诺成交后在项目所在地设售后服务网点</w:t>
      </w:r>
      <w:r>
        <w:rPr>
          <w:rFonts w:hint="eastAsia" w:cs="宋体"/>
          <w:b/>
          <w:bCs/>
          <w:color w:val="auto"/>
          <w:highlight w:val="none"/>
          <w:lang w:eastAsia="zh-CN"/>
        </w:rPr>
        <w:t>，</w:t>
      </w:r>
      <w:r>
        <w:rPr>
          <w:rFonts w:hint="eastAsia" w:cs="宋体"/>
          <w:b/>
          <w:bCs/>
          <w:color w:val="auto"/>
          <w:highlight w:val="none"/>
          <w:lang w:val="en-US" w:eastAsia="zh-CN"/>
        </w:rPr>
        <w:t>提供承诺函，格式自拟。</w:t>
      </w:r>
      <w:r>
        <w:rPr>
          <w:rFonts w:hint="eastAsia" w:ascii="宋体" w:hAnsi="宋体" w:eastAsia="宋体" w:cs="宋体"/>
          <w:b/>
          <w:bCs/>
          <w:color w:val="auto"/>
          <w:highlight w:val="none"/>
        </w:rPr>
        <w:t>或在项目所在地已有售后服务网点</w:t>
      </w:r>
      <w:r>
        <w:rPr>
          <w:rFonts w:hint="eastAsia" w:cs="宋体"/>
          <w:b/>
          <w:bCs/>
          <w:color w:val="auto"/>
          <w:highlight w:val="none"/>
          <w:lang w:eastAsia="zh-CN"/>
        </w:rPr>
        <w:t>，</w:t>
      </w:r>
      <w:r>
        <w:rPr>
          <w:rFonts w:hint="eastAsia" w:ascii="宋体" w:hAnsi="宋体" w:eastAsia="宋体" w:cs="宋体"/>
          <w:b/>
          <w:bCs/>
          <w:color w:val="auto"/>
          <w:highlight w:val="none"/>
        </w:rPr>
        <w:t>提供售后服务网点证明材料复印件</w:t>
      </w:r>
      <w:r>
        <w:rPr>
          <w:rFonts w:hint="eastAsia" w:cs="宋体"/>
          <w:b/>
          <w:bCs/>
          <w:color w:val="auto"/>
          <w:highlight w:val="none"/>
          <w:lang w:eastAsia="zh-CN"/>
        </w:rPr>
        <w:t>。</w:t>
      </w:r>
      <w:r>
        <w:rPr>
          <w:rFonts w:hint="eastAsia" w:ascii="宋体" w:hAnsi="宋体" w:eastAsia="宋体" w:cs="宋体"/>
          <w:b/>
          <w:bCs/>
          <w:color w:val="auto"/>
          <w:highlight w:val="none"/>
        </w:rPr>
        <w:t>）</w:t>
      </w:r>
      <w:r>
        <w:rPr>
          <w:rFonts w:hint="eastAsia" w:ascii="宋体" w:hAnsi="宋体" w:eastAsia="宋体" w:cs="宋体"/>
          <w:color w:val="auto"/>
          <w:highlight w:val="none"/>
        </w:rPr>
        <w:t>在项目执行过程中如因实际需要</w:t>
      </w:r>
      <w:r>
        <w:rPr>
          <w:rFonts w:hint="eastAsia" w:ascii="宋体" w:hAnsi="宋体" w:eastAsia="宋体" w:cs="宋体"/>
          <w:color w:val="auto"/>
          <w:highlight w:val="none"/>
        </w:rPr>
        <w:t>需更换运维人员，需经用户批准同意后方可更换，否则不得随意更换。</w:t>
      </w:r>
    </w:p>
    <w:p w14:paraId="02B4F97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outlineLvl w:val="3"/>
        <w:rPr>
          <w:rFonts w:hint="eastAsia" w:ascii="宋体" w:hAnsi="宋体" w:eastAsia="宋体" w:cs="宋体"/>
          <w:color w:val="auto"/>
          <w:highlight w:val="none"/>
        </w:rPr>
      </w:pPr>
      <w:r>
        <w:rPr>
          <w:rFonts w:hint="eastAsia" w:cs="宋体"/>
          <w:color w:val="auto"/>
          <w:highlight w:val="none"/>
          <w:lang w:val="en-US" w:eastAsia="zh-CN"/>
        </w:rPr>
        <w:t>9</w:t>
      </w:r>
      <w:r>
        <w:rPr>
          <w:rFonts w:hint="eastAsia" w:ascii="宋体" w:hAnsi="宋体" w:eastAsia="宋体" w:cs="宋体"/>
          <w:color w:val="auto"/>
          <w:highlight w:val="none"/>
        </w:rPr>
        <w:t>、安全及保密要求</w:t>
      </w:r>
    </w:p>
    <w:p w14:paraId="7A05BFA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cs="宋体"/>
          <w:color w:val="auto"/>
          <w:highlight w:val="none"/>
          <w:lang w:eastAsia="zh-CN"/>
        </w:rPr>
        <w:t>（</w:t>
      </w:r>
      <w:r>
        <w:rPr>
          <w:rFonts w:hint="eastAsia" w:cs="宋体"/>
          <w:color w:val="auto"/>
          <w:highlight w:val="none"/>
          <w:lang w:val="en-US" w:eastAsia="zh-CN"/>
        </w:rPr>
        <w:t>1</w:t>
      </w:r>
      <w:r>
        <w:rPr>
          <w:rFonts w:hint="eastAsia" w:cs="宋体"/>
          <w:color w:val="auto"/>
          <w:highlight w:val="none"/>
          <w:lang w:eastAsia="zh-CN"/>
        </w:rPr>
        <w:t>）</w:t>
      </w:r>
      <w:r>
        <w:rPr>
          <w:rFonts w:hint="eastAsia" w:ascii="宋体" w:hAnsi="宋体" w:eastAsia="宋体" w:cs="宋体"/>
          <w:color w:val="auto"/>
          <w:highlight w:val="none"/>
        </w:rPr>
        <w:t>成交供应商不得存在以下违反安全及保密行为，包括但不限于：</w:t>
      </w:r>
    </w:p>
    <w:p w14:paraId="0E2BF62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网络安全方面：擅自建立跨网跨域运维通道，违规连接公安网络，设置应用系统后门、木马等恶意程序，恶意探测扫描网络及系统，拆除破坏监管设施、程序等。</w:t>
      </w:r>
    </w:p>
    <w:p w14:paraId="63C2E99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数据安全方面：违规下载、留存、使用公安数据，篡改、损毁、出售公安数据等。</w:t>
      </w:r>
    </w:p>
    <w:p w14:paraId="6DBFC83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安全保密方面：擅自扩大与合作事项相关信息的知悉范围，不及时清除、收回离职离岗或者不再参与信息化建设人员持有的公安文档资料、数据等。</w:t>
      </w:r>
    </w:p>
    <w:p w14:paraId="45C8322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cs="宋体"/>
          <w:color w:val="auto"/>
          <w:highlight w:val="none"/>
          <w:lang w:eastAsia="zh-CN"/>
        </w:rPr>
        <w:t>（</w:t>
      </w:r>
      <w:r>
        <w:rPr>
          <w:rFonts w:hint="eastAsia" w:cs="宋体"/>
          <w:color w:val="auto"/>
          <w:highlight w:val="none"/>
          <w:lang w:val="en-US" w:eastAsia="zh-CN"/>
        </w:rPr>
        <w:t>2</w:t>
      </w:r>
      <w:r>
        <w:rPr>
          <w:rFonts w:hint="eastAsia" w:cs="宋体"/>
          <w:color w:val="auto"/>
          <w:highlight w:val="none"/>
          <w:lang w:eastAsia="zh-CN"/>
        </w:rPr>
        <w:t>）</w:t>
      </w:r>
      <w:r>
        <w:rPr>
          <w:rFonts w:hint="eastAsia" w:ascii="宋体" w:hAnsi="宋体" w:eastAsia="宋体" w:cs="宋体"/>
          <w:color w:val="auto"/>
          <w:highlight w:val="none"/>
        </w:rPr>
        <w:t>违反安全管理行为成交供应商需承担的责任，包括但不限于：</w:t>
      </w:r>
    </w:p>
    <w:p w14:paraId="750E4FC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采取补救措施。成交供应商在提供服务过程中如发生违约失泄密行为的，应采取必要的补救措施，免费升级系统、更换存在缺陷设备，对此需要向青茂口岸岀入境边防检查站承担违约金责任。</w:t>
      </w:r>
    </w:p>
    <w:p w14:paraId="148418B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成交供应商发生违约行为的，青茂口岸岀入境边防检查站维权程序中，成交供应商应向青茂口岸岀入境边防检查站支付诉讼费、鉴定费、诉讼费、仲裁费、律师费、取证费等费用。</w:t>
      </w:r>
    </w:p>
    <w:p w14:paraId="5B190B4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lang w:eastAsia="zh-CN"/>
        </w:rPr>
      </w:pPr>
      <w:r>
        <w:rPr>
          <w:rFonts w:hint="eastAsia" w:cs="宋体"/>
          <w:color w:val="auto"/>
          <w:highlight w:val="none"/>
          <w:lang w:eastAsia="zh-CN"/>
        </w:rPr>
        <w:t>（</w:t>
      </w:r>
      <w:r>
        <w:rPr>
          <w:rFonts w:hint="eastAsia" w:cs="宋体"/>
          <w:color w:val="auto"/>
          <w:highlight w:val="none"/>
          <w:lang w:val="en-US" w:eastAsia="zh-CN"/>
        </w:rPr>
        <w:t>3</w:t>
      </w:r>
      <w:r>
        <w:rPr>
          <w:rFonts w:hint="eastAsia" w:cs="宋体"/>
          <w:color w:val="auto"/>
          <w:highlight w:val="none"/>
          <w:lang w:eastAsia="zh-CN"/>
        </w:rPr>
        <w:t>）</w:t>
      </w:r>
      <w:r>
        <w:rPr>
          <w:rFonts w:hint="eastAsia" w:ascii="宋体" w:hAnsi="宋体" w:eastAsia="宋体" w:cs="宋体"/>
          <w:color w:val="auto"/>
          <w:highlight w:val="none"/>
        </w:rPr>
        <w:t>违反保密协议后果</w:t>
      </w:r>
      <w:r>
        <w:rPr>
          <w:rFonts w:hint="eastAsia" w:cs="宋体"/>
          <w:color w:val="auto"/>
          <w:highlight w:val="none"/>
          <w:lang w:eastAsia="zh-CN"/>
        </w:rPr>
        <w:t>：</w:t>
      </w:r>
    </w:p>
    <w:p w14:paraId="7C5AAF0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提前解约：成交供应商成交供应商违反上述保密约定，造成严重后果或经青茂口岸岀入境边防检查站要求拒不限期整改的，青茂口岸岀入境边防检查站有权要求单方解除合同并扣缴履约保证金或向成交供应商追索违约金。</w:t>
      </w:r>
    </w:p>
    <w:p w14:paraId="3DDD0FB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成交供应商违背上述保密规定的，青茂口岸岀入境边防检查站有权向采购平台提起申请将成交供应商或其责任人列入政务采购严重违法失信行为记录名单、市场监督管理严重失信名单。</w:t>
      </w:r>
    </w:p>
    <w:p w14:paraId="3485D08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后续追偿：鉴于成交供应商可能存在的违约行为隐蔽性，可能时间较长后方能显现或损失数额难以明确，成交供应商放弃对此的时效抗辩权利。</w:t>
      </w:r>
    </w:p>
    <w:p w14:paraId="03A5050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p>
    <w:p w14:paraId="1FF23AE6">
      <w:pPr>
        <w:keepNext w:val="0"/>
        <w:keepLines w:val="0"/>
        <w:pageBreakBefore w:val="0"/>
        <w:widowControl w:val="0"/>
        <w:kinsoku/>
        <w:wordWrap/>
        <w:overflowPunct/>
        <w:topLinePunct w:val="0"/>
        <w:bidi w:val="0"/>
        <w:spacing w:line="360" w:lineRule="auto"/>
        <w:ind w:firstLine="422" w:firstLineChars="200"/>
        <w:outlineLvl w:val="2"/>
        <w:rPr>
          <w:rFonts w:hint="eastAsia"/>
          <w:b/>
          <w:bCs/>
          <w:color w:val="auto"/>
          <w:highlight w:val="none"/>
          <w:lang w:eastAsia="zh-CN"/>
        </w:rPr>
      </w:pPr>
      <w:r>
        <w:rPr>
          <w:rFonts w:hint="eastAsia"/>
          <w:b/>
          <w:bCs/>
          <w:color w:val="auto"/>
          <w:highlight w:val="none"/>
          <w:lang w:eastAsia="zh-CN"/>
        </w:rPr>
        <w:t>（</w:t>
      </w:r>
      <w:r>
        <w:rPr>
          <w:rFonts w:hint="eastAsia"/>
          <w:b/>
          <w:bCs/>
          <w:color w:val="auto"/>
          <w:highlight w:val="none"/>
          <w:lang w:val="en-US" w:eastAsia="zh-CN"/>
        </w:rPr>
        <w:t>三</w:t>
      </w:r>
      <w:r>
        <w:rPr>
          <w:rFonts w:hint="eastAsia"/>
          <w:b/>
          <w:bCs/>
          <w:color w:val="auto"/>
          <w:highlight w:val="none"/>
          <w:lang w:eastAsia="zh-CN"/>
        </w:rPr>
        <w:t>）考核办法</w:t>
      </w:r>
    </w:p>
    <w:p w14:paraId="65349BB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如成交供应商在合同期内不能按要求和承诺响应服务，则用户有权对成交供应商作出相应违约处罚，具体考核标准如下：</w:t>
      </w:r>
    </w:p>
    <w:p w14:paraId="0CB772B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用户有权随时对成交供应商维护工作进行考核（考核方法见下表）。凡扣分累计超过100分或达到取消其维护资格的其它条件的，用户有权终止合同，相关责任由成交供应商负责。</w:t>
      </w:r>
    </w:p>
    <w:tbl>
      <w:tblPr>
        <w:tblStyle w:val="4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3"/>
        <w:gridCol w:w="3281"/>
        <w:gridCol w:w="5260"/>
      </w:tblGrid>
      <w:tr w14:paraId="1088C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blHeader/>
          <w:jc w:val="center"/>
        </w:trPr>
        <w:tc>
          <w:tcPr>
            <w:tcW w:w="1313" w:type="dxa"/>
            <w:tcBorders>
              <w:top w:val="single" w:color="auto" w:sz="4" w:space="0"/>
              <w:left w:val="single" w:color="auto" w:sz="4" w:space="0"/>
              <w:bottom w:val="single" w:color="auto" w:sz="4" w:space="0"/>
              <w:right w:val="single" w:color="auto" w:sz="4" w:space="0"/>
            </w:tcBorders>
            <w:noWrap w:val="0"/>
            <w:vAlign w:val="center"/>
          </w:tcPr>
          <w:p w14:paraId="1254F74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考核项目</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47E3C87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具体考核内容</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74A44D0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考核结果</w:t>
            </w:r>
          </w:p>
        </w:tc>
      </w:tr>
      <w:tr w14:paraId="1AE63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1313" w:type="dxa"/>
            <w:vMerge w:val="restart"/>
            <w:tcBorders>
              <w:top w:val="single" w:color="auto" w:sz="4" w:space="0"/>
              <w:left w:val="single" w:color="auto" w:sz="4" w:space="0"/>
              <w:bottom w:val="single" w:color="auto" w:sz="4" w:space="0"/>
              <w:right w:val="single" w:color="auto" w:sz="4" w:space="0"/>
            </w:tcBorders>
            <w:noWrap w:val="0"/>
            <w:vAlign w:val="center"/>
          </w:tcPr>
          <w:p w14:paraId="07FCEDC3">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响应效率</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60A46E8A">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巡检</w:t>
            </w:r>
            <w:r>
              <w:rPr>
                <w:rFonts w:hint="eastAsia" w:ascii="宋体" w:hAnsi="宋体" w:eastAsia="宋体" w:cs="宋体"/>
                <w:color w:val="auto"/>
                <w:sz w:val="21"/>
                <w:szCs w:val="21"/>
                <w:highlight w:val="none"/>
              </w:rPr>
              <w:t>欠主动，无任何理由推迟维护时间。</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7FD74F76">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每次扣10分，造成安全事故的，除消除影响，弥补损失外，扣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0分；情节严重的，取消其维护资格。</w:t>
            </w:r>
          </w:p>
        </w:tc>
      </w:tr>
      <w:tr w14:paraId="433C7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13" w:type="dxa"/>
            <w:vMerge w:val="continue"/>
            <w:tcBorders>
              <w:top w:val="single" w:color="auto" w:sz="4" w:space="0"/>
              <w:left w:val="single" w:color="auto" w:sz="4" w:space="0"/>
              <w:bottom w:val="single" w:color="auto" w:sz="4" w:space="0"/>
              <w:right w:val="single" w:color="auto" w:sz="4" w:space="0"/>
            </w:tcBorders>
            <w:noWrap w:val="0"/>
            <w:vAlign w:val="center"/>
          </w:tcPr>
          <w:p w14:paraId="10F2BAF6">
            <w:pPr>
              <w:keepNext w:val="0"/>
              <w:keepLines w:val="0"/>
              <w:pageBreakBefore w:val="0"/>
              <w:widowControl w:val="0"/>
              <w:kinsoku/>
              <w:wordWrap/>
              <w:overflowPunct/>
              <w:topLinePunct w:val="0"/>
              <w:autoSpaceDE/>
              <w:autoSpaceDN/>
              <w:bidi w:val="0"/>
              <w:adjustRightInd w:val="0"/>
              <w:snapToGrid/>
              <w:spacing w:line="360" w:lineRule="auto"/>
              <w:jc w:val="both"/>
              <w:textAlignment w:val="baseline"/>
              <w:rPr>
                <w:rFonts w:hint="eastAsia" w:ascii="宋体" w:hAnsi="宋体" w:eastAsia="宋体" w:cs="宋体"/>
                <w:color w:val="auto"/>
                <w:sz w:val="21"/>
                <w:szCs w:val="21"/>
                <w:highlight w:val="none"/>
              </w:rPr>
            </w:pPr>
          </w:p>
        </w:tc>
        <w:tc>
          <w:tcPr>
            <w:tcW w:w="3281" w:type="dxa"/>
            <w:tcBorders>
              <w:top w:val="single" w:color="auto" w:sz="4" w:space="0"/>
              <w:left w:val="single" w:color="auto" w:sz="4" w:space="0"/>
              <w:bottom w:val="single" w:color="auto" w:sz="4" w:space="0"/>
              <w:right w:val="single" w:color="auto" w:sz="4" w:space="0"/>
            </w:tcBorders>
            <w:noWrap w:val="0"/>
            <w:vAlign w:val="center"/>
          </w:tcPr>
          <w:p w14:paraId="1B69449D">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因工作需要要求成交供应商提供服务，供应商故意推辞，造成业务工作被动，影响现场工作。</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48DDC68B">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0分，造成安全事故的，除消除影响，弥补损失外，扣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0分；情节严重的，取消其维护资格。</w:t>
            </w:r>
          </w:p>
        </w:tc>
      </w:tr>
      <w:tr w14:paraId="7516B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13" w:type="dxa"/>
            <w:tcBorders>
              <w:top w:val="single" w:color="auto" w:sz="4" w:space="0"/>
              <w:left w:val="single" w:color="auto" w:sz="4" w:space="0"/>
              <w:bottom w:val="single" w:color="auto" w:sz="4" w:space="0"/>
              <w:right w:val="single" w:color="auto" w:sz="4" w:space="0"/>
            </w:tcBorders>
            <w:noWrap w:val="0"/>
            <w:vAlign w:val="center"/>
          </w:tcPr>
          <w:p w14:paraId="234E90A0">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巡检服务</w:t>
            </w:r>
            <w:r>
              <w:rPr>
                <w:rFonts w:hint="eastAsia" w:ascii="宋体" w:hAnsi="宋体" w:eastAsia="宋体" w:cs="宋体"/>
                <w:color w:val="auto"/>
                <w:sz w:val="21"/>
                <w:szCs w:val="21"/>
                <w:highlight w:val="none"/>
              </w:rPr>
              <w:t>质量</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655EA717">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服务范围清单内设备巡检不全面，巡检项目没有达到客户的要求，存在漏项</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519EECD0">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每次扣10分，造成安全事故的，除消除影响，弥补损失外，扣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0分；情节严重的，取消其维护资格。</w:t>
            </w:r>
          </w:p>
        </w:tc>
      </w:tr>
      <w:tr w14:paraId="4A925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13" w:type="dxa"/>
            <w:tcBorders>
              <w:top w:val="single" w:color="auto" w:sz="4" w:space="0"/>
              <w:left w:val="single" w:color="auto" w:sz="4" w:space="0"/>
              <w:bottom w:val="single" w:color="auto" w:sz="4" w:space="0"/>
              <w:right w:val="single" w:color="auto" w:sz="4" w:space="0"/>
            </w:tcBorders>
            <w:noWrap w:val="0"/>
            <w:vAlign w:val="center"/>
          </w:tcPr>
          <w:p w14:paraId="549E7B59">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维护记录情况</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6CA34F4C">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维护记录</w:t>
            </w:r>
            <w:r>
              <w:rPr>
                <w:rFonts w:hint="eastAsia" w:ascii="宋体" w:hAnsi="宋体" w:eastAsia="宋体" w:cs="宋体"/>
                <w:color w:val="auto"/>
                <w:sz w:val="21"/>
                <w:szCs w:val="21"/>
                <w:highlight w:val="none"/>
                <w:lang w:val="en-US" w:eastAsia="zh-CN"/>
              </w:rPr>
              <w:t>无法</w:t>
            </w:r>
            <w:r>
              <w:rPr>
                <w:rFonts w:hint="eastAsia" w:ascii="宋体" w:hAnsi="宋体" w:eastAsia="宋体" w:cs="宋体"/>
                <w:color w:val="auto"/>
                <w:sz w:val="21"/>
                <w:szCs w:val="21"/>
                <w:highlight w:val="none"/>
              </w:rPr>
              <w:t>做到详尽准确</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12264A56">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根据影响情况扣5-10分</w:t>
            </w:r>
            <w:r>
              <w:rPr>
                <w:rFonts w:hint="eastAsia" w:ascii="宋体" w:hAnsi="宋体" w:eastAsia="宋体" w:cs="宋体"/>
                <w:color w:val="auto"/>
                <w:kern w:val="2"/>
                <w:sz w:val="21"/>
                <w:szCs w:val="21"/>
                <w:highlight w:val="none"/>
                <w:lang w:val="en-US" w:eastAsia="zh-CN" w:bidi="ar"/>
              </w:rPr>
              <w:t>/次。</w:t>
            </w:r>
          </w:p>
        </w:tc>
      </w:tr>
      <w:tr w14:paraId="42482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13" w:type="dxa"/>
            <w:vMerge w:val="restart"/>
            <w:tcBorders>
              <w:top w:val="single" w:color="auto" w:sz="4" w:space="0"/>
              <w:left w:val="single" w:color="auto" w:sz="4" w:space="0"/>
              <w:bottom w:val="single" w:color="auto" w:sz="4" w:space="0"/>
              <w:right w:val="single" w:color="auto" w:sz="4" w:space="0"/>
            </w:tcBorders>
            <w:noWrap w:val="0"/>
            <w:vAlign w:val="center"/>
          </w:tcPr>
          <w:p w14:paraId="5FEB5C44">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故障原因分析及解决情况</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725F262D">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故障原因分析不准确，造成故障未能得到及时解决。</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3DF30556">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0分，造成安全事故的，除消除影响，弥补损失外，扣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0分；情节严重的，取消其维护资格。</w:t>
            </w:r>
          </w:p>
        </w:tc>
      </w:tr>
      <w:tr w14:paraId="5C7BB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13" w:type="dxa"/>
            <w:vMerge w:val="continue"/>
            <w:tcBorders>
              <w:top w:val="single" w:color="auto" w:sz="4" w:space="0"/>
              <w:left w:val="single" w:color="auto" w:sz="4" w:space="0"/>
              <w:bottom w:val="single" w:color="auto" w:sz="4" w:space="0"/>
              <w:right w:val="single" w:color="auto" w:sz="4" w:space="0"/>
            </w:tcBorders>
            <w:noWrap w:val="0"/>
            <w:vAlign w:val="center"/>
          </w:tcPr>
          <w:p w14:paraId="2F152838">
            <w:pPr>
              <w:keepNext w:val="0"/>
              <w:keepLines w:val="0"/>
              <w:pageBreakBefore w:val="0"/>
              <w:widowControl w:val="0"/>
              <w:kinsoku/>
              <w:wordWrap/>
              <w:overflowPunct/>
              <w:topLinePunct w:val="0"/>
              <w:autoSpaceDE/>
              <w:autoSpaceDN/>
              <w:bidi w:val="0"/>
              <w:adjustRightInd w:val="0"/>
              <w:snapToGrid/>
              <w:spacing w:line="360" w:lineRule="auto"/>
              <w:jc w:val="both"/>
              <w:textAlignment w:val="baseline"/>
              <w:rPr>
                <w:rFonts w:hint="eastAsia" w:ascii="宋体" w:hAnsi="宋体" w:eastAsia="宋体" w:cs="宋体"/>
                <w:color w:val="auto"/>
                <w:sz w:val="21"/>
                <w:szCs w:val="21"/>
                <w:highlight w:val="none"/>
              </w:rPr>
            </w:pPr>
          </w:p>
        </w:tc>
        <w:tc>
          <w:tcPr>
            <w:tcW w:w="3281" w:type="dxa"/>
            <w:tcBorders>
              <w:top w:val="single" w:color="auto" w:sz="4" w:space="0"/>
              <w:left w:val="single" w:color="auto" w:sz="4" w:space="0"/>
              <w:bottom w:val="single" w:color="auto" w:sz="4" w:space="0"/>
              <w:right w:val="single" w:color="auto" w:sz="4" w:space="0"/>
            </w:tcBorders>
            <w:noWrap w:val="0"/>
            <w:vAlign w:val="center"/>
          </w:tcPr>
          <w:p w14:paraId="56EBF49D">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由于设备更换时，操作不当造成设备损坏。</w:t>
            </w:r>
            <w:r>
              <w:rPr>
                <w:rFonts w:hint="eastAsia" w:ascii="宋体" w:hAnsi="宋体" w:eastAsia="宋体" w:cs="宋体"/>
                <w:color w:val="auto"/>
                <w:sz w:val="21"/>
                <w:szCs w:val="21"/>
                <w:highlight w:val="none"/>
              </w:rPr>
              <w:tab/>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70B2529E">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0分，造成安全事故的，除消除影响，弥补损失外，扣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0分；情节严重的，取消其维护资格。</w:t>
            </w:r>
          </w:p>
        </w:tc>
      </w:tr>
      <w:tr w14:paraId="2E600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313" w:type="dxa"/>
            <w:tcBorders>
              <w:top w:val="single" w:color="auto" w:sz="4" w:space="0"/>
              <w:left w:val="single" w:color="auto" w:sz="4" w:space="0"/>
              <w:bottom w:val="single" w:color="auto" w:sz="4" w:space="0"/>
              <w:right w:val="single" w:color="auto" w:sz="4" w:space="0"/>
            </w:tcBorders>
            <w:noWrap w:val="0"/>
            <w:vAlign w:val="center"/>
          </w:tcPr>
          <w:p w14:paraId="022E27ED">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服务态度</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2C95D7B7">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在维护过程中服务态度较差。</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35601147">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根据影响情况扣5-10分</w:t>
            </w:r>
            <w:r>
              <w:rPr>
                <w:rFonts w:hint="eastAsia" w:ascii="宋体" w:hAnsi="宋体" w:eastAsia="宋体" w:cs="宋体"/>
                <w:color w:val="auto"/>
                <w:kern w:val="2"/>
                <w:sz w:val="21"/>
                <w:szCs w:val="21"/>
                <w:highlight w:val="none"/>
                <w:lang w:val="en-US" w:eastAsia="zh-CN" w:bidi="ar"/>
              </w:rPr>
              <w:t>/次。</w:t>
            </w:r>
          </w:p>
        </w:tc>
      </w:tr>
      <w:tr w14:paraId="1A669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13" w:type="dxa"/>
            <w:tcBorders>
              <w:top w:val="single" w:color="auto" w:sz="4" w:space="0"/>
              <w:left w:val="single" w:color="auto" w:sz="4" w:space="0"/>
              <w:right w:val="single" w:color="auto" w:sz="4" w:space="0"/>
            </w:tcBorders>
            <w:noWrap w:val="0"/>
            <w:vAlign w:val="center"/>
          </w:tcPr>
          <w:p w14:paraId="37FAE2B8">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信息安全</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6FB35FDC">
            <w:pPr>
              <w:keepNext w:val="0"/>
              <w:keepLines w:val="0"/>
              <w:pageBreakBefore w:val="0"/>
              <w:widowControl w:val="0"/>
              <w:suppressLineNumbers w:val="0"/>
              <w:kinsoku/>
              <w:wordWrap/>
              <w:overflowPunct/>
              <w:topLinePunct w:val="0"/>
              <w:autoSpaceDE/>
              <w:autoSpaceDN/>
              <w:bidi w:val="0"/>
              <w:adjustRightInd w:val="0"/>
              <w:snapToGrid/>
              <w:spacing w:before="0" w:beforeAutospacing="0" w:afterAutospacing="0" w:line="360" w:lineRule="auto"/>
              <w:ind w:left="0" w:leftChars="0" w:right="0" w:rightChars="0" w:firstLine="0" w:firstLineChars="0"/>
              <w:jc w:val="left"/>
              <w:textAlignment w:val="baseline"/>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
              </w:rPr>
              <w:t>帐号、密码、文本文件等机密资料泄密</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74761D17">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0分，造成安全事故的，除消除影响，弥补损失外，扣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0分；情节严重的，取消其维护资格。</w:t>
            </w:r>
          </w:p>
        </w:tc>
      </w:tr>
      <w:tr w14:paraId="22096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13" w:type="dxa"/>
            <w:tcBorders>
              <w:top w:val="single" w:color="auto" w:sz="4" w:space="0"/>
              <w:left w:val="single" w:color="auto" w:sz="4" w:space="0"/>
              <w:bottom w:val="single" w:color="auto" w:sz="4" w:space="0"/>
              <w:right w:val="single" w:color="auto" w:sz="4" w:space="0"/>
            </w:tcBorders>
            <w:noWrap w:val="0"/>
            <w:vAlign w:val="center"/>
          </w:tcPr>
          <w:p w14:paraId="2256FED5">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主动优化</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0BA490E1">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在工作中主动提出优化建议</w:t>
            </w:r>
            <w:r>
              <w:rPr>
                <w:rFonts w:hint="eastAsia" w:ascii="宋体" w:hAnsi="宋体" w:eastAsia="宋体" w:cs="宋体"/>
                <w:color w:val="auto"/>
                <w:sz w:val="21"/>
                <w:szCs w:val="21"/>
                <w:highlight w:val="none"/>
                <w:lang w:val="en-US" w:eastAsia="zh-CN"/>
              </w:rPr>
              <w:t>并被用户实际采纳与落实，有效提升效率</w:t>
            </w:r>
            <w:r>
              <w:rPr>
                <w:rFonts w:hint="eastAsia" w:ascii="宋体" w:hAnsi="宋体" w:eastAsia="宋体" w:cs="宋体"/>
                <w:color w:val="auto"/>
                <w:sz w:val="21"/>
                <w:szCs w:val="21"/>
                <w:highlight w:val="none"/>
              </w:rPr>
              <w:t>。</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4AD462F0">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根据影响情况加5-10分</w:t>
            </w:r>
            <w:r>
              <w:rPr>
                <w:rFonts w:hint="eastAsia" w:ascii="宋体" w:hAnsi="宋体" w:eastAsia="宋体" w:cs="宋体"/>
                <w:color w:val="auto"/>
                <w:kern w:val="2"/>
                <w:sz w:val="21"/>
                <w:szCs w:val="21"/>
                <w:highlight w:val="none"/>
                <w:lang w:val="en-US" w:eastAsia="zh-CN" w:bidi="ar"/>
              </w:rPr>
              <w:t>/次。</w:t>
            </w:r>
          </w:p>
        </w:tc>
      </w:tr>
      <w:tr w14:paraId="156A2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13" w:type="dxa"/>
            <w:tcBorders>
              <w:top w:val="single" w:color="auto" w:sz="4" w:space="0"/>
              <w:left w:val="single" w:color="auto" w:sz="4" w:space="0"/>
              <w:bottom w:val="single" w:color="auto" w:sz="4" w:space="0"/>
              <w:right w:val="single" w:color="auto" w:sz="4" w:space="0"/>
            </w:tcBorders>
            <w:noWrap w:val="0"/>
            <w:vAlign w:val="center"/>
          </w:tcPr>
          <w:p w14:paraId="3E8796A4">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创新解决方案</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10FEAC75">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针对复杂问题提出创新性解决方案，解决长期存在的难题</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6282103D">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根据影响情况加10-20分</w:t>
            </w:r>
            <w:r>
              <w:rPr>
                <w:rFonts w:hint="eastAsia" w:ascii="宋体" w:hAnsi="宋体" w:eastAsia="宋体" w:cs="宋体"/>
                <w:color w:val="auto"/>
                <w:kern w:val="2"/>
                <w:sz w:val="21"/>
                <w:szCs w:val="21"/>
                <w:highlight w:val="none"/>
                <w:lang w:val="en-US" w:eastAsia="zh-CN" w:bidi="ar"/>
              </w:rPr>
              <w:t>/次。</w:t>
            </w:r>
          </w:p>
        </w:tc>
      </w:tr>
      <w:tr w14:paraId="2CBC6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tcBorders>
              <w:top w:val="single" w:color="auto" w:sz="4" w:space="0"/>
              <w:left w:val="single" w:color="auto" w:sz="4" w:space="0"/>
              <w:bottom w:val="single" w:color="auto" w:sz="4" w:space="0"/>
              <w:right w:val="single" w:color="auto" w:sz="4" w:space="0"/>
            </w:tcBorders>
            <w:noWrap w:val="0"/>
            <w:vAlign w:val="center"/>
          </w:tcPr>
          <w:p w14:paraId="443C85C2">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重大故障处理</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1BFEB686">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在处理重大故障中表现出色，快速恢复系统，减少损失。</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1531112B">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根据影响情况加10-20分</w:t>
            </w:r>
            <w:r>
              <w:rPr>
                <w:rFonts w:hint="eastAsia" w:ascii="宋体" w:hAnsi="宋体" w:eastAsia="宋体" w:cs="宋体"/>
                <w:color w:val="auto"/>
                <w:kern w:val="2"/>
                <w:sz w:val="21"/>
                <w:szCs w:val="21"/>
                <w:highlight w:val="none"/>
                <w:lang w:val="en-US" w:eastAsia="zh-CN" w:bidi="ar"/>
              </w:rPr>
              <w:t>/次。</w:t>
            </w:r>
          </w:p>
        </w:tc>
      </w:tr>
    </w:tbl>
    <w:p w14:paraId="137A7FC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未满足本项目“服务内容”要求的，每次扣除合同结算款500元（本项扣款总额不超过合同总金额的20%，扣完为止），引起系统瘫痪等严重后果的，用户有权无条件终止合同，相关责任由成交供应商负责。</w:t>
      </w:r>
    </w:p>
    <w:p w14:paraId="1FC1BA6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未满足本项目“应急服务响应时间要求”，每次响应到达维修现场超过响应承诺30分钟以上的，每30分钟扣除合同结算款500元（本项扣款总额不超过合同总金额的20%，扣完为止）。因响应迟缓，延误抢修时机，造成系统事故的，用户有权无条件终止合同，相关责任由成交供应商负责。</w:t>
      </w:r>
    </w:p>
    <w:p w14:paraId="4E7286D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成交供应商违反本项目“安全及保密要求”的，用户有权无条件终止合同，扣除所有履约保证金并依法追究成交供应商责任。</w:t>
      </w:r>
    </w:p>
    <w:p w14:paraId="74A7BCB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p>
    <w:p w14:paraId="0931E9C6">
      <w:pPr>
        <w:keepNext w:val="0"/>
        <w:keepLines w:val="0"/>
        <w:pageBreakBefore w:val="0"/>
        <w:widowControl w:val="0"/>
        <w:kinsoku/>
        <w:wordWrap/>
        <w:overflowPunct/>
        <w:topLinePunct w:val="0"/>
        <w:bidi w:val="0"/>
        <w:spacing w:line="360" w:lineRule="auto"/>
        <w:ind w:firstLine="422" w:firstLineChars="200"/>
        <w:outlineLvl w:val="2"/>
        <w:rPr>
          <w:rFonts w:hint="default"/>
          <w:b/>
          <w:bCs/>
          <w:color w:val="auto"/>
          <w:highlight w:val="none"/>
          <w:lang w:val="en-US" w:eastAsia="zh-CN"/>
        </w:rPr>
      </w:pPr>
      <w:r>
        <w:rPr>
          <w:rFonts w:hint="eastAsia"/>
          <w:b/>
          <w:bCs/>
          <w:color w:val="auto"/>
          <w:highlight w:val="none"/>
          <w:lang w:eastAsia="zh-CN"/>
        </w:rPr>
        <w:t>（</w:t>
      </w:r>
      <w:r>
        <w:rPr>
          <w:rFonts w:hint="eastAsia"/>
          <w:b/>
          <w:bCs/>
          <w:color w:val="auto"/>
          <w:highlight w:val="none"/>
          <w:lang w:val="en-US" w:eastAsia="zh-CN"/>
        </w:rPr>
        <w:t>四</w:t>
      </w:r>
      <w:r>
        <w:rPr>
          <w:rFonts w:hint="eastAsia"/>
          <w:b/>
          <w:bCs/>
          <w:color w:val="auto"/>
          <w:highlight w:val="none"/>
          <w:lang w:eastAsia="zh-CN"/>
        </w:rPr>
        <w:t>）</w:t>
      </w:r>
      <w:r>
        <w:rPr>
          <w:rFonts w:hint="eastAsia"/>
          <w:b/>
          <w:bCs/>
          <w:color w:val="auto"/>
          <w:highlight w:val="none"/>
          <w:lang w:val="en-US" w:eastAsia="zh-CN"/>
        </w:rPr>
        <w:t>其他要求</w:t>
      </w:r>
    </w:p>
    <w:p w14:paraId="265D08F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成交供应商提供专业技术保障服务，每月对梅沙系统（后台）、视频监控系统、视频会议系统4套、UPS供配电系统、机房空调系统及弱电信息化系统（含信息发布系统、机房动力环境系统、联动报警系统等7套信息化系统）各开展一次巡检。维护设备及系统清单详见附件1。</w:t>
      </w:r>
    </w:p>
    <w:p w14:paraId="31291B0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在国家法定节假日、边检特殊勤务期，成交供应商需提供梅沙系统现场值守，值守时间为08：30—17：30。</w:t>
      </w:r>
    </w:p>
    <w:p w14:paraId="1B1E8F2B">
      <w:pPr>
        <w:keepNext w:val="0"/>
        <w:keepLines w:val="0"/>
        <w:pageBreakBefore w:val="0"/>
        <w:widowControl w:val="0"/>
        <w:kinsoku/>
        <w:wordWrap/>
        <w:overflowPunct/>
        <w:topLinePunct w:val="0"/>
        <w:bidi w:val="0"/>
        <w:spacing w:line="360" w:lineRule="auto"/>
        <w:ind w:firstLine="420" w:firstLineChars="200"/>
        <w:rPr>
          <w:rFonts w:hint="eastAsia"/>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边检方遇到特殊紧急事件也可要求成交供应商提供驻场巡检现场值守，此类巡检合同期内不超过5次，且边检方无需为此额外支付费用。</w:t>
      </w:r>
      <w:r>
        <w:rPr>
          <w:color w:val="auto"/>
          <w:highlight w:val="none"/>
        </w:rPr>
        <w:br w:type="page"/>
      </w:r>
    </w:p>
    <w:p w14:paraId="60625ADA">
      <w:pPr>
        <w:pStyle w:val="2"/>
        <w:keepNext w:val="0"/>
        <w:keepLines w:val="0"/>
        <w:pageBreakBefore w:val="0"/>
        <w:widowControl w:val="0"/>
        <w:kinsoku/>
        <w:wordWrap/>
        <w:overflowPunct/>
        <w:topLinePunct w:val="0"/>
        <w:bidi w:val="0"/>
        <w:spacing w:before="0" w:after="0" w:line="360" w:lineRule="auto"/>
        <w:rPr>
          <w:rFonts w:hint="eastAsia" w:eastAsia="宋体"/>
          <w:color w:val="auto"/>
          <w:sz w:val="24"/>
          <w:szCs w:val="24"/>
          <w:highlight w:val="none"/>
          <w:lang w:eastAsia="zh-CN"/>
        </w:rPr>
      </w:pPr>
      <w:bookmarkStart w:id="60" w:name="_Toc25252"/>
      <w:r>
        <w:rPr>
          <w:rFonts w:hint="eastAsia" w:eastAsia="宋体"/>
          <w:color w:val="auto"/>
          <w:sz w:val="24"/>
          <w:szCs w:val="24"/>
          <w:highlight w:val="none"/>
        </w:rPr>
        <w:t>第三章</w:t>
      </w:r>
      <w:r>
        <w:rPr>
          <w:rFonts w:eastAsia="宋体"/>
          <w:color w:val="auto"/>
          <w:sz w:val="24"/>
          <w:szCs w:val="24"/>
          <w:highlight w:val="none"/>
        </w:rPr>
        <w:t xml:space="preserve"> </w:t>
      </w:r>
      <w:r>
        <w:rPr>
          <w:rFonts w:hint="eastAsia" w:eastAsia="宋体"/>
          <w:color w:val="auto"/>
          <w:sz w:val="24"/>
          <w:szCs w:val="24"/>
          <w:highlight w:val="none"/>
        </w:rPr>
        <w:t>供应商须知</w:t>
      </w:r>
      <w:bookmarkEnd w:id="46"/>
      <w:bookmarkEnd w:id="47"/>
      <w:bookmarkEnd w:id="48"/>
      <w:bookmarkEnd w:id="49"/>
      <w:bookmarkEnd w:id="50"/>
      <w:bookmarkEnd w:id="60"/>
    </w:p>
    <w:p w14:paraId="24439D2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供应商必须认真阅读磋商文件中所有的事项、格式、条款和采购需求等。供应商没有按照磋商文件要求提交全部资料，或者响应文件没有对磋商文件在各方面都做出实质性响应的可能导致其响应无效或被拒绝。</w:t>
      </w:r>
    </w:p>
    <w:p w14:paraId="299012FD">
      <w:pPr>
        <w:pStyle w:val="3"/>
        <w:keepNext w:val="0"/>
        <w:keepLines w:val="0"/>
        <w:pageBreakBefore w:val="0"/>
        <w:widowControl w:val="0"/>
        <w:numPr>
          <w:ilvl w:val="0"/>
          <w:numId w:val="7"/>
        </w:numPr>
        <w:kinsoku/>
        <w:wordWrap/>
        <w:overflowPunct/>
        <w:topLinePunct w:val="0"/>
        <w:bidi w:val="0"/>
        <w:spacing w:before="120" w:after="120" w:line="360" w:lineRule="auto"/>
        <w:ind w:left="0" w:firstLine="0"/>
        <w:jc w:val="left"/>
        <w:rPr>
          <w:rFonts w:hint="eastAsia" w:ascii="宋体" w:hAnsi="宋体" w:eastAsia="宋体"/>
          <w:color w:val="auto"/>
          <w:sz w:val="21"/>
          <w:szCs w:val="21"/>
          <w:highlight w:val="none"/>
        </w:rPr>
      </w:pPr>
      <w:bookmarkStart w:id="61" w:name="_Toc104040688"/>
      <w:bookmarkStart w:id="62" w:name="_Toc12806"/>
      <w:bookmarkStart w:id="63" w:name="_Toc104040742"/>
      <w:r>
        <w:rPr>
          <w:rFonts w:hint="eastAsia" w:ascii="宋体" w:hAnsi="宋体" w:eastAsia="宋体"/>
          <w:color w:val="auto"/>
          <w:sz w:val="21"/>
          <w:szCs w:val="21"/>
          <w:highlight w:val="none"/>
        </w:rPr>
        <w:t>名词解释</w:t>
      </w:r>
      <w:bookmarkEnd w:id="61"/>
      <w:bookmarkEnd w:id="62"/>
      <w:bookmarkEnd w:id="63"/>
    </w:p>
    <w:p w14:paraId="71EF160A">
      <w:pPr>
        <w:pStyle w:val="366"/>
        <w:keepNext w:val="0"/>
        <w:keepLines w:val="0"/>
        <w:pageBreakBefore w:val="0"/>
        <w:widowControl w:val="0"/>
        <w:numPr>
          <w:ilvl w:val="1"/>
          <w:numId w:val="7"/>
        </w:numPr>
        <w:kinsoku/>
        <w:wordWrap/>
        <w:overflowPunct/>
        <w:topLinePunct w:val="0"/>
        <w:autoSpaceDE/>
        <w:autoSpaceDN/>
        <w:bidi w:val="0"/>
        <w:spacing w:line="360" w:lineRule="auto"/>
        <w:ind w:left="0" w:firstLine="416" w:firstLineChars="200"/>
        <w:rPr>
          <w:rFonts w:hint="eastAsia"/>
          <w:color w:val="auto"/>
          <w:sz w:val="21"/>
          <w:szCs w:val="21"/>
          <w:highlight w:val="none"/>
        </w:rPr>
      </w:pPr>
      <w:r>
        <w:rPr>
          <w:rFonts w:hint="eastAsia"/>
          <w:color w:val="auto"/>
          <w:spacing w:val="-1"/>
          <w:sz w:val="21"/>
          <w:szCs w:val="21"/>
          <w:highlight w:val="none"/>
        </w:rPr>
        <w:t>采购代理机构：本项目是指公诚管理咨询有限公司，负责整个采购活动的组织，依法负责编制和发布磋商文件，对磋商文</w:t>
      </w:r>
      <w:r>
        <w:rPr>
          <w:rFonts w:hint="eastAsia"/>
          <w:color w:val="auto"/>
          <w:sz w:val="21"/>
          <w:szCs w:val="21"/>
          <w:highlight w:val="none"/>
        </w:rPr>
        <w:t>件拥有最终的解释权，不以任何身份出任磋商小组成员。</w:t>
      </w:r>
    </w:p>
    <w:p w14:paraId="151FDFA7">
      <w:pPr>
        <w:pStyle w:val="366"/>
        <w:keepNext w:val="0"/>
        <w:keepLines w:val="0"/>
        <w:pageBreakBefore w:val="0"/>
        <w:widowControl w:val="0"/>
        <w:numPr>
          <w:ilvl w:val="1"/>
          <w:numId w:val="7"/>
        </w:numPr>
        <w:kinsoku/>
        <w:wordWrap/>
        <w:overflowPunct/>
        <w:topLinePunct w:val="0"/>
        <w:autoSpaceDE/>
        <w:autoSpaceDN/>
        <w:bidi w:val="0"/>
        <w:spacing w:line="360" w:lineRule="auto"/>
        <w:ind w:left="0" w:firstLine="416" w:firstLineChars="200"/>
        <w:rPr>
          <w:rFonts w:hint="eastAsia"/>
          <w:color w:val="auto"/>
          <w:sz w:val="21"/>
          <w:szCs w:val="21"/>
          <w:highlight w:val="none"/>
        </w:rPr>
      </w:pPr>
      <w:r>
        <w:rPr>
          <w:rFonts w:hint="eastAsia"/>
          <w:color w:val="auto"/>
          <w:spacing w:val="-1"/>
          <w:sz w:val="21"/>
          <w:szCs w:val="21"/>
          <w:highlight w:val="none"/>
        </w:rPr>
        <w:t>采购人：本项目采购人详见采购公告，是采购活动当事人之一，负责项目的整体规划、技术方案可行性设</w:t>
      </w:r>
      <w:r>
        <w:rPr>
          <w:rFonts w:hint="eastAsia"/>
          <w:color w:val="auto"/>
          <w:sz w:val="21"/>
          <w:szCs w:val="21"/>
          <w:highlight w:val="none"/>
        </w:rPr>
        <w:t>计论证与实施，作为合同采购方（用户）的主体承担质疑回复、履行合同、验收与评价等义务。</w:t>
      </w:r>
    </w:p>
    <w:p w14:paraId="781C066E">
      <w:pPr>
        <w:pStyle w:val="366"/>
        <w:keepNext w:val="0"/>
        <w:keepLines w:val="0"/>
        <w:pageBreakBefore w:val="0"/>
        <w:widowControl w:val="0"/>
        <w:numPr>
          <w:ilvl w:val="1"/>
          <w:numId w:val="7"/>
        </w:numPr>
        <w:kinsoku/>
        <w:wordWrap/>
        <w:overflowPunct/>
        <w:topLinePunct w:val="0"/>
        <w:autoSpaceDE/>
        <w:autoSpaceDN/>
        <w:bidi w:val="0"/>
        <w:spacing w:line="360" w:lineRule="auto"/>
        <w:ind w:left="0" w:firstLine="420" w:firstLineChars="200"/>
        <w:rPr>
          <w:rFonts w:hint="eastAsia"/>
          <w:color w:val="auto"/>
          <w:sz w:val="21"/>
          <w:szCs w:val="21"/>
          <w:highlight w:val="none"/>
        </w:rPr>
      </w:pPr>
      <w:r>
        <w:rPr>
          <w:rFonts w:hint="eastAsia"/>
          <w:color w:val="auto"/>
          <w:sz w:val="21"/>
          <w:szCs w:val="21"/>
          <w:highlight w:val="none"/>
        </w:rPr>
        <w:t>供应商：是指通过诚E招电子采购交易平台获取了采购文件，并提交响应文件的供应商。</w:t>
      </w:r>
    </w:p>
    <w:p w14:paraId="4B40F9D3">
      <w:pPr>
        <w:pStyle w:val="366"/>
        <w:keepNext w:val="0"/>
        <w:keepLines w:val="0"/>
        <w:pageBreakBefore w:val="0"/>
        <w:widowControl w:val="0"/>
        <w:numPr>
          <w:ilvl w:val="1"/>
          <w:numId w:val="7"/>
        </w:numPr>
        <w:kinsoku/>
        <w:wordWrap/>
        <w:overflowPunct/>
        <w:topLinePunct w:val="0"/>
        <w:autoSpaceDE/>
        <w:autoSpaceDN/>
        <w:bidi w:val="0"/>
        <w:spacing w:line="360" w:lineRule="auto"/>
        <w:ind w:left="0" w:firstLine="404" w:firstLineChars="200"/>
        <w:rPr>
          <w:rFonts w:hint="eastAsia"/>
          <w:color w:val="auto"/>
          <w:sz w:val="21"/>
          <w:szCs w:val="21"/>
          <w:highlight w:val="none"/>
        </w:rPr>
      </w:pPr>
      <w:r>
        <w:rPr>
          <w:rFonts w:hint="eastAsia"/>
          <w:color w:val="auto"/>
          <w:spacing w:val="-4"/>
          <w:sz w:val="21"/>
          <w:szCs w:val="21"/>
          <w:highlight w:val="none"/>
        </w:rPr>
        <w:t>“</w:t>
      </w:r>
      <w:r>
        <w:rPr>
          <w:rFonts w:hint="eastAsia"/>
          <w:color w:val="auto"/>
          <w:sz w:val="21"/>
          <w:szCs w:val="21"/>
          <w:highlight w:val="none"/>
        </w:rPr>
        <w:t>磋商小组</w:t>
      </w:r>
      <w:r>
        <w:rPr>
          <w:rFonts w:hint="eastAsia"/>
          <w:color w:val="auto"/>
          <w:spacing w:val="-4"/>
          <w:sz w:val="21"/>
          <w:szCs w:val="21"/>
          <w:highlight w:val="none"/>
        </w:rPr>
        <w:t>”</w:t>
      </w:r>
      <w:r>
        <w:rPr>
          <w:rFonts w:hint="eastAsia"/>
          <w:color w:val="auto"/>
          <w:spacing w:val="-1"/>
          <w:sz w:val="21"/>
          <w:szCs w:val="21"/>
          <w:highlight w:val="none"/>
        </w:rPr>
        <w:t>是指根据《中华人民共和国政府采购法》等法律法规规定，由采购人代表和有关专家组成以确定成交供应商</w:t>
      </w:r>
      <w:r>
        <w:rPr>
          <w:rFonts w:hint="eastAsia"/>
          <w:color w:val="auto"/>
          <w:sz w:val="21"/>
          <w:szCs w:val="21"/>
          <w:highlight w:val="none"/>
        </w:rPr>
        <w:t>或者推荐成交候选供应商的临时组织。</w:t>
      </w:r>
    </w:p>
    <w:p w14:paraId="78BBFBCA">
      <w:pPr>
        <w:pStyle w:val="366"/>
        <w:keepNext w:val="0"/>
        <w:keepLines w:val="0"/>
        <w:pageBreakBefore w:val="0"/>
        <w:widowControl w:val="0"/>
        <w:numPr>
          <w:ilvl w:val="1"/>
          <w:numId w:val="7"/>
        </w:numPr>
        <w:kinsoku/>
        <w:wordWrap/>
        <w:overflowPunct/>
        <w:topLinePunct w:val="0"/>
        <w:autoSpaceDE/>
        <w:autoSpaceDN/>
        <w:bidi w:val="0"/>
        <w:spacing w:line="360" w:lineRule="auto"/>
        <w:ind w:left="0" w:firstLine="404" w:firstLineChars="200"/>
        <w:rPr>
          <w:rFonts w:hint="eastAsia"/>
          <w:color w:val="auto"/>
          <w:sz w:val="21"/>
          <w:szCs w:val="21"/>
          <w:highlight w:val="none"/>
        </w:rPr>
      </w:pPr>
      <w:r>
        <w:rPr>
          <w:rFonts w:hint="eastAsia"/>
          <w:color w:val="auto"/>
          <w:spacing w:val="-4"/>
          <w:sz w:val="21"/>
          <w:szCs w:val="21"/>
          <w:highlight w:val="none"/>
        </w:rPr>
        <w:t>“</w:t>
      </w:r>
      <w:r>
        <w:rPr>
          <w:rFonts w:hint="eastAsia"/>
          <w:color w:val="auto"/>
          <w:sz w:val="21"/>
          <w:szCs w:val="21"/>
          <w:highlight w:val="none"/>
        </w:rPr>
        <w:t>成交供应商</w:t>
      </w:r>
      <w:r>
        <w:rPr>
          <w:rFonts w:hint="eastAsia"/>
          <w:color w:val="auto"/>
          <w:spacing w:val="-4"/>
          <w:sz w:val="21"/>
          <w:szCs w:val="21"/>
          <w:highlight w:val="none"/>
        </w:rPr>
        <w:t>”</w:t>
      </w:r>
      <w:r>
        <w:rPr>
          <w:rFonts w:hint="eastAsia"/>
          <w:color w:val="auto"/>
          <w:spacing w:val="-1"/>
          <w:sz w:val="21"/>
          <w:szCs w:val="21"/>
          <w:highlight w:val="none"/>
        </w:rPr>
        <w:t>是指经磋商小组评审确定的对磋商文件做出实质性响应，经采购人按照规定在磋商小组推荐的成交候选供</w:t>
      </w:r>
      <w:r>
        <w:rPr>
          <w:rFonts w:hint="eastAsia"/>
          <w:color w:val="auto"/>
          <w:sz w:val="21"/>
          <w:szCs w:val="21"/>
          <w:highlight w:val="none"/>
        </w:rPr>
        <w:t>应商中确定的或磋商小组受采购人委托直接确认的供应商。</w:t>
      </w:r>
    </w:p>
    <w:p w14:paraId="5646EF04">
      <w:pPr>
        <w:pStyle w:val="366"/>
        <w:keepNext w:val="0"/>
        <w:keepLines w:val="0"/>
        <w:pageBreakBefore w:val="0"/>
        <w:widowControl w:val="0"/>
        <w:numPr>
          <w:ilvl w:val="1"/>
          <w:numId w:val="7"/>
        </w:numPr>
        <w:kinsoku/>
        <w:wordWrap/>
        <w:overflowPunct/>
        <w:topLinePunct w:val="0"/>
        <w:autoSpaceDE/>
        <w:autoSpaceDN/>
        <w:bidi w:val="0"/>
        <w:spacing w:line="360" w:lineRule="auto"/>
        <w:ind w:left="0" w:firstLine="420" w:firstLineChars="200"/>
        <w:rPr>
          <w:rFonts w:hint="eastAsia"/>
          <w:color w:val="auto"/>
          <w:sz w:val="21"/>
          <w:szCs w:val="21"/>
          <w:highlight w:val="none"/>
        </w:rPr>
      </w:pPr>
      <w:r>
        <w:rPr>
          <w:rFonts w:hint="eastAsia"/>
          <w:color w:val="auto"/>
          <w:sz w:val="21"/>
          <w:szCs w:val="21"/>
          <w:highlight w:val="none"/>
        </w:rPr>
        <w:t>磋商文件：是指包括磋商公告和磋商文件及其补充、变更和澄清等一系列文件。</w:t>
      </w:r>
    </w:p>
    <w:p w14:paraId="343A7B52">
      <w:pPr>
        <w:pStyle w:val="366"/>
        <w:keepNext w:val="0"/>
        <w:keepLines w:val="0"/>
        <w:pageBreakBefore w:val="0"/>
        <w:widowControl w:val="0"/>
        <w:numPr>
          <w:ilvl w:val="1"/>
          <w:numId w:val="7"/>
        </w:numPr>
        <w:kinsoku/>
        <w:wordWrap/>
        <w:overflowPunct/>
        <w:topLinePunct w:val="0"/>
        <w:autoSpaceDE/>
        <w:autoSpaceDN/>
        <w:bidi w:val="0"/>
        <w:spacing w:line="360" w:lineRule="auto"/>
        <w:ind w:left="0" w:firstLine="420" w:firstLineChars="200"/>
        <w:rPr>
          <w:rFonts w:hint="eastAsia"/>
          <w:color w:val="auto"/>
          <w:sz w:val="21"/>
          <w:szCs w:val="21"/>
          <w:highlight w:val="none"/>
        </w:rPr>
      </w:pPr>
      <w:r>
        <w:rPr>
          <w:rFonts w:hint="eastAsia"/>
          <w:color w:val="auto"/>
          <w:sz w:val="21"/>
          <w:szCs w:val="21"/>
          <w:highlight w:val="none"/>
        </w:rPr>
        <w:t>响应文件：是指供应商提交的响应文件。</w:t>
      </w:r>
    </w:p>
    <w:p w14:paraId="7B6D90E7">
      <w:pPr>
        <w:pStyle w:val="366"/>
        <w:keepNext w:val="0"/>
        <w:keepLines w:val="0"/>
        <w:pageBreakBefore w:val="0"/>
        <w:widowControl w:val="0"/>
        <w:numPr>
          <w:ilvl w:val="1"/>
          <w:numId w:val="7"/>
        </w:numPr>
        <w:kinsoku/>
        <w:wordWrap/>
        <w:overflowPunct/>
        <w:topLinePunct w:val="0"/>
        <w:autoSpaceDE/>
        <w:autoSpaceDN/>
        <w:bidi w:val="0"/>
        <w:spacing w:line="360" w:lineRule="auto"/>
        <w:ind w:left="0" w:firstLine="404" w:firstLineChars="200"/>
        <w:rPr>
          <w:rFonts w:hint="eastAsia"/>
          <w:color w:val="auto"/>
          <w:sz w:val="21"/>
          <w:szCs w:val="21"/>
          <w:highlight w:val="none"/>
        </w:rPr>
      </w:pPr>
      <w:r>
        <w:rPr>
          <w:rFonts w:hint="eastAsia"/>
          <w:color w:val="auto"/>
          <w:spacing w:val="-4"/>
          <w:sz w:val="21"/>
          <w:szCs w:val="21"/>
          <w:highlight w:val="none"/>
        </w:rPr>
        <w:t>“全称”、“公司全称”、“投标人/供应商名称”、“加盖单位公章”、“加盖公章”及“公章”：在投标（响应）文件及相关的其他资料中，涉及“全称”或“公司全称”或“投标人/供应商名称”的应在对应文件编辑时使用文本录入方式，或在纸质投标（响应）文件上进行填写，或直接盖单位公章；涉及“加盖单位公章”、“加盖公章”和“公章”应使用投标人单位的公章进行盖章</w:t>
      </w:r>
      <w:r>
        <w:rPr>
          <w:rFonts w:hint="eastAsia"/>
          <w:color w:val="auto"/>
          <w:sz w:val="21"/>
          <w:szCs w:val="21"/>
          <w:highlight w:val="none"/>
        </w:rPr>
        <w:t>。</w:t>
      </w:r>
    </w:p>
    <w:p w14:paraId="5D8FD233">
      <w:pPr>
        <w:pStyle w:val="366"/>
        <w:keepNext w:val="0"/>
        <w:keepLines w:val="0"/>
        <w:pageBreakBefore w:val="0"/>
        <w:widowControl w:val="0"/>
        <w:numPr>
          <w:ilvl w:val="1"/>
          <w:numId w:val="7"/>
        </w:numPr>
        <w:kinsoku/>
        <w:wordWrap/>
        <w:overflowPunct/>
        <w:topLinePunct w:val="0"/>
        <w:autoSpaceDE/>
        <w:autoSpaceDN/>
        <w:bidi w:val="0"/>
        <w:spacing w:line="360" w:lineRule="auto"/>
        <w:ind w:left="0" w:firstLine="404" w:firstLineChars="200"/>
        <w:rPr>
          <w:rFonts w:hint="eastAsia"/>
          <w:color w:val="auto"/>
          <w:sz w:val="21"/>
          <w:szCs w:val="21"/>
          <w:highlight w:val="none"/>
        </w:rPr>
      </w:pPr>
      <w:r>
        <w:rPr>
          <w:rFonts w:hint="eastAsia"/>
          <w:color w:val="auto"/>
          <w:spacing w:val="-4"/>
          <w:sz w:val="21"/>
          <w:szCs w:val="21"/>
          <w:highlight w:val="none"/>
        </w:rPr>
        <w:t>“供应商代表签字”及“授权代表”：在响应文件及相关的其他资料中，涉及“供应商代表签字”或“授权代表”应在纸质响应文件上进行手写签名或加盖个人印章</w:t>
      </w:r>
      <w:r>
        <w:rPr>
          <w:rFonts w:hint="eastAsia"/>
          <w:color w:val="auto"/>
          <w:sz w:val="21"/>
          <w:szCs w:val="21"/>
          <w:highlight w:val="none"/>
        </w:rPr>
        <w:t>。</w:t>
      </w:r>
    </w:p>
    <w:p w14:paraId="3C271483">
      <w:pPr>
        <w:pStyle w:val="366"/>
        <w:keepNext w:val="0"/>
        <w:keepLines w:val="0"/>
        <w:pageBreakBefore w:val="0"/>
        <w:widowControl w:val="0"/>
        <w:numPr>
          <w:ilvl w:val="1"/>
          <w:numId w:val="7"/>
        </w:numPr>
        <w:kinsoku/>
        <w:wordWrap/>
        <w:overflowPunct/>
        <w:topLinePunct w:val="0"/>
        <w:autoSpaceDE/>
        <w:autoSpaceDN/>
        <w:bidi w:val="0"/>
        <w:spacing w:line="360" w:lineRule="auto"/>
        <w:ind w:left="0" w:firstLine="404" w:firstLineChars="200"/>
        <w:rPr>
          <w:rFonts w:hint="eastAsia"/>
          <w:color w:val="auto"/>
          <w:sz w:val="21"/>
          <w:szCs w:val="21"/>
          <w:highlight w:val="none"/>
        </w:rPr>
      </w:pPr>
      <w:r>
        <w:rPr>
          <w:rFonts w:hint="eastAsia"/>
          <w:color w:val="auto"/>
          <w:spacing w:val="-4"/>
          <w:sz w:val="21"/>
          <w:szCs w:val="21"/>
          <w:highlight w:val="none"/>
        </w:rPr>
        <w:t>“</w:t>
      </w:r>
      <w:r>
        <w:rPr>
          <w:rFonts w:hint="eastAsia"/>
          <w:color w:val="auto"/>
          <w:sz w:val="21"/>
          <w:szCs w:val="21"/>
          <w:highlight w:val="none"/>
        </w:rPr>
        <w:t>法定代表人”：在响应文件及相关的其他资料中，涉及“法定代表人”应在纸质响应文件上进行手写签名或加盖个人印章。</w:t>
      </w:r>
    </w:p>
    <w:p w14:paraId="338C9D32">
      <w:pPr>
        <w:pStyle w:val="366"/>
        <w:keepNext w:val="0"/>
        <w:keepLines w:val="0"/>
        <w:pageBreakBefore w:val="0"/>
        <w:widowControl w:val="0"/>
        <w:numPr>
          <w:ilvl w:val="1"/>
          <w:numId w:val="7"/>
        </w:numPr>
        <w:kinsoku/>
        <w:wordWrap/>
        <w:overflowPunct/>
        <w:topLinePunct w:val="0"/>
        <w:autoSpaceDE/>
        <w:autoSpaceDN/>
        <w:bidi w:val="0"/>
        <w:spacing w:line="360" w:lineRule="auto"/>
        <w:ind w:left="0" w:firstLine="420" w:firstLineChars="200"/>
        <w:rPr>
          <w:rFonts w:hint="eastAsia"/>
          <w:color w:val="auto"/>
          <w:sz w:val="21"/>
          <w:szCs w:val="21"/>
          <w:highlight w:val="none"/>
        </w:rPr>
      </w:pPr>
      <w:r>
        <w:rPr>
          <w:rFonts w:hint="eastAsia"/>
          <w:color w:val="auto"/>
          <w:sz w:val="21"/>
          <w:szCs w:val="21"/>
          <w:highlight w:val="none"/>
        </w:rPr>
        <w:t>日期、天数、时间：未有特别说明时，均为公历日（天）及北京时间。</w:t>
      </w:r>
    </w:p>
    <w:p w14:paraId="13D7E356">
      <w:pPr>
        <w:pStyle w:val="366"/>
        <w:keepNext w:val="0"/>
        <w:keepLines w:val="0"/>
        <w:pageBreakBefore w:val="0"/>
        <w:widowControl w:val="0"/>
        <w:kinsoku/>
        <w:wordWrap/>
        <w:overflowPunct/>
        <w:topLinePunct w:val="0"/>
        <w:autoSpaceDE/>
        <w:autoSpaceDN/>
        <w:bidi w:val="0"/>
        <w:spacing w:line="360" w:lineRule="auto"/>
        <w:ind w:left="0" w:firstLine="0"/>
        <w:rPr>
          <w:rFonts w:hint="eastAsia"/>
          <w:color w:val="auto"/>
          <w:sz w:val="21"/>
          <w:szCs w:val="21"/>
          <w:highlight w:val="none"/>
        </w:rPr>
      </w:pPr>
    </w:p>
    <w:p w14:paraId="4D64B4E5">
      <w:pPr>
        <w:pStyle w:val="3"/>
        <w:keepNext w:val="0"/>
        <w:keepLines w:val="0"/>
        <w:pageBreakBefore w:val="0"/>
        <w:widowControl w:val="0"/>
        <w:numPr>
          <w:ilvl w:val="0"/>
          <w:numId w:val="7"/>
        </w:numPr>
        <w:kinsoku/>
        <w:wordWrap/>
        <w:overflowPunct/>
        <w:topLinePunct w:val="0"/>
        <w:bidi w:val="0"/>
        <w:spacing w:before="120" w:after="120" w:line="360" w:lineRule="auto"/>
        <w:ind w:left="0" w:firstLine="0"/>
        <w:jc w:val="left"/>
        <w:rPr>
          <w:rFonts w:hint="eastAsia" w:ascii="宋体" w:hAnsi="宋体" w:eastAsia="宋体"/>
          <w:color w:val="auto"/>
          <w:sz w:val="21"/>
          <w:szCs w:val="21"/>
          <w:highlight w:val="none"/>
        </w:rPr>
      </w:pPr>
      <w:bookmarkStart w:id="64" w:name="_Toc30462"/>
      <w:bookmarkStart w:id="65" w:name="_Toc104040689"/>
      <w:bookmarkStart w:id="66" w:name="_Toc104040743"/>
      <w:r>
        <w:rPr>
          <w:rFonts w:hint="eastAsia" w:ascii="宋体" w:hAnsi="宋体" w:eastAsia="宋体"/>
          <w:color w:val="auto"/>
          <w:sz w:val="21"/>
          <w:szCs w:val="21"/>
          <w:highlight w:val="none"/>
        </w:rPr>
        <w:t>须知前附表</w:t>
      </w:r>
      <w:bookmarkEnd w:id="64"/>
      <w:bookmarkEnd w:id="65"/>
      <w:bookmarkEnd w:id="66"/>
    </w:p>
    <w:tbl>
      <w:tblPr>
        <w:tblStyle w:val="47"/>
        <w:tblW w:w="9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985"/>
        <w:gridCol w:w="7047"/>
      </w:tblGrid>
      <w:tr w14:paraId="2ABA9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6" w:type="dxa"/>
            <w:gridSpan w:val="3"/>
            <w:vAlign w:val="center"/>
          </w:tcPr>
          <w:p w14:paraId="13F600B0">
            <w:pPr>
              <w:pStyle w:val="19"/>
              <w:keepNext w:val="0"/>
              <w:keepLines w:val="0"/>
              <w:pageBreakBefore w:val="0"/>
              <w:widowControl w:val="0"/>
              <w:kinsoku/>
              <w:wordWrap/>
              <w:overflowPunct/>
              <w:topLinePunct w:val="0"/>
              <w:bidi w:val="0"/>
              <w:spacing w:line="360" w:lineRule="auto"/>
              <w:jc w:val="center"/>
              <w:rPr>
                <w:rFonts w:hint="eastAsia"/>
                <w:b/>
                <w:bCs/>
                <w:color w:val="auto"/>
                <w:szCs w:val="21"/>
                <w:highlight w:val="none"/>
              </w:rPr>
            </w:pPr>
            <w:r>
              <w:rPr>
                <w:rFonts w:hint="eastAsia"/>
                <w:b/>
                <w:bCs/>
                <w:color w:val="auto"/>
                <w:szCs w:val="21"/>
                <w:highlight w:val="none"/>
              </w:rPr>
              <w:t>本表与磋商文件对应章节的内容若不一致，以本表为准。</w:t>
            </w:r>
          </w:p>
        </w:tc>
      </w:tr>
      <w:tr w14:paraId="2408B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1831CA6A">
            <w:pPr>
              <w:pStyle w:val="19"/>
              <w:keepNext w:val="0"/>
              <w:keepLines w:val="0"/>
              <w:pageBreakBefore w:val="0"/>
              <w:widowControl w:val="0"/>
              <w:kinsoku/>
              <w:wordWrap/>
              <w:overflowPunct/>
              <w:topLinePunct w:val="0"/>
              <w:bidi w:val="0"/>
              <w:spacing w:line="360" w:lineRule="auto"/>
              <w:ind w:left="-111" w:leftChars="-53" w:right="-103" w:rightChars="-49"/>
              <w:jc w:val="center"/>
              <w:rPr>
                <w:rFonts w:hint="eastAsia"/>
                <w:b/>
                <w:bCs/>
                <w:color w:val="auto"/>
                <w:szCs w:val="21"/>
                <w:highlight w:val="none"/>
              </w:rPr>
            </w:pPr>
            <w:r>
              <w:rPr>
                <w:rFonts w:hint="eastAsia"/>
                <w:b/>
                <w:bCs/>
                <w:color w:val="auto"/>
                <w:szCs w:val="21"/>
                <w:highlight w:val="none"/>
              </w:rPr>
              <w:t>序号</w:t>
            </w:r>
          </w:p>
        </w:tc>
        <w:tc>
          <w:tcPr>
            <w:tcW w:w="1985" w:type="dxa"/>
            <w:vAlign w:val="center"/>
          </w:tcPr>
          <w:p w14:paraId="360D8264">
            <w:pPr>
              <w:pStyle w:val="19"/>
              <w:keepNext w:val="0"/>
              <w:keepLines w:val="0"/>
              <w:pageBreakBefore w:val="0"/>
              <w:widowControl w:val="0"/>
              <w:kinsoku/>
              <w:wordWrap/>
              <w:overflowPunct/>
              <w:topLinePunct w:val="0"/>
              <w:bidi w:val="0"/>
              <w:spacing w:line="360" w:lineRule="auto"/>
              <w:jc w:val="center"/>
              <w:rPr>
                <w:rFonts w:hint="eastAsia"/>
                <w:b/>
                <w:bCs/>
                <w:color w:val="auto"/>
                <w:szCs w:val="21"/>
                <w:highlight w:val="none"/>
              </w:rPr>
            </w:pPr>
            <w:r>
              <w:rPr>
                <w:rFonts w:hint="eastAsia"/>
                <w:b/>
                <w:bCs/>
                <w:color w:val="auto"/>
                <w:szCs w:val="21"/>
                <w:highlight w:val="none"/>
              </w:rPr>
              <w:t>条款名称</w:t>
            </w:r>
          </w:p>
        </w:tc>
        <w:tc>
          <w:tcPr>
            <w:tcW w:w="7047" w:type="dxa"/>
            <w:vAlign w:val="center"/>
          </w:tcPr>
          <w:p w14:paraId="27230D2D">
            <w:pPr>
              <w:pStyle w:val="19"/>
              <w:keepNext w:val="0"/>
              <w:keepLines w:val="0"/>
              <w:pageBreakBefore w:val="0"/>
              <w:widowControl w:val="0"/>
              <w:kinsoku/>
              <w:wordWrap/>
              <w:overflowPunct/>
              <w:topLinePunct w:val="0"/>
              <w:bidi w:val="0"/>
              <w:spacing w:line="360" w:lineRule="auto"/>
              <w:jc w:val="center"/>
              <w:rPr>
                <w:rFonts w:hint="eastAsia"/>
                <w:b/>
                <w:bCs/>
                <w:color w:val="auto"/>
                <w:szCs w:val="21"/>
                <w:highlight w:val="none"/>
              </w:rPr>
            </w:pPr>
            <w:r>
              <w:rPr>
                <w:rFonts w:hint="eastAsia"/>
                <w:b/>
                <w:bCs/>
                <w:color w:val="auto"/>
                <w:szCs w:val="21"/>
                <w:highlight w:val="none"/>
              </w:rPr>
              <w:t>内容及要求</w:t>
            </w:r>
          </w:p>
        </w:tc>
      </w:tr>
      <w:tr w14:paraId="08F1D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20E3D108">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610F91FF">
            <w:pPr>
              <w:pStyle w:val="19"/>
              <w:keepNext w:val="0"/>
              <w:keepLines w:val="0"/>
              <w:pageBreakBefore w:val="0"/>
              <w:widowControl w:val="0"/>
              <w:kinsoku/>
              <w:wordWrap/>
              <w:overflowPunct/>
              <w:topLinePunct w:val="0"/>
              <w:bidi w:val="0"/>
              <w:spacing w:line="360" w:lineRule="auto"/>
              <w:jc w:val="center"/>
              <w:rPr>
                <w:rFonts w:hint="eastAsia"/>
                <w:b/>
                <w:bCs/>
                <w:color w:val="auto"/>
                <w:szCs w:val="21"/>
                <w:highlight w:val="none"/>
              </w:rPr>
            </w:pPr>
            <w:r>
              <w:rPr>
                <w:rFonts w:hint="eastAsia"/>
                <w:color w:val="auto"/>
                <w:szCs w:val="21"/>
                <w:highlight w:val="none"/>
              </w:rPr>
              <w:t>采购包情况</w:t>
            </w:r>
          </w:p>
        </w:tc>
        <w:tc>
          <w:tcPr>
            <w:tcW w:w="7047" w:type="dxa"/>
            <w:vAlign w:val="center"/>
          </w:tcPr>
          <w:p w14:paraId="1896C899">
            <w:pPr>
              <w:pStyle w:val="19"/>
              <w:keepNext w:val="0"/>
              <w:keepLines w:val="0"/>
              <w:pageBreakBefore w:val="0"/>
              <w:widowControl w:val="0"/>
              <w:kinsoku/>
              <w:wordWrap/>
              <w:overflowPunct/>
              <w:topLinePunct w:val="0"/>
              <w:bidi w:val="0"/>
              <w:spacing w:line="360" w:lineRule="auto"/>
              <w:rPr>
                <w:rFonts w:hint="eastAsia"/>
                <w:b/>
                <w:bCs/>
                <w:color w:val="auto"/>
                <w:szCs w:val="21"/>
                <w:highlight w:val="none"/>
              </w:rPr>
            </w:pPr>
            <w:r>
              <w:rPr>
                <w:rFonts w:hint="eastAsia"/>
                <w:color w:val="auto"/>
                <w:szCs w:val="21"/>
                <w:highlight w:val="none"/>
              </w:rPr>
              <w:t>本项目共</w:t>
            </w:r>
            <w:r>
              <w:rPr>
                <w:rFonts w:hint="eastAsia"/>
                <w:color w:val="auto"/>
                <w:szCs w:val="21"/>
                <w:highlight w:val="none"/>
                <w:lang w:val="en-US" w:eastAsia="zh-CN"/>
              </w:rPr>
              <w:t>2</w:t>
            </w:r>
            <w:r>
              <w:rPr>
                <w:rFonts w:hint="eastAsia"/>
                <w:color w:val="auto"/>
                <w:szCs w:val="21"/>
                <w:highlight w:val="none"/>
              </w:rPr>
              <w:t>个采购包</w:t>
            </w:r>
          </w:p>
        </w:tc>
      </w:tr>
      <w:tr w14:paraId="3B1F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2CD81DE5">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63974368">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资金来源</w:t>
            </w:r>
          </w:p>
        </w:tc>
        <w:tc>
          <w:tcPr>
            <w:tcW w:w="7047" w:type="dxa"/>
            <w:vAlign w:val="center"/>
          </w:tcPr>
          <w:p w14:paraId="5185F9C3">
            <w:pPr>
              <w:keepNext w:val="0"/>
              <w:keepLines w:val="0"/>
              <w:pageBreakBefore w:val="0"/>
              <w:widowControl w:val="0"/>
              <w:kinsoku/>
              <w:wordWrap/>
              <w:overflowPunct/>
              <w:topLinePunct w:val="0"/>
              <w:bidi w:val="0"/>
              <w:spacing w:line="360" w:lineRule="auto"/>
              <w:rPr>
                <w:rFonts w:hint="eastAsia"/>
                <w:color w:val="auto"/>
                <w:szCs w:val="21"/>
                <w:highlight w:val="none"/>
              </w:rPr>
            </w:pPr>
            <w:r>
              <w:rPr>
                <w:color w:val="auto"/>
                <w:szCs w:val="21"/>
                <w:highlight w:val="none"/>
              </w:rPr>
              <w:t>■</w:t>
            </w:r>
            <w:r>
              <w:rPr>
                <w:rFonts w:hint="eastAsia"/>
                <w:color w:val="auto"/>
                <w:szCs w:val="21"/>
                <w:highlight w:val="none"/>
              </w:rPr>
              <w:t xml:space="preserve">财政性资金 </w:t>
            </w:r>
            <w:r>
              <w:rPr>
                <w:color w:val="auto"/>
                <w:szCs w:val="21"/>
                <w:highlight w:val="none"/>
              </w:rPr>
              <w:t>/ □</w:t>
            </w:r>
            <w:r>
              <w:rPr>
                <w:rFonts w:hint="eastAsia"/>
                <w:color w:val="auto"/>
                <w:szCs w:val="21"/>
                <w:highlight w:val="none"/>
              </w:rPr>
              <w:t>非财政性资金，单位自筹资金</w:t>
            </w:r>
          </w:p>
        </w:tc>
      </w:tr>
      <w:tr w14:paraId="4B14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BD3AD29">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4F69EA65">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公告发布媒介</w:t>
            </w:r>
          </w:p>
        </w:tc>
        <w:tc>
          <w:tcPr>
            <w:tcW w:w="7047" w:type="dxa"/>
            <w:vAlign w:val="center"/>
          </w:tcPr>
          <w:p w14:paraId="6CC97F5A">
            <w:pPr>
              <w:keepNext w:val="0"/>
              <w:keepLines w:val="0"/>
              <w:pageBreakBefore w:val="0"/>
              <w:widowControl w:val="0"/>
              <w:kinsoku/>
              <w:wordWrap/>
              <w:overflowPunct/>
              <w:topLinePunct w:val="0"/>
              <w:bidi w:val="0"/>
              <w:spacing w:line="360" w:lineRule="auto"/>
              <w:rPr>
                <w:rFonts w:hint="eastAsia"/>
                <w:color w:val="auto"/>
                <w:szCs w:val="21"/>
                <w:highlight w:val="none"/>
              </w:rPr>
            </w:pPr>
            <w:r>
              <w:rPr>
                <w:color w:val="auto"/>
                <w:szCs w:val="21"/>
                <w:highlight w:val="none"/>
              </w:rPr>
              <w:t>■</w:t>
            </w:r>
            <w:r>
              <w:rPr>
                <w:rFonts w:hint="eastAsia"/>
                <w:color w:val="auto"/>
                <w:szCs w:val="21"/>
                <w:highlight w:val="none"/>
              </w:rPr>
              <w:t>中国政府采购网（http://www.ccgp.gov.cn/）</w:t>
            </w:r>
          </w:p>
          <w:p w14:paraId="69B26963">
            <w:pPr>
              <w:keepNext w:val="0"/>
              <w:keepLines w:val="0"/>
              <w:pageBreakBefore w:val="0"/>
              <w:widowControl w:val="0"/>
              <w:kinsoku/>
              <w:wordWrap/>
              <w:overflowPunct/>
              <w:topLinePunct w:val="0"/>
              <w:bidi w:val="0"/>
              <w:spacing w:line="360" w:lineRule="auto"/>
              <w:rPr>
                <w:rFonts w:hint="eastAsia"/>
                <w:color w:val="auto"/>
                <w:szCs w:val="21"/>
                <w:highlight w:val="none"/>
              </w:rPr>
            </w:pPr>
            <w:r>
              <w:rPr>
                <w:color w:val="auto"/>
                <w:szCs w:val="21"/>
                <w:highlight w:val="none"/>
              </w:rPr>
              <w:t>■</w:t>
            </w:r>
            <w:r>
              <w:rPr>
                <w:rFonts w:hint="eastAsia"/>
                <w:color w:val="auto"/>
                <w:szCs w:val="21"/>
                <w:highlight w:val="none"/>
              </w:rPr>
              <w:t>诚</w:t>
            </w:r>
            <w:r>
              <w:rPr>
                <w:color w:val="auto"/>
                <w:szCs w:val="21"/>
                <w:highlight w:val="none"/>
              </w:rPr>
              <w:t>E招电子采购交易平台（</w:t>
            </w:r>
            <w:r>
              <w:rPr>
                <w:color w:val="auto"/>
                <w:highlight w:val="none"/>
              </w:rPr>
              <w:fldChar w:fldCharType="begin"/>
            </w:r>
            <w:r>
              <w:rPr>
                <w:color w:val="auto"/>
                <w:highlight w:val="none"/>
              </w:rPr>
              <w:instrText xml:space="preserve"> HYPERLINK "https://www.chengezhao.com/" </w:instrText>
            </w:r>
            <w:r>
              <w:rPr>
                <w:color w:val="auto"/>
                <w:highlight w:val="none"/>
              </w:rPr>
              <w:fldChar w:fldCharType="separate"/>
            </w:r>
            <w:r>
              <w:rPr>
                <w:rStyle w:val="57"/>
                <w:color w:val="auto"/>
                <w:szCs w:val="21"/>
                <w:highlight w:val="none"/>
              </w:rPr>
              <w:t>https://www.chengezhao.com/</w:t>
            </w:r>
            <w:r>
              <w:rPr>
                <w:rStyle w:val="57"/>
                <w:color w:val="auto"/>
                <w:szCs w:val="21"/>
                <w:highlight w:val="none"/>
              </w:rPr>
              <w:fldChar w:fldCharType="end"/>
            </w:r>
            <w:r>
              <w:rPr>
                <w:color w:val="auto"/>
                <w:szCs w:val="21"/>
                <w:highlight w:val="none"/>
              </w:rPr>
              <w:t>）</w:t>
            </w:r>
          </w:p>
          <w:p w14:paraId="1D119C60">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相关公告在以上媒体上公布之日即视为有效送达，不再另行通知。</w:t>
            </w:r>
          </w:p>
        </w:tc>
      </w:tr>
      <w:tr w14:paraId="4D647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0FE4E3C0">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0A2AA185">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开启方式</w:t>
            </w:r>
          </w:p>
        </w:tc>
        <w:tc>
          <w:tcPr>
            <w:tcW w:w="7047" w:type="dxa"/>
            <w:vAlign w:val="center"/>
          </w:tcPr>
          <w:p w14:paraId="7BF623F3">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现场开启</w:t>
            </w:r>
          </w:p>
        </w:tc>
      </w:tr>
      <w:tr w14:paraId="39C4C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7FAC3403">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79CB8325">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评审方式</w:t>
            </w:r>
          </w:p>
        </w:tc>
        <w:tc>
          <w:tcPr>
            <w:tcW w:w="7047" w:type="dxa"/>
            <w:vAlign w:val="center"/>
          </w:tcPr>
          <w:p w14:paraId="76EB61BD">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现场评审</w:t>
            </w:r>
          </w:p>
        </w:tc>
      </w:tr>
      <w:tr w14:paraId="51F9A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05A54984">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687715A7">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评审办法</w:t>
            </w:r>
          </w:p>
        </w:tc>
        <w:tc>
          <w:tcPr>
            <w:tcW w:w="7047" w:type="dxa"/>
            <w:vAlign w:val="center"/>
          </w:tcPr>
          <w:p w14:paraId="77A34CC6">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lang w:val="en-US" w:eastAsia="zh-CN"/>
              </w:rPr>
              <w:t>采购包1：</w:t>
            </w:r>
            <w:r>
              <w:rPr>
                <w:rFonts w:hint="eastAsia"/>
                <w:color w:val="auto"/>
                <w:szCs w:val="21"/>
                <w:highlight w:val="none"/>
              </w:rPr>
              <w:t>综合评分法</w:t>
            </w:r>
          </w:p>
          <w:p w14:paraId="0564D2DD">
            <w:pPr>
              <w:pStyle w:val="19"/>
              <w:keepNext w:val="0"/>
              <w:keepLines w:val="0"/>
              <w:pageBreakBefore w:val="0"/>
              <w:widowControl w:val="0"/>
              <w:kinsoku/>
              <w:wordWrap/>
              <w:overflowPunct/>
              <w:topLinePunct w:val="0"/>
              <w:bidi w:val="0"/>
              <w:spacing w:line="360" w:lineRule="auto"/>
              <w:rPr>
                <w:rFonts w:hint="default" w:eastAsia="宋体"/>
                <w:color w:val="auto"/>
                <w:szCs w:val="21"/>
                <w:highlight w:val="none"/>
                <w:lang w:val="en-US" w:eastAsia="zh-CN"/>
              </w:rPr>
            </w:pPr>
            <w:r>
              <w:rPr>
                <w:rFonts w:hint="eastAsia"/>
                <w:color w:val="auto"/>
                <w:szCs w:val="21"/>
                <w:highlight w:val="none"/>
                <w:lang w:val="en-US" w:eastAsia="zh-CN"/>
              </w:rPr>
              <w:t>采购包2：</w:t>
            </w:r>
            <w:r>
              <w:rPr>
                <w:rFonts w:hint="eastAsia"/>
                <w:color w:val="auto"/>
                <w:szCs w:val="21"/>
                <w:highlight w:val="none"/>
              </w:rPr>
              <w:t>综合评分法</w:t>
            </w:r>
          </w:p>
        </w:tc>
      </w:tr>
      <w:tr w14:paraId="43389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2D8AD11D">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51BB31A7">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报价形式</w:t>
            </w:r>
          </w:p>
        </w:tc>
        <w:tc>
          <w:tcPr>
            <w:tcW w:w="7047" w:type="dxa"/>
            <w:vAlign w:val="center"/>
          </w:tcPr>
          <w:p w14:paraId="6F2AE4C3">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lang w:val="en-US" w:eastAsia="zh-CN"/>
              </w:rPr>
              <w:t>采购包1：</w:t>
            </w:r>
            <w:r>
              <w:rPr>
                <w:color w:val="auto"/>
                <w:szCs w:val="21"/>
                <w:highlight w:val="none"/>
              </w:rPr>
              <w:t>■</w:t>
            </w:r>
            <w:r>
              <w:rPr>
                <w:rFonts w:hint="eastAsia"/>
                <w:color w:val="auto"/>
                <w:szCs w:val="21"/>
                <w:highlight w:val="none"/>
              </w:rPr>
              <w:t>总价 /</w:t>
            </w:r>
            <w:r>
              <w:rPr>
                <w:color w:val="auto"/>
                <w:szCs w:val="21"/>
                <w:highlight w:val="none"/>
              </w:rPr>
              <w:t xml:space="preserve"> □</w:t>
            </w:r>
            <w:r>
              <w:rPr>
                <w:rFonts w:hint="eastAsia"/>
                <w:color w:val="auto"/>
                <w:szCs w:val="21"/>
                <w:highlight w:val="none"/>
              </w:rPr>
              <w:t xml:space="preserve">单价 / </w:t>
            </w:r>
            <w:r>
              <w:rPr>
                <w:color w:val="auto"/>
                <w:szCs w:val="21"/>
                <w:highlight w:val="none"/>
              </w:rPr>
              <w:t>□</w:t>
            </w:r>
            <w:r>
              <w:rPr>
                <w:rFonts w:hint="eastAsia"/>
                <w:color w:val="auto"/>
                <w:szCs w:val="21"/>
                <w:highlight w:val="none"/>
              </w:rPr>
              <w:t>折扣率 /</w:t>
            </w:r>
            <w:r>
              <w:rPr>
                <w:color w:val="auto"/>
                <w:szCs w:val="21"/>
                <w:highlight w:val="none"/>
              </w:rPr>
              <w:t xml:space="preserve"> □</w:t>
            </w:r>
            <w:r>
              <w:rPr>
                <w:rFonts w:hint="eastAsia"/>
                <w:color w:val="auto"/>
                <w:szCs w:val="21"/>
                <w:highlight w:val="none"/>
              </w:rPr>
              <w:t>下浮率</w:t>
            </w:r>
          </w:p>
          <w:p w14:paraId="2550E826">
            <w:pPr>
              <w:spacing w:line="360" w:lineRule="auto"/>
              <w:rPr>
                <w:rFonts w:hint="default" w:eastAsia="宋体"/>
                <w:color w:val="auto"/>
                <w:highlight w:val="none"/>
                <w:lang w:val="en-US" w:eastAsia="zh-CN"/>
              </w:rPr>
            </w:pPr>
            <w:r>
              <w:rPr>
                <w:rFonts w:hint="eastAsia"/>
                <w:color w:val="auto"/>
                <w:szCs w:val="21"/>
                <w:highlight w:val="none"/>
                <w:lang w:val="en-US" w:eastAsia="zh-CN"/>
              </w:rPr>
              <w:t>采购包2：</w:t>
            </w:r>
            <w:r>
              <w:rPr>
                <w:color w:val="auto"/>
                <w:szCs w:val="21"/>
                <w:highlight w:val="none"/>
              </w:rPr>
              <w:t>■</w:t>
            </w:r>
            <w:r>
              <w:rPr>
                <w:rFonts w:hint="eastAsia"/>
                <w:color w:val="auto"/>
                <w:szCs w:val="21"/>
                <w:highlight w:val="none"/>
              </w:rPr>
              <w:t>总价 /</w:t>
            </w:r>
            <w:r>
              <w:rPr>
                <w:color w:val="auto"/>
                <w:szCs w:val="21"/>
                <w:highlight w:val="none"/>
              </w:rPr>
              <w:t xml:space="preserve"> □</w:t>
            </w:r>
            <w:r>
              <w:rPr>
                <w:rFonts w:hint="eastAsia"/>
                <w:color w:val="auto"/>
                <w:szCs w:val="21"/>
                <w:highlight w:val="none"/>
              </w:rPr>
              <w:t xml:space="preserve">单价 / </w:t>
            </w:r>
            <w:r>
              <w:rPr>
                <w:color w:val="auto"/>
                <w:szCs w:val="21"/>
                <w:highlight w:val="none"/>
              </w:rPr>
              <w:t>□</w:t>
            </w:r>
            <w:r>
              <w:rPr>
                <w:rFonts w:hint="eastAsia"/>
                <w:color w:val="auto"/>
                <w:szCs w:val="21"/>
                <w:highlight w:val="none"/>
              </w:rPr>
              <w:t>折扣率 /</w:t>
            </w:r>
            <w:r>
              <w:rPr>
                <w:color w:val="auto"/>
                <w:szCs w:val="21"/>
                <w:highlight w:val="none"/>
              </w:rPr>
              <w:t xml:space="preserve"> □</w:t>
            </w:r>
            <w:r>
              <w:rPr>
                <w:rFonts w:hint="eastAsia"/>
                <w:color w:val="auto"/>
                <w:szCs w:val="21"/>
                <w:highlight w:val="none"/>
              </w:rPr>
              <w:t>下浮率</w:t>
            </w:r>
          </w:p>
        </w:tc>
      </w:tr>
      <w:tr w14:paraId="714AC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04" w:type="dxa"/>
            <w:vAlign w:val="center"/>
          </w:tcPr>
          <w:p w14:paraId="6F3284CA">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01B892E8">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报价要求</w:t>
            </w:r>
          </w:p>
        </w:tc>
        <w:tc>
          <w:tcPr>
            <w:tcW w:w="7047" w:type="dxa"/>
            <w:vAlign w:val="center"/>
          </w:tcPr>
          <w:p w14:paraId="7F9DFB17">
            <w:pPr>
              <w:pStyle w:val="19"/>
              <w:keepNext w:val="0"/>
              <w:keepLines w:val="0"/>
              <w:pageBreakBefore w:val="0"/>
              <w:widowControl w:val="0"/>
              <w:kinsoku/>
              <w:wordWrap/>
              <w:overflowPunct/>
              <w:topLinePunct w:val="0"/>
              <w:bidi w:val="0"/>
              <w:spacing w:line="360" w:lineRule="auto"/>
              <w:rPr>
                <w:rFonts w:hint="eastAsia"/>
                <w:color w:val="auto"/>
                <w:highlight w:val="none"/>
              </w:rPr>
            </w:pPr>
            <w:r>
              <w:rPr>
                <w:rFonts w:hint="eastAsia"/>
                <w:color w:val="auto"/>
                <w:szCs w:val="21"/>
                <w:highlight w:val="none"/>
              </w:rPr>
              <w:t>报价需包括但不限于完成合同约定所需的人工费、</w:t>
            </w:r>
            <w:r>
              <w:rPr>
                <w:rFonts w:hint="eastAsia"/>
                <w:color w:val="auto"/>
                <w:sz w:val="21"/>
                <w:szCs w:val="21"/>
                <w:highlight w:val="none"/>
                <w:lang w:val="en-US" w:eastAsia="zh-CN"/>
              </w:rPr>
              <w:t>购置设备费、材料费、维修维护费、</w:t>
            </w:r>
            <w:r>
              <w:rPr>
                <w:rFonts w:hint="eastAsia"/>
                <w:color w:val="auto"/>
                <w:szCs w:val="21"/>
                <w:highlight w:val="none"/>
              </w:rPr>
              <w:t>零部件</w:t>
            </w:r>
            <w:r>
              <w:rPr>
                <w:rFonts w:hint="eastAsia"/>
                <w:color w:val="auto"/>
                <w:szCs w:val="21"/>
                <w:highlight w:val="none"/>
                <w:lang w:val="en-US" w:eastAsia="zh-CN"/>
              </w:rPr>
              <w:t>费</w:t>
            </w:r>
            <w:r>
              <w:rPr>
                <w:rFonts w:hint="eastAsia"/>
                <w:color w:val="auto"/>
                <w:szCs w:val="21"/>
                <w:highlight w:val="none"/>
              </w:rPr>
              <w:t>、易损易耗件</w:t>
            </w:r>
            <w:r>
              <w:rPr>
                <w:rFonts w:hint="eastAsia"/>
                <w:color w:val="auto"/>
                <w:szCs w:val="21"/>
                <w:highlight w:val="none"/>
                <w:lang w:val="en-US" w:eastAsia="zh-CN"/>
              </w:rPr>
              <w:t>费</w:t>
            </w:r>
            <w:r>
              <w:rPr>
                <w:rFonts w:hint="eastAsia"/>
                <w:color w:val="auto"/>
                <w:szCs w:val="21"/>
                <w:highlight w:val="none"/>
              </w:rPr>
              <w:t>、差旅（交通、住宿）费、餐费、专家费、保险、管理费、利润、税金，以及所有需要向第三方支付的版权费、专利费等在内的所有费用。供应商漏报或不报，采购人将视为该漏报或不报部分的费用已包括在已报的报价中而不予支付。</w:t>
            </w:r>
            <w:r>
              <w:rPr>
                <w:rFonts w:hint="eastAsia"/>
                <w:b/>
                <w:bCs/>
                <w:color w:val="auto"/>
                <w:szCs w:val="21"/>
                <w:highlight w:val="none"/>
              </w:rPr>
              <w:t>供应商投标报价不得高于预算总金额或最高限价，否则作无效投标处理。</w:t>
            </w:r>
          </w:p>
        </w:tc>
      </w:tr>
      <w:tr w14:paraId="2E94F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1D2F7479">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1D7211C0">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核心产品</w:t>
            </w:r>
          </w:p>
        </w:tc>
        <w:tc>
          <w:tcPr>
            <w:tcW w:w="7047" w:type="dxa"/>
            <w:vAlign w:val="center"/>
          </w:tcPr>
          <w:p w14:paraId="5837534F">
            <w:pPr>
              <w:pStyle w:val="19"/>
              <w:keepNext w:val="0"/>
              <w:keepLines w:val="0"/>
              <w:pageBreakBefore w:val="0"/>
              <w:widowControl w:val="0"/>
              <w:kinsoku/>
              <w:wordWrap/>
              <w:overflowPunct/>
              <w:topLinePunct w:val="0"/>
              <w:bidi w:val="0"/>
              <w:spacing w:line="360" w:lineRule="auto"/>
              <w:rPr>
                <w:rFonts w:hint="eastAsia"/>
                <w:b/>
                <w:bCs/>
                <w:color w:val="auto"/>
                <w:szCs w:val="21"/>
                <w:highlight w:val="none"/>
              </w:rPr>
            </w:pPr>
            <w:r>
              <w:rPr>
                <w:color w:val="auto"/>
                <w:szCs w:val="21"/>
                <w:highlight w:val="none"/>
              </w:rPr>
              <w:t>■</w:t>
            </w:r>
            <w:r>
              <w:rPr>
                <w:rFonts w:hint="eastAsia"/>
                <w:color w:val="auto"/>
                <w:szCs w:val="21"/>
                <w:highlight w:val="none"/>
              </w:rPr>
              <w:t xml:space="preserve">本项目不涉及 </w:t>
            </w:r>
            <w:r>
              <w:rPr>
                <w:color w:val="auto"/>
                <w:szCs w:val="21"/>
                <w:highlight w:val="none"/>
              </w:rPr>
              <w:t>/ □</w:t>
            </w:r>
            <w:r>
              <w:rPr>
                <w:rFonts w:hint="eastAsia"/>
                <w:color w:val="auto"/>
                <w:szCs w:val="21"/>
                <w:highlight w:val="none"/>
              </w:rPr>
              <w:t>核心产品：</w:t>
            </w:r>
            <w:r>
              <w:rPr>
                <w:color w:val="auto"/>
                <w:szCs w:val="21"/>
                <w:highlight w:val="none"/>
              </w:rPr>
              <w:t>-</w:t>
            </w:r>
          </w:p>
        </w:tc>
      </w:tr>
      <w:tr w14:paraId="2E4E4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BE860D8">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4AFDA395">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现场踏勘</w:t>
            </w:r>
          </w:p>
        </w:tc>
        <w:tc>
          <w:tcPr>
            <w:tcW w:w="7047" w:type="dxa"/>
            <w:vAlign w:val="center"/>
          </w:tcPr>
          <w:p w14:paraId="11696A51">
            <w:pPr>
              <w:keepNext w:val="0"/>
              <w:keepLines w:val="0"/>
              <w:pageBreakBefore w:val="0"/>
              <w:widowControl w:val="0"/>
              <w:kinsoku/>
              <w:wordWrap/>
              <w:overflowPunct/>
              <w:topLinePunct w:val="0"/>
              <w:bidi w:val="0"/>
              <w:spacing w:line="360" w:lineRule="auto"/>
              <w:rPr>
                <w:rFonts w:hint="eastAsia"/>
                <w:color w:val="auto"/>
                <w:szCs w:val="21"/>
                <w:highlight w:val="none"/>
              </w:rPr>
            </w:pPr>
            <w:r>
              <w:rPr>
                <w:color w:val="auto"/>
                <w:szCs w:val="21"/>
                <w:highlight w:val="none"/>
              </w:rPr>
              <w:t>■</w:t>
            </w:r>
            <w:r>
              <w:rPr>
                <w:rFonts w:hint="eastAsia"/>
                <w:color w:val="auto"/>
                <w:szCs w:val="21"/>
                <w:highlight w:val="none"/>
              </w:rPr>
              <w:t>否 /</w:t>
            </w:r>
            <w:r>
              <w:rPr>
                <w:color w:val="auto"/>
                <w:szCs w:val="21"/>
                <w:highlight w:val="none"/>
              </w:rPr>
              <w:t xml:space="preserve"> □</w:t>
            </w:r>
            <w:r>
              <w:rPr>
                <w:rFonts w:hint="eastAsia"/>
                <w:color w:val="auto"/>
                <w:szCs w:val="21"/>
                <w:highlight w:val="none"/>
              </w:rPr>
              <w:t>是，踏勘详细要求：</w:t>
            </w:r>
          </w:p>
          <w:p w14:paraId="598B22E1">
            <w:pPr>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时间：</w:t>
            </w:r>
            <w:r>
              <w:rPr>
                <w:color w:val="auto"/>
                <w:szCs w:val="21"/>
                <w:highlight w:val="none"/>
              </w:rPr>
              <w:t>/</w:t>
            </w:r>
          </w:p>
          <w:p w14:paraId="4D0CB548">
            <w:pPr>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地点：</w:t>
            </w:r>
            <w:r>
              <w:rPr>
                <w:color w:val="auto"/>
                <w:szCs w:val="21"/>
                <w:highlight w:val="none"/>
              </w:rPr>
              <w:t>/</w:t>
            </w:r>
          </w:p>
          <w:p w14:paraId="71582747">
            <w:pPr>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联系人：</w:t>
            </w:r>
            <w:r>
              <w:rPr>
                <w:color w:val="auto"/>
                <w:szCs w:val="21"/>
                <w:highlight w:val="none"/>
              </w:rPr>
              <w:t>/</w:t>
            </w:r>
          </w:p>
          <w:p w14:paraId="041A6C81">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说明：</w:t>
            </w:r>
            <w:r>
              <w:rPr>
                <w:color w:val="auto"/>
                <w:szCs w:val="21"/>
                <w:highlight w:val="none"/>
              </w:rPr>
              <w:t>/</w:t>
            </w:r>
          </w:p>
        </w:tc>
      </w:tr>
      <w:tr w14:paraId="16926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1506647E">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4C6B4C94">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响应有效期</w:t>
            </w:r>
          </w:p>
        </w:tc>
        <w:tc>
          <w:tcPr>
            <w:tcW w:w="7047" w:type="dxa"/>
            <w:vAlign w:val="center"/>
          </w:tcPr>
          <w:p w14:paraId="1E865FB6">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从提交投标（响应）文件的截止之日起90日历天</w:t>
            </w:r>
          </w:p>
        </w:tc>
      </w:tr>
      <w:tr w14:paraId="5DC71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9C89661">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283E03FF">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响应保证金</w:t>
            </w:r>
          </w:p>
        </w:tc>
        <w:tc>
          <w:tcPr>
            <w:tcW w:w="7047" w:type="dxa"/>
          </w:tcPr>
          <w:p w14:paraId="754FB01D">
            <w:pPr>
              <w:keepNext w:val="0"/>
              <w:keepLines w:val="0"/>
              <w:pageBreakBefore w:val="0"/>
              <w:widowControl w:val="0"/>
              <w:kinsoku/>
              <w:wordWrap/>
              <w:overflowPunct/>
              <w:topLinePunct w:val="0"/>
              <w:bidi w:val="0"/>
              <w:spacing w:line="360" w:lineRule="auto"/>
              <w:rPr>
                <w:rFonts w:hint="eastAsia"/>
                <w:color w:val="auto"/>
                <w:szCs w:val="21"/>
                <w:highlight w:val="none"/>
              </w:rPr>
            </w:pPr>
            <w:r>
              <w:rPr>
                <w:color w:val="auto"/>
                <w:szCs w:val="21"/>
                <w:highlight w:val="none"/>
              </w:rPr>
              <w:t>■</w:t>
            </w:r>
            <w:r>
              <w:rPr>
                <w:rFonts w:hint="eastAsia"/>
                <w:color w:val="auto"/>
                <w:szCs w:val="21"/>
                <w:highlight w:val="none"/>
              </w:rPr>
              <w:t>本项目无需递交响应保证金</w:t>
            </w:r>
          </w:p>
          <w:p w14:paraId="64813A34">
            <w:pPr>
              <w:keepNext w:val="0"/>
              <w:keepLines w:val="0"/>
              <w:pageBreakBefore w:val="0"/>
              <w:widowControl w:val="0"/>
              <w:kinsoku/>
              <w:wordWrap/>
              <w:overflowPunct/>
              <w:topLinePunct w:val="0"/>
              <w:bidi w:val="0"/>
              <w:spacing w:line="360" w:lineRule="auto"/>
              <w:rPr>
                <w:rFonts w:hint="eastAsia"/>
                <w:color w:val="auto"/>
                <w:szCs w:val="21"/>
                <w:highlight w:val="none"/>
              </w:rPr>
            </w:pPr>
            <w:r>
              <w:rPr>
                <w:color w:val="auto"/>
                <w:szCs w:val="21"/>
                <w:highlight w:val="none"/>
              </w:rPr>
              <w:t>□</w:t>
            </w:r>
            <w:r>
              <w:rPr>
                <w:rFonts w:hint="eastAsia"/>
                <w:color w:val="auto"/>
                <w:szCs w:val="21"/>
                <w:highlight w:val="none"/>
              </w:rPr>
              <w:t>本项目需要递交响应保证金，要求如下：</w:t>
            </w:r>
          </w:p>
          <w:p w14:paraId="6C82A344">
            <w:pPr>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保证金人民币：</w:t>
            </w:r>
            <w:r>
              <w:rPr>
                <w:color w:val="auto"/>
                <w:szCs w:val="21"/>
                <w:highlight w:val="none"/>
              </w:rPr>
              <w:t>0.00元整</w:t>
            </w:r>
          </w:p>
          <w:p w14:paraId="22A9672F">
            <w:pPr>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开户单位：公诚管理咨询有限公司</w:t>
            </w:r>
          </w:p>
          <w:p w14:paraId="366E22A6">
            <w:pPr>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开户账号：/</w:t>
            </w:r>
          </w:p>
          <w:p w14:paraId="59C3A277">
            <w:pPr>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开户银行：中信银行广州花园支行</w:t>
            </w:r>
          </w:p>
          <w:p w14:paraId="0FFB754E">
            <w:pPr>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提交方式：转账、支票、汇票、本票、保函等非现金形式。</w:t>
            </w:r>
          </w:p>
          <w:p w14:paraId="4633321E">
            <w:pPr>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响应保证金有效期：与响应有效期一致。</w:t>
            </w:r>
          </w:p>
          <w:p w14:paraId="29478B40">
            <w:pPr>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电子保函：供应商可以通过登录“诚</w:t>
            </w:r>
            <w:r>
              <w:rPr>
                <w:color w:val="auto"/>
                <w:szCs w:val="21"/>
                <w:highlight w:val="none"/>
              </w:rPr>
              <w:t>E招（www.chengezhao.com）”在线申请办理电子保函，成功出函并点击生效之后等效于缴纳了保证金；如选择其他具有电子投标保函资质的机构开具电子投标保函，电子投标保函中须载明线上查验方法，且保函查验结果为真，同时将电子保函上传至诚E招</w:t>
            </w:r>
            <w:r>
              <w:rPr>
                <w:rFonts w:hint="eastAsia"/>
                <w:color w:val="auto"/>
                <w:szCs w:val="21"/>
                <w:highlight w:val="none"/>
              </w:rPr>
              <w:t>，打印件制作在投标（响应）文件中</w:t>
            </w:r>
            <w:r>
              <w:rPr>
                <w:color w:val="auto"/>
                <w:szCs w:val="21"/>
                <w:highlight w:val="none"/>
              </w:rPr>
              <w:t>。（电子保函递交之后可致电采购代理机构核实）。</w:t>
            </w:r>
          </w:p>
          <w:p w14:paraId="3B57D7D5">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纸质保函：通过金融机构、专业担保机构开具的纸质保函，须密封递交原件。</w:t>
            </w:r>
          </w:p>
        </w:tc>
      </w:tr>
      <w:tr w14:paraId="6EA12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04" w:type="dxa"/>
            <w:vAlign w:val="center"/>
          </w:tcPr>
          <w:p w14:paraId="5E024C05">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0CC4AAA5">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成交候选供应商推荐家数</w:t>
            </w:r>
          </w:p>
        </w:tc>
        <w:tc>
          <w:tcPr>
            <w:tcW w:w="7047" w:type="dxa"/>
            <w:vAlign w:val="center"/>
          </w:tcPr>
          <w:p w14:paraId="797100C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采购包1</w:t>
            </w:r>
            <w:r>
              <w:rPr>
                <w:rFonts w:hint="eastAsia" w:ascii="宋体" w:hAnsi="宋体" w:eastAsia="宋体" w:cs="宋体"/>
                <w:color w:val="auto"/>
                <w:szCs w:val="21"/>
                <w:highlight w:val="none"/>
              </w:rPr>
              <w:t>：3家</w:t>
            </w:r>
          </w:p>
          <w:p w14:paraId="1DF718EB">
            <w:pPr>
              <w:spacing w:line="360" w:lineRule="auto"/>
              <w:rPr>
                <w:rFonts w:hint="eastAsia"/>
                <w:color w:val="auto"/>
                <w:szCs w:val="21"/>
                <w:highlight w:val="none"/>
              </w:rPr>
            </w:pPr>
            <w:r>
              <w:rPr>
                <w:rFonts w:hint="eastAsia" w:ascii="宋体" w:hAnsi="宋体" w:eastAsia="宋体" w:cs="宋体"/>
                <w:color w:val="auto"/>
                <w:szCs w:val="21"/>
                <w:highlight w:val="none"/>
                <w:lang w:val="en-US" w:eastAsia="zh-CN"/>
              </w:rPr>
              <w:t>采购包</w:t>
            </w:r>
            <w:r>
              <w:rPr>
                <w:rFonts w:hint="eastAsia" w:ascii="宋体" w:hAnsi="宋体" w:eastAsia="宋体" w:cs="宋体"/>
                <w:color w:val="auto"/>
                <w:szCs w:val="21"/>
                <w:highlight w:val="none"/>
              </w:rPr>
              <w:t>2：3家</w:t>
            </w:r>
          </w:p>
        </w:tc>
      </w:tr>
      <w:tr w14:paraId="67365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3480520">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0A542D8A">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成交供应商家数</w:t>
            </w:r>
          </w:p>
        </w:tc>
        <w:tc>
          <w:tcPr>
            <w:tcW w:w="7047" w:type="dxa"/>
            <w:vAlign w:val="center"/>
          </w:tcPr>
          <w:p w14:paraId="3D3EF00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采购包</w:t>
            </w:r>
            <w:r>
              <w:rPr>
                <w:rFonts w:hint="eastAsia" w:ascii="宋体" w:hAnsi="宋体" w:eastAsia="宋体" w:cs="宋体"/>
                <w:color w:val="auto"/>
                <w:szCs w:val="21"/>
                <w:highlight w:val="none"/>
              </w:rPr>
              <w:t>1：1家</w:t>
            </w:r>
          </w:p>
          <w:p w14:paraId="3F1CF3E3">
            <w:pPr>
              <w:spacing w:line="360" w:lineRule="auto"/>
              <w:rPr>
                <w:rFonts w:hint="eastAsia"/>
                <w:color w:val="auto"/>
                <w:szCs w:val="21"/>
                <w:highlight w:val="none"/>
              </w:rPr>
            </w:pPr>
            <w:r>
              <w:rPr>
                <w:rFonts w:hint="eastAsia" w:ascii="宋体" w:hAnsi="宋体" w:eastAsia="宋体" w:cs="宋体"/>
                <w:color w:val="auto"/>
                <w:szCs w:val="21"/>
                <w:highlight w:val="none"/>
                <w:lang w:val="en-US" w:eastAsia="zh-CN"/>
              </w:rPr>
              <w:t>采购包</w:t>
            </w:r>
            <w:r>
              <w:rPr>
                <w:rFonts w:hint="eastAsia" w:ascii="宋体" w:hAnsi="宋体" w:eastAsia="宋体" w:cs="宋体"/>
                <w:color w:val="auto"/>
                <w:szCs w:val="21"/>
                <w:highlight w:val="none"/>
              </w:rPr>
              <w:t>2：1家</w:t>
            </w:r>
          </w:p>
        </w:tc>
      </w:tr>
      <w:tr w14:paraId="65997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704" w:type="dxa"/>
            <w:vAlign w:val="center"/>
          </w:tcPr>
          <w:p w14:paraId="282D46D4">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6D018601">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有效供应商家数</w:t>
            </w:r>
          </w:p>
        </w:tc>
        <w:tc>
          <w:tcPr>
            <w:tcW w:w="7047" w:type="dxa"/>
            <w:vAlign w:val="center"/>
          </w:tcPr>
          <w:p w14:paraId="1138AE4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采购包1</w:t>
            </w:r>
            <w:r>
              <w:rPr>
                <w:rFonts w:hint="eastAsia" w:ascii="宋体" w:hAnsi="宋体" w:eastAsia="宋体" w:cs="宋体"/>
                <w:color w:val="auto"/>
                <w:szCs w:val="21"/>
                <w:highlight w:val="none"/>
              </w:rPr>
              <w:t>：3家</w:t>
            </w:r>
          </w:p>
          <w:p w14:paraId="1AAC1446">
            <w:pPr>
              <w:autoSpaceDE/>
              <w:autoSpaceDN/>
              <w:spacing w:line="360" w:lineRule="auto"/>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采购包</w:t>
            </w:r>
            <w:r>
              <w:rPr>
                <w:rFonts w:hint="eastAsia" w:ascii="宋体" w:hAnsi="宋体" w:eastAsia="宋体" w:cs="宋体"/>
                <w:color w:val="auto"/>
                <w:szCs w:val="21"/>
                <w:highlight w:val="none"/>
              </w:rPr>
              <w:t>2：3家</w:t>
            </w:r>
          </w:p>
          <w:p w14:paraId="1548C311">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此人数约定了开启与评审过程中的最低有效供应商家数，当家数不足时项目将不得开启、不得评审或直接终止采购。</w:t>
            </w:r>
          </w:p>
        </w:tc>
      </w:tr>
      <w:tr w14:paraId="69034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704" w:type="dxa"/>
            <w:vAlign w:val="center"/>
          </w:tcPr>
          <w:p w14:paraId="6CD8725E">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30ADE879">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项目兼投兼中（兼投不兼中）规则</w:t>
            </w:r>
          </w:p>
        </w:tc>
        <w:tc>
          <w:tcPr>
            <w:tcW w:w="7047" w:type="dxa"/>
            <w:vAlign w:val="center"/>
          </w:tcPr>
          <w:p w14:paraId="468D25E9">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本项目</w:t>
            </w:r>
            <w:r>
              <w:rPr>
                <w:color w:val="auto"/>
                <w:highlight w:val="none"/>
              </w:rPr>
              <w:t>兼投兼中</w:t>
            </w:r>
            <w:r>
              <w:rPr>
                <w:rFonts w:hint="eastAsia"/>
                <w:color w:val="auto"/>
                <w:highlight w:val="none"/>
                <w:lang w:eastAsia="zh-CN"/>
              </w:rPr>
              <w:t>。投标人可对其中一个或几个采购包进行投标，可兼投，可兼中。评审及中标顺序为采购包1、采购包2。采购包是投标的最小单位，投标人应对同一个采购包的全部货物和服务投标，开标、评标、定标按采购包进行。兼投者必须就每个采购包分别报价。</w:t>
            </w:r>
          </w:p>
        </w:tc>
      </w:tr>
      <w:tr w14:paraId="74886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trPr>
        <w:tc>
          <w:tcPr>
            <w:tcW w:w="704" w:type="dxa"/>
            <w:vAlign w:val="center"/>
          </w:tcPr>
          <w:p w14:paraId="6BC88D19">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3774369C">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成交供应商确定方式</w:t>
            </w:r>
          </w:p>
        </w:tc>
        <w:tc>
          <w:tcPr>
            <w:tcW w:w="7047" w:type="dxa"/>
            <w:vAlign w:val="center"/>
          </w:tcPr>
          <w:p w14:paraId="29596E83">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color w:val="auto"/>
                <w:szCs w:val="21"/>
                <w:highlight w:val="none"/>
              </w:rPr>
              <w:t>■</w:t>
            </w:r>
            <w:r>
              <w:rPr>
                <w:rFonts w:hint="eastAsia"/>
                <w:color w:val="auto"/>
                <w:szCs w:val="21"/>
                <w:highlight w:val="none"/>
              </w:rPr>
              <w:t>采购人按照评标报告中推荐的中标候选人确定中标人。 /</w:t>
            </w:r>
            <w:r>
              <w:rPr>
                <w:color w:val="auto"/>
                <w:szCs w:val="21"/>
                <w:highlight w:val="none"/>
              </w:rPr>
              <w:t xml:space="preserve"> □</w:t>
            </w:r>
            <w:r>
              <w:rPr>
                <w:rFonts w:hint="eastAsia"/>
                <w:color w:val="auto"/>
                <w:szCs w:val="21"/>
                <w:highlight w:val="none"/>
              </w:rPr>
              <w:t>采购人授权评标委员会按照评审原则直接确定中标人。</w:t>
            </w:r>
          </w:p>
        </w:tc>
      </w:tr>
      <w:tr w14:paraId="0A92A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9C29647">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5128874C">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代理服务费</w:t>
            </w:r>
          </w:p>
        </w:tc>
        <w:tc>
          <w:tcPr>
            <w:tcW w:w="7047" w:type="dxa"/>
            <w:vAlign w:val="center"/>
          </w:tcPr>
          <w:p w14:paraId="405C9C74">
            <w:pPr>
              <w:pStyle w:val="19"/>
              <w:keepNext w:val="0"/>
              <w:keepLines w:val="0"/>
              <w:pageBreakBefore w:val="0"/>
              <w:widowControl w:val="0"/>
              <w:kinsoku/>
              <w:wordWrap/>
              <w:overflowPunct/>
              <w:topLinePunct w:val="0"/>
              <w:bidi w:val="0"/>
              <w:spacing w:line="360" w:lineRule="auto"/>
              <w:rPr>
                <w:rFonts w:hint="eastAsia" w:eastAsia="宋体"/>
                <w:color w:val="auto"/>
                <w:szCs w:val="21"/>
                <w:highlight w:val="none"/>
                <w:lang w:eastAsia="zh-CN"/>
              </w:rPr>
            </w:pPr>
            <w:r>
              <w:rPr>
                <w:rFonts w:hint="eastAsia"/>
                <w:color w:val="auto"/>
                <w:szCs w:val="21"/>
                <w:highlight w:val="none"/>
              </w:rPr>
              <w:t>收费标准：</w:t>
            </w:r>
            <w:r>
              <w:rPr>
                <w:rFonts w:hint="eastAsia" w:ascii="宋体" w:hAnsi="宋体" w:cs="宋体"/>
                <w:color w:val="auto"/>
                <w:kern w:val="0"/>
                <w:highlight w:val="none"/>
              </w:rPr>
              <w:t>采购代理服务费</w:t>
            </w:r>
            <w:bookmarkStart w:id="67" w:name="_Hlk108912781"/>
            <w:r>
              <w:rPr>
                <w:rFonts w:hint="eastAsia" w:ascii="宋体" w:hAnsi="宋体" w:eastAsia="宋体" w:cs="宋体"/>
                <w:color w:val="auto"/>
                <w:szCs w:val="21"/>
                <w:highlight w:val="none"/>
                <w:lang w:eastAsia="zh-CN"/>
              </w:rPr>
              <w:t>以项目（各</w:t>
            </w:r>
            <w:r>
              <w:rPr>
                <w:rFonts w:hint="eastAsia" w:ascii="宋体" w:hAnsi="宋体" w:eastAsia="宋体" w:cs="宋体"/>
                <w:color w:val="auto"/>
                <w:szCs w:val="21"/>
                <w:highlight w:val="none"/>
                <w:lang w:val="en-US" w:eastAsia="zh-CN"/>
              </w:rPr>
              <w:t>采购包</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成交</w:t>
            </w:r>
            <w:r>
              <w:rPr>
                <w:rFonts w:hint="eastAsia" w:ascii="宋体" w:hAnsi="宋体" w:eastAsia="宋体" w:cs="宋体"/>
                <w:color w:val="auto"/>
                <w:szCs w:val="21"/>
                <w:highlight w:val="none"/>
                <w:lang w:eastAsia="zh-CN"/>
              </w:rPr>
              <w:t>金额作为基数按照差额定率累进法计算代理服务费</w:t>
            </w:r>
            <w:bookmarkEnd w:id="67"/>
            <w:r>
              <w:rPr>
                <w:rFonts w:hint="eastAsia" w:ascii="宋体" w:hAnsi="宋体" w:cs="宋体"/>
                <w:color w:val="auto"/>
                <w:kern w:val="0"/>
                <w:highlight w:val="none"/>
              </w:rPr>
              <w:t>，并下浮8%，向中标（成交）供应商收取。成交金额的各部分费率如下：成交金额在人民币100万元</w:t>
            </w:r>
            <w:r>
              <w:rPr>
                <w:rFonts w:hint="eastAsia" w:ascii="宋体" w:hAnsi="宋体" w:eastAsia="宋体" w:cs="宋体"/>
                <w:color w:val="auto"/>
                <w:szCs w:val="21"/>
                <w:highlight w:val="none"/>
                <w:lang w:val="en-US" w:eastAsia="zh-CN"/>
              </w:rPr>
              <w:t>（含）</w:t>
            </w:r>
            <w:r>
              <w:rPr>
                <w:rFonts w:hint="eastAsia" w:ascii="宋体" w:hAnsi="宋体" w:cs="宋体"/>
                <w:color w:val="auto"/>
                <w:kern w:val="0"/>
                <w:highlight w:val="none"/>
              </w:rPr>
              <w:t>以下部分的收费费率为1.50%</w:t>
            </w:r>
            <w:r>
              <w:rPr>
                <w:rFonts w:hint="eastAsia" w:cs="宋体"/>
                <w:color w:val="auto"/>
                <w:kern w:val="0"/>
                <w:highlight w:val="none"/>
                <w:lang w:eastAsia="zh-CN"/>
              </w:rPr>
              <w:t>。</w:t>
            </w:r>
          </w:p>
        </w:tc>
      </w:tr>
      <w:tr w14:paraId="1A1FE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trPr>
        <w:tc>
          <w:tcPr>
            <w:tcW w:w="704" w:type="dxa"/>
            <w:vAlign w:val="center"/>
          </w:tcPr>
          <w:p w14:paraId="5DFDDD43">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50826B95">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代理服务费收取方式</w:t>
            </w:r>
          </w:p>
        </w:tc>
        <w:tc>
          <w:tcPr>
            <w:tcW w:w="7047" w:type="dxa"/>
            <w:vAlign w:val="center"/>
          </w:tcPr>
          <w:p w14:paraId="5F2538A2">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向中标/成交供应商收取</w:t>
            </w:r>
          </w:p>
        </w:tc>
      </w:tr>
      <w:tr w14:paraId="02FEC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A95928F">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3F8896C6">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响应文件数量和要求</w:t>
            </w:r>
          </w:p>
        </w:tc>
        <w:tc>
          <w:tcPr>
            <w:tcW w:w="7047" w:type="dxa"/>
          </w:tcPr>
          <w:p w14:paraId="0FAFB4E0">
            <w:pPr>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1.正本1份，副本2份，电子文件1份。正本与副本不一致时，以正本为准。</w:t>
            </w:r>
          </w:p>
          <w:p w14:paraId="56593572">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2.电子文件：应包含纸质响应文件全部内容，以U盘或者光盘形式存储；电子文件中应包含Word、Excel等可编辑文档和签字盖章版的PDF扫描件；响应文件包括的其他电子文档（如视频等）也应包含在内；若有分项报价表（非固定格式，自行提供的），需提供Excel版本。</w:t>
            </w:r>
          </w:p>
          <w:p w14:paraId="7AC505D3">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color w:val="auto"/>
                <w:szCs w:val="21"/>
                <w:highlight w:val="none"/>
              </w:rPr>
              <w:t>3.针对多个采购包项目，若在评审要求相同的情况下，供应商可以选择编制一份或者多份投标（响应）文件，但须明确适用于“采购包1、采购包2、…”，若某些投标（响应）内容不可同时适用于多个采购包，则需分别进行明确，如报价部分的内容等文件。</w:t>
            </w:r>
          </w:p>
        </w:tc>
      </w:tr>
      <w:tr w14:paraId="60C08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B5AA0C8">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204C0F2D">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响应文件密封要求</w:t>
            </w:r>
          </w:p>
        </w:tc>
        <w:tc>
          <w:tcPr>
            <w:tcW w:w="7047" w:type="dxa"/>
            <w:vAlign w:val="center"/>
          </w:tcPr>
          <w:p w14:paraId="28E3386D">
            <w:pPr>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响应文件正本与副本可以单独密封包装，也可以所有响应文件密封包装在一个密封袋内，密封袋的封口处应粘贴处理。</w:t>
            </w:r>
          </w:p>
        </w:tc>
      </w:tr>
      <w:tr w14:paraId="02EA9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CFDBFD7">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611CCE1B">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合同签订</w:t>
            </w:r>
          </w:p>
        </w:tc>
        <w:tc>
          <w:tcPr>
            <w:tcW w:w="7047" w:type="dxa"/>
            <w:vAlign w:val="center"/>
          </w:tcPr>
          <w:p w14:paraId="6F2D3207">
            <w:pPr>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本采购文件提供的合同文本仅供参考，具体条款内容由采购人和成交供应商协商确定，但不得对采购文件和响应文件的实质性条款作出变更，且必须包括但不限于标的名称，采购标的质量、数量（规模），履行时间（期限）、地点和方式，包装方式（如有），价款或者报酬、付款进度安排、资金支付方式，验收、交付标准和方法，质量保修范围（如有）和保修期（如有），违约责任与解决争议的方法等内容。</w:t>
            </w:r>
          </w:p>
        </w:tc>
      </w:tr>
      <w:tr w14:paraId="4EDBA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659A5F6A">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0181D3A0">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专门面向中小企业采购</w:t>
            </w:r>
          </w:p>
        </w:tc>
        <w:tc>
          <w:tcPr>
            <w:tcW w:w="7047" w:type="dxa"/>
            <w:vAlign w:val="center"/>
          </w:tcPr>
          <w:p w14:paraId="2EACFDB5">
            <w:pPr>
              <w:keepNext w:val="0"/>
              <w:keepLines w:val="0"/>
              <w:pageBreakBefore w:val="0"/>
              <w:widowControl w:val="0"/>
              <w:kinsoku/>
              <w:wordWrap/>
              <w:overflowPunct/>
              <w:topLinePunct w:val="0"/>
              <w:bidi w:val="0"/>
              <w:spacing w:line="360" w:lineRule="auto"/>
              <w:rPr>
                <w:rFonts w:hint="default" w:eastAsia="宋体"/>
                <w:color w:val="auto"/>
                <w:szCs w:val="21"/>
                <w:highlight w:val="none"/>
                <w:lang w:val="en-US" w:eastAsia="zh-CN"/>
              </w:rPr>
            </w:pPr>
            <w:r>
              <w:rPr>
                <w:color w:val="auto"/>
                <w:szCs w:val="21"/>
                <w:highlight w:val="none"/>
              </w:rPr>
              <w:t>□</w:t>
            </w:r>
            <w:r>
              <w:rPr>
                <w:rFonts w:hint="eastAsia"/>
                <w:color w:val="auto"/>
                <w:szCs w:val="21"/>
                <w:highlight w:val="none"/>
              </w:rPr>
              <w:t>是 /</w:t>
            </w:r>
            <w:r>
              <w:rPr>
                <w:color w:val="auto"/>
                <w:szCs w:val="21"/>
                <w:highlight w:val="none"/>
              </w:rPr>
              <w:t xml:space="preserve"> </w:t>
            </w:r>
            <w:r>
              <w:rPr>
                <w:rFonts w:hint="default" w:ascii="宋体" w:hAnsi="宋体" w:eastAsia="宋体" w:cs="Times New Roman"/>
                <w:color w:val="auto"/>
                <w:szCs w:val="21"/>
                <w:highlight w:val="none"/>
                <w:shd w:val="clear"/>
              </w:rPr>
              <w:t>■</w:t>
            </w:r>
            <w:r>
              <w:rPr>
                <w:rFonts w:hint="eastAsia"/>
                <w:color w:val="auto"/>
                <w:szCs w:val="21"/>
                <w:highlight w:val="none"/>
              </w:rPr>
              <w:t>否</w:t>
            </w:r>
          </w:p>
        </w:tc>
      </w:tr>
      <w:tr w14:paraId="056E9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56ADD6BE">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39990456">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本项目采购标的对应的中小企业划分标准所属行业</w:t>
            </w:r>
          </w:p>
        </w:tc>
        <w:tc>
          <w:tcPr>
            <w:tcW w:w="7047" w:type="dxa"/>
            <w:vAlign w:val="center"/>
          </w:tcPr>
          <w:tbl>
            <w:tblPr>
              <w:tblStyle w:val="47"/>
              <w:tblW w:w="69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3402"/>
              <w:gridCol w:w="2829"/>
            </w:tblGrid>
            <w:tr w14:paraId="28359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2" w:type="dxa"/>
                  <w:vAlign w:val="center"/>
                </w:tcPr>
                <w:p w14:paraId="543126C8">
                  <w:pPr>
                    <w:keepNext w:val="0"/>
                    <w:keepLines w:val="0"/>
                    <w:pageBreakBefore w:val="0"/>
                    <w:widowControl w:val="0"/>
                    <w:kinsoku/>
                    <w:wordWrap/>
                    <w:overflowPunct/>
                    <w:topLinePunct w:val="0"/>
                    <w:bidi w:val="0"/>
                    <w:spacing w:line="360" w:lineRule="auto"/>
                    <w:jc w:val="center"/>
                    <w:rPr>
                      <w:rFonts w:hint="eastAsia"/>
                      <w:b/>
                      <w:bCs/>
                      <w:color w:val="auto"/>
                      <w:szCs w:val="21"/>
                      <w:highlight w:val="none"/>
                    </w:rPr>
                  </w:pPr>
                  <w:r>
                    <w:rPr>
                      <w:rFonts w:hint="eastAsia"/>
                      <w:b/>
                      <w:bCs/>
                      <w:color w:val="auto"/>
                      <w:szCs w:val="21"/>
                      <w:highlight w:val="none"/>
                    </w:rPr>
                    <w:t>包号</w:t>
                  </w:r>
                </w:p>
              </w:tc>
              <w:tc>
                <w:tcPr>
                  <w:tcW w:w="3402" w:type="dxa"/>
                  <w:vAlign w:val="center"/>
                </w:tcPr>
                <w:p w14:paraId="1D05D7E7">
                  <w:pPr>
                    <w:keepNext w:val="0"/>
                    <w:keepLines w:val="0"/>
                    <w:pageBreakBefore w:val="0"/>
                    <w:widowControl w:val="0"/>
                    <w:kinsoku/>
                    <w:wordWrap/>
                    <w:overflowPunct/>
                    <w:topLinePunct w:val="0"/>
                    <w:bidi w:val="0"/>
                    <w:spacing w:line="360" w:lineRule="auto"/>
                    <w:jc w:val="center"/>
                    <w:rPr>
                      <w:rFonts w:hint="eastAsia"/>
                      <w:b/>
                      <w:bCs/>
                      <w:color w:val="auto"/>
                      <w:szCs w:val="21"/>
                      <w:highlight w:val="none"/>
                    </w:rPr>
                  </w:pPr>
                  <w:r>
                    <w:rPr>
                      <w:rFonts w:hint="eastAsia"/>
                      <w:b/>
                      <w:bCs/>
                      <w:color w:val="auto"/>
                      <w:szCs w:val="21"/>
                      <w:highlight w:val="none"/>
                    </w:rPr>
                    <w:t>标的名称</w:t>
                  </w:r>
                </w:p>
              </w:tc>
              <w:tc>
                <w:tcPr>
                  <w:tcW w:w="2829" w:type="dxa"/>
                  <w:vAlign w:val="center"/>
                </w:tcPr>
                <w:p w14:paraId="358826F9">
                  <w:pPr>
                    <w:keepNext w:val="0"/>
                    <w:keepLines w:val="0"/>
                    <w:pageBreakBefore w:val="0"/>
                    <w:widowControl w:val="0"/>
                    <w:kinsoku/>
                    <w:wordWrap/>
                    <w:overflowPunct/>
                    <w:topLinePunct w:val="0"/>
                    <w:bidi w:val="0"/>
                    <w:spacing w:line="360" w:lineRule="auto"/>
                    <w:jc w:val="center"/>
                    <w:rPr>
                      <w:rFonts w:hint="eastAsia"/>
                      <w:b/>
                      <w:bCs/>
                      <w:color w:val="auto"/>
                      <w:szCs w:val="21"/>
                      <w:highlight w:val="none"/>
                    </w:rPr>
                  </w:pPr>
                  <w:r>
                    <w:rPr>
                      <w:rFonts w:hint="eastAsia"/>
                      <w:b/>
                      <w:bCs/>
                      <w:color w:val="auto"/>
                      <w:szCs w:val="21"/>
                      <w:highlight w:val="none"/>
                    </w:rPr>
                    <w:t>中小企业划分标准所属行业</w:t>
                  </w:r>
                </w:p>
              </w:tc>
            </w:tr>
            <w:tr w14:paraId="204F2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2" w:type="dxa"/>
                  <w:vAlign w:val="center"/>
                </w:tcPr>
                <w:p w14:paraId="2D499434">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1</w:t>
                  </w:r>
                </w:p>
              </w:tc>
              <w:tc>
                <w:tcPr>
                  <w:tcW w:w="3402" w:type="dxa"/>
                  <w:vAlign w:val="center"/>
                </w:tcPr>
                <w:p w14:paraId="401DCFE1">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ascii="宋体" w:hAnsi="宋体" w:eastAsia="宋体" w:cs="宋体"/>
                      <w:color w:val="auto"/>
                      <w:szCs w:val="21"/>
                      <w:highlight w:val="none"/>
                    </w:rPr>
                    <w:t>查验设施设备保养维护</w:t>
                  </w:r>
                </w:p>
              </w:tc>
              <w:tc>
                <w:tcPr>
                  <w:tcW w:w="2829" w:type="dxa"/>
                  <w:vAlign w:val="center"/>
                </w:tcPr>
                <w:p w14:paraId="5546E01C">
                  <w:pPr>
                    <w:keepNext w:val="0"/>
                    <w:keepLines w:val="0"/>
                    <w:pageBreakBefore w:val="0"/>
                    <w:widowControl w:val="0"/>
                    <w:kinsoku/>
                    <w:wordWrap/>
                    <w:overflowPunct/>
                    <w:topLinePunct w:val="0"/>
                    <w:bidi w:val="0"/>
                    <w:spacing w:line="360" w:lineRule="auto"/>
                    <w:jc w:val="center"/>
                    <w:rPr>
                      <w:rFonts w:hint="default" w:eastAsia="宋体"/>
                      <w:color w:val="auto"/>
                      <w:szCs w:val="21"/>
                      <w:highlight w:val="none"/>
                      <w:lang w:val="en-US" w:eastAsia="zh-CN"/>
                    </w:rPr>
                  </w:pPr>
                  <w:r>
                    <w:rPr>
                      <w:rFonts w:hint="eastAsia"/>
                      <w:color w:val="auto"/>
                      <w:highlight w:val="none"/>
                    </w:rPr>
                    <w:t>其他未列明行业</w:t>
                  </w:r>
                </w:p>
              </w:tc>
            </w:tr>
            <w:tr w14:paraId="6D000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2" w:type="dxa"/>
                  <w:vAlign w:val="center"/>
                </w:tcPr>
                <w:p w14:paraId="2BFAE58D">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2</w:t>
                  </w:r>
                </w:p>
              </w:tc>
              <w:tc>
                <w:tcPr>
                  <w:tcW w:w="3402" w:type="dxa"/>
                  <w:vAlign w:val="center"/>
                </w:tcPr>
                <w:p w14:paraId="36AC20A9">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ascii="宋体" w:hAnsi="宋体" w:eastAsia="宋体" w:cs="宋体"/>
                      <w:color w:val="auto"/>
                      <w:szCs w:val="21"/>
                      <w:highlight w:val="none"/>
                    </w:rPr>
                    <w:t>信息化系统设备保养维护</w:t>
                  </w:r>
                </w:p>
              </w:tc>
              <w:tc>
                <w:tcPr>
                  <w:tcW w:w="2829" w:type="dxa"/>
                  <w:vAlign w:val="center"/>
                </w:tcPr>
                <w:p w14:paraId="3BD2CA50">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highlight w:val="none"/>
                    </w:rPr>
                    <w:t>其他未列明行业</w:t>
                  </w:r>
                </w:p>
              </w:tc>
            </w:tr>
          </w:tbl>
          <w:p w14:paraId="3F70D38F">
            <w:pPr>
              <w:keepNext w:val="0"/>
              <w:keepLines w:val="0"/>
              <w:pageBreakBefore w:val="0"/>
              <w:widowControl w:val="0"/>
              <w:kinsoku/>
              <w:wordWrap/>
              <w:overflowPunct/>
              <w:topLinePunct w:val="0"/>
              <w:bidi w:val="0"/>
              <w:spacing w:line="360" w:lineRule="auto"/>
              <w:rPr>
                <w:rFonts w:hint="eastAsia"/>
                <w:color w:val="auto"/>
                <w:szCs w:val="21"/>
                <w:highlight w:val="none"/>
              </w:rPr>
            </w:pPr>
          </w:p>
        </w:tc>
      </w:tr>
      <w:tr w14:paraId="7431C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0A50112C">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7318E6DE">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项目属性</w:t>
            </w:r>
          </w:p>
        </w:tc>
        <w:tc>
          <w:tcPr>
            <w:tcW w:w="7047" w:type="dxa"/>
            <w:vAlign w:val="center"/>
          </w:tcPr>
          <w:p w14:paraId="1A2422C5">
            <w:pPr>
              <w:keepNext w:val="0"/>
              <w:keepLines w:val="0"/>
              <w:pageBreakBefore w:val="0"/>
              <w:widowControl w:val="0"/>
              <w:kinsoku/>
              <w:wordWrap/>
              <w:overflowPunct/>
              <w:topLinePunct w:val="0"/>
              <w:bidi w:val="0"/>
              <w:spacing w:line="360" w:lineRule="auto"/>
              <w:rPr>
                <w:rFonts w:hint="eastAsia"/>
                <w:color w:val="auto"/>
                <w:szCs w:val="21"/>
                <w:highlight w:val="none"/>
              </w:rPr>
            </w:pPr>
            <w:r>
              <w:rPr>
                <w:color w:val="auto"/>
                <w:szCs w:val="21"/>
                <w:highlight w:val="none"/>
              </w:rPr>
              <w:t>□</w:t>
            </w:r>
            <w:r>
              <w:rPr>
                <w:rFonts w:hint="eastAsia"/>
                <w:color w:val="auto"/>
                <w:szCs w:val="21"/>
                <w:highlight w:val="none"/>
              </w:rPr>
              <w:t xml:space="preserve">货物项目 / </w:t>
            </w:r>
            <w:r>
              <w:rPr>
                <w:color w:val="auto"/>
                <w:szCs w:val="21"/>
                <w:highlight w:val="none"/>
              </w:rPr>
              <w:t>■</w:t>
            </w:r>
            <w:r>
              <w:rPr>
                <w:rFonts w:hint="eastAsia"/>
                <w:color w:val="auto"/>
                <w:szCs w:val="21"/>
                <w:highlight w:val="none"/>
              </w:rPr>
              <w:t xml:space="preserve">服务项目 / </w:t>
            </w:r>
            <w:r>
              <w:rPr>
                <w:color w:val="auto"/>
                <w:szCs w:val="21"/>
                <w:highlight w:val="none"/>
              </w:rPr>
              <w:t>□</w:t>
            </w:r>
            <w:r>
              <w:rPr>
                <w:rFonts w:hint="eastAsia"/>
                <w:color w:val="auto"/>
                <w:szCs w:val="21"/>
                <w:highlight w:val="none"/>
              </w:rPr>
              <w:t>工程项目</w:t>
            </w:r>
          </w:p>
        </w:tc>
      </w:tr>
      <w:tr w14:paraId="1FEC5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2FC4A618">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4A8AB271">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是否允许进口产品</w:t>
            </w:r>
          </w:p>
        </w:tc>
        <w:tc>
          <w:tcPr>
            <w:tcW w:w="7047" w:type="dxa"/>
            <w:vAlign w:val="center"/>
          </w:tcPr>
          <w:p w14:paraId="18D480BF">
            <w:pPr>
              <w:keepNext w:val="0"/>
              <w:keepLines w:val="0"/>
              <w:pageBreakBefore w:val="0"/>
              <w:widowControl w:val="0"/>
              <w:kinsoku/>
              <w:wordWrap/>
              <w:overflowPunct/>
              <w:topLinePunct w:val="0"/>
              <w:bidi w:val="0"/>
              <w:spacing w:line="360" w:lineRule="auto"/>
              <w:rPr>
                <w:rFonts w:hint="eastAsia"/>
                <w:color w:val="auto"/>
                <w:szCs w:val="21"/>
                <w:highlight w:val="none"/>
              </w:rPr>
            </w:pPr>
            <w:r>
              <w:rPr>
                <w:color w:val="auto"/>
                <w:szCs w:val="21"/>
                <w:highlight w:val="none"/>
              </w:rPr>
              <w:t>□</w:t>
            </w:r>
            <w:r>
              <w:rPr>
                <w:rFonts w:hint="eastAsia"/>
                <w:color w:val="auto"/>
                <w:szCs w:val="21"/>
                <w:highlight w:val="none"/>
              </w:rPr>
              <w:t>是 /</w:t>
            </w:r>
            <w:r>
              <w:rPr>
                <w:color w:val="auto"/>
                <w:szCs w:val="21"/>
                <w:highlight w:val="none"/>
              </w:rPr>
              <w:t xml:space="preserve"> ■</w:t>
            </w:r>
            <w:r>
              <w:rPr>
                <w:rFonts w:hint="eastAsia"/>
                <w:color w:val="auto"/>
                <w:szCs w:val="21"/>
                <w:highlight w:val="none"/>
              </w:rPr>
              <w:t>否</w:t>
            </w:r>
          </w:p>
        </w:tc>
      </w:tr>
      <w:tr w14:paraId="2535F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0909F94F">
            <w:pPr>
              <w:pStyle w:val="19"/>
              <w:keepNext w:val="0"/>
              <w:keepLines w:val="0"/>
              <w:pageBreakBefore w:val="0"/>
              <w:widowControl w:val="0"/>
              <w:numPr>
                <w:ilvl w:val="0"/>
                <w:numId w:val="8"/>
              </w:numPr>
              <w:kinsoku/>
              <w:wordWrap/>
              <w:overflowPunct/>
              <w:topLinePunct w:val="0"/>
              <w:bidi w:val="0"/>
              <w:spacing w:line="360" w:lineRule="auto"/>
              <w:ind w:left="0" w:firstLine="0"/>
              <w:jc w:val="center"/>
              <w:rPr>
                <w:rFonts w:hint="eastAsia"/>
                <w:color w:val="auto"/>
                <w:szCs w:val="21"/>
                <w:highlight w:val="none"/>
              </w:rPr>
            </w:pPr>
          </w:p>
        </w:tc>
        <w:tc>
          <w:tcPr>
            <w:tcW w:w="1985" w:type="dxa"/>
            <w:vAlign w:val="center"/>
          </w:tcPr>
          <w:p w14:paraId="1128EBFD">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合同分包</w:t>
            </w:r>
          </w:p>
        </w:tc>
        <w:tc>
          <w:tcPr>
            <w:tcW w:w="7047" w:type="dxa"/>
            <w:vAlign w:val="center"/>
          </w:tcPr>
          <w:p w14:paraId="6480BCAE">
            <w:pPr>
              <w:pStyle w:val="356"/>
              <w:keepNext w:val="0"/>
              <w:keepLines w:val="0"/>
              <w:pageBreakBefore w:val="0"/>
              <w:widowControl w:val="0"/>
              <w:kinsoku/>
              <w:wordWrap/>
              <w:overflowPunct/>
              <w:topLinePunct w:val="0"/>
              <w:autoSpaceDE/>
              <w:autoSpaceDN/>
              <w:bidi w:val="0"/>
              <w:spacing w:line="360" w:lineRule="auto"/>
              <w:ind w:firstLine="0" w:firstLineChars="0"/>
              <w:rPr>
                <w:rFonts w:hint="eastAsia"/>
                <w:color w:val="auto"/>
                <w:sz w:val="21"/>
                <w:szCs w:val="21"/>
                <w:highlight w:val="none"/>
                <w:lang w:eastAsia="zh-CN"/>
              </w:rPr>
            </w:pPr>
            <w:r>
              <w:rPr>
                <w:rFonts w:hint="eastAsia"/>
                <w:color w:val="auto"/>
                <w:sz w:val="21"/>
                <w:szCs w:val="21"/>
                <w:highlight w:val="none"/>
                <w:lang w:eastAsia="zh-CN"/>
              </w:rPr>
              <w:t xml:space="preserve">本项目的非主体、非关键性工作是否允许分包： </w:t>
            </w:r>
          </w:p>
          <w:p w14:paraId="4BBFB509">
            <w:pPr>
              <w:pStyle w:val="356"/>
              <w:keepNext w:val="0"/>
              <w:keepLines w:val="0"/>
              <w:pageBreakBefore w:val="0"/>
              <w:widowControl w:val="0"/>
              <w:kinsoku/>
              <w:wordWrap/>
              <w:overflowPunct/>
              <w:topLinePunct w:val="0"/>
              <w:autoSpaceDE/>
              <w:autoSpaceDN/>
              <w:bidi w:val="0"/>
              <w:spacing w:line="360" w:lineRule="auto"/>
              <w:ind w:firstLine="0" w:firstLineChars="0"/>
              <w:rPr>
                <w:rFonts w:hint="eastAsia"/>
                <w:color w:val="auto"/>
                <w:sz w:val="21"/>
                <w:szCs w:val="21"/>
                <w:highlight w:val="none"/>
                <w:lang w:eastAsia="zh-CN"/>
              </w:rPr>
            </w:pPr>
            <w:r>
              <w:rPr>
                <w:rFonts w:hint="eastAsia"/>
                <w:color w:val="auto"/>
                <w:sz w:val="21"/>
                <w:szCs w:val="21"/>
                <w:highlight w:val="none"/>
                <w:lang w:eastAsia="zh-CN"/>
              </w:rPr>
              <w:t>■不允许</w:t>
            </w:r>
          </w:p>
          <w:p w14:paraId="1A23501A">
            <w:pPr>
              <w:pStyle w:val="356"/>
              <w:keepNext w:val="0"/>
              <w:keepLines w:val="0"/>
              <w:pageBreakBefore w:val="0"/>
              <w:widowControl w:val="0"/>
              <w:kinsoku/>
              <w:wordWrap/>
              <w:overflowPunct/>
              <w:topLinePunct w:val="0"/>
              <w:autoSpaceDE/>
              <w:autoSpaceDN/>
              <w:bidi w:val="0"/>
              <w:spacing w:line="360" w:lineRule="auto"/>
              <w:ind w:firstLine="0" w:firstLineChars="0"/>
              <w:rPr>
                <w:rFonts w:hint="eastAsia"/>
                <w:color w:val="auto"/>
                <w:sz w:val="21"/>
                <w:szCs w:val="21"/>
                <w:highlight w:val="none"/>
                <w:lang w:eastAsia="zh-CN"/>
              </w:rPr>
            </w:pPr>
            <w:r>
              <w:rPr>
                <w:rFonts w:hint="eastAsia"/>
                <w:color w:val="auto"/>
                <w:sz w:val="21"/>
                <w:szCs w:val="21"/>
                <w:highlight w:val="none"/>
                <w:lang w:eastAsia="zh-CN"/>
              </w:rPr>
              <w:t>□允许，具体要求：</w:t>
            </w:r>
          </w:p>
          <w:p w14:paraId="0F667D76">
            <w:pPr>
              <w:pStyle w:val="356"/>
              <w:keepNext w:val="0"/>
              <w:keepLines w:val="0"/>
              <w:pageBreakBefore w:val="0"/>
              <w:widowControl w:val="0"/>
              <w:kinsoku/>
              <w:wordWrap/>
              <w:overflowPunct/>
              <w:topLinePunct w:val="0"/>
              <w:autoSpaceDE/>
              <w:autoSpaceDN/>
              <w:bidi w:val="0"/>
              <w:spacing w:line="360" w:lineRule="auto"/>
              <w:ind w:firstLine="0" w:firstLineChars="0"/>
              <w:rPr>
                <w:rFonts w:hint="eastAsia"/>
                <w:color w:val="auto"/>
                <w:sz w:val="21"/>
                <w:szCs w:val="21"/>
                <w:highlight w:val="none"/>
                <w:lang w:eastAsia="zh-CN"/>
              </w:rPr>
            </w:pPr>
            <w:r>
              <w:rPr>
                <w:rFonts w:hint="eastAsia"/>
                <w:color w:val="auto"/>
                <w:sz w:val="21"/>
                <w:szCs w:val="21"/>
                <w:highlight w:val="none"/>
                <w:lang w:eastAsia="zh-CN"/>
              </w:rPr>
              <w:t>（1）可以分包履行的具体内容：_____；</w:t>
            </w:r>
          </w:p>
          <w:p w14:paraId="425FB7D4">
            <w:pPr>
              <w:pStyle w:val="356"/>
              <w:keepNext w:val="0"/>
              <w:keepLines w:val="0"/>
              <w:pageBreakBefore w:val="0"/>
              <w:widowControl w:val="0"/>
              <w:kinsoku/>
              <w:wordWrap/>
              <w:overflowPunct/>
              <w:topLinePunct w:val="0"/>
              <w:autoSpaceDE/>
              <w:autoSpaceDN/>
              <w:bidi w:val="0"/>
              <w:spacing w:line="360" w:lineRule="auto"/>
              <w:ind w:firstLine="0" w:firstLineChars="0"/>
              <w:rPr>
                <w:rFonts w:hint="eastAsia"/>
                <w:color w:val="auto"/>
                <w:sz w:val="21"/>
                <w:szCs w:val="21"/>
                <w:highlight w:val="none"/>
                <w:lang w:eastAsia="zh-CN"/>
              </w:rPr>
            </w:pPr>
            <w:r>
              <w:rPr>
                <w:rFonts w:hint="eastAsia"/>
                <w:color w:val="auto"/>
                <w:sz w:val="21"/>
                <w:szCs w:val="21"/>
                <w:highlight w:val="none"/>
                <w:lang w:eastAsia="zh-CN"/>
              </w:rPr>
              <w:t>（2）允许分包的金额或者比例：_____；</w:t>
            </w:r>
          </w:p>
          <w:p w14:paraId="47238930">
            <w:pPr>
              <w:pStyle w:val="356"/>
              <w:keepNext w:val="0"/>
              <w:keepLines w:val="0"/>
              <w:pageBreakBefore w:val="0"/>
              <w:widowControl w:val="0"/>
              <w:kinsoku/>
              <w:wordWrap/>
              <w:overflowPunct/>
              <w:topLinePunct w:val="0"/>
              <w:autoSpaceDE/>
              <w:autoSpaceDN/>
              <w:bidi w:val="0"/>
              <w:spacing w:line="360" w:lineRule="auto"/>
              <w:ind w:firstLine="0" w:firstLineChars="0"/>
              <w:rPr>
                <w:rFonts w:hint="eastAsia"/>
                <w:color w:val="auto"/>
                <w:sz w:val="21"/>
                <w:szCs w:val="21"/>
                <w:highlight w:val="none"/>
                <w:lang w:eastAsia="zh-CN"/>
              </w:rPr>
            </w:pPr>
            <w:r>
              <w:rPr>
                <w:rFonts w:hint="eastAsia"/>
                <w:color w:val="auto"/>
                <w:sz w:val="21"/>
                <w:szCs w:val="21"/>
                <w:highlight w:val="none"/>
                <w:lang w:eastAsia="zh-CN"/>
              </w:rPr>
              <w:t>（3）分包供应商必须具备的资质：_____；</w:t>
            </w:r>
          </w:p>
          <w:p w14:paraId="7C9CAEC0">
            <w:pPr>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（4）其他要求：_____。</w:t>
            </w:r>
          </w:p>
        </w:tc>
      </w:tr>
    </w:tbl>
    <w:p w14:paraId="3BE9203D">
      <w:pPr>
        <w:keepNext w:val="0"/>
        <w:keepLines w:val="0"/>
        <w:pageBreakBefore w:val="0"/>
        <w:widowControl w:val="0"/>
        <w:kinsoku/>
        <w:wordWrap/>
        <w:overflowPunct/>
        <w:topLinePunct w:val="0"/>
        <w:bidi w:val="0"/>
        <w:spacing w:line="360" w:lineRule="auto"/>
        <w:rPr>
          <w:rFonts w:hint="eastAsia"/>
          <w:color w:val="auto"/>
          <w:highlight w:val="none"/>
        </w:rPr>
      </w:pPr>
      <w:bookmarkStart w:id="68" w:name="_Toc104040744"/>
      <w:bookmarkStart w:id="69" w:name="_Toc104040690"/>
    </w:p>
    <w:p w14:paraId="27E10ABE">
      <w:pPr>
        <w:pStyle w:val="3"/>
        <w:keepNext w:val="0"/>
        <w:keepLines w:val="0"/>
        <w:pageBreakBefore w:val="0"/>
        <w:widowControl w:val="0"/>
        <w:numPr>
          <w:ilvl w:val="0"/>
          <w:numId w:val="7"/>
        </w:numPr>
        <w:kinsoku/>
        <w:wordWrap/>
        <w:overflowPunct/>
        <w:topLinePunct w:val="0"/>
        <w:bidi w:val="0"/>
        <w:spacing w:before="120" w:after="120" w:line="360" w:lineRule="auto"/>
        <w:ind w:left="0" w:firstLine="0"/>
        <w:jc w:val="left"/>
        <w:rPr>
          <w:rFonts w:hint="eastAsia" w:ascii="宋体" w:hAnsi="宋体" w:eastAsia="宋体"/>
          <w:color w:val="auto"/>
          <w:sz w:val="21"/>
          <w:szCs w:val="21"/>
          <w:highlight w:val="none"/>
        </w:rPr>
      </w:pPr>
      <w:bookmarkStart w:id="70" w:name="_Toc2411"/>
      <w:r>
        <w:rPr>
          <w:rFonts w:hint="eastAsia" w:ascii="宋体" w:hAnsi="宋体" w:eastAsia="宋体"/>
          <w:color w:val="auto"/>
          <w:sz w:val="21"/>
          <w:szCs w:val="21"/>
          <w:highlight w:val="none"/>
        </w:rPr>
        <w:t>说明</w:t>
      </w:r>
      <w:bookmarkEnd w:id="68"/>
      <w:bookmarkEnd w:id="69"/>
      <w:bookmarkEnd w:id="70"/>
    </w:p>
    <w:p w14:paraId="59D3135D">
      <w:pPr>
        <w:pStyle w:val="126"/>
        <w:keepNext w:val="0"/>
        <w:keepLines w:val="0"/>
        <w:pageBreakBefore w:val="0"/>
        <w:widowControl w:val="0"/>
        <w:numPr>
          <w:ilvl w:val="1"/>
          <w:numId w:val="9"/>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总则</w:t>
      </w:r>
    </w:p>
    <w:p w14:paraId="2F20BC0F">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本磋商文件依据《中华人民共和国政府采购法》、《中华人民共和国政府采购法实施条例》（国务院令第658号）和《政府采购竞争性磋商采购方式管理暂行办法》（财库〔2014〕214号）及国家有关法律、法规、规章制度编制。</w:t>
      </w:r>
    </w:p>
    <w:p w14:paraId="3D0EB85E">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供应商应仔细阅读本项目信息公告及磋商文件的所有内容（包括变更、补充、澄清以及修改等，且均为磋商文件的组成部分），按照磋商文件要求以及格式编制响应文件，并保证其真实性，否则一切后果自负。</w:t>
      </w:r>
    </w:p>
    <w:p w14:paraId="0BC16111">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本次竞争性磋商项目，是以磋商公告的方式邀请非特定的供应商参加磋商。</w:t>
      </w:r>
    </w:p>
    <w:p w14:paraId="77BA9E61">
      <w:pPr>
        <w:pStyle w:val="126"/>
        <w:keepNext w:val="0"/>
        <w:keepLines w:val="0"/>
        <w:pageBreakBefore w:val="0"/>
        <w:widowControl w:val="0"/>
        <w:numPr>
          <w:ilvl w:val="1"/>
          <w:numId w:val="9"/>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适用范围</w:t>
      </w:r>
    </w:p>
    <w:p w14:paraId="33946B5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本磋商文件仅适用于本次磋商公告中所涉及的项目和内容。</w:t>
      </w:r>
    </w:p>
    <w:p w14:paraId="599B4B02">
      <w:pPr>
        <w:pStyle w:val="126"/>
        <w:keepNext w:val="0"/>
        <w:keepLines w:val="0"/>
        <w:pageBreakBefore w:val="0"/>
        <w:widowControl w:val="0"/>
        <w:numPr>
          <w:ilvl w:val="1"/>
          <w:numId w:val="9"/>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进口产品</w:t>
      </w:r>
    </w:p>
    <w:p w14:paraId="7788CFA5">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2E8A64F">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若本项目允许采购进口产品，供应商应保证所投产品可履行合法报通关手续进入中国关境内。</w:t>
      </w:r>
    </w:p>
    <w:p w14:paraId="09277EFF">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若本项目不允许采购进口产品，如供应商所投产品为进口产品，其响应将被认定为响应无效。</w:t>
      </w:r>
    </w:p>
    <w:p w14:paraId="092CFC90">
      <w:pPr>
        <w:pStyle w:val="126"/>
        <w:keepNext w:val="0"/>
        <w:keepLines w:val="0"/>
        <w:pageBreakBefore w:val="0"/>
        <w:widowControl w:val="0"/>
        <w:numPr>
          <w:ilvl w:val="1"/>
          <w:numId w:val="9"/>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磋商费用</w:t>
      </w:r>
    </w:p>
    <w:p w14:paraId="51AFC84E">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不论磋商结果如何，供应商应承担所有与准备和参加磋商有关的费用。采购代理机构和采购人均无义务和责任承担相关费用。</w:t>
      </w:r>
    </w:p>
    <w:p w14:paraId="39C04F46">
      <w:pPr>
        <w:pStyle w:val="126"/>
        <w:keepNext w:val="0"/>
        <w:keepLines w:val="0"/>
        <w:pageBreakBefore w:val="0"/>
        <w:widowControl w:val="0"/>
        <w:numPr>
          <w:ilvl w:val="1"/>
          <w:numId w:val="9"/>
        </w:numPr>
        <w:kinsoku/>
        <w:wordWrap/>
        <w:overflowPunct/>
        <w:topLinePunct w:val="0"/>
        <w:bidi w:val="0"/>
        <w:spacing w:before="120" w:beforeLines="50" w:after="120" w:afterLines="50" w:line="360" w:lineRule="auto"/>
        <w:outlineLvl w:val="2"/>
        <w:rPr>
          <w:rFonts w:hint="eastAsia" w:ascii="宋体" w:hAnsi="宋体"/>
          <w:b/>
          <w:bCs/>
          <w:color w:val="auto"/>
          <w:highlight w:val="none"/>
          <w:lang w:eastAsia="zh-CN"/>
        </w:rPr>
      </w:pPr>
      <w:r>
        <w:rPr>
          <w:rFonts w:hint="eastAsia" w:ascii="宋体" w:hAnsi="宋体"/>
          <w:b/>
          <w:bCs/>
          <w:color w:val="auto"/>
          <w:highlight w:val="none"/>
          <w:lang w:eastAsia="zh-CN"/>
        </w:rPr>
        <w:t>以联合体形式磋商的，应符合以下规定：</w:t>
      </w:r>
    </w:p>
    <w:p w14:paraId="316C3BC8">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5.1联合体各方均应当满足《</w:t>
      </w:r>
      <w:bookmarkStart w:id="71" w:name="_Hlk112002922"/>
      <w:r>
        <w:rPr>
          <w:rFonts w:hint="eastAsia"/>
          <w:color w:val="auto"/>
          <w:szCs w:val="20"/>
          <w:highlight w:val="none"/>
        </w:rPr>
        <w:t>中华人民共和国政府采购法</w:t>
      </w:r>
      <w:bookmarkEnd w:id="71"/>
      <w:r>
        <w:rPr>
          <w:rFonts w:hint="eastAsia"/>
          <w:color w:val="auto"/>
          <w:szCs w:val="20"/>
          <w:highlight w:val="none"/>
        </w:rPr>
        <w:t>》第二十二条规定的条件，并在响应文件中提供联合体各方的相关证明材料。</w:t>
      </w:r>
    </w:p>
    <w:p w14:paraId="606E3306">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5.2联合体各方之间应签订联合体协议书并在响应文件中提交，明确约定联合体各方承担的工作和相应的责任。联合体各方签订联合体协议书后，不得再以自己名义单独在同一项目中响应，也不得组成新的联合体参加同一项目响应，若违反规定则其参与的所有响应将视为无效响应。</w:t>
      </w:r>
    </w:p>
    <w:p w14:paraId="1BEA95D9">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5.3联合体名称需与联合体共同响应协议书签署方一致。对于需交响应保证金的，以牵头方名义缴纳。</w:t>
      </w:r>
    </w:p>
    <w:p w14:paraId="0689ADEC">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5.4联合体成员存在不良信用记录的，视同联合体存在不良信用记录。</w:t>
      </w:r>
    </w:p>
    <w:p w14:paraId="520A55F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5.5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14:paraId="5B2FBCE1">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5.6联合体各方应当共同与采购人签订采购合同，就合同约定的事项对采购人承担连带责任。</w:t>
      </w:r>
    </w:p>
    <w:p w14:paraId="1E0055F3">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5.7大中型企业、其他自然人、法人或者非法人组织与小型、微型企业组成联合体共同参加投标（响应），共同响应协议中应写明小型、微型企业的协议合同金额占到共同响应协议投标</w:t>
      </w:r>
      <w:bookmarkStart w:id="72" w:name="_Hlk175748018"/>
      <w:r>
        <w:rPr>
          <w:rFonts w:hint="eastAsia"/>
          <w:color w:val="auto"/>
          <w:szCs w:val="20"/>
          <w:highlight w:val="none"/>
        </w:rPr>
        <w:t>（响应）</w:t>
      </w:r>
      <w:bookmarkEnd w:id="72"/>
      <w:r>
        <w:rPr>
          <w:rFonts w:hint="eastAsia"/>
          <w:color w:val="auto"/>
          <w:szCs w:val="20"/>
          <w:highlight w:val="none"/>
        </w:rPr>
        <w:t>总金额的比例。</w:t>
      </w:r>
    </w:p>
    <w:p w14:paraId="2A658805">
      <w:pPr>
        <w:pStyle w:val="126"/>
        <w:keepNext w:val="0"/>
        <w:keepLines w:val="0"/>
        <w:pageBreakBefore w:val="0"/>
        <w:widowControl w:val="0"/>
        <w:numPr>
          <w:ilvl w:val="1"/>
          <w:numId w:val="9"/>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关联企业响应说明</w:t>
      </w:r>
    </w:p>
    <w:p w14:paraId="01DCA184">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6.1对于不接受联合体响应的采购项目（采购包）：法定代表人或单位负责人为同一个人或者存在直接控股、管理关系的不同供应商，不得同时参加同一项目或同一采购包的响应。如同时参加，则评审时将同时被拒绝。</w:t>
      </w:r>
    </w:p>
    <w:p w14:paraId="0BC676D6">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6</w:t>
      </w:r>
      <w:r>
        <w:rPr>
          <w:color w:val="auto"/>
          <w:szCs w:val="20"/>
          <w:highlight w:val="none"/>
        </w:rPr>
        <w:t>.2</w:t>
      </w:r>
      <w:r>
        <w:rPr>
          <w:rFonts w:hint="eastAsia"/>
          <w:color w:val="auto"/>
          <w:szCs w:val="20"/>
          <w:highlight w:val="none"/>
        </w:rPr>
        <w:t>对于接受联合体响应的采购项目（采购包）：除联合体外，法定代表人或单位负责人为同一个人或者存在直接控股、管理关系的不同供应商，不得同时参加同一项目或同一采购包的响应。如同时参加，则评审时将同时被拒绝。</w:t>
      </w:r>
    </w:p>
    <w:p w14:paraId="1ACBDF4A">
      <w:pPr>
        <w:pStyle w:val="126"/>
        <w:keepNext w:val="0"/>
        <w:keepLines w:val="0"/>
        <w:pageBreakBefore w:val="0"/>
        <w:widowControl w:val="0"/>
        <w:numPr>
          <w:ilvl w:val="1"/>
          <w:numId w:val="9"/>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关于中小微企业响应</w:t>
      </w:r>
    </w:p>
    <w:p w14:paraId="6789CF5E">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中小微企业响应是指在政府采购活动中，供应商提供的货物均由中小微企业制造、工程均由中小微企业承建或者服务均由中小微企业承接，并在响应文件中提供《中小企业声明函》。本条款所称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中小企业划分见《关于印发中小企业划型标准规定的通知》（工信部联企业〔2011〕300号) 和《金融业企业划型标准规定》（银发〔</w:t>
      </w:r>
      <w:r>
        <w:rPr>
          <w:color w:val="auto"/>
          <w:szCs w:val="20"/>
          <w:highlight w:val="none"/>
        </w:rPr>
        <w:t>2015〕309号）</w:t>
      </w:r>
      <w:r>
        <w:rPr>
          <w:rFonts w:hint="eastAsia"/>
          <w:color w:val="auto"/>
          <w:szCs w:val="20"/>
          <w:highlight w:val="none"/>
        </w:rPr>
        <w:t>。</w:t>
      </w:r>
    </w:p>
    <w:p w14:paraId="13DFA163">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根据财库〔2014〕68号《财政部</w:t>
      </w:r>
      <w:r>
        <w:rPr>
          <w:color w:val="auto"/>
          <w:szCs w:val="20"/>
          <w:highlight w:val="none"/>
        </w:rPr>
        <w:t xml:space="preserve"> </w:t>
      </w:r>
      <w:r>
        <w:rPr>
          <w:rFonts w:hint="eastAsia"/>
          <w:color w:val="auto"/>
          <w:szCs w:val="20"/>
          <w:highlight w:val="none"/>
        </w:rPr>
        <w:t>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响应时，提供由省级以上监狱管理局、戒毒管理局(含新疆生产建设兵团)出具的属于监狱企业的证明文件，不再提供《中小企业声明函》。</w:t>
      </w:r>
    </w:p>
    <w:p w14:paraId="1A5E4F6B">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根据财库〔2017〕141号《财政部 民政部 中国残疾人联合会关于促进残疾人就业政府采购政策的通知》，在政府采购活动中，残疾人福利性单位视同小型、微型企业，享受政府采购支持政策的残疾人福利性单位应当同时满足《财政部 民政部 中国残疾人联合会关于促进残疾人就业政府采购政策的通知》所列条件：</w:t>
      </w:r>
    </w:p>
    <w:p w14:paraId="7D79407A">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（1）安置的残疾人占本单位在职职工人数的比例不低于25%（含25%），并且安置的残疾人人数不少于10 人（含10 人）；</w:t>
      </w:r>
    </w:p>
    <w:p w14:paraId="2D692FD3">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（2）依法与安置的每位残疾人签订了一年以上（含一年）的劳动合同或服务协议；</w:t>
      </w:r>
    </w:p>
    <w:p w14:paraId="6C482071">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（3）为安置的每位残疾人按月足额缴纳了基本养老保险、基本医疗保险、失业保险、工伤保险和生育保险等社会保险费；</w:t>
      </w:r>
    </w:p>
    <w:p w14:paraId="4A45E0B7">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（4）通过银行等金融机构向安置的每位残疾人，按月支付了不低于单位所在区县适用的经省级人民政府批准的月最低工资标准的工资；</w:t>
      </w:r>
    </w:p>
    <w:p w14:paraId="52AB8C6B">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（5）提供本单位制造的货物、承担的工程或者服务（以下简称产品），或者提供其他残疾人福利性单位制造的货物（不包括使用非残疾人福利性单位注册商标的货物）。</w:t>
      </w:r>
    </w:p>
    <w:p w14:paraId="080ADE83">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EE89E07">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残疾人福利性单位属于小型、微型企业的，不重复享受政策。符合条件的残疾人福利性单位在参加政府采购活动时，应当提供《残疾人福利性单位声明函》，并对声明的真实性负责。</w:t>
      </w:r>
    </w:p>
    <w:p w14:paraId="69C4DD9B">
      <w:pPr>
        <w:pStyle w:val="126"/>
        <w:keepNext w:val="0"/>
        <w:keepLines w:val="0"/>
        <w:pageBreakBefore w:val="0"/>
        <w:widowControl w:val="0"/>
        <w:numPr>
          <w:ilvl w:val="1"/>
          <w:numId w:val="9"/>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纪律与保密事项</w:t>
      </w:r>
    </w:p>
    <w:p w14:paraId="1983654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8.1供应商不得相互串通磋商报价，不得妨碍其他供应商的公平竞争，不得损害采购人或其他供应商的合法权益，供应商不得以向采购人、磋商小组成员行贿或者采取其他不正当手段谋取成交。</w:t>
      </w:r>
    </w:p>
    <w:p w14:paraId="39117903">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8.2供应商不得与采购人就响应价格、响应方案等实质性内容进行磋商，也不得私下接触磋商小组成员。</w:t>
      </w:r>
    </w:p>
    <w:p w14:paraId="5BF3B074">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8.3在确定成交供应商之前，供应商试图在响应文件审查、澄清、比较和评价时对磋商小组、采购人和采购代理机构施加任何影响都可能导致其响应无效。</w:t>
      </w:r>
    </w:p>
    <w:p w14:paraId="6A0D7F2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8.4获得本磋商文件者，须履行本磋商项目下保密义务，不得将因本次磋商获得的信息向第三人外传，不得将磋商文件用作本次响应以外的任何用途。</w:t>
      </w:r>
    </w:p>
    <w:p w14:paraId="6C25034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8.5由采购人向供应商提供的图纸、详细资料、样品、模型、模件和所有其它资料，均为保密资料，仅被用于它所规定的用途。除非得到采购人的同意，不能向任何第三方透露。开启结束后，应采购人要求，供应商应归还所有从采购人处获得的保密资料。</w:t>
      </w:r>
    </w:p>
    <w:p w14:paraId="34DD1C78">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8.6采购人或采购代理机构有权将供应商提供的所有资料向有关政府部门或磋商小组披露。</w:t>
      </w:r>
    </w:p>
    <w:p w14:paraId="61EF5FA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8</w:t>
      </w:r>
      <w:r>
        <w:rPr>
          <w:color w:val="auto"/>
          <w:szCs w:val="20"/>
          <w:highlight w:val="none"/>
        </w:rPr>
        <w:t>.7</w:t>
      </w:r>
      <w:r>
        <w:rPr>
          <w:rFonts w:hint="eastAsia"/>
          <w:color w:val="auto"/>
          <w:szCs w:val="20"/>
          <w:highlight w:val="none"/>
        </w:rPr>
        <w:t>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14:paraId="5385653C">
      <w:pPr>
        <w:pStyle w:val="126"/>
        <w:keepNext w:val="0"/>
        <w:keepLines w:val="0"/>
        <w:pageBreakBefore w:val="0"/>
        <w:widowControl w:val="0"/>
        <w:numPr>
          <w:ilvl w:val="1"/>
          <w:numId w:val="9"/>
        </w:numPr>
        <w:kinsoku/>
        <w:wordWrap/>
        <w:overflowPunct/>
        <w:topLinePunct w:val="0"/>
        <w:bidi w:val="0"/>
        <w:spacing w:before="120" w:beforeLines="50" w:after="120" w:afterLines="50" w:line="360" w:lineRule="auto"/>
        <w:outlineLvl w:val="2"/>
        <w:rPr>
          <w:rFonts w:hint="eastAsia" w:ascii="宋体" w:hAnsi="宋体"/>
          <w:b/>
          <w:bCs/>
          <w:color w:val="auto"/>
          <w:highlight w:val="none"/>
          <w:lang w:eastAsia="zh-CN"/>
        </w:rPr>
      </w:pPr>
      <w:r>
        <w:rPr>
          <w:rFonts w:hint="eastAsia" w:ascii="宋体" w:hAnsi="宋体"/>
          <w:b/>
          <w:bCs/>
          <w:color w:val="auto"/>
          <w:highlight w:val="none"/>
          <w:lang w:eastAsia="zh-CN"/>
        </w:rPr>
        <w:t>语言文字以及度量衡单位</w:t>
      </w:r>
    </w:p>
    <w:p w14:paraId="5451B67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9.1除磋商文件另有规定外，响应文件应使用中文文本，若有不同文本，以中文文本为准。响应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093EDB0A">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9.2除非磋商文件的技术规格中另有规定，供应商在响应文件中及其与采购人和采购代理机构的所有往来文件中的计量单位均应采用中华人民共和国法定计量单位。</w:t>
      </w:r>
    </w:p>
    <w:p w14:paraId="3814E405">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9.3供应商所提供的货物和服务均应以人民币报价，货币单位：元。</w:t>
      </w:r>
    </w:p>
    <w:p w14:paraId="6AC94CA6">
      <w:pPr>
        <w:pStyle w:val="126"/>
        <w:keepNext w:val="0"/>
        <w:keepLines w:val="0"/>
        <w:pageBreakBefore w:val="0"/>
        <w:widowControl w:val="0"/>
        <w:numPr>
          <w:ilvl w:val="1"/>
          <w:numId w:val="9"/>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现场踏勘（如有）</w:t>
      </w:r>
    </w:p>
    <w:p w14:paraId="08089A5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10.1磋商文件规定组织踏勘现场的，采购人按磋商文件规定的时间、地点组织供应商踏勘项目现场。</w:t>
      </w:r>
    </w:p>
    <w:p w14:paraId="35B905D5">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10.2供应商自行承担踏勘现场发生的责任、风险和自身费用。</w:t>
      </w:r>
    </w:p>
    <w:p w14:paraId="4113CC8E">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10.3采购人在踏勘现场中介绍的资料和数据等，不构成对磋商文件的修改或不作为供应商编制响应文件的依据。</w:t>
      </w:r>
    </w:p>
    <w:p w14:paraId="063A953D">
      <w:pPr>
        <w:pStyle w:val="126"/>
        <w:keepNext w:val="0"/>
        <w:keepLines w:val="0"/>
        <w:pageBreakBefore w:val="0"/>
        <w:widowControl w:val="0"/>
        <w:numPr>
          <w:ilvl w:val="1"/>
          <w:numId w:val="9"/>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转包与分包</w:t>
      </w:r>
    </w:p>
    <w:p w14:paraId="619EDE37">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color w:val="auto"/>
          <w:sz w:val="21"/>
          <w:szCs w:val="21"/>
          <w:highlight w:val="none"/>
          <w:lang w:eastAsia="zh-CN"/>
        </w:rPr>
        <w:t>11.1本项目不允许转包。</w:t>
      </w:r>
    </w:p>
    <w:p w14:paraId="374E999D">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color w:val="auto"/>
          <w:sz w:val="21"/>
          <w:szCs w:val="21"/>
          <w:highlight w:val="none"/>
          <w:lang w:eastAsia="zh-CN"/>
        </w:rPr>
        <w:t>11.2本项目是否允许分包详见“须知前附表”，本项目不允许违法分包。允许分包的非主体、非关键性工作，根据法律法规规定承担该工作需要行政许可的，如该工作由</w:t>
      </w:r>
      <w:r>
        <w:rPr>
          <w:rFonts w:hint="eastAsia"/>
          <w:color w:val="auto"/>
          <w:sz w:val="21"/>
          <w:szCs w:val="21"/>
          <w:highlight w:val="none"/>
          <w:lang w:eastAsia="zh-CN"/>
        </w:rPr>
        <w:t>供应商</w:t>
      </w:r>
      <w:r>
        <w:rPr>
          <w:color w:val="auto"/>
          <w:sz w:val="21"/>
          <w:szCs w:val="21"/>
          <w:highlight w:val="none"/>
          <w:lang w:eastAsia="zh-CN"/>
        </w:rPr>
        <w:t>自行承担，</w:t>
      </w:r>
      <w:r>
        <w:rPr>
          <w:rFonts w:hint="eastAsia"/>
          <w:color w:val="auto"/>
          <w:sz w:val="21"/>
          <w:szCs w:val="21"/>
          <w:highlight w:val="none"/>
          <w:lang w:eastAsia="zh-CN"/>
        </w:rPr>
        <w:t>供应商</w:t>
      </w:r>
      <w:r>
        <w:rPr>
          <w:color w:val="auto"/>
          <w:sz w:val="21"/>
          <w:szCs w:val="21"/>
          <w:highlight w:val="none"/>
          <w:lang w:eastAsia="zh-CN"/>
        </w:rPr>
        <w:t>应具备相应的行政许可，如</w:t>
      </w:r>
      <w:r>
        <w:rPr>
          <w:rFonts w:hint="eastAsia"/>
          <w:color w:val="auto"/>
          <w:sz w:val="21"/>
          <w:szCs w:val="21"/>
          <w:highlight w:val="none"/>
          <w:lang w:eastAsia="zh-CN"/>
        </w:rPr>
        <w:t>供应商</w:t>
      </w:r>
      <w:r>
        <w:rPr>
          <w:color w:val="auto"/>
          <w:sz w:val="21"/>
          <w:szCs w:val="21"/>
          <w:highlight w:val="none"/>
          <w:lang w:eastAsia="zh-CN"/>
        </w:rPr>
        <w:t>不具备相应的行政许可必须采用分包的方式，但分包</w:t>
      </w:r>
      <w:r>
        <w:rPr>
          <w:rFonts w:hint="eastAsia"/>
          <w:color w:val="auto"/>
          <w:sz w:val="21"/>
          <w:szCs w:val="21"/>
          <w:highlight w:val="none"/>
          <w:lang w:eastAsia="zh-CN"/>
        </w:rPr>
        <w:t>供应商</w:t>
      </w:r>
      <w:r>
        <w:rPr>
          <w:color w:val="auto"/>
          <w:sz w:val="21"/>
          <w:szCs w:val="21"/>
          <w:highlight w:val="none"/>
          <w:lang w:eastAsia="zh-CN"/>
        </w:rPr>
        <w:t>应具备相应行政许可。</w:t>
      </w:r>
    </w:p>
    <w:p w14:paraId="35174F51">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color w:val="auto"/>
          <w:sz w:val="21"/>
          <w:szCs w:val="21"/>
          <w:highlight w:val="none"/>
          <w:lang w:eastAsia="zh-CN"/>
        </w:rPr>
        <w:t>11.3</w:t>
      </w:r>
      <w:r>
        <w:rPr>
          <w:rFonts w:hint="eastAsia"/>
          <w:color w:val="auto"/>
          <w:sz w:val="21"/>
          <w:szCs w:val="21"/>
          <w:highlight w:val="none"/>
          <w:lang w:eastAsia="zh-CN"/>
        </w:rPr>
        <w:t>供应商</w:t>
      </w:r>
      <w:r>
        <w:rPr>
          <w:color w:val="auto"/>
          <w:sz w:val="21"/>
          <w:szCs w:val="21"/>
          <w:highlight w:val="none"/>
          <w:lang w:eastAsia="zh-CN"/>
        </w:rPr>
        <w:t>根据</w:t>
      </w:r>
      <w:r>
        <w:rPr>
          <w:rFonts w:hint="eastAsia"/>
          <w:color w:val="auto"/>
          <w:sz w:val="21"/>
          <w:szCs w:val="21"/>
          <w:highlight w:val="none"/>
          <w:lang w:eastAsia="zh-CN"/>
        </w:rPr>
        <w:t>采购</w:t>
      </w:r>
      <w:r>
        <w:rPr>
          <w:color w:val="auto"/>
          <w:sz w:val="21"/>
          <w:szCs w:val="21"/>
          <w:highlight w:val="none"/>
          <w:lang w:eastAsia="zh-CN"/>
        </w:rPr>
        <w:t>文件的规定和采购项目的实际情况，拟在</w:t>
      </w:r>
      <w:r>
        <w:rPr>
          <w:rFonts w:hint="eastAsia"/>
          <w:color w:val="auto"/>
          <w:sz w:val="21"/>
          <w:szCs w:val="21"/>
          <w:highlight w:val="none"/>
          <w:lang w:eastAsia="zh-CN"/>
        </w:rPr>
        <w:t>成交</w:t>
      </w:r>
      <w:r>
        <w:rPr>
          <w:color w:val="auto"/>
          <w:sz w:val="21"/>
          <w:szCs w:val="21"/>
          <w:highlight w:val="none"/>
          <w:lang w:eastAsia="zh-CN"/>
        </w:rPr>
        <w:t>后将</w:t>
      </w:r>
      <w:r>
        <w:rPr>
          <w:rFonts w:hint="eastAsia"/>
          <w:color w:val="auto"/>
          <w:sz w:val="21"/>
          <w:szCs w:val="21"/>
          <w:highlight w:val="none"/>
          <w:lang w:eastAsia="zh-CN"/>
        </w:rPr>
        <w:t>成交</w:t>
      </w:r>
      <w:r>
        <w:rPr>
          <w:color w:val="auto"/>
          <w:sz w:val="21"/>
          <w:szCs w:val="21"/>
          <w:highlight w:val="none"/>
          <w:lang w:eastAsia="zh-CN"/>
        </w:rPr>
        <w:t>项目的非主体、非关键性工作分包的，应当在</w:t>
      </w:r>
      <w:r>
        <w:rPr>
          <w:rFonts w:hint="eastAsia"/>
          <w:color w:val="auto"/>
          <w:sz w:val="21"/>
          <w:szCs w:val="21"/>
          <w:highlight w:val="none"/>
          <w:lang w:eastAsia="zh-CN"/>
        </w:rPr>
        <w:t>响应</w:t>
      </w:r>
      <w:r>
        <w:rPr>
          <w:color w:val="auto"/>
          <w:sz w:val="21"/>
          <w:szCs w:val="21"/>
          <w:highlight w:val="none"/>
          <w:lang w:eastAsia="zh-CN"/>
        </w:rPr>
        <w:t>文件中载明分包承担主体，分包承担主体应当具备相应资质条件且不得再次分包。</w:t>
      </w:r>
    </w:p>
    <w:p w14:paraId="6B901E01">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1</w:t>
      </w:r>
      <w:r>
        <w:rPr>
          <w:color w:val="auto"/>
          <w:sz w:val="21"/>
          <w:szCs w:val="21"/>
          <w:highlight w:val="none"/>
          <w:lang w:eastAsia="zh-CN"/>
        </w:rPr>
        <w:t>1.4</w:t>
      </w:r>
      <w:r>
        <w:rPr>
          <w:rFonts w:hint="eastAsia"/>
          <w:color w:val="auto"/>
          <w:sz w:val="21"/>
          <w:szCs w:val="21"/>
          <w:highlight w:val="none"/>
          <w:lang w:eastAsia="zh-CN"/>
        </w:rPr>
        <w:t>享受中小企业扶持政策获得政府采购合同的，小微企业不得将合同分包给大中型企业，中型企业不得将合同分包给大型企业。</w:t>
      </w:r>
    </w:p>
    <w:p w14:paraId="0DDD4C6F">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1</w:t>
      </w:r>
      <w:r>
        <w:rPr>
          <w:color w:val="auto"/>
          <w:sz w:val="21"/>
          <w:szCs w:val="21"/>
          <w:highlight w:val="none"/>
          <w:lang w:eastAsia="zh-CN"/>
        </w:rPr>
        <w:t>1.5</w:t>
      </w:r>
      <w:r>
        <w:rPr>
          <w:rFonts w:hint="eastAsia"/>
          <w:color w:val="auto"/>
          <w:sz w:val="21"/>
          <w:szCs w:val="21"/>
          <w:highlight w:val="none"/>
          <w:lang w:eastAsia="zh-CN"/>
        </w:rPr>
        <w:t>供应商应在签订政府采购合同前向采购人提供分包合同，否则，采购人有权拒绝签订采购合同。</w:t>
      </w:r>
    </w:p>
    <w:p w14:paraId="49360FF1">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p>
    <w:p w14:paraId="17BFF238">
      <w:pPr>
        <w:pStyle w:val="3"/>
        <w:keepNext w:val="0"/>
        <w:keepLines w:val="0"/>
        <w:pageBreakBefore w:val="0"/>
        <w:widowControl w:val="0"/>
        <w:numPr>
          <w:ilvl w:val="0"/>
          <w:numId w:val="7"/>
        </w:numPr>
        <w:kinsoku/>
        <w:wordWrap/>
        <w:overflowPunct/>
        <w:topLinePunct w:val="0"/>
        <w:bidi w:val="0"/>
        <w:spacing w:before="120" w:after="120" w:line="360" w:lineRule="auto"/>
        <w:ind w:left="0" w:firstLine="0"/>
        <w:jc w:val="left"/>
        <w:rPr>
          <w:rFonts w:hint="eastAsia" w:ascii="宋体" w:hAnsi="宋体" w:eastAsia="宋体"/>
          <w:color w:val="auto"/>
          <w:sz w:val="21"/>
          <w:szCs w:val="21"/>
          <w:highlight w:val="none"/>
        </w:rPr>
      </w:pPr>
      <w:bookmarkStart w:id="73" w:name="_Toc32282"/>
      <w:bookmarkStart w:id="74" w:name="_Toc104040691"/>
      <w:bookmarkStart w:id="75" w:name="_Toc104040745"/>
      <w:r>
        <w:rPr>
          <w:rFonts w:hint="eastAsia" w:ascii="宋体" w:hAnsi="宋体" w:eastAsia="宋体"/>
          <w:color w:val="auto"/>
          <w:sz w:val="21"/>
          <w:szCs w:val="21"/>
          <w:highlight w:val="none"/>
        </w:rPr>
        <w:t>磋商文件的澄清和修改</w:t>
      </w:r>
      <w:bookmarkEnd w:id="73"/>
      <w:bookmarkEnd w:id="74"/>
      <w:bookmarkEnd w:id="75"/>
    </w:p>
    <w:p w14:paraId="2E699EAF">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1.采购代理机构对磋商文件进行必要的澄清或者修改的，在指定媒体上发布更正公告。澄清或者修改的内容可能影响响应文件编制的，更正公告在递交响应文件截止时间至少5日前发出；不足5日的，代理机构顺延提交响应文件截止时间。</w:t>
      </w:r>
    </w:p>
    <w:p w14:paraId="508453DC">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更正公告及其所发布的内容或信息（包括但不限于：磋商文件的澄清或修改、现场考察或答疑会的有关事宜等）作为磋商文件的组成部分，对供应商具有约束力。一经在指定媒体上发布后，更正公告将作为通知所有磋商文件收受人的书面形式。</w:t>
      </w:r>
    </w:p>
    <w:p w14:paraId="2C33463B">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3.如更正公告有重新发布磋商文件的，供应商应重新获取最新发布的磋商文件制作响应文件。</w:t>
      </w:r>
    </w:p>
    <w:p w14:paraId="656CB83C">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4.供应商在规定的时间内未对磋商文件提出疑问、质疑或要求澄清的，将视其为无异议。对磋商文件中描述有歧义或前后不一致的地方，磋商小组有权进行评判，但对同一条款的评判应适用于每个供应商。</w:t>
      </w:r>
    </w:p>
    <w:p w14:paraId="3C38086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p>
    <w:p w14:paraId="57907FEB">
      <w:pPr>
        <w:pStyle w:val="3"/>
        <w:keepNext w:val="0"/>
        <w:keepLines w:val="0"/>
        <w:pageBreakBefore w:val="0"/>
        <w:widowControl w:val="0"/>
        <w:numPr>
          <w:ilvl w:val="0"/>
          <w:numId w:val="7"/>
        </w:numPr>
        <w:kinsoku/>
        <w:wordWrap/>
        <w:overflowPunct/>
        <w:topLinePunct w:val="0"/>
        <w:bidi w:val="0"/>
        <w:spacing w:before="120" w:after="120" w:line="360" w:lineRule="auto"/>
        <w:ind w:left="0" w:firstLine="0"/>
        <w:jc w:val="left"/>
        <w:rPr>
          <w:rFonts w:hint="eastAsia" w:ascii="宋体" w:hAnsi="宋体" w:eastAsia="宋体"/>
          <w:color w:val="auto"/>
          <w:sz w:val="21"/>
          <w:szCs w:val="21"/>
          <w:highlight w:val="none"/>
        </w:rPr>
      </w:pPr>
      <w:bookmarkStart w:id="76" w:name="_Toc104040692"/>
      <w:bookmarkStart w:id="77" w:name="_Toc27738"/>
      <w:bookmarkStart w:id="78" w:name="_Toc104040746"/>
      <w:r>
        <w:rPr>
          <w:rFonts w:hint="eastAsia" w:ascii="宋体" w:hAnsi="宋体" w:eastAsia="宋体"/>
          <w:color w:val="auto"/>
          <w:sz w:val="21"/>
          <w:szCs w:val="21"/>
          <w:highlight w:val="none"/>
        </w:rPr>
        <w:t>响应要求</w:t>
      </w:r>
      <w:bookmarkEnd w:id="76"/>
      <w:bookmarkEnd w:id="77"/>
      <w:bookmarkEnd w:id="78"/>
    </w:p>
    <w:p w14:paraId="6FD6F5D3">
      <w:pPr>
        <w:pStyle w:val="126"/>
        <w:keepNext w:val="0"/>
        <w:keepLines w:val="0"/>
        <w:pageBreakBefore w:val="0"/>
        <w:widowControl w:val="0"/>
        <w:numPr>
          <w:ilvl w:val="0"/>
          <w:numId w:val="10"/>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响应</w:t>
      </w:r>
      <w:r>
        <w:rPr>
          <w:rFonts w:hint="eastAsia" w:ascii="宋体" w:hAnsi="宋体"/>
          <w:b/>
          <w:bCs/>
          <w:color w:val="auto"/>
          <w:highlight w:val="none"/>
          <w:lang w:eastAsia="zh-CN"/>
        </w:rPr>
        <w:t>登记</w:t>
      </w:r>
    </w:p>
    <w:p w14:paraId="00080D3A">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供应商应从诚E招电子采购交易平台（https://www.chengezhao.com/）上免费注册并登录完成在线获取采购文件（未按上述方式获取采购文件的供应商，其响应资格将被视为无效）。</w:t>
      </w:r>
    </w:p>
    <w:p w14:paraId="15E24EC9">
      <w:pPr>
        <w:pStyle w:val="126"/>
        <w:keepNext w:val="0"/>
        <w:keepLines w:val="0"/>
        <w:pageBreakBefore w:val="0"/>
        <w:widowControl w:val="0"/>
        <w:numPr>
          <w:ilvl w:val="0"/>
          <w:numId w:val="10"/>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响应文件的制作</w:t>
      </w:r>
    </w:p>
    <w:p w14:paraId="7B7897D7">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2.1响应文件格式要求详见第六章说明。</w:t>
      </w:r>
    </w:p>
    <w:p w14:paraId="2695C174">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color w:val="auto"/>
          <w:szCs w:val="20"/>
          <w:highlight w:val="none"/>
        </w:rPr>
        <w:t>2.2</w:t>
      </w:r>
      <w:r>
        <w:rPr>
          <w:rFonts w:hint="eastAsia"/>
          <w:color w:val="auto"/>
          <w:szCs w:val="20"/>
          <w:highlight w:val="none"/>
        </w:rPr>
        <w:t>关于磋商报价说明如下：</w:t>
      </w:r>
    </w:p>
    <w:p w14:paraId="24FC6F5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1）供应商应按照“第二章采购需求”的需求内容、责任范围以及合同条款进行报价。并按“首轮报价表”和“分项报价表（如有）”规定的格式报出总价和分项价格（如有）。磋商总价中不得包含磋商文件要求以外的内容，否则，在评审时不予核减。</w:t>
      </w:r>
    </w:p>
    <w:p w14:paraId="2C5AD781">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（2）供应商的报价应包括为完成本项目所发生的一切费用和税费，采购人将不再支付报价以外的任何费用。供应商的报价应包括但不限于下列内容，《须知前附表》中有特殊规定的，从其规定。</w:t>
      </w:r>
    </w:p>
    <w:p w14:paraId="3C35C37E">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①投标（响应）货物及标准附件、</w:t>
      </w:r>
      <w:r>
        <w:rPr>
          <w:rFonts w:hint="eastAsia"/>
          <w:color w:val="auto"/>
          <w:szCs w:val="20"/>
          <w:highlight w:val="none"/>
          <w:lang w:eastAsia="zh-CN"/>
        </w:rPr>
        <w:t>零部件及易损易耗件</w:t>
      </w:r>
      <w:r>
        <w:rPr>
          <w:rFonts w:hint="eastAsia"/>
          <w:color w:val="auto"/>
          <w:szCs w:val="20"/>
          <w:highlight w:val="none"/>
        </w:rPr>
        <w:t>、专用工具等的出厂价（包括已在中国国内的进口货物完税后的仓库交货价、展室交货价或货架交货价）和运至最终目的地的运输费和保险费，安装调试、检验、技术服务、培训、质量保证、售后服务、税费等按照采购文件要求完成本项目的全部相关服务费用；</w:t>
      </w:r>
    </w:p>
    <w:p w14:paraId="538BE575">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②按照采购文件要求完成本项目的全部相关服务费用。</w:t>
      </w:r>
    </w:p>
    <w:p w14:paraId="0E12C46C">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（3）供应商不能提供任何有选择性或可调整</w:t>
      </w:r>
      <w:bookmarkStart w:id="79" w:name="_Hlk175727978"/>
      <w:r>
        <w:rPr>
          <w:rFonts w:hint="eastAsia"/>
          <w:color w:val="auto"/>
          <w:szCs w:val="20"/>
          <w:highlight w:val="none"/>
        </w:rPr>
        <w:t>或附有条件</w:t>
      </w:r>
      <w:bookmarkEnd w:id="79"/>
      <w:r>
        <w:rPr>
          <w:rFonts w:hint="eastAsia"/>
          <w:color w:val="auto"/>
          <w:szCs w:val="20"/>
          <w:highlight w:val="none"/>
        </w:rPr>
        <w:t>的报价，否则将导致响应无效。</w:t>
      </w:r>
    </w:p>
    <w:p w14:paraId="6F45AF3D">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2.3如有对多个采购包响应的，要对每个采购包独立制作响应文件，或者分别制作通用册和专用册的响应文件，且需在响应文件中明示对应采购包情况。</w:t>
      </w:r>
    </w:p>
    <w:p w14:paraId="78C0AEA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2.4供应商不得将同一个项目或同一个采购包的内容拆开响应，否则其报价将被视为非实质性响应，</w:t>
      </w:r>
      <w:r>
        <w:rPr>
          <w:rFonts w:hint="eastAsia"/>
          <w:color w:val="auto"/>
          <w:szCs w:val="21"/>
          <w:highlight w:val="none"/>
        </w:rPr>
        <w:t>并作无效响应处理</w:t>
      </w:r>
      <w:r>
        <w:rPr>
          <w:rFonts w:hint="eastAsia"/>
          <w:color w:val="auto"/>
          <w:szCs w:val="20"/>
          <w:highlight w:val="none"/>
        </w:rPr>
        <w:t>。</w:t>
      </w:r>
    </w:p>
    <w:p w14:paraId="59B302B7">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2.5供应商须对磋商文件的对应要求给予唯一的实质性响应，否则将视为不响应。</w:t>
      </w:r>
    </w:p>
    <w:p w14:paraId="0C95AA39">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2.6磋商文件中，凡标有“★”的地方均为实质性响应条款，供应商若有一项带“★”的条款未响应或不满足，将按无效响应处理。</w:t>
      </w:r>
    </w:p>
    <w:p w14:paraId="1F7DFADD">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2.7供应商必须按磋商文件指定的格式填写各种报价，各报价应计算正确。除在磋商文件另有规定外（如：报折扣、报优惠率等），计量单位应使用中华人民共和国法定计量单位，以人民币填报所有报价。</w:t>
      </w:r>
    </w:p>
    <w:p w14:paraId="1E9791E1">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2.8响应文件以及供应商与采购人、代理机构就有关响应的往来函电均应使用中文。供应商提交的支持性文件和印制的文件可以用另一种语言，但相应内容应翻译成中文，在解释响应文件时以中文文本为准。</w:t>
      </w:r>
    </w:p>
    <w:p w14:paraId="06226744">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w:t>
      </w:r>
      <w:r>
        <w:rPr>
          <w:color w:val="auto"/>
          <w:szCs w:val="20"/>
          <w:highlight w:val="none"/>
        </w:rPr>
        <w:t>.9</w:t>
      </w:r>
      <w:r>
        <w:rPr>
          <w:rFonts w:hint="eastAsia"/>
          <w:color w:val="auto"/>
          <w:szCs w:val="20"/>
          <w:highlight w:val="none"/>
        </w:rPr>
        <w:t>供应商应按磋商文件的规定及附件要求的内容和格式完整地填写和提供资料。供应商必须对响应文件所提供的全部资料的真实性承担法律责任，并无条件接受采购人和政府采购监督管理部门对其中任何资料进行核实（核对原件）的要求。采购人核对发现有不一致或供应商无正当理由不按时提供原件的，应当书面知会代理机构，并书面报告本级人民政府财政部门。</w:t>
      </w:r>
    </w:p>
    <w:p w14:paraId="704B32C9">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2.10供应商应按本采购文件规定的格式和顺序编制、装订响应文件并标注页码，响应文件内容不完整、编排混乱导致响应文件被误读、漏读或者查找不到相关内容的，由此引发的后果由供应商承担。</w:t>
      </w:r>
    </w:p>
    <w:p w14:paraId="6A31E57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2.11响应文件的正本应用不褪色的材料书写或者打印，响应文件正本须按照采购文件明确的规定提供原件或复印件，副本可为正本签字、盖章后的复印件，当副本和正本不一致时，以正本为准。</w:t>
      </w:r>
    </w:p>
    <w:p w14:paraId="3D113223">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2.12响应文件须由供应商在规定位置盖公章并签字（具体以第六章响应文件格式与要求规定的为准） ，否则按无效响应处理。骑缝位置盖公章不视为在规定位置盖章。</w:t>
      </w:r>
    </w:p>
    <w:p w14:paraId="61676CAA">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2.13响应文件中标注的供应商名称应与主体资格证明（如营业执照、事业单位法人证书、执业许可证、自然人身份证等）及公章一致，否则按无效响应处理。</w:t>
      </w:r>
    </w:p>
    <w:p w14:paraId="2A236983">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2.14响应文件应尽量避免涂改、行间插字或者删除。如果出现上述情况，改动之处应由供应商的法定代表人或者其委托代理人签字或者加盖公章。响应文件因字迹潦草或者表达不清所引起的后果由供应商承担。</w:t>
      </w:r>
    </w:p>
    <w:p w14:paraId="099E2A8B">
      <w:pPr>
        <w:pStyle w:val="126"/>
        <w:keepNext w:val="0"/>
        <w:keepLines w:val="0"/>
        <w:pageBreakBefore w:val="0"/>
        <w:widowControl w:val="0"/>
        <w:numPr>
          <w:ilvl w:val="0"/>
          <w:numId w:val="10"/>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响应文件的提交</w:t>
      </w:r>
    </w:p>
    <w:p w14:paraId="4B83BAEF">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3.1在响应文件提交截止时间前，供应商须将响应文件提交至采购公告所示的提交响应文件地址。时间以北京时间为准，递交响应文件截止时间结束后，将不再接收响应文件。</w:t>
      </w:r>
    </w:p>
    <w:p w14:paraId="6568E52B">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3.2</w:t>
      </w:r>
      <w:r>
        <w:rPr>
          <w:rFonts w:hint="eastAsia"/>
          <w:color w:val="auto"/>
          <w:szCs w:val="21"/>
          <w:highlight w:val="none"/>
        </w:rPr>
        <w:t xml:space="preserve">供应商须按照“须知前附表”规定的密封要求对响应文件进行密封包装，以保证自己的响应信息在开启前不被透露，否则代理机构应当拒收。 </w:t>
      </w:r>
    </w:p>
    <w:p w14:paraId="44439F3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3.3代理机构对因不可抗力事件造成的响应文件的损坏、丢失的，不承担责任。</w:t>
      </w:r>
    </w:p>
    <w:p w14:paraId="6870DAD2">
      <w:pPr>
        <w:pStyle w:val="126"/>
        <w:keepNext w:val="0"/>
        <w:keepLines w:val="0"/>
        <w:pageBreakBefore w:val="0"/>
        <w:widowControl w:val="0"/>
        <w:numPr>
          <w:ilvl w:val="0"/>
          <w:numId w:val="10"/>
        </w:numPr>
        <w:kinsoku/>
        <w:wordWrap/>
        <w:overflowPunct/>
        <w:topLinePunct w:val="0"/>
        <w:bidi w:val="0"/>
        <w:spacing w:before="120" w:beforeLines="50" w:after="120" w:afterLines="50" w:line="360" w:lineRule="auto"/>
        <w:outlineLvl w:val="2"/>
        <w:rPr>
          <w:rFonts w:hint="eastAsia" w:ascii="宋体" w:hAnsi="宋体"/>
          <w:b/>
          <w:bCs/>
          <w:color w:val="auto"/>
          <w:highlight w:val="none"/>
          <w:lang w:eastAsia="zh-CN"/>
        </w:rPr>
      </w:pPr>
      <w:r>
        <w:rPr>
          <w:rFonts w:hint="eastAsia" w:ascii="宋体" w:hAnsi="宋体"/>
          <w:b/>
          <w:bCs/>
          <w:color w:val="auto"/>
          <w:highlight w:val="none"/>
          <w:lang w:eastAsia="zh-CN"/>
        </w:rPr>
        <w:t>响应文件的修改、撤回与撤销</w:t>
      </w:r>
    </w:p>
    <w:p w14:paraId="7D39888F">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4.1在提交响应文件截止时间前，供应商可以修改或撤回响应文件，并于提交响应文件截止时间前将修改后的响应文件送达至采购公告所示的提交响应文件地址，到达响应文件提交截止时间后，将不允许修改或撤回。</w:t>
      </w:r>
    </w:p>
    <w:p w14:paraId="5B11CBFF">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4.2在提交响应文件截止时间后，供应商不得补充、修改和更换响应文件。</w:t>
      </w:r>
    </w:p>
    <w:p w14:paraId="1F15A5D4">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0"/>
          <w:highlight w:val="none"/>
        </w:rPr>
        <w:t>4.3</w:t>
      </w:r>
      <w:r>
        <w:rPr>
          <w:rFonts w:hint="eastAsia"/>
          <w:color w:val="auto"/>
          <w:szCs w:val="21"/>
          <w:highlight w:val="none"/>
        </w:rPr>
        <w:t>投标（响应）截止时间后，供应商在响应有效期内撤销投标（响应）的，其撤销投标（响应）的行为无效。</w:t>
      </w:r>
    </w:p>
    <w:p w14:paraId="2F698DD7">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1"/>
          <w:highlight w:val="none"/>
        </w:rPr>
        <w:t>4.4除供应商不足</w:t>
      </w:r>
      <w:r>
        <w:rPr>
          <w:color w:val="auto"/>
          <w:szCs w:val="21"/>
          <w:highlight w:val="none"/>
        </w:rPr>
        <w:t>3家未开</w:t>
      </w:r>
      <w:r>
        <w:rPr>
          <w:rFonts w:hint="eastAsia"/>
          <w:color w:val="auto"/>
          <w:szCs w:val="21"/>
          <w:highlight w:val="none"/>
        </w:rPr>
        <w:t>启</w:t>
      </w:r>
      <w:r>
        <w:rPr>
          <w:color w:val="auto"/>
          <w:szCs w:val="21"/>
          <w:highlight w:val="none"/>
        </w:rPr>
        <w:t>外，采购人和采购代理机构对所接收</w:t>
      </w:r>
      <w:r>
        <w:rPr>
          <w:rFonts w:hint="eastAsia"/>
          <w:color w:val="auto"/>
          <w:szCs w:val="21"/>
          <w:highlight w:val="none"/>
        </w:rPr>
        <w:t>响应</w:t>
      </w:r>
      <w:r>
        <w:rPr>
          <w:color w:val="auto"/>
          <w:szCs w:val="21"/>
          <w:highlight w:val="none"/>
        </w:rPr>
        <w:t>文件概不退回。</w:t>
      </w:r>
    </w:p>
    <w:p w14:paraId="280B961C">
      <w:pPr>
        <w:pStyle w:val="126"/>
        <w:keepNext w:val="0"/>
        <w:keepLines w:val="0"/>
        <w:pageBreakBefore w:val="0"/>
        <w:widowControl w:val="0"/>
        <w:numPr>
          <w:ilvl w:val="0"/>
          <w:numId w:val="10"/>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响应保证金</w:t>
      </w:r>
    </w:p>
    <w:p w14:paraId="023D8B34">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5.1响应保证金的缴纳</w:t>
      </w:r>
    </w:p>
    <w:p w14:paraId="1D617599">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供应商在提交响应文件的同时，应按供应商须知前附表规定的金额和缴纳要求缴纳响应保证金，并作为其响应文件的组成部分。</w:t>
      </w:r>
    </w:p>
    <w:p w14:paraId="5417C2EB">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联合体投标（响应）的，可以由联合体中的一方或者共同提交响应保证金，以一方名义提交响应保证金的，对联合体各方均具有约束力。</w:t>
      </w:r>
    </w:p>
    <w:p w14:paraId="4B68C49C">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如采用转账、支票、本票、汇票形式提交的，响应保证金从供应商账户递交，由公诚管理咨询有限公司代收。具体操作要求详见公诚管理咨询有限公司有关指引，递交事宜请自行咨询公诚管理咨询有限公司；请各供应商在响应文件递交截止时间前按须知前附表规定的金额递交至公诚管理咨询有限公司，到账情况以开启时公诚管理咨询有限公司查询的信息为准。</w:t>
      </w:r>
    </w:p>
    <w:p w14:paraId="7F23062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如采用金融机构、专业担保机构开具的投标（响应）担保函、投标（响应）保证保险函等形式提交响应保证金的，投标（响应）担保函或投标（响应）保证保险函须开具给采购人（保险受益人须为采购人），并与响应文件一同递交。</w:t>
      </w:r>
    </w:p>
    <w:p w14:paraId="3579FB03">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供应商可登录"诚E招电子采购交易平台"（https://www.chengezhao.com/），申请办理电子保函，电子保函与纸质保函具有同样效力。</w:t>
      </w:r>
    </w:p>
    <w:p w14:paraId="5955E1F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注意事项：供应商通过线下方式缴纳保证金（转账、支票、汇票、本票、纸质保函）的，需准备缴纳凭证的扫描件作为核验凭证；通过电子保函形式缴纳保证金的，如遇开启或评审现场无法获取电子保函信息时，可提供电子保函打印件或购买凭证作为核验凭证。相关凭证应上传至诚E招电子采购交易平台归档保存。</w:t>
      </w:r>
    </w:p>
    <w:p w14:paraId="2AD6353D">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5.2响应保证金的退还：</w:t>
      </w:r>
    </w:p>
    <w:p w14:paraId="5CE96668">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（1）供应商在投标（响应）截止时间前撤回已提交的响应文件的，自收到供应商书面撤回通知之日起5个工作日内退还已收取的响应保证金。</w:t>
      </w:r>
    </w:p>
    <w:p w14:paraId="4A49C75C">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（2）未成交的供应商保证金，在成交通知书发出后5个工作日内原额退还。</w:t>
      </w:r>
    </w:p>
    <w:p w14:paraId="31A262EA">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（3）成交供应商的响应保证金,在成交供应商与采购人签订采购合同后5个工作日内原额退还。</w:t>
      </w:r>
    </w:p>
    <w:p w14:paraId="1DB2CB61">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（4）终止采购项目已经收取响应保证金的，自终止采购活动后5个工作日内退还已收取的响应保证金及其在银行产生的孳息。</w:t>
      </w:r>
    </w:p>
    <w:p w14:paraId="43D16535">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（5）在满足退保条件的情况下，供应商应及时联系保证金收受单位办理退还响应保证金手续。</w:t>
      </w:r>
    </w:p>
    <w:p w14:paraId="7F4A168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备注：因供应商自身原因导致无法及时退还的，采购人或采购代理机构将不承担相应责任。</w:t>
      </w:r>
    </w:p>
    <w:p w14:paraId="56919994">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5.3有下列情形之一的，响应保证金将不予退还并上缴国库：</w:t>
      </w:r>
    </w:p>
    <w:p w14:paraId="2CA3B886">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（1）提供虚假材料谋取成交的；</w:t>
      </w:r>
    </w:p>
    <w:p w14:paraId="6CA5DC03">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（2）供应商在磋商文件规定的响应有效期内撤销其响应；</w:t>
      </w:r>
    </w:p>
    <w:p w14:paraId="17928AC1">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（3）成交后，无正当理由放弃成交资格；</w:t>
      </w:r>
    </w:p>
    <w:p w14:paraId="17D5C30B">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（4）成交后，无正当理由不与采购人签订合同；</w:t>
      </w:r>
    </w:p>
    <w:p w14:paraId="03E3587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（5）在签订合同时，向采购人提出附加条件的；</w:t>
      </w:r>
    </w:p>
    <w:p w14:paraId="78956641">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（6）不按照采购文件要求提交履约保证金的；</w:t>
      </w:r>
    </w:p>
    <w:p w14:paraId="1E35AA8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（7）法律法规和磋商文件规定的其他情形。</w:t>
      </w:r>
    </w:p>
    <w:p w14:paraId="3C5619FE">
      <w:pPr>
        <w:pStyle w:val="126"/>
        <w:keepNext w:val="0"/>
        <w:keepLines w:val="0"/>
        <w:pageBreakBefore w:val="0"/>
        <w:widowControl w:val="0"/>
        <w:numPr>
          <w:ilvl w:val="0"/>
          <w:numId w:val="10"/>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响应有效期</w:t>
      </w:r>
    </w:p>
    <w:p w14:paraId="440DF3CD">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color w:val="auto"/>
          <w:szCs w:val="20"/>
          <w:highlight w:val="none"/>
        </w:rPr>
        <w:t>6</w:t>
      </w:r>
      <w:r>
        <w:rPr>
          <w:rFonts w:hint="eastAsia"/>
          <w:color w:val="auto"/>
          <w:szCs w:val="20"/>
          <w:highlight w:val="none"/>
        </w:rPr>
        <w:t>.1响应有效期内供应商撤销响应文件的，采购人或者采购代理机构可以不退还响应保证金（如有）。采用响应保函方式替代保证金的，采购人或者采购代理机构可以向担保机构索赔保证金。</w:t>
      </w:r>
    </w:p>
    <w:p w14:paraId="3A1109D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color w:val="auto"/>
          <w:szCs w:val="20"/>
          <w:highlight w:val="none"/>
        </w:rPr>
        <w:t>6</w:t>
      </w:r>
      <w:r>
        <w:rPr>
          <w:rFonts w:hint="eastAsia"/>
          <w:color w:val="auto"/>
          <w:szCs w:val="20"/>
          <w:highlight w:val="none"/>
        </w:rPr>
        <w:t>.2出现特殊情况需延长响应有效期的，采购人或采购代理机构可于响应有效期满之前要求供应商同意延长有效期，要求与答复均以书面形式通知所有供应商。供应商同意延长的，应相应延长其响应保证金（如有）的有效期，但不得要求或被允许修改或撤销其响应文件；供应商可以拒绝延长有效期，但其响应将会被视为无效，拒绝延长有效期的供应商有权收回其响应保证金（如有）。采用响应保函方式替代保证金的，响应有效期超出保函有效期的，采购人或者采购代理机构应提示响应供应商重新开函，未获得有效保函的响应供应商其响应将会被视为无效。</w:t>
      </w:r>
    </w:p>
    <w:p w14:paraId="333C54BC">
      <w:pPr>
        <w:pStyle w:val="126"/>
        <w:keepNext w:val="0"/>
        <w:keepLines w:val="0"/>
        <w:pageBreakBefore w:val="0"/>
        <w:widowControl w:val="0"/>
        <w:numPr>
          <w:ilvl w:val="0"/>
          <w:numId w:val="10"/>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样品（演示）</w:t>
      </w:r>
    </w:p>
    <w:p w14:paraId="53F74511">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color w:val="auto"/>
          <w:szCs w:val="20"/>
          <w:highlight w:val="none"/>
        </w:rPr>
        <w:t>7</w:t>
      </w:r>
      <w:r>
        <w:rPr>
          <w:rFonts w:hint="eastAsia"/>
          <w:color w:val="auto"/>
          <w:szCs w:val="20"/>
          <w:highlight w:val="none"/>
        </w:rPr>
        <w:t>.1磋商文件规定供应商提交样品的，样品属于响应文件的组成部分。样品的生产、运输、安装、保全等一切费用由供应商自理。</w:t>
      </w:r>
    </w:p>
    <w:p w14:paraId="2D34423E">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color w:val="auto"/>
          <w:szCs w:val="20"/>
          <w:highlight w:val="none"/>
        </w:rPr>
        <w:t>7</w:t>
      </w:r>
      <w:r>
        <w:rPr>
          <w:rFonts w:hint="eastAsia"/>
          <w:color w:val="auto"/>
          <w:szCs w:val="20"/>
          <w:highlight w:val="none"/>
        </w:rPr>
        <w:t>.2递交响应文件截止时间前，供应商应将样品送达至指定地点</w:t>
      </w:r>
      <w:r>
        <w:rPr>
          <w:rFonts w:hint="eastAsia"/>
          <w:color w:val="auto"/>
          <w:szCs w:val="21"/>
          <w:highlight w:val="none"/>
        </w:rPr>
        <w:t>，按要求摆放并做好展示</w:t>
      </w:r>
      <w:r>
        <w:rPr>
          <w:rFonts w:hint="eastAsia"/>
          <w:color w:val="auto"/>
          <w:szCs w:val="20"/>
          <w:highlight w:val="none"/>
        </w:rPr>
        <w:t>。若需要现场演示的，供应商应提前做好演示准备（包括演示设备）。</w:t>
      </w:r>
    </w:p>
    <w:p w14:paraId="2787EB1D">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color w:val="auto"/>
          <w:szCs w:val="20"/>
          <w:highlight w:val="none"/>
        </w:rPr>
        <w:t>7</w:t>
      </w:r>
      <w:r>
        <w:rPr>
          <w:rFonts w:hint="eastAsia"/>
          <w:color w:val="auto"/>
          <w:szCs w:val="20"/>
          <w:highlight w:val="none"/>
        </w:rPr>
        <w:t>.3采购结果公告发布后，成交供应商的样品由采购人封存，作为履约验收的依据之一。未成交供应商在接到采购代理机构通知后，应按规定时间尽快自行取回样品，否则视同供应商不再认领，代理机构有权进行处理。</w:t>
      </w:r>
    </w:p>
    <w:p w14:paraId="7AB4BD0F">
      <w:pPr>
        <w:pStyle w:val="126"/>
        <w:keepNext w:val="0"/>
        <w:keepLines w:val="0"/>
        <w:pageBreakBefore w:val="0"/>
        <w:widowControl w:val="0"/>
        <w:numPr>
          <w:ilvl w:val="0"/>
          <w:numId w:val="10"/>
        </w:numPr>
        <w:kinsoku/>
        <w:wordWrap/>
        <w:overflowPunct/>
        <w:topLinePunct w:val="0"/>
        <w:bidi w:val="0"/>
        <w:spacing w:before="120" w:beforeLines="50" w:after="120" w:afterLines="50" w:line="360" w:lineRule="auto"/>
        <w:outlineLvl w:val="2"/>
        <w:rPr>
          <w:rFonts w:hint="eastAsia" w:ascii="宋体" w:hAnsi="宋体"/>
          <w:b/>
          <w:bCs/>
          <w:color w:val="auto"/>
          <w:highlight w:val="none"/>
          <w:lang w:eastAsia="zh-CN"/>
        </w:rPr>
      </w:pPr>
      <w:bookmarkStart w:id="80" w:name="_Hlk172149274"/>
      <w:r>
        <w:rPr>
          <w:rFonts w:hint="eastAsia" w:ascii="宋体" w:hAnsi="宋体"/>
          <w:b/>
          <w:bCs/>
          <w:color w:val="auto"/>
          <w:highlight w:val="none"/>
          <w:lang w:eastAsia="zh-CN"/>
        </w:rPr>
        <w:t>商品包装和快递包装（如有）</w:t>
      </w:r>
    </w:p>
    <w:p w14:paraId="592AC051">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本项目中如涉及商品包装和快递包装的，其包装需求标准应不低于《关于印发〈商品包装政府采购需求标准（</w:t>
      </w:r>
      <w:r>
        <w:rPr>
          <w:color w:val="auto"/>
          <w:sz w:val="21"/>
          <w:szCs w:val="21"/>
          <w:highlight w:val="none"/>
          <w:lang w:eastAsia="zh-CN"/>
        </w:rPr>
        <w:t>试行</w:t>
      </w:r>
      <w:r>
        <w:rPr>
          <w:rFonts w:hint="eastAsia"/>
          <w:color w:val="auto"/>
          <w:sz w:val="21"/>
          <w:szCs w:val="21"/>
          <w:highlight w:val="none"/>
          <w:lang w:eastAsia="zh-CN"/>
        </w:rPr>
        <w:t>）</w:t>
      </w:r>
      <w:r>
        <w:rPr>
          <w:color w:val="auto"/>
          <w:sz w:val="21"/>
          <w:szCs w:val="21"/>
          <w:highlight w:val="none"/>
          <w:lang w:eastAsia="zh-CN"/>
        </w:rPr>
        <w:t>〉、〈快递包装政府采购需求标准</w:t>
      </w:r>
      <w:r>
        <w:rPr>
          <w:rFonts w:hint="eastAsia"/>
          <w:color w:val="auto"/>
          <w:sz w:val="21"/>
          <w:szCs w:val="21"/>
          <w:highlight w:val="none"/>
          <w:lang w:eastAsia="zh-CN"/>
        </w:rPr>
        <w:t>（</w:t>
      </w:r>
      <w:r>
        <w:rPr>
          <w:color w:val="auto"/>
          <w:sz w:val="21"/>
          <w:szCs w:val="21"/>
          <w:highlight w:val="none"/>
          <w:lang w:eastAsia="zh-CN"/>
        </w:rPr>
        <w:t>试行</w:t>
      </w:r>
      <w:r>
        <w:rPr>
          <w:rFonts w:hint="eastAsia"/>
          <w:color w:val="auto"/>
          <w:sz w:val="21"/>
          <w:szCs w:val="21"/>
          <w:highlight w:val="none"/>
          <w:lang w:eastAsia="zh-CN"/>
        </w:rPr>
        <w:t>）</w:t>
      </w:r>
      <w:r>
        <w:rPr>
          <w:color w:val="auto"/>
          <w:sz w:val="21"/>
          <w:szCs w:val="21"/>
          <w:highlight w:val="none"/>
          <w:lang w:eastAsia="zh-CN"/>
        </w:rPr>
        <w:t>〉的通知》（财办库〔2020〕123号）规定的包装要求，其他包装需求详见</w:t>
      </w:r>
      <w:r>
        <w:rPr>
          <w:rFonts w:hint="eastAsia"/>
          <w:color w:val="auto"/>
          <w:sz w:val="21"/>
          <w:szCs w:val="21"/>
          <w:highlight w:val="none"/>
          <w:lang w:eastAsia="zh-CN"/>
        </w:rPr>
        <w:t>采购</w:t>
      </w:r>
      <w:r>
        <w:rPr>
          <w:color w:val="auto"/>
          <w:sz w:val="21"/>
          <w:szCs w:val="21"/>
          <w:highlight w:val="none"/>
          <w:lang w:eastAsia="zh-CN"/>
        </w:rPr>
        <w:t>文件具体规定。</w:t>
      </w:r>
    </w:p>
    <w:bookmarkEnd w:id="80"/>
    <w:p w14:paraId="275ED07E">
      <w:pPr>
        <w:pStyle w:val="126"/>
        <w:keepNext w:val="0"/>
        <w:keepLines w:val="0"/>
        <w:pageBreakBefore w:val="0"/>
        <w:widowControl w:val="0"/>
        <w:numPr>
          <w:ilvl w:val="0"/>
          <w:numId w:val="10"/>
        </w:numPr>
        <w:kinsoku/>
        <w:wordWrap/>
        <w:overflowPunct/>
        <w:topLinePunct w:val="0"/>
        <w:bidi w:val="0"/>
        <w:spacing w:before="120" w:beforeLines="50" w:after="120" w:afterLines="50" w:line="360" w:lineRule="auto"/>
        <w:outlineLvl w:val="2"/>
        <w:rPr>
          <w:rFonts w:hint="eastAsia" w:ascii="宋体" w:hAnsi="宋体"/>
          <w:b/>
          <w:bCs/>
          <w:color w:val="auto"/>
          <w:highlight w:val="none"/>
          <w:lang w:eastAsia="zh-CN"/>
        </w:rPr>
      </w:pPr>
      <w:r>
        <w:rPr>
          <w:rFonts w:hint="eastAsia" w:ascii="宋体" w:hAnsi="宋体"/>
          <w:b/>
          <w:bCs/>
          <w:color w:val="auto"/>
          <w:highlight w:val="none"/>
          <w:lang w:eastAsia="zh-CN"/>
        </w:rPr>
        <w:t>除磋商文件另有规定外，有下列情形之一的，响应无效：</w:t>
      </w:r>
    </w:p>
    <w:p w14:paraId="1F283638">
      <w:pPr>
        <w:pStyle w:val="19"/>
        <w:keepNext w:val="0"/>
        <w:keepLines w:val="0"/>
        <w:pageBreakBefore w:val="0"/>
        <w:widowControl w:val="0"/>
        <w:kinsoku/>
        <w:wordWrap/>
        <w:overflowPunct/>
        <w:topLinePunct w:val="0"/>
        <w:bidi w:val="0"/>
        <w:spacing w:line="360" w:lineRule="auto"/>
        <w:ind w:left="420"/>
        <w:rPr>
          <w:rFonts w:hint="eastAsia"/>
          <w:color w:val="auto"/>
          <w:szCs w:val="20"/>
          <w:highlight w:val="none"/>
        </w:rPr>
      </w:pPr>
      <w:r>
        <w:rPr>
          <w:rFonts w:hint="eastAsia"/>
          <w:color w:val="auto"/>
          <w:szCs w:val="20"/>
          <w:highlight w:val="none"/>
        </w:rPr>
        <w:t>9.1未按采购文件的规定提交响应保证金的；</w:t>
      </w:r>
    </w:p>
    <w:p w14:paraId="15F87F74">
      <w:pPr>
        <w:pStyle w:val="19"/>
        <w:keepNext w:val="0"/>
        <w:keepLines w:val="0"/>
        <w:pageBreakBefore w:val="0"/>
        <w:widowControl w:val="0"/>
        <w:kinsoku/>
        <w:wordWrap/>
        <w:overflowPunct/>
        <w:topLinePunct w:val="0"/>
        <w:bidi w:val="0"/>
        <w:spacing w:line="360" w:lineRule="auto"/>
        <w:ind w:left="420"/>
        <w:rPr>
          <w:rFonts w:hint="eastAsia"/>
          <w:color w:val="auto"/>
          <w:szCs w:val="20"/>
          <w:highlight w:val="none"/>
        </w:rPr>
      </w:pPr>
      <w:r>
        <w:rPr>
          <w:rFonts w:hint="eastAsia"/>
          <w:color w:val="auto"/>
          <w:szCs w:val="20"/>
          <w:highlight w:val="none"/>
        </w:rPr>
        <w:t>9.2响应文件未按照采购文件要求签署、盖章；</w:t>
      </w:r>
    </w:p>
    <w:p w14:paraId="5666C9C0">
      <w:pPr>
        <w:pStyle w:val="19"/>
        <w:keepNext w:val="0"/>
        <w:keepLines w:val="0"/>
        <w:pageBreakBefore w:val="0"/>
        <w:widowControl w:val="0"/>
        <w:kinsoku/>
        <w:wordWrap/>
        <w:overflowPunct/>
        <w:topLinePunct w:val="0"/>
        <w:bidi w:val="0"/>
        <w:spacing w:line="360" w:lineRule="auto"/>
        <w:ind w:left="420"/>
        <w:rPr>
          <w:rFonts w:hint="eastAsia"/>
          <w:color w:val="auto"/>
          <w:szCs w:val="20"/>
          <w:highlight w:val="none"/>
        </w:rPr>
      </w:pPr>
      <w:r>
        <w:rPr>
          <w:rFonts w:hint="eastAsia"/>
          <w:color w:val="auto"/>
          <w:szCs w:val="20"/>
          <w:highlight w:val="none"/>
        </w:rPr>
        <w:t>9.3不符合采购文件中规定的资格要求；</w:t>
      </w:r>
    </w:p>
    <w:p w14:paraId="41440EA8">
      <w:pPr>
        <w:pStyle w:val="19"/>
        <w:keepNext w:val="0"/>
        <w:keepLines w:val="0"/>
        <w:pageBreakBefore w:val="0"/>
        <w:widowControl w:val="0"/>
        <w:kinsoku/>
        <w:wordWrap/>
        <w:overflowPunct/>
        <w:topLinePunct w:val="0"/>
        <w:bidi w:val="0"/>
        <w:spacing w:line="360" w:lineRule="auto"/>
        <w:ind w:left="420"/>
        <w:rPr>
          <w:rFonts w:hint="eastAsia"/>
          <w:color w:val="auto"/>
          <w:szCs w:val="20"/>
          <w:highlight w:val="none"/>
        </w:rPr>
      </w:pPr>
      <w:r>
        <w:rPr>
          <w:rFonts w:hint="eastAsia"/>
          <w:color w:val="auto"/>
          <w:szCs w:val="20"/>
          <w:highlight w:val="none"/>
        </w:rPr>
        <w:t>9.4响应报价超过采购文件中规定的预算金额或最高限价；</w:t>
      </w:r>
    </w:p>
    <w:p w14:paraId="1DFDC624">
      <w:pPr>
        <w:pStyle w:val="19"/>
        <w:keepNext w:val="0"/>
        <w:keepLines w:val="0"/>
        <w:pageBreakBefore w:val="0"/>
        <w:widowControl w:val="0"/>
        <w:kinsoku/>
        <w:wordWrap/>
        <w:overflowPunct/>
        <w:topLinePunct w:val="0"/>
        <w:bidi w:val="0"/>
        <w:spacing w:line="360" w:lineRule="auto"/>
        <w:ind w:firstLine="424" w:firstLineChars="202"/>
        <w:rPr>
          <w:rFonts w:hint="eastAsia"/>
          <w:color w:val="auto"/>
          <w:szCs w:val="20"/>
          <w:highlight w:val="none"/>
        </w:rPr>
      </w:pPr>
      <w:r>
        <w:rPr>
          <w:rFonts w:hint="eastAsia"/>
          <w:color w:val="auto"/>
          <w:szCs w:val="20"/>
          <w:highlight w:val="none"/>
        </w:rPr>
        <w:t>9.5磋商小组认为供应商的报价明显低于其他通过符合性审查供应商的报价，有可能影响履约的，且供应商未按照规定证明其报价合理性的；</w:t>
      </w:r>
    </w:p>
    <w:p w14:paraId="7F302DB1">
      <w:pPr>
        <w:pStyle w:val="19"/>
        <w:keepNext w:val="0"/>
        <w:keepLines w:val="0"/>
        <w:pageBreakBefore w:val="0"/>
        <w:widowControl w:val="0"/>
        <w:kinsoku/>
        <w:wordWrap/>
        <w:overflowPunct/>
        <w:topLinePunct w:val="0"/>
        <w:bidi w:val="0"/>
        <w:spacing w:line="360" w:lineRule="auto"/>
        <w:ind w:left="420"/>
        <w:rPr>
          <w:rFonts w:hint="eastAsia"/>
          <w:color w:val="auto"/>
          <w:szCs w:val="20"/>
          <w:highlight w:val="none"/>
        </w:rPr>
      </w:pPr>
      <w:r>
        <w:rPr>
          <w:rFonts w:hint="eastAsia"/>
          <w:color w:val="auto"/>
          <w:szCs w:val="20"/>
          <w:highlight w:val="none"/>
        </w:rPr>
        <w:t>9.6响应文件含有采购人不能接受的附加条件；</w:t>
      </w:r>
    </w:p>
    <w:p w14:paraId="0577459A">
      <w:pPr>
        <w:pStyle w:val="19"/>
        <w:keepNext w:val="0"/>
        <w:keepLines w:val="0"/>
        <w:pageBreakBefore w:val="0"/>
        <w:widowControl w:val="0"/>
        <w:kinsoku/>
        <w:wordWrap/>
        <w:overflowPunct/>
        <w:topLinePunct w:val="0"/>
        <w:bidi w:val="0"/>
        <w:spacing w:line="360" w:lineRule="auto"/>
        <w:ind w:left="420"/>
        <w:rPr>
          <w:rFonts w:hint="eastAsia"/>
          <w:color w:val="auto"/>
          <w:szCs w:val="20"/>
          <w:highlight w:val="none"/>
        </w:rPr>
      </w:pPr>
      <w:r>
        <w:rPr>
          <w:rFonts w:hint="eastAsia"/>
          <w:color w:val="auto"/>
          <w:szCs w:val="20"/>
          <w:highlight w:val="none"/>
        </w:rPr>
        <w:t>9</w:t>
      </w:r>
      <w:r>
        <w:rPr>
          <w:color w:val="auto"/>
          <w:szCs w:val="20"/>
          <w:highlight w:val="none"/>
        </w:rPr>
        <w:t>.</w:t>
      </w:r>
      <w:r>
        <w:rPr>
          <w:rFonts w:hint="eastAsia"/>
          <w:color w:val="auto"/>
          <w:szCs w:val="20"/>
          <w:highlight w:val="none"/>
        </w:rPr>
        <w:t>7有关法律、法规和规章及采购文件规定的其他无效情形。</w:t>
      </w:r>
    </w:p>
    <w:p w14:paraId="7E3974DE">
      <w:pPr>
        <w:pStyle w:val="19"/>
        <w:keepNext w:val="0"/>
        <w:keepLines w:val="0"/>
        <w:pageBreakBefore w:val="0"/>
        <w:widowControl w:val="0"/>
        <w:kinsoku/>
        <w:wordWrap/>
        <w:overflowPunct/>
        <w:topLinePunct w:val="0"/>
        <w:bidi w:val="0"/>
        <w:spacing w:line="360" w:lineRule="auto"/>
        <w:ind w:left="420"/>
        <w:rPr>
          <w:rFonts w:hint="eastAsia"/>
          <w:color w:val="auto"/>
          <w:szCs w:val="20"/>
          <w:highlight w:val="none"/>
        </w:rPr>
      </w:pPr>
    </w:p>
    <w:p w14:paraId="18560007">
      <w:pPr>
        <w:pStyle w:val="3"/>
        <w:keepNext w:val="0"/>
        <w:keepLines w:val="0"/>
        <w:pageBreakBefore w:val="0"/>
        <w:widowControl w:val="0"/>
        <w:numPr>
          <w:ilvl w:val="0"/>
          <w:numId w:val="7"/>
        </w:numPr>
        <w:kinsoku/>
        <w:wordWrap/>
        <w:overflowPunct/>
        <w:topLinePunct w:val="0"/>
        <w:bidi w:val="0"/>
        <w:spacing w:before="120" w:after="120" w:line="360" w:lineRule="auto"/>
        <w:ind w:left="0" w:firstLine="0"/>
        <w:jc w:val="left"/>
        <w:rPr>
          <w:rFonts w:hint="eastAsia" w:ascii="宋体" w:hAnsi="宋体" w:eastAsia="宋体"/>
          <w:color w:val="auto"/>
          <w:sz w:val="21"/>
          <w:szCs w:val="21"/>
          <w:highlight w:val="none"/>
        </w:rPr>
      </w:pPr>
      <w:bookmarkStart w:id="81" w:name="_Toc104040747"/>
      <w:bookmarkStart w:id="82" w:name="_Toc104040693"/>
      <w:bookmarkStart w:id="83" w:name="_Toc3107"/>
      <w:r>
        <w:rPr>
          <w:rFonts w:hint="eastAsia" w:ascii="宋体" w:hAnsi="宋体" w:eastAsia="宋体"/>
          <w:color w:val="auto"/>
          <w:sz w:val="21"/>
          <w:szCs w:val="21"/>
          <w:highlight w:val="none"/>
        </w:rPr>
        <w:t>磋商、评审和结果</w:t>
      </w:r>
      <w:bookmarkEnd w:id="81"/>
      <w:bookmarkEnd w:id="82"/>
      <w:r>
        <w:rPr>
          <w:rFonts w:hint="eastAsia" w:ascii="宋体" w:hAnsi="宋体" w:eastAsia="宋体"/>
          <w:color w:val="auto"/>
          <w:sz w:val="21"/>
          <w:szCs w:val="21"/>
          <w:highlight w:val="none"/>
        </w:rPr>
        <w:t>确认</w:t>
      </w:r>
      <w:bookmarkEnd w:id="83"/>
    </w:p>
    <w:p w14:paraId="6D7155F1">
      <w:pPr>
        <w:pStyle w:val="126"/>
        <w:keepNext w:val="0"/>
        <w:keepLines w:val="0"/>
        <w:pageBreakBefore w:val="0"/>
        <w:widowControl w:val="0"/>
        <w:numPr>
          <w:ilvl w:val="0"/>
          <w:numId w:val="11"/>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响应文件的开启</w:t>
      </w:r>
    </w:p>
    <w:p w14:paraId="48C86F97">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1.1开启程序</w:t>
      </w:r>
    </w:p>
    <w:p w14:paraId="09600FF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工作人员按磋商公告规定的时间进行开启，由采购人或者采购代理机构工作人员宣布供应商名称和采购文件规定的需要宣布的其他内容。</w:t>
      </w:r>
    </w:p>
    <w:p w14:paraId="48380884">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采用现场开启的：供应商的法定代表人或其委托代理人应当携带本人身份证等材料按照本采购公告载明的时间和地点前往参加现场开启会议。</w:t>
      </w:r>
    </w:p>
    <w:p w14:paraId="170880AF">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1.2异议</w:t>
      </w:r>
    </w:p>
    <w:p w14:paraId="5627465B">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供应商代表对开启过程和开启记录有疑义，以及认为采购人、采购代理机构相关工作人员有需要回避的情形的，应当场提出询问或者回避申请。供应商未参加开启的，视同认可开启结果。</w:t>
      </w:r>
    </w:p>
    <w:p w14:paraId="64F9EEA1">
      <w:pPr>
        <w:pStyle w:val="126"/>
        <w:keepNext w:val="0"/>
        <w:keepLines w:val="0"/>
        <w:pageBreakBefore w:val="0"/>
        <w:widowControl w:val="0"/>
        <w:numPr>
          <w:ilvl w:val="0"/>
          <w:numId w:val="11"/>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评审（详见第四章）</w:t>
      </w:r>
    </w:p>
    <w:p w14:paraId="7075D70B">
      <w:pPr>
        <w:pStyle w:val="126"/>
        <w:keepNext w:val="0"/>
        <w:keepLines w:val="0"/>
        <w:pageBreakBefore w:val="0"/>
        <w:widowControl w:val="0"/>
        <w:numPr>
          <w:ilvl w:val="0"/>
          <w:numId w:val="11"/>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成交</w:t>
      </w:r>
    </w:p>
    <w:p w14:paraId="5C016713">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3.1成交结果公告：</w:t>
      </w:r>
    </w:p>
    <w:p w14:paraId="2E339FD3">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成交供应商确定之日起2个工作日内，采购人或采购代理机构将在相关公告发布媒介（与采购公告发布媒介一致）上以公告的形式发布成交结果，结果公告的公告期限为1个工作日。结果公告同时作为采购代理机构通知除成交供应商外的其他供应商没有成交的书面形式，采购代理机构不再以其它方式另行通知。</w:t>
      </w:r>
    </w:p>
    <w:p w14:paraId="0AFF827E">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3.2成交通知书：</w:t>
      </w:r>
    </w:p>
    <w:p w14:paraId="34693994">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采购人或采购代理机构在发布结果公告时，将给成交供应商发送《成交通知书》，《成交通知书》将作为授予合同资格的唯一合法依据。成交通知书发出后，采购人不得违法改变成交结果，成交供应商不得放弃成交。成交供应商放弃成交的，应当依法承担相应的法律责任。</w:t>
      </w:r>
    </w:p>
    <w:p w14:paraId="6BD3E439">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3.3终止公告：</w:t>
      </w:r>
    </w:p>
    <w:p w14:paraId="3CC873DD">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终止磋商采购活动后，采购人或采购代理机构将在相关公告发布媒介（与采购公告发布媒介一致）上发布终止公告，终止公告的公告期限为1个工作日。</w:t>
      </w:r>
    </w:p>
    <w:p w14:paraId="03EA7CB1">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p>
    <w:p w14:paraId="679B4917">
      <w:pPr>
        <w:pStyle w:val="3"/>
        <w:keepNext w:val="0"/>
        <w:keepLines w:val="0"/>
        <w:pageBreakBefore w:val="0"/>
        <w:widowControl w:val="0"/>
        <w:numPr>
          <w:ilvl w:val="0"/>
          <w:numId w:val="7"/>
        </w:numPr>
        <w:kinsoku/>
        <w:wordWrap/>
        <w:overflowPunct/>
        <w:topLinePunct w:val="0"/>
        <w:bidi w:val="0"/>
        <w:spacing w:before="120" w:after="120" w:line="360" w:lineRule="auto"/>
        <w:ind w:left="0" w:firstLine="0"/>
        <w:jc w:val="left"/>
        <w:rPr>
          <w:rFonts w:hint="eastAsia" w:ascii="宋体" w:hAnsi="宋体" w:eastAsia="宋体"/>
          <w:color w:val="auto"/>
          <w:sz w:val="21"/>
          <w:szCs w:val="21"/>
          <w:highlight w:val="none"/>
        </w:rPr>
      </w:pPr>
      <w:bookmarkStart w:id="84" w:name="_Toc16093"/>
      <w:bookmarkStart w:id="85" w:name="_Toc104040694"/>
      <w:bookmarkStart w:id="86" w:name="_Toc104040748"/>
      <w:r>
        <w:rPr>
          <w:rFonts w:hint="eastAsia" w:ascii="宋体" w:hAnsi="宋体" w:eastAsia="宋体"/>
          <w:color w:val="auto"/>
          <w:sz w:val="21"/>
          <w:szCs w:val="21"/>
          <w:highlight w:val="none"/>
        </w:rPr>
        <w:t>询问、质疑与投诉</w:t>
      </w:r>
      <w:bookmarkEnd w:id="84"/>
      <w:bookmarkEnd w:id="85"/>
      <w:bookmarkEnd w:id="86"/>
    </w:p>
    <w:p w14:paraId="15A852ED">
      <w:pPr>
        <w:pStyle w:val="126"/>
        <w:keepNext w:val="0"/>
        <w:keepLines w:val="0"/>
        <w:pageBreakBefore w:val="0"/>
        <w:widowControl w:val="0"/>
        <w:numPr>
          <w:ilvl w:val="0"/>
          <w:numId w:val="12"/>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询问</w:t>
      </w:r>
    </w:p>
    <w:p w14:paraId="2B4BA058">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供应商对政府采购活动事项（磋商文件、采购过程和成交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响应邀请函》中“采购人、采购代理机构的名称、地址和联系方式”。</w:t>
      </w:r>
    </w:p>
    <w:p w14:paraId="7EB5EE6B">
      <w:pPr>
        <w:pStyle w:val="126"/>
        <w:keepNext w:val="0"/>
        <w:keepLines w:val="0"/>
        <w:pageBreakBefore w:val="0"/>
        <w:widowControl w:val="0"/>
        <w:numPr>
          <w:ilvl w:val="0"/>
          <w:numId w:val="12"/>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质疑</w:t>
      </w:r>
    </w:p>
    <w:p w14:paraId="1B82DC48">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2.1供应商认为磋商文件、采购过程和成交结果使自己的权益受到损害的，可以在知道或者应知其权益受到损害之日起七个工作日内，以书面原件形式向采购人或采购代理机构一次性提出针对同一采购程序环节的质疑，逾期质疑无效。</w:t>
      </w:r>
      <w:r>
        <w:rPr>
          <w:rFonts w:hint="eastAsia"/>
          <w:color w:val="auto"/>
          <w:szCs w:val="21"/>
          <w:highlight w:val="none"/>
        </w:rPr>
        <w:t>法定质疑期内针对同一采购程序环节再次提出的质疑，采购人、采购代理机构有权不予答复。</w:t>
      </w:r>
    </w:p>
    <w:p w14:paraId="36842F9A">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供应商应知其权益受到损害之日是指：</w:t>
      </w:r>
    </w:p>
    <w:p w14:paraId="6C2EFF4A">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（1）对磋商文件提出质疑的，为获取磋商文件之日或者磋商文件公告期限届满之日；</w:t>
      </w:r>
    </w:p>
    <w:p w14:paraId="7ECB45B8">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（2）对采购过程提出质疑的，为各采购程序环节结束之日；</w:t>
      </w:r>
    </w:p>
    <w:p w14:paraId="49D724F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（3）对成交结果提出质疑的，为成交结果公告期限届满之日。</w:t>
      </w:r>
    </w:p>
    <w:p w14:paraId="1634767B">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2.2质疑函应当包括下列主要内容：</w:t>
      </w:r>
    </w:p>
    <w:p w14:paraId="69EE32A8">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（1）质疑供应商和相关供应商的名称、地址、邮编、联系人及联系电话等；</w:t>
      </w:r>
    </w:p>
    <w:p w14:paraId="1E69370D">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（2）质疑项目名称及编号、具体明确的质疑事项和与质疑事项相关的请求；</w:t>
      </w:r>
    </w:p>
    <w:p w14:paraId="3FD50FAE">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（3）认为磋商文件、采购过程和成交结果使自己的合法权益受到损害的法律依据、事实依据、相关证明材料及证据来源；</w:t>
      </w:r>
    </w:p>
    <w:p w14:paraId="63B9A26F">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（4）提出质疑的日期。</w:t>
      </w:r>
    </w:p>
    <w:p w14:paraId="1DF9C424">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2.3质疑函应当署名。质疑供应商为自然人的，应当由本人签字；质疑供应商为法人或者其他组织的，应当由法定代表人、主要负责人，或者其授权代表签字或者盖章，并加盖公章。</w:t>
      </w:r>
    </w:p>
    <w:p w14:paraId="5968D655">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2.4以联合体形式参加政府采购活动的，其质疑应当由联合体成员委托主体提出。</w:t>
      </w:r>
    </w:p>
    <w:p w14:paraId="08842E6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2.5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14:paraId="2F4645FE">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w:t>
      </w:r>
      <w:r>
        <w:rPr>
          <w:color w:val="auto"/>
          <w:szCs w:val="20"/>
          <w:highlight w:val="none"/>
        </w:rPr>
        <w:t>.6</w:t>
      </w:r>
      <w:r>
        <w:rPr>
          <w:rFonts w:hint="eastAsia"/>
          <w:color w:val="auto"/>
          <w:szCs w:val="20"/>
          <w:highlight w:val="none"/>
        </w:rPr>
        <w:t xml:space="preserve">质疑联系方式如下： </w:t>
      </w:r>
    </w:p>
    <w:p w14:paraId="71095360">
      <w:pPr>
        <w:pStyle w:val="19"/>
        <w:keepNext w:val="0"/>
        <w:keepLines w:val="0"/>
        <w:pageBreakBefore w:val="0"/>
        <w:widowControl w:val="0"/>
        <w:kinsoku/>
        <w:wordWrap/>
        <w:overflowPunct/>
        <w:topLinePunct w:val="0"/>
        <w:bidi w:val="0"/>
        <w:spacing w:line="360" w:lineRule="auto"/>
        <w:ind w:firstLine="420" w:firstLineChars="200"/>
        <w:rPr>
          <w:rFonts w:hint="eastAsia" w:eastAsia="宋体"/>
          <w:color w:val="auto"/>
          <w:szCs w:val="20"/>
          <w:highlight w:val="none"/>
          <w:lang w:eastAsia="zh-CN"/>
        </w:rPr>
      </w:pPr>
      <w:r>
        <w:rPr>
          <w:rFonts w:hint="eastAsia"/>
          <w:color w:val="auto"/>
          <w:szCs w:val="20"/>
          <w:highlight w:val="none"/>
        </w:rPr>
        <w:t>质疑联系人：</w:t>
      </w:r>
      <w:r>
        <w:rPr>
          <w:rFonts w:hint="eastAsia"/>
          <w:color w:val="auto"/>
          <w:szCs w:val="20"/>
          <w:highlight w:val="none"/>
          <w:lang w:val="en-US" w:eastAsia="zh-CN"/>
        </w:rPr>
        <w:t>杨述文</w:t>
      </w:r>
    </w:p>
    <w:p w14:paraId="56E38D8C">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电话：0756-2666861</w:t>
      </w:r>
    </w:p>
    <w:p w14:paraId="026834DD">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0"/>
          <w:highlight w:val="none"/>
        </w:rPr>
        <w:t>地址：</w:t>
      </w:r>
      <w:bookmarkStart w:id="87" w:name="_Hlk111914743"/>
      <w:r>
        <w:rPr>
          <w:rFonts w:hint="eastAsia"/>
          <w:color w:val="auto"/>
          <w:szCs w:val="21"/>
          <w:highlight w:val="none"/>
        </w:rPr>
        <w:t>广东省珠海市香洲区兴华路</w:t>
      </w:r>
      <w:r>
        <w:rPr>
          <w:color w:val="auto"/>
          <w:szCs w:val="21"/>
          <w:highlight w:val="none"/>
        </w:rPr>
        <w:t>192号</w:t>
      </w:r>
      <w:r>
        <w:rPr>
          <w:rFonts w:hint="eastAsia"/>
          <w:color w:val="auto"/>
          <w:szCs w:val="21"/>
          <w:highlight w:val="none"/>
        </w:rPr>
        <w:t>2号楼4楼公诚管理咨询有限公司</w:t>
      </w:r>
      <w:bookmarkEnd w:id="87"/>
    </w:p>
    <w:p w14:paraId="3D7EE3E1">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1"/>
          <w:highlight w:val="none"/>
        </w:rPr>
        <w:t>邮编：5</w:t>
      </w:r>
      <w:r>
        <w:rPr>
          <w:color w:val="auto"/>
          <w:szCs w:val="21"/>
          <w:highlight w:val="none"/>
        </w:rPr>
        <w:t>19000</w:t>
      </w:r>
    </w:p>
    <w:p w14:paraId="330CC965">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2</w:t>
      </w:r>
      <w:r>
        <w:rPr>
          <w:color w:val="auto"/>
          <w:sz w:val="21"/>
          <w:szCs w:val="21"/>
          <w:highlight w:val="none"/>
          <w:lang w:eastAsia="zh-CN"/>
        </w:rPr>
        <w:t xml:space="preserve">.7 </w:t>
      </w:r>
      <w:r>
        <w:rPr>
          <w:rFonts w:hint="eastAsia"/>
          <w:color w:val="auto"/>
          <w:sz w:val="21"/>
          <w:szCs w:val="21"/>
          <w:highlight w:val="none"/>
          <w:lang w:eastAsia="zh-CN"/>
        </w:rPr>
        <w:t>质疑提交方式</w:t>
      </w:r>
    </w:p>
    <w:p w14:paraId="13A78959">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在法定质疑期内现场提交、邮寄、快递（不接收到付件）。邮寄、快递收件地址和收件人信息详见以上质疑联系方式。</w:t>
      </w:r>
    </w:p>
    <w:p w14:paraId="0069D2BA">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（1）</w:t>
      </w:r>
      <w:r>
        <w:rPr>
          <w:color w:val="auto"/>
          <w:sz w:val="21"/>
          <w:szCs w:val="21"/>
          <w:highlight w:val="none"/>
          <w:lang w:eastAsia="zh-CN"/>
        </w:rPr>
        <w:t>以邮寄、快递方式递交的，质疑提起日期应当以邮寄件上的戳记日期、邮政快递件上的戳记日期或非邮政快递件上的签注日期，受理日期为</w:t>
      </w:r>
      <w:r>
        <w:rPr>
          <w:rFonts w:hint="eastAsia"/>
          <w:color w:val="auto"/>
          <w:sz w:val="21"/>
          <w:szCs w:val="21"/>
          <w:highlight w:val="none"/>
          <w:lang w:eastAsia="zh-CN"/>
        </w:rPr>
        <w:t>公诚管理咨询有限公司</w:t>
      </w:r>
      <w:r>
        <w:rPr>
          <w:color w:val="auto"/>
          <w:sz w:val="21"/>
          <w:szCs w:val="21"/>
          <w:highlight w:val="none"/>
          <w:lang w:eastAsia="zh-CN"/>
        </w:rPr>
        <w:t>收到符合规定的质疑材料之日。若质疑材料不符合受理条件的，</w:t>
      </w:r>
      <w:r>
        <w:rPr>
          <w:rFonts w:hint="eastAsia"/>
          <w:color w:val="auto"/>
          <w:sz w:val="21"/>
          <w:szCs w:val="21"/>
          <w:highlight w:val="none"/>
          <w:lang w:eastAsia="zh-CN"/>
        </w:rPr>
        <w:t>公诚管理咨询有限公司</w:t>
      </w:r>
      <w:r>
        <w:rPr>
          <w:color w:val="auto"/>
          <w:sz w:val="21"/>
          <w:szCs w:val="21"/>
          <w:highlight w:val="none"/>
          <w:lang w:eastAsia="zh-CN"/>
        </w:rPr>
        <w:t>向供应商出具</w:t>
      </w:r>
      <w:r>
        <w:rPr>
          <w:rFonts w:hint="eastAsia"/>
          <w:color w:val="auto"/>
          <w:sz w:val="21"/>
          <w:szCs w:val="21"/>
          <w:highlight w:val="none"/>
          <w:lang w:eastAsia="zh-CN"/>
        </w:rPr>
        <w:t>质疑补正通知书或无效质疑告知书</w:t>
      </w:r>
      <w:r>
        <w:rPr>
          <w:color w:val="auto"/>
          <w:sz w:val="21"/>
          <w:szCs w:val="21"/>
          <w:highlight w:val="none"/>
          <w:lang w:eastAsia="zh-CN"/>
        </w:rPr>
        <w:t>。</w:t>
      </w:r>
    </w:p>
    <w:p w14:paraId="0F9CC101">
      <w:pPr>
        <w:pStyle w:val="19"/>
        <w:keepNext w:val="0"/>
        <w:keepLines w:val="0"/>
        <w:pageBreakBefore w:val="0"/>
        <w:widowControl w:val="0"/>
        <w:kinsoku/>
        <w:wordWrap/>
        <w:overflowPunct/>
        <w:topLinePunct w:val="0"/>
        <w:bidi w:val="0"/>
        <w:spacing w:line="360" w:lineRule="auto"/>
        <w:ind w:firstLine="420" w:firstLineChars="200"/>
        <w:jc w:val="left"/>
        <w:rPr>
          <w:rFonts w:hint="eastAsia"/>
          <w:color w:val="auto"/>
          <w:szCs w:val="21"/>
          <w:highlight w:val="none"/>
        </w:rPr>
      </w:pPr>
      <w:r>
        <w:rPr>
          <w:rFonts w:hint="eastAsia"/>
          <w:color w:val="auto"/>
          <w:szCs w:val="21"/>
          <w:highlight w:val="none"/>
        </w:rPr>
        <w:t>（2）</w:t>
      </w:r>
      <w:r>
        <w:rPr>
          <w:color w:val="auto"/>
          <w:szCs w:val="21"/>
          <w:highlight w:val="none"/>
        </w:rPr>
        <w:t>以邮寄、快递方式递交质疑函的，质疑人可以在质疑有效期内通过电话</w:t>
      </w:r>
      <w:r>
        <w:rPr>
          <w:rFonts w:hint="eastAsia"/>
          <w:color w:val="auto"/>
          <w:szCs w:val="21"/>
          <w:highlight w:val="none"/>
        </w:rPr>
        <w:t>、邮件等</w:t>
      </w:r>
      <w:r>
        <w:rPr>
          <w:color w:val="auto"/>
          <w:szCs w:val="21"/>
          <w:highlight w:val="none"/>
        </w:rPr>
        <w:t>方式及时将质疑事项告知</w:t>
      </w:r>
      <w:r>
        <w:rPr>
          <w:rFonts w:hint="eastAsia"/>
          <w:color w:val="auto"/>
          <w:szCs w:val="21"/>
          <w:highlight w:val="none"/>
        </w:rPr>
        <w:t>公诚管理咨询有限公司</w:t>
      </w:r>
      <w:r>
        <w:rPr>
          <w:color w:val="auto"/>
          <w:szCs w:val="21"/>
          <w:highlight w:val="none"/>
        </w:rPr>
        <w:t>，同时提供邮寄件、快递件的有效查询方式。递交质疑函后，质疑人可以通过电子邮件等方式将质疑函的文字内容发送至</w:t>
      </w:r>
      <w:r>
        <w:rPr>
          <w:rFonts w:hint="eastAsia"/>
          <w:color w:val="auto"/>
          <w:szCs w:val="21"/>
          <w:highlight w:val="none"/>
        </w:rPr>
        <w:t>公诚管理咨询有限公司</w:t>
      </w:r>
      <w:r>
        <w:rPr>
          <w:color w:val="auto"/>
          <w:szCs w:val="21"/>
          <w:highlight w:val="none"/>
        </w:rPr>
        <w:t>电子邮箱（</w:t>
      </w:r>
      <w:r>
        <w:rPr>
          <w:rFonts w:hint="eastAsia"/>
          <w:color w:val="auto"/>
          <w:szCs w:val="21"/>
          <w:highlight w:val="none"/>
          <w:lang w:eastAsia="zh-CN"/>
        </w:rPr>
        <w:t>yangshuwen</w:t>
      </w:r>
      <w:r>
        <w:rPr>
          <w:color w:val="auto"/>
          <w:szCs w:val="21"/>
          <w:highlight w:val="none"/>
        </w:rPr>
        <w:t>.gcmc.gd@chinaccs.cn）</w:t>
      </w:r>
      <w:r>
        <w:rPr>
          <w:rFonts w:hint="eastAsia"/>
          <w:color w:val="auto"/>
          <w:szCs w:val="21"/>
          <w:highlight w:val="none"/>
        </w:rPr>
        <w:t>，并且在工作日时间（</w:t>
      </w:r>
      <w:r>
        <w:rPr>
          <w:color w:val="auto"/>
          <w:szCs w:val="21"/>
          <w:highlight w:val="none"/>
        </w:rPr>
        <w:t>8:30-12:00和14:00-17:30）电话告知采购代理机构</w:t>
      </w:r>
      <w:r>
        <w:rPr>
          <w:rFonts w:hint="eastAsia"/>
          <w:color w:val="auto"/>
          <w:szCs w:val="21"/>
          <w:highlight w:val="none"/>
        </w:rPr>
        <w:t>查收。</w:t>
      </w:r>
    </w:p>
    <w:p w14:paraId="5D4961E5">
      <w:pPr>
        <w:pStyle w:val="19"/>
        <w:keepNext w:val="0"/>
        <w:keepLines w:val="0"/>
        <w:pageBreakBefore w:val="0"/>
        <w:widowControl w:val="0"/>
        <w:kinsoku/>
        <w:wordWrap/>
        <w:overflowPunct/>
        <w:topLinePunct w:val="0"/>
        <w:bidi w:val="0"/>
        <w:spacing w:line="360" w:lineRule="auto"/>
        <w:ind w:firstLine="420" w:firstLineChars="200"/>
        <w:jc w:val="left"/>
        <w:rPr>
          <w:rFonts w:hint="eastAsia" w:eastAsia="宋体"/>
          <w:color w:val="auto"/>
          <w:szCs w:val="21"/>
          <w:highlight w:val="none"/>
          <w:lang w:eastAsia="zh-CN"/>
        </w:rPr>
      </w:pPr>
      <w:r>
        <w:rPr>
          <w:rFonts w:hint="eastAsia"/>
          <w:color w:val="auto"/>
          <w:szCs w:val="21"/>
          <w:highlight w:val="none"/>
          <w:lang w:eastAsia="zh-CN"/>
        </w:rPr>
        <w:t>（</w:t>
      </w:r>
      <w:r>
        <w:rPr>
          <w:rFonts w:hint="eastAsia"/>
          <w:color w:val="auto"/>
          <w:szCs w:val="21"/>
          <w:highlight w:val="none"/>
          <w:lang w:val="en-US" w:eastAsia="zh-CN"/>
        </w:rPr>
        <w:t>3</w:t>
      </w:r>
      <w:r>
        <w:rPr>
          <w:rFonts w:hint="eastAsia"/>
          <w:color w:val="auto"/>
          <w:szCs w:val="21"/>
          <w:highlight w:val="none"/>
          <w:lang w:eastAsia="zh-CN"/>
        </w:rPr>
        <w:t>）</w:t>
      </w:r>
      <w:r>
        <w:rPr>
          <w:rFonts w:hint="eastAsia"/>
          <w:color w:val="auto"/>
          <w:sz w:val="21"/>
          <w:szCs w:val="21"/>
          <w:highlight w:val="none"/>
          <w:lang w:val="en-US" w:eastAsia="zh-CN"/>
        </w:rPr>
        <w:t>质疑答复结果将通过现场领取或邮寄</w:t>
      </w:r>
      <w:r>
        <w:rPr>
          <w:rFonts w:hint="eastAsia"/>
          <w:color w:val="auto"/>
          <w:sz w:val="21"/>
          <w:szCs w:val="21"/>
          <w:highlight w:val="none"/>
        </w:rPr>
        <w:t>或快递</w:t>
      </w:r>
      <w:r>
        <w:rPr>
          <w:rFonts w:hint="eastAsia"/>
          <w:color w:val="auto"/>
          <w:sz w:val="21"/>
          <w:szCs w:val="21"/>
          <w:highlight w:val="none"/>
          <w:lang w:val="en-US" w:eastAsia="zh-CN"/>
        </w:rPr>
        <w:t>或电子邮件等书面形式送达质疑供应商，请质疑供应商及时查收质疑答复结果。</w:t>
      </w:r>
    </w:p>
    <w:p w14:paraId="7594CDA9">
      <w:pPr>
        <w:pStyle w:val="126"/>
        <w:keepNext w:val="0"/>
        <w:keepLines w:val="0"/>
        <w:pageBreakBefore w:val="0"/>
        <w:widowControl w:val="0"/>
        <w:numPr>
          <w:ilvl w:val="0"/>
          <w:numId w:val="12"/>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投诉</w:t>
      </w:r>
    </w:p>
    <w:p w14:paraId="5293AEEF">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质疑人对采购人或采购代理机构的质疑答复不满意或在规定时间内未得到答复的，可以在答复期满后15个工作日内，向本项目监督管理部门提起投诉。</w:t>
      </w:r>
    </w:p>
    <w:p w14:paraId="1B1B9839">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p>
    <w:p w14:paraId="614261A7">
      <w:pPr>
        <w:pStyle w:val="3"/>
        <w:keepNext w:val="0"/>
        <w:keepLines w:val="0"/>
        <w:pageBreakBefore w:val="0"/>
        <w:widowControl w:val="0"/>
        <w:numPr>
          <w:ilvl w:val="0"/>
          <w:numId w:val="7"/>
        </w:numPr>
        <w:kinsoku/>
        <w:wordWrap/>
        <w:overflowPunct/>
        <w:topLinePunct w:val="0"/>
        <w:bidi w:val="0"/>
        <w:spacing w:before="120" w:after="120" w:line="360" w:lineRule="auto"/>
        <w:ind w:left="0" w:firstLine="0"/>
        <w:jc w:val="left"/>
        <w:rPr>
          <w:rFonts w:hint="eastAsia" w:ascii="宋体" w:hAnsi="宋体" w:eastAsia="宋体"/>
          <w:color w:val="auto"/>
          <w:sz w:val="21"/>
          <w:szCs w:val="21"/>
          <w:highlight w:val="none"/>
        </w:rPr>
      </w:pPr>
      <w:bookmarkStart w:id="88" w:name="_Toc15196"/>
      <w:bookmarkStart w:id="89" w:name="_Toc104040749"/>
      <w:bookmarkStart w:id="90" w:name="_Toc104040695"/>
      <w:r>
        <w:rPr>
          <w:rFonts w:hint="eastAsia" w:ascii="宋体" w:hAnsi="宋体" w:eastAsia="宋体"/>
          <w:color w:val="auto"/>
          <w:sz w:val="21"/>
          <w:szCs w:val="21"/>
          <w:highlight w:val="none"/>
        </w:rPr>
        <w:t>合同签订和履行</w:t>
      </w:r>
      <w:bookmarkEnd w:id="88"/>
      <w:bookmarkEnd w:id="89"/>
      <w:bookmarkEnd w:id="90"/>
    </w:p>
    <w:p w14:paraId="7E714D30">
      <w:pPr>
        <w:pStyle w:val="126"/>
        <w:keepNext w:val="0"/>
        <w:keepLines w:val="0"/>
        <w:pageBreakBefore w:val="0"/>
        <w:widowControl w:val="0"/>
        <w:numPr>
          <w:ilvl w:val="0"/>
          <w:numId w:val="13"/>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合同签订</w:t>
      </w:r>
    </w:p>
    <w:p w14:paraId="10CB1E6B">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1.1采购人应当自《成交通知书》发出之日起三十日内，按照磋商文件和成交供应商响应文件的约定，与成交供应商签订合同。所签订的合同不得对磋商文件和成交供应商响应文件作实质性修改。</w:t>
      </w:r>
    </w:p>
    <w:p w14:paraId="1F9A08B3">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1.2采购人不得提出试用合格等任何不合理的要求作为签订合同的条件，且不得与成交供应商私下订立背离合同实质性内容的协议。</w:t>
      </w:r>
    </w:p>
    <w:p w14:paraId="41FE7973">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bookmarkStart w:id="91" w:name="_Hlk175747511"/>
      <w:r>
        <w:rPr>
          <w:rFonts w:hint="eastAsia"/>
          <w:color w:val="auto"/>
          <w:sz w:val="21"/>
          <w:szCs w:val="21"/>
          <w:highlight w:val="none"/>
          <w:lang w:eastAsia="zh-CN"/>
        </w:rPr>
        <w:t>1.3合同条款中应规定，</w:t>
      </w:r>
      <w:bookmarkStart w:id="92" w:name="_Hlk175737978"/>
      <w:r>
        <w:rPr>
          <w:rFonts w:hint="eastAsia"/>
          <w:color w:val="auto"/>
          <w:sz w:val="21"/>
          <w:szCs w:val="21"/>
          <w:highlight w:val="none"/>
          <w:lang w:eastAsia="zh-CN"/>
        </w:rPr>
        <w:t>乙方完全遵守《中华人民共和国劳动合同法》有关规定和《中华人民共和国妇女权益保障法》中关于“劳动和社会保障权益”的有关要求。</w:t>
      </w:r>
      <w:bookmarkEnd w:id="92"/>
    </w:p>
    <w:p w14:paraId="188955C4">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1</w:t>
      </w:r>
      <w:r>
        <w:rPr>
          <w:color w:val="auto"/>
          <w:sz w:val="21"/>
          <w:szCs w:val="21"/>
          <w:highlight w:val="none"/>
          <w:lang w:eastAsia="zh-CN"/>
        </w:rPr>
        <w:t>.</w:t>
      </w:r>
      <w:r>
        <w:rPr>
          <w:rFonts w:hint="eastAsia"/>
          <w:color w:val="auto"/>
          <w:sz w:val="21"/>
          <w:szCs w:val="21"/>
          <w:highlight w:val="none"/>
          <w:lang w:eastAsia="zh-CN"/>
        </w:rPr>
        <w:t>4成交人拒绝签订政府采购合同（包括但不限于放弃成交、因不可抗力不能履行合同而放弃签订合同），采购人可以按照评审报告推荐的成交候选人名单排序，确定下一候选人为成交供应商，也可以重新开展采购活动。</w:t>
      </w:r>
    </w:p>
    <w:p w14:paraId="4592670C">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1</w:t>
      </w:r>
      <w:r>
        <w:rPr>
          <w:color w:val="auto"/>
          <w:sz w:val="21"/>
          <w:szCs w:val="21"/>
          <w:highlight w:val="none"/>
          <w:lang w:eastAsia="zh-CN"/>
        </w:rPr>
        <w:t>.</w:t>
      </w:r>
      <w:r>
        <w:rPr>
          <w:rFonts w:hint="eastAsia"/>
          <w:color w:val="auto"/>
          <w:sz w:val="21"/>
          <w:szCs w:val="21"/>
          <w:highlight w:val="none"/>
          <w:lang w:eastAsia="zh-CN"/>
        </w:rPr>
        <w:t>5签订合同后，成交人不得将货物及其他相关服务进行转包。未经采购人同意，成交人也不得采用分包的形式履行合同，否则采购人有权终止合同，成交人的履约保证金（如有）将不予退还。转包或分包造成采购人损失的，成交人应承担相应赔偿责任。</w:t>
      </w:r>
    </w:p>
    <w:bookmarkEnd w:id="91"/>
    <w:p w14:paraId="7FCEF47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bookmarkStart w:id="93" w:name="_Hlk112008176"/>
      <w:r>
        <w:rPr>
          <w:rFonts w:hint="eastAsia"/>
          <w:color w:val="auto"/>
          <w:szCs w:val="20"/>
          <w:highlight w:val="none"/>
        </w:rPr>
        <w:t>1.6采购人应当自政府采购合同签订之日起2个工作日内，将政府采购合同在省级以上人民政府财政部门指定的媒体上公告，但政府采购合同中涉及国家秘密、商业秘密的内容除外。</w:t>
      </w:r>
    </w:p>
    <w:bookmarkEnd w:id="93"/>
    <w:p w14:paraId="4D50D2CA">
      <w:pPr>
        <w:pStyle w:val="126"/>
        <w:keepNext w:val="0"/>
        <w:keepLines w:val="0"/>
        <w:pageBreakBefore w:val="0"/>
        <w:widowControl w:val="0"/>
        <w:numPr>
          <w:ilvl w:val="0"/>
          <w:numId w:val="13"/>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合同的履行</w:t>
      </w:r>
    </w:p>
    <w:p w14:paraId="113BF8ED">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2.1政府采购合同订立后，合同各方不得擅自变更、中止或者终止合同。政府采购合同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14:paraId="3171FAD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w:t>
      </w:r>
      <w:r>
        <w:rPr>
          <w:color w:val="auto"/>
          <w:szCs w:val="20"/>
          <w:highlight w:val="none"/>
        </w:rPr>
        <w:t>.2</w:t>
      </w:r>
      <w:r>
        <w:rPr>
          <w:rFonts w:hint="eastAsia"/>
          <w:color w:val="auto"/>
          <w:szCs w:val="20"/>
          <w:highlight w:val="none"/>
        </w:rPr>
        <w:t>政府采购合同履行中，采购人需追加与合同标的相同的货物、工程或者服务的，在不改变合同其他条款的前提下，可以与成交供应商签订补充合同，但所补充合同的采购金额不得超过原采购金额的10%。</w:t>
      </w:r>
    </w:p>
    <w:p w14:paraId="71163C44">
      <w:pPr>
        <w:pStyle w:val="126"/>
        <w:keepNext w:val="0"/>
        <w:keepLines w:val="0"/>
        <w:pageBreakBefore w:val="0"/>
        <w:widowControl w:val="0"/>
        <w:numPr>
          <w:ilvl w:val="0"/>
          <w:numId w:val="13"/>
        </w:numPr>
        <w:kinsoku/>
        <w:wordWrap/>
        <w:overflowPunct/>
        <w:topLinePunct w:val="0"/>
        <w:bidi w:val="0"/>
        <w:spacing w:before="120" w:beforeLines="50" w:after="120" w:afterLines="50" w:line="360" w:lineRule="auto"/>
        <w:outlineLvl w:val="2"/>
        <w:rPr>
          <w:rFonts w:hint="eastAsia" w:ascii="宋体" w:hAnsi="宋体"/>
          <w:b/>
          <w:bCs/>
          <w:color w:val="auto"/>
          <w:highlight w:val="none"/>
          <w:lang w:eastAsia="zh-CN"/>
        </w:rPr>
      </w:pPr>
      <w:r>
        <w:rPr>
          <w:rFonts w:hint="eastAsia" w:ascii="宋体" w:hAnsi="宋体"/>
          <w:b/>
          <w:bCs/>
          <w:color w:val="auto"/>
          <w:highlight w:val="none"/>
          <w:lang w:eastAsia="zh-CN"/>
        </w:rPr>
        <w:t>履约保证金不予退还情形</w:t>
      </w:r>
    </w:p>
    <w:p w14:paraId="19A530FF">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3</w:t>
      </w:r>
      <w:r>
        <w:rPr>
          <w:color w:val="auto"/>
          <w:sz w:val="21"/>
          <w:szCs w:val="21"/>
          <w:highlight w:val="none"/>
          <w:lang w:eastAsia="zh-CN"/>
        </w:rPr>
        <w:t>.1</w:t>
      </w:r>
      <w:r>
        <w:rPr>
          <w:rFonts w:hint="eastAsia"/>
          <w:color w:val="auto"/>
          <w:sz w:val="21"/>
          <w:szCs w:val="21"/>
          <w:highlight w:val="none"/>
          <w:lang w:eastAsia="zh-CN"/>
        </w:rPr>
        <w:t>成交人不履行与采购人订立合同的，履约保证金不予退还，给采购人造成的损失超过履约保证金数额的，还应当对超过部分予以赔偿；</w:t>
      </w:r>
    </w:p>
    <w:p w14:paraId="5DE7F88E">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3</w:t>
      </w:r>
      <w:r>
        <w:rPr>
          <w:color w:val="auto"/>
          <w:sz w:val="21"/>
          <w:szCs w:val="21"/>
          <w:highlight w:val="none"/>
          <w:lang w:eastAsia="zh-CN"/>
        </w:rPr>
        <w:t>.2</w:t>
      </w:r>
      <w:r>
        <w:rPr>
          <w:rFonts w:hint="eastAsia"/>
          <w:color w:val="auto"/>
          <w:sz w:val="21"/>
          <w:szCs w:val="21"/>
          <w:highlight w:val="none"/>
          <w:lang w:eastAsia="zh-CN"/>
        </w:rPr>
        <w:t>项目验收结果不合格的，履约保证金将不予退还；</w:t>
      </w:r>
    </w:p>
    <w:p w14:paraId="3E284BD1">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3</w:t>
      </w:r>
      <w:r>
        <w:rPr>
          <w:color w:val="auto"/>
          <w:sz w:val="21"/>
          <w:szCs w:val="21"/>
          <w:highlight w:val="none"/>
          <w:lang w:eastAsia="zh-CN"/>
        </w:rPr>
        <w:t>.3</w:t>
      </w:r>
      <w:r>
        <w:rPr>
          <w:rFonts w:hint="eastAsia"/>
          <w:color w:val="auto"/>
          <w:sz w:val="21"/>
          <w:szCs w:val="21"/>
          <w:highlight w:val="none"/>
          <w:lang w:eastAsia="zh-CN"/>
        </w:rPr>
        <w:t>其他违反国家相关法律法规的情形。</w:t>
      </w:r>
    </w:p>
    <w:p w14:paraId="2DF78F74">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p>
    <w:bookmarkEnd w:id="6"/>
    <w:p w14:paraId="1542AE09">
      <w:pPr>
        <w:keepNext w:val="0"/>
        <w:keepLines w:val="0"/>
        <w:pageBreakBefore w:val="0"/>
        <w:widowControl w:val="0"/>
        <w:kinsoku/>
        <w:wordWrap/>
        <w:overflowPunct/>
        <w:topLinePunct w:val="0"/>
        <w:bidi w:val="0"/>
        <w:spacing w:line="360" w:lineRule="auto"/>
        <w:rPr>
          <w:rFonts w:hint="eastAsia"/>
          <w:b/>
          <w:bCs/>
          <w:color w:val="auto"/>
          <w:kern w:val="44"/>
          <w:sz w:val="36"/>
          <w:szCs w:val="36"/>
          <w:highlight w:val="none"/>
        </w:rPr>
      </w:pPr>
      <w:bookmarkStart w:id="94" w:name="_Toc103033213"/>
      <w:bookmarkStart w:id="95" w:name="_Toc35342046"/>
      <w:bookmarkStart w:id="96" w:name="_Toc50864444"/>
      <w:bookmarkStart w:id="97" w:name="_Toc102936912"/>
      <w:bookmarkStart w:id="98" w:name="_Toc67046845"/>
      <w:r>
        <w:rPr>
          <w:color w:val="auto"/>
          <w:sz w:val="36"/>
          <w:szCs w:val="36"/>
          <w:highlight w:val="none"/>
        </w:rPr>
        <w:br w:type="page"/>
      </w:r>
    </w:p>
    <w:p w14:paraId="4648BA19">
      <w:pPr>
        <w:pStyle w:val="2"/>
        <w:keepNext w:val="0"/>
        <w:keepLines w:val="0"/>
        <w:pageBreakBefore w:val="0"/>
        <w:widowControl w:val="0"/>
        <w:kinsoku/>
        <w:wordWrap/>
        <w:overflowPunct/>
        <w:topLinePunct w:val="0"/>
        <w:bidi w:val="0"/>
        <w:spacing w:before="0" w:after="0" w:line="360" w:lineRule="auto"/>
        <w:rPr>
          <w:rFonts w:hint="eastAsia" w:eastAsia="宋体"/>
          <w:color w:val="auto"/>
          <w:sz w:val="24"/>
          <w:szCs w:val="24"/>
          <w:highlight w:val="none"/>
        </w:rPr>
      </w:pPr>
      <w:bookmarkStart w:id="99" w:name="_Toc103216636"/>
      <w:bookmarkStart w:id="100" w:name="_Toc26373"/>
      <w:bookmarkStart w:id="101" w:name="_Toc104040750"/>
      <w:bookmarkStart w:id="102" w:name="_Toc104040696"/>
      <w:r>
        <w:rPr>
          <w:rFonts w:hint="eastAsia" w:eastAsia="宋体"/>
          <w:color w:val="auto"/>
          <w:sz w:val="24"/>
          <w:szCs w:val="24"/>
          <w:highlight w:val="none"/>
        </w:rPr>
        <w:t>第四章 评审</w:t>
      </w:r>
      <w:bookmarkEnd w:id="94"/>
      <w:bookmarkEnd w:id="95"/>
      <w:bookmarkEnd w:id="96"/>
      <w:bookmarkEnd w:id="97"/>
      <w:bookmarkEnd w:id="99"/>
      <w:bookmarkEnd w:id="100"/>
      <w:bookmarkEnd w:id="101"/>
      <w:bookmarkEnd w:id="102"/>
    </w:p>
    <w:p w14:paraId="5701053F">
      <w:pPr>
        <w:pStyle w:val="3"/>
        <w:keepNext w:val="0"/>
        <w:keepLines w:val="0"/>
        <w:pageBreakBefore w:val="0"/>
        <w:widowControl w:val="0"/>
        <w:numPr>
          <w:ilvl w:val="0"/>
          <w:numId w:val="14"/>
        </w:numPr>
        <w:kinsoku/>
        <w:wordWrap/>
        <w:overflowPunct/>
        <w:topLinePunct w:val="0"/>
        <w:bidi w:val="0"/>
        <w:spacing w:before="120" w:after="120" w:line="360" w:lineRule="auto"/>
        <w:jc w:val="left"/>
        <w:rPr>
          <w:rFonts w:hint="eastAsia" w:ascii="宋体" w:hAnsi="宋体" w:eastAsia="宋体"/>
          <w:color w:val="auto"/>
          <w:sz w:val="21"/>
          <w:szCs w:val="21"/>
          <w:highlight w:val="none"/>
        </w:rPr>
      </w:pPr>
      <w:bookmarkStart w:id="103" w:name="_Toc104040697"/>
      <w:bookmarkStart w:id="104" w:name="_Toc104040751"/>
      <w:bookmarkStart w:id="105" w:name="_Toc8969"/>
      <w:r>
        <w:rPr>
          <w:rFonts w:hint="eastAsia" w:ascii="宋体" w:hAnsi="宋体" w:eastAsia="宋体"/>
          <w:color w:val="auto"/>
          <w:sz w:val="21"/>
          <w:szCs w:val="21"/>
          <w:highlight w:val="none"/>
        </w:rPr>
        <w:t>评审要求</w:t>
      </w:r>
      <w:bookmarkEnd w:id="103"/>
      <w:bookmarkEnd w:id="104"/>
      <w:bookmarkEnd w:id="105"/>
    </w:p>
    <w:p w14:paraId="72A68BBD">
      <w:pPr>
        <w:pStyle w:val="126"/>
        <w:keepNext w:val="0"/>
        <w:keepLines w:val="0"/>
        <w:pageBreakBefore w:val="0"/>
        <w:widowControl w:val="0"/>
        <w:numPr>
          <w:ilvl w:val="0"/>
          <w:numId w:val="15"/>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评审方法</w:t>
      </w:r>
    </w:p>
    <w:p w14:paraId="182643A4">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综合评分法,是指响应文件满足磋商文件全部实质性要求，且按照评审因素的量化指标评审得分最高的供应商为成交候选人的评标方法。（最低报价不是成交的唯一依据。）</w:t>
      </w:r>
    </w:p>
    <w:p w14:paraId="7502D8A1">
      <w:pPr>
        <w:pStyle w:val="126"/>
        <w:keepNext w:val="0"/>
        <w:keepLines w:val="0"/>
        <w:pageBreakBefore w:val="0"/>
        <w:widowControl w:val="0"/>
        <w:numPr>
          <w:ilvl w:val="0"/>
          <w:numId w:val="15"/>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评审原则</w:t>
      </w:r>
    </w:p>
    <w:p w14:paraId="4FBE8F7E">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2.1评审活动遵循公平、公正、科学和择优的原则，以磋商文件和响应文件为评审的基本依据，并按照磋商文件规定的评审方法和评审标准进行评审。</w:t>
      </w:r>
    </w:p>
    <w:p w14:paraId="1ED2211F">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2</w:t>
      </w:r>
      <w:r>
        <w:rPr>
          <w:bCs/>
          <w:color w:val="auto"/>
          <w:szCs w:val="21"/>
          <w:highlight w:val="none"/>
        </w:rPr>
        <w:t>.2</w:t>
      </w:r>
      <w:r>
        <w:rPr>
          <w:rFonts w:hint="eastAsia"/>
          <w:bCs/>
          <w:color w:val="auto"/>
          <w:szCs w:val="21"/>
          <w:highlight w:val="none"/>
        </w:rPr>
        <w:t>具体评审事项由磋商小组负责，并按磋商文件的规定办法进行评审。对磋商文件中描述有歧义或前后不一致的地方，磋商小组有权按法律法规的规定进行评判，但对同一条款的评判应适用于每个响应供应商。</w:t>
      </w:r>
    </w:p>
    <w:p w14:paraId="777781E3">
      <w:pPr>
        <w:pStyle w:val="126"/>
        <w:keepNext w:val="0"/>
        <w:keepLines w:val="0"/>
        <w:pageBreakBefore w:val="0"/>
        <w:widowControl w:val="0"/>
        <w:numPr>
          <w:ilvl w:val="0"/>
          <w:numId w:val="15"/>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磋商小组</w:t>
      </w:r>
    </w:p>
    <w:p w14:paraId="05177DD2">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kern w:val="1"/>
          <w:szCs w:val="21"/>
          <w:highlight w:val="none"/>
        </w:rPr>
      </w:pPr>
      <w:r>
        <w:rPr>
          <w:rFonts w:hint="eastAsia"/>
          <w:bCs/>
          <w:color w:val="auto"/>
          <w:kern w:val="1"/>
          <w:szCs w:val="21"/>
          <w:highlight w:val="none"/>
        </w:rPr>
        <w:t>3.1磋商小组由采购人代表和评审专家组成，成员人数应当为3人及以上单数，其中技术、经济等方面的评审专家不得少于成员总数的三分之二。</w:t>
      </w:r>
    </w:p>
    <w:p w14:paraId="3BF1C539">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kern w:val="1"/>
          <w:szCs w:val="21"/>
          <w:highlight w:val="none"/>
        </w:rPr>
      </w:pPr>
      <w:r>
        <w:rPr>
          <w:rFonts w:hint="eastAsia"/>
          <w:bCs/>
          <w:color w:val="auto"/>
          <w:kern w:val="1"/>
          <w:szCs w:val="21"/>
          <w:highlight w:val="none"/>
        </w:rPr>
        <w:t>3.2评审应遵守下列评审纪律：</w:t>
      </w:r>
    </w:p>
    <w:p w14:paraId="7CD8CA1D">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kern w:val="1"/>
          <w:szCs w:val="21"/>
          <w:highlight w:val="none"/>
        </w:rPr>
      </w:pPr>
      <w:r>
        <w:rPr>
          <w:rFonts w:hint="eastAsia"/>
          <w:bCs/>
          <w:color w:val="auto"/>
          <w:kern w:val="1"/>
          <w:szCs w:val="21"/>
          <w:highlight w:val="none"/>
        </w:rPr>
        <w:t>（1）评审情况不得私自外泄，有关信息由公诚管理咨询有限公司统一对外发布。</w:t>
      </w:r>
    </w:p>
    <w:p w14:paraId="396C351C">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kern w:val="1"/>
          <w:szCs w:val="21"/>
          <w:highlight w:val="none"/>
        </w:rPr>
      </w:pPr>
      <w:r>
        <w:rPr>
          <w:rFonts w:hint="eastAsia"/>
          <w:bCs/>
          <w:color w:val="auto"/>
          <w:kern w:val="1"/>
          <w:szCs w:val="21"/>
          <w:highlight w:val="none"/>
        </w:rPr>
        <w:t>（2）对公诚管理咨询有限公司或供应商提供的要求保密的资料，不得摘记翻印和外传。</w:t>
      </w:r>
    </w:p>
    <w:p w14:paraId="4EFD663B">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kern w:val="1"/>
          <w:szCs w:val="21"/>
          <w:highlight w:val="none"/>
        </w:rPr>
      </w:pPr>
      <w:r>
        <w:rPr>
          <w:rFonts w:hint="eastAsia"/>
          <w:bCs/>
          <w:color w:val="auto"/>
          <w:kern w:val="1"/>
          <w:szCs w:val="21"/>
          <w:highlight w:val="none"/>
        </w:rPr>
        <w:t>（3）不得收受响应供应商或有关人员的任何礼物，不得串联鼓动其他人袒护某供应商。若与供应商存在利害关系，则应主动声明并回避。</w:t>
      </w:r>
    </w:p>
    <w:p w14:paraId="418774B6">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kern w:val="1"/>
          <w:szCs w:val="21"/>
          <w:highlight w:val="none"/>
        </w:rPr>
      </w:pPr>
      <w:r>
        <w:rPr>
          <w:rFonts w:hint="eastAsia"/>
          <w:bCs/>
          <w:color w:val="auto"/>
          <w:kern w:val="1"/>
          <w:szCs w:val="21"/>
          <w:highlight w:val="none"/>
        </w:rPr>
        <w:t>（4）全体评委应按照磋商文件规定进行评审，一切认定事项应查有实据且不得弄虚作假。</w:t>
      </w:r>
    </w:p>
    <w:p w14:paraId="105DC12C">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kern w:val="1"/>
          <w:szCs w:val="21"/>
          <w:highlight w:val="none"/>
        </w:rPr>
      </w:pPr>
      <w:r>
        <w:rPr>
          <w:rFonts w:hint="eastAsia"/>
          <w:bCs/>
          <w:color w:val="auto"/>
          <w:kern w:val="1"/>
          <w:szCs w:val="21"/>
          <w:highlight w:val="none"/>
        </w:rPr>
        <w:t>（5）磋商小组各成员应当独立对每个响应供应商的响应文件进行评价，并对评价意见承担个人责任。评审过程中，不得发表倾向性言论。</w:t>
      </w:r>
    </w:p>
    <w:p w14:paraId="12A9B63D">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kern w:val="1"/>
          <w:szCs w:val="21"/>
          <w:highlight w:val="none"/>
        </w:rPr>
        <w:t>对违反评审纪律的评委，将取消其评委资格，对评审工作造成严重损失者将予以通报批评乃至追究法律责任</w:t>
      </w:r>
      <w:r>
        <w:rPr>
          <w:rFonts w:hint="eastAsia"/>
          <w:bCs/>
          <w:color w:val="auto"/>
          <w:szCs w:val="21"/>
          <w:highlight w:val="none"/>
        </w:rPr>
        <w:t>。</w:t>
      </w:r>
    </w:p>
    <w:p w14:paraId="6E57CB90">
      <w:pPr>
        <w:pStyle w:val="126"/>
        <w:keepNext w:val="0"/>
        <w:keepLines w:val="0"/>
        <w:pageBreakBefore w:val="0"/>
        <w:widowControl w:val="0"/>
        <w:numPr>
          <w:ilvl w:val="0"/>
          <w:numId w:val="15"/>
        </w:numPr>
        <w:kinsoku/>
        <w:wordWrap/>
        <w:overflowPunct/>
        <w:topLinePunct w:val="0"/>
        <w:bidi w:val="0"/>
        <w:spacing w:before="120" w:beforeLines="50" w:after="120" w:afterLines="50" w:line="360" w:lineRule="auto"/>
        <w:outlineLvl w:val="2"/>
        <w:rPr>
          <w:rFonts w:hint="eastAsia" w:ascii="宋体" w:hAnsi="宋体"/>
          <w:b/>
          <w:bCs/>
          <w:color w:val="auto"/>
          <w:highlight w:val="none"/>
          <w:lang w:eastAsia="zh-CN"/>
        </w:rPr>
      </w:pPr>
      <w:r>
        <w:rPr>
          <w:rFonts w:ascii="宋体" w:hAnsi="宋体"/>
          <w:b/>
          <w:bCs/>
          <w:color w:val="auto"/>
          <w:highlight w:val="none"/>
          <w:lang w:eastAsia="zh-CN"/>
        </w:rPr>
        <w:t>有下列情形之一的，属于恶意串通，对</w:t>
      </w:r>
      <w:r>
        <w:rPr>
          <w:rFonts w:hint="eastAsia" w:ascii="宋体" w:hAnsi="宋体"/>
          <w:b/>
          <w:bCs/>
          <w:color w:val="auto"/>
          <w:highlight w:val="none"/>
          <w:lang w:eastAsia="zh-CN"/>
        </w:rPr>
        <w:t>供应商依照</w:t>
      </w:r>
      <w:r>
        <w:rPr>
          <w:rFonts w:ascii="宋体" w:hAnsi="宋体"/>
          <w:b/>
          <w:bCs/>
          <w:color w:val="auto"/>
          <w:highlight w:val="none"/>
          <w:lang w:eastAsia="zh-CN"/>
        </w:rPr>
        <w:t>政府采购法第七十七条第一款的规定追究法律责任：</w:t>
      </w:r>
    </w:p>
    <w:p w14:paraId="6285C361">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4</w:t>
      </w:r>
      <w:r>
        <w:rPr>
          <w:color w:val="auto"/>
          <w:sz w:val="21"/>
          <w:szCs w:val="21"/>
          <w:highlight w:val="none"/>
          <w:lang w:eastAsia="zh-CN"/>
        </w:rPr>
        <w:t>.1</w:t>
      </w:r>
      <w:r>
        <w:rPr>
          <w:rFonts w:hint="eastAsia"/>
          <w:color w:val="auto"/>
          <w:sz w:val="21"/>
          <w:szCs w:val="21"/>
          <w:highlight w:val="none"/>
          <w:lang w:eastAsia="zh-CN"/>
        </w:rPr>
        <w:t>供应商</w:t>
      </w:r>
      <w:r>
        <w:rPr>
          <w:color w:val="auto"/>
          <w:sz w:val="21"/>
          <w:szCs w:val="21"/>
          <w:highlight w:val="none"/>
          <w:lang w:eastAsia="zh-CN"/>
        </w:rPr>
        <w:t>直接或者间接从采购人或者采购代理机构处获得其他</w:t>
      </w:r>
      <w:r>
        <w:rPr>
          <w:rFonts w:hint="eastAsia"/>
          <w:color w:val="auto"/>
          <w:sz w:val="21"/>
          <w:szCs w:val="21"/>
          <w:highlight w:val="none"/>
          <w:lang w:eastAsia="zh-CN"/>
        </w:rPr>
        <w:t>供应商</w:t>
      </w:r>
      <w:r>
        <w:rPr>
          <w:color w:val="auto"/>
          <w:sz w:val="21"/>
          <w:szCs w:val="21"/>
          <w:highlight w:val="none"/>
          <w:lang w:eastAsia="zh-CN"/>
        </w:rPr>
        <w:t>的相关情况并修改其</w:t>
      </w:r>
      <w:r>
        <w:rPr>
          <w:rFonts w:hint="eastAsia"/>
          <w:color w:val="auto"/>
          <w:sz w:val="21"/>
          <w:szCs w:val="21"/>
          <w:highlight w:val="none"/>
          <w:lang w:eastAsia="zh-CN"/>
        </w:rPr>
        <w:t>响应</w:t>
      </w:r>
      <w:r>
        <w:rPr>
          <w:color w:val="auto"/>
          <w:sz w:val="21"/>
          <w:szCs w:val="21"/>
          <w:highlight w:val="none"/>
          <w:lang w:eastAsia="zh-CN"/>
        </w:rPr>
        <w:t>文件；</w:t>
      </w:r>
    </w:p>
    <w:p w14:paraId="63CDCD60">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4</w:t>
      </w:r>
      <w:r>
        <w:rPr>
          <w:color w:val="auto"/>
          <w:sz w:val="21"/>
          <w:szCs w:val="21"/>
          <w:highlight w:val="none"/>
          <w:lang w:eastAsia="zh-CN"/>
        </w:rPr>
        <w:t>.2</w:t>
      </w:r>
      <w:r>
        <w:rPr>
          <w:rFonts w:hint="eastAsia"/>
          <w:color w:val="auto"/>
          <w:sz w:val="21"/>
          <w:szCs w:val="21"/>
          <w:highlight w:val="none"/>
          <w:lang w:eastAsia="zh-CN"/>
        </w:rPr>
        <w:t>供应商</w:t>
      </w:r>
      <w:r>
        <w:rPr>
          <w:color w:val="auto"/>
          <w:sz w:val="21"/>
          <w:szCs w:val="21"/>
          <w:highlight w:val="none"/>
          <w:lang w:eastAsia="zh-CN"/>
        </w:rPr>
        <w:t>按照采购人或者采购代理机构的授意撤换、修改</w:t>
      </w:r>
      <w:r>
        <w:rPr>
          <w:rFonts w:hint="eastAsia"/>
          <w:color w:val="auto"/>
          <w:sz w:val="21"/>
          <w:szCs w:val="21"/>
          <w:highlight w:val="none"/>
          <w:lang w:eastAsia="zh-CN"/>
        </w:rPr>
        <w:t>响应</w:t>
      </w:r>
      <w:r>
        <w:rPr>
          <w:color w:val="auto"/>
          <w:sz w:val="21"/>
          <w:szCs w:val="21"/>
          <w:highlight w:val="none"/>
          <w:lang w:eastAsia="zh-CN"/>
        </w:rPr>
        <w:t>文件；</w:t>
      </w:r>
    </w:p>
    <w:p w14:paraId="6564FD08">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4</w:t>
      </w:r>
      <w:r>
        <w:rPr>
          <w:color w:val="auto"/>
          <w:sz w:val="21"/>
          <w:szCs w:val="21"/>
          <w:highlight w:val="none"/>
          <w:lang w:eastAsia="zh-CN"/>
        </w:rPr>
        <w:t>.3</w:t>
      </w:r>
      <w:r>
        <w:rPr>
          <w:rFonts w:hint="eastAsia"/>
          <w:color w:val="auto"/>
          <w:sz w:val="21"/>
          <w:szCs w:val="21"/>
          <w:highlight w:val="none"/>
          <w:lang w:eastAsia="zh-CN"/>
        </w:rPr>
        <w:t>供应商</w:t>
      </w:r>
      <w:r>
        <w:rPr>
          <w:color w:val="auto"/>
          <w:sz w:val="21"/>
          <w:szCs w:val="21"/>
          <w:highlight w:val="none"/>
          <w:lang w:eastAsia="zh-CN"/>
        </w:rPr>
        <w:t>之间协商报价、技术方案等</w:t>
      </w:r>
      <w:r>
        <w:rPr>
          <w:rFonts w:hint="eastAsia"/>
          <w:color w:val="auto"/>
          <w:sz w:val="21"/>
          <w:szCs w:val="21"/>
          <w:highlight w:val="none"/>
          <w:lang w:eastAsia="zh-CN"/>
        </w:rPr>
        <w:t>响应</w:t>
      </w:r>
      <w:r>
        <w:rPr>
          <w:color w:val="auto"/>
          <w:sz w:val="21"/>
          <w:szCs w:val="21"/>
          <w:highlight w:val="none"/>
          <w:lang w:eastAsia="zh-CN"/>
        </w:rPr>
        <w:t>文件的实质性内容；</w:t>
      </w:r>
    </w:p>
    <w:p w14:paraId="48B67752">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4</w:t>
      </w:r>
      <w:r>
        <w:rPr>
          <w:color w:val="auto"/>
          <w:sz w:val="21"/>
          <w:szCs w:val="21"/>
          <w:highlight w:val="none"/>
          <w:lang w:eastAsia="zh-CN"/>
        </w:rPr>
        <w:t>.4属于同一集团、协会、商会等组织成员的</w:t>
      </w:r>
      <w:r>
        <w:rPr>
          <w:rFonts w:hint="eastAsia"/>
          <w:color w:val="auto"/>
          <w:sz w:val="21"/>
          <w:szCs w:val="21"/>
          <w:highlight w:val="none"/>
          <w:lang w:eastAsia="zh-CN"/>
        </w:rPr>
        <w:t>供应商</w:t>
      </w:r>
      <w:r>
        <w:rPr>
          <w:color w:val="auto"/>
          <w:sz w:val="21"/>
          <w:szCs w:val="21"/>
          <w:highlight w:val="none"/>
          <w:lang w:eastAsia="zh-CN"/>
        </w:rPr>
        <w:t>按照该组织要求协同参加</w:t>
      </w:r>
      <w:r>
        <w:rPr>
          <w:rFonts w:hint="eastAsia"/>
          <w:color w:val="auto"/>
          <w:sz w:val="21"/>
          <w:szCs w:val="21"/>
          <w:highlight w:val="none"/>
          <w:lang w:eastAsia="zh-CN"/>
        </w:rPr>
        <w:t>政府</w:t>
      </w:r>
      <w:r>
        <w:rPr>
          <w:color w:val="auto"/>
          <w:sz w:val="21"/>
          <w:szCs w:val="21"/>
          <w:highlight w:val="none"/>
          <w:lang w:eastAsia="zh-CN"/>
        </w:rPr>
        <w:t>采购活动；</w:t>
      </w:r>
    </w:p>
    <w:p w14:paraId="2640C94D">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4</w:t>
      </w:r>
      <w:r>
        <w:rPr>
          <w:color w:val="auto"/>
          <w:sz w:val="21"/>
          <w:szCs w:val="21"/>
          <w:highlight w:val="none"/>
          <w:lang w:eastAsia="zh-CN"/>
        </w:rPr>
        <w:t>.5</w:t>
      </w:r>
      <w:r>
        <w:rPr>
          <w:rFonts w:hint="eastAsia"/>
          <w:color w:val="auto"/>
          <w:sz w:val="21"/>
          <w:szCs w:val="21"/>
          <w:highlight w:val="none"/>
          <w:lang w:eastAsia="zh-CN"/>
        </w:rPr>
        <w:t>供应商</w:t>
      </w:r>
      <w:r>
        <w:rPr>
          <w:color w:val="auto"/>
          <w:sz w:val="21"/>
          <w:szCs w:val="21"/>
          <w:highlight w:val="none"/>
          <w:lang w:eastAsia="zh-CN"/>
        </w:rPr>
        <w:t>之间事先约定由某一特定</w:t>
      </w:r>
      <w:r>
        <w:rPr>
          <w:rFonts w:hint="eastAsia"/>
          <w:color w:val="auto"/>
          <w:sz w:val="21"/>
          <w:szCs w:val="21"/>
          <w:highlight w:val="none"/>
          <w:lang w:eastAsia="zh-CN"/>
        </w:rPr>
        <w:t>供应商成交</w:t>
      </w:r>
      <w:r>
        <w:rPr>
          <w:color w:val="auto"/>
          <w:sz w:val="21"/>
          <w:szCs w:val="21"/>
          <w:highlight w:val="none"/>
          <w:lang w:eastAsia="zh-CN"/>
        </w:rPr>
        <w:t>；</w:t>
      </w:r>
    </w:p>
    <w:p w14:paraId="371CCA5F">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4</w:t>
      </w:r>
      <w:r>
        <w:rPr>
          <w:color w:val="auto"/>
          <w:sz w:val="21"/>
          <w:szCs w:val="21"/>
          <w:highlight w:val="none"/>
          <w:lang w:eastAsia="zh-CN"/>
        </w:rPr>
        <w:t>.6</w:t>
      </w:r>
      <w:r>
        <w:rPr>
          <w:rFonts w:hint="eastAsia"/>
          <w:color w:val="auto"/>
          <w:sz w:val="21"/>
          <w:szCs w:val="21"/>
          <w:highlight w:val="none"/>
          <w:lang w:eastAsia="zh-CN"/>
        </w:rPr>
        <w:t>供应商</w:t>
      </w:r>
      <w:r>
        <w:rPr>
          <w:color w:val="auto"/>
          <w:sz w:val="21"/>
          <w:szCs w:val="21"/>
          <w:highlight w:val="none"/>
          <w:lang w:eastAsia="zh-CN"/>
        </w:rPr>
        <w:t>之间商定部分</w:t>
      </w:r>
      <w:r>
        <w:rPr>
          <w:rFonts w:hint="eastAsia"/>
          <w:color w:val="auto"/>
          <w:sz w:val="21"/>
          <w:szCs w:val="21"/>
          <w:highlight w:val="none"/>
          <w:lang w:eastAsia="zh-CN"/>
        </w:rPr>
        <w:t>供应商</w:t>
      </w:r>
      <w:r>
        <w:rPr>
          <w:color w:val="auto"/>
          <w:sz w:val="21"/>
          <w:szCs w:val="21"/>
          <w:highlight w:val="none"/>
          <w:lang w:eastAsia="zh-CN"/>
        </w:rPr>
        <w:t>放弃参加</w:t>
      </w:r>
      <w:r>
        <w:rPr>
          <w:rFonts w:hint="eastAsia"/>
          <w:color w:val="auto"/>
          <w:sz w:val="21"/>
          <w:szCs w:val="21"/>
          <w:highlight w:val="none"/>
          <w:lang w:eastAsia="zh-CN"/>
        </w:rPr>
        <w:t>政府</w:t>
      </w:r>
      <w:r>
        <w:rPr>
          <w:color w:val="auto"/>
          <w:sz w:val="21"/>
          <w:szCs w:val="21"/>
          <w:highlight w:val="none"/>
          <w:lang w:eastAsia="zh-CN"/>
        </w:rPr>
        <w:t>采购活动或者放弃</w:t>
      </w:r>
      <w:r>
        <w:rPr>
          <w:rFonts w:hint="eastAsia"/>
          <w:color w:val="auto"/>
          <w:sz w:val="21"/>
          <w:szCs w:val="21"/>
          <w:highlight w:val="none"/>
          <w:lang w:eastAsia="zh-CN"/>
        </w:rPr>
        <w:t>成交</w:t>
      </w:r>
      <w:r>
        <w:rPr>
          <w:color w:val="auto"/>
          <w:sz w:val="21"/>
          <w:szCs w:val="21"/>
          <w:highlight w:val="none"/>
          <w:lang w:eastAsia="zh-CN"/>
        </w:rPr>
        <w:t>；</w:t>
      </w:r>
    </w:p>
    <w:p w14:paraId="48115A00">
      <w:pPr>
        <w:pStyle w:val="356"/>
        <w:keepNext w:val="0"/>
        <w:keepLines w:val="0"/>
        <w:pageBreakBefore w:val="0"/>
        <w:widowControl w:val="0"/>
        <w:kinsoku/>
        <w:wordWrap/>
        <w:overflowPunct/>
        <w:topLinePunct w:val="0"/>
        <w:autoSpaceDE/>
        <w:autoSpaceDN/>
        <w:bidi w:val="0"/>
        <w:spacing w:line="360" w:lineRule="auto"/>
        <w:ind w:firstLine="420"/>
        <w:rPr>
          <w:rFonts w:hint="eastAsia"/>
          <w:color w:val="auto"/>
          <w:sz w:val="21"/>
          <w:szCs w:val="21"/>
          <w:highlight w:val="none"/>
          <w:lang w:eastAsia="zh-CN"/>
        </w:rPr>
      </w:pPr>
      <w:r>
        <w:rPr>
          <w:rFonts w:hint="eastAsia"/>
          <w:color w:val="auto"/>
          <w:sz w:val="21"/>
          <w:szCs w:val="21"/>
          <w:highlight w:val="none"/>
          <w:lang w:eastAsia="zh-CN"/>
        </w:rPr>
        <w:t>4</w:t>
      </w:r>
      <w:r>
        <w:rPr>
          <w:color w:val="auto"/>
          <w:sz w:val="21"/>
          <w:szCs w:val="21"/>
          <w:highlight w:val="none"/>
          <w:lang w:eastAsia="zh-CN"/>
        </w:rPr>
        <w:t>.7</w:t>
      </w:r>
      <w:r>
        <w:rPr>
          <w:rFonts w:hint="eastAsia"/>
          <w:color w:val="auto"/>
          <w:sz w:val="21"/>
          <w:szCs w:val="21"/>
          <w:highlight w:val="none"/>
          <w:lang w:eastAsia="zh-CN"/>
        </w:rPr>
        <w:t>供应商</w:t>
      </w:r>
      <w:r>
        <w:rPr>
          <w:color w:val="auto"/>
          <w:sz w:val="21"/>
          <w:szCs w:val="21"/>
          <w:highlight w:val="none"/>
          <w:lang w:eastAsia="zh-CN"/>
        </w:rPr>
        <w:t>与采购人或者采购代理机构之间、</w:t>
      </w:r>
      <w:r>
        <w:rPr>
          <w:rFonts w:hint="eastAsia"/>
          <w:color w:val="auto"/>
          <w:sz w:val="21"/>
          <w:szCs w:val="21"/>
          <w:highlight w:val="none"/>
          <w:lang w:eastAsia="zh-CN"/>
        </w:rPr>
        <w:t>供应商</w:t>
      </w:r>
      <w:r>
        <w:rPr>
          <w:color w:val="auto"/>
          <w:sz w:val="21"/>
          <w:szCs w:val="21"/>
          <w:highlight w:val="none"/>
          <w:lang w:eastAsia="zh-CN"/>
        </w:rPr>
        <w:t>相互之间，为谋求特定</w:t>
      </w:r>
      <w:r>
        <w:rPr>
          <w:rFonts w:hint="eastAsia"/>
          <w:color w:val="auto"/>
          <w:sz w:val="21"/>
          <w:szCs w:val="21"/>
          <w:highlight w:val="none"/>
          <w:lang w:eastAsia="zh-CN"/>
        </w:rPr>
        <w:t>供应商成交</w:t>
      </w:r>
      <w:r>
        <w:rPr>
          <w:color w:val="auto"/>
          <w:sz w:val="21"/>
          <w:szCs w:val="21"/>
          <w:highlight w:val="none"/>
          <w:lang w:eastAsia="zh-CN"/>
        </w:rPr>
        <w:t>或者排斥其他</w:t>
      </w:r>
      <w:r>
        <w:rPr>
          <w:rFonts w:hint="eastAsia"/>
          <w:color w:val="auto"/>
          <w:sz w:val="21"/>
          <w:szCs w:val="21"/>
          <w:highlight w:val="none"/>
          <w:lang w:eastAsia="zh-CN"/>
        </w:rPr>
        <w:t>供应商</w:t>
      </w:r>
      <w:r>
        <w:rPr>
          <w:color w:val="auto"/>
          <w:sz w:val="21"/>
          <w:szCs w:val="21"/>
          <w:highlight w:val="none"/>
          <w:lang w:eastAsia="zh-CN"/>
        </w:rPr>
        <w:t>的其他串通行为。</w:t>
      </w:r>
    </w:p>
    <w:p w14:paraId="2F1E5AD9">
      <w:pPr>
        <w:pStyle w:val="126"/>
        <w:keepNext w:val="0"/>
        <w:keepLines w:val="0"/>
        <w:pageBreakBefore w:val="0"/>
        <w:widowControl w:val="0"/>
        <w:numPr>
          <w:ilvl w:val="0"/>
          <w:numId w:val="15"/>
        </w:numPr>
        <w:kinsoku/>
        <w:wordWrap/>
        <w:overflowPunct/>
        <w:topLinePunct w:val="0"/>
        <w:bidi w:val="0"/>
        <w:spacing w:before="120" w:beforeLines="50" w:after="120" w:afterLines="50" w:line="360" w:lineRule="auto"/>
        <w:outlineLvl w:val="2"/>
        <w:rPr>
          <w:rFonts w:hint="eastAsia" w:ascii="宋体" w:hAnsi="宋体"/>
          <w:b/>
          <w:bCs/>
          <w:color w:val="auto"/>
          <w:highlight w:val="none"/>
          <w:lang w:eastAsia="zh-CN"/>
        </w:rPr>
      </w:pPr>
      <w:r>
        <w:rPr>
          <w:rFonts w:hint="eastAsia" w:ascii="宋体" w:hAnsi="宋体"/>
          <w:b/>
          <w:bCs/>
          <w:color w:val="auto"/>
          <w:highlight w:val="none"/>
          <w:lang w:eastAsia="zh-CN"/>
        </w:rPr>
        <w:t>有下列情形之一的，视为供应商串通响应，其响应无效</w:t>
      </w:r>
    </w:p>
    <w:p w14:paraId="30F2A65F">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5.1不同供应商的响应文件由同一单位或者个人编制；</w:t>
      </w:r>
    </w:p>
    <w:p w14:paraId="008371E5">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5.2不同供应商委托同一单位或者个人办理响应事宜；</w:t>
      </w:r>
    </w:p>
    <w:p w14:paraId="7972265A">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5.3不同供应商的响应文件载明的项目管理成员或者联系人员为同一人；</w:t>
      </w:r>
    </w:p>
    <w:p w14:paraId="7B27F138">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5.4不同供应商的响应文件异常一致或者响应报价呈规律性差异；</w:t>
      </w:r>
    </w:p>
    <w:p w14:paraId="2B9BCB31">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5.5不同供应商的响应文件相互混装；</w:t>
      </w:r>
    </w:p>
    <w:p w14:paraId="4E71E8EE">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5.6不同供应商的响应保证金或购买电子保函支付款为从同一单位或个人的账户转出。</w:t>
      </w:r>
    </w:p>
    <w:p w14:paraId="2EA5FA0F">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说明：在评审过程中发现供应商有上述情形的，磋商小组应当认定其响应无效。同时，项目评审时被认定为串通响应的供应商不得参加该合同项下的采购活动。</w:t>
      </w:r>
    </w:p>
    <w:p w14:paraId="72E9DB1B">
      <w:pPr>
        <w:pStyle w:val="126"/>
        <w:keepNext w:val="0"/>
        <w:keepLines w:val="0"/>
        <w:pageBreakBefore w:val="0"/>
        <w:widowControl w:val="0"/>
        <w:numPr>
          <w:ilvl w:val="0"/>
          <w:numId w:val="15"/>
        </w:numPr>
        <w:kinsoku/>
        <w:wordWrap/>
        <w:overflowPunct/>
        <w:topLinePunct w:val="0"/>
        <w:bidi w:val="0"/>
        <w:spacing w:before="120" w:beforeLines="50" w:after="120" w:afterLines="50" w:line="360" w:lineRule="auto"/>
        <w:outlineLvl w:val="2"/>
        <w:rPr>
          <w:rFonts w:hint="eastAsia" w:ascii="宋体" w:hAnsi="宋体"/>
          <w:b/>
          <w:bCs/>
          <w:color w:val="auto"/>
          <w:highlight w:val="none"/>
          <w:lang w:eastAsia="zh-CN"/>
        </w:rPr>
      </w:pPr>
      <w:r>
        <w:rPr>
          <w:rFonts w:hint="eastAsia" w:ascii="宋体" w:hAnsi="宋体"/>
          <w:b/>
          <w:bCs/>
          <w:color w:val="auto"/>
          <w:highlight w:val="none"/>
          <w:lang w:eastAsia="zh-CN"/>
        </w:rPr>
        <w:t>有下列情形之一的，属于恶意串通响应：</w:t>
      </w:r>
    </w:p>
    <w:p w14:paraId="4205F22E">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6.1供应商直接或者间接从采购人或者采购代理机构处获得其他供应商的相关情况并修改其响应文件；</w:t>
      </w:r>
    </w:p>
    <w:p w14:paraId="0E46873D">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6.2供应商按照采购人或者采购代理机构的授意撤换、修改响应文件；</w:t>
      </w:r>
    </w:p>
    <w:p w14:paraId="60B71796">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6.3供应商之间协商报价、技术方案等响应文件的实质性内容；</w:t>
      </w:r>
    </w:p>
    <w:p w14:paraId="26EE5851">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6.4属于同一集团、协会、商会等组织成员的供应商按照该组织要求协同参加政府采购活动；</w:t>
      </w:r>
    </w:p>
    <w:p w14:paraId="48BCE67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6.5供应商之间事先约定由某一特定供应商成交；</w:t>
      </w:r>
    </w:p>
    <w:p w14:paraId="76D5C4C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6.6供应商之间商定部分供应商放弃参加政府采购活动或者放弃成交；</w:t>
      </w:r>
    </w:p>
    <w:p w14:paraId="6D3C6DC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6.7供应商与采购人或者采购代理机构之间、供应商相互之间，为谋求特定供应商成交或者排斥其他供应商的其他串通行为。</w:t>
      </w:r>
    </w:p>
    <w:p w14:paraId="2292981F">
      <w:pPr>
        <w:pStyle w:val="126"/>
        <w:keepNext w:val="0"/>
        <w:keepLines w:val="0"/>
        <w:pageBreakBefore w:val="0"/>
        <w:widowControl w:val="0"/>
        <w:numPr>
          <w:ilvl w:val="0"/>
          <w:numId w:val="15"/>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其他响应无效的情形</w:t>
      </w:r>
    </w:p>
    <w:p w14:paraId="51939EC7">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详见资格性审查、符合性审查和磋商文件其他响应无效条款。</w:t>
      </w:r>
    </w:p>
    <w:p w14:paraId="4305050C">
      <w:pPr>
        <w:pStyle w:val="126"/>
        <w:keepNext w:val="0"/>
        <w:keepLines w:val="0"/>
        <w:pageBreakBefore w:val="0"/>
        <w:widowControl w:val="0"/>
        <w:numPr>
          <w:ilvl w:val="0"/>
          <w:numId w:val="15"/>
        </w:numPr>
        <w:kinsoku/>
        <w:wordWrap/>
        <w:overflowPunct/>
        <w:topLinePunct w:val="0"/>
        <w:bidi w:val="0"/>
        <w:spacing w:before="120" w:beforeLines="50" w:after="120" w:afterLines="50" w:line="360" w:lineRule="auto"/>
        <w:outlineLvl w:val="2"/>
        <w:rPr>
          <w:rFonts w:hint="eastAsia" w:ascii="宋体" w:hAnsi="宋体"/>
          <w:b/>
          <w:bCs/>
          <w:color w:val="auto"/>
          <w:highlight w:val="none"/>
          <w:lang w:eastAsia="zh-CN"/>
        </w:rPr>
      </w:pPr>
      <w:r>
        <w:rPr>
          <w:rFonts w:hint="eastAsia" w:ascii="宋体" w:hAnsi="宋体"/>
          <w:b/>
          <w:bCs/>
          <w:color w:val="auto"/>
          <w:highlight w:val="none"/>
          <w:lang w:eastAsia="zh-CN"/>
        </w:rPr>
        <w:t>终止竞争性磋商采购活动的情形</w:t>
      </w:r>
    </w:p>
    <w:p w14:paraId="1AE7A579">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出现下列情形之一的，采购人或者采购代理机构应当终止竞争性磋商采购活动，发布项目终止公告并说明原因，重新开展采购活动：</w:t>
      </w:r>
    </w:p>
    <w:p w14:paraId="49C33E0C">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（1）因情况变化，不再符合规定的竞争性磋商采购方式适用情形的；</w:t>
      </w:r>
    </w:p>
    <w:p w14:paraId="01489A00">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（2）出现影响采购公正的违法、违规行为的；</w:t>
      </w:r>
    </w:p>
    <w:p w14:paraId="06FDA1F2">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3）除《政府采购竞争性磋商采购方式暂行办法》第二十一条第三款，《财政部关于政府采购竞争性磋商采购方式管理暂行办法有关问题的补充通知》（财库〔2015〕124号）规定的情形外，在采购过程中符合要求的供应商或者报价未超过采购预算的供应商不足3家的；</w:t>
      </w:r>
    </w:p>
    <w:p w14:paraId="03BA2845">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（4）法律、法规以及磋商文件规定其他情形。</w:t>
      </w:r>
    </w:p>
    <w:p w14:paraId="0E040F25">
      <w:pPr>
        <w:pStyle w:val="126"/>
        <w:keepNext w:val="0"/>
        <w:keepLines w:val="0"/>
        <w:pageBreakBefore w:val="0"/>
        <w:widowControl w:val="0"/>
        <w:numPr>
          <w:ilvl w:val="0"/>
          <w:numId w:val="15"/>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确定成交供应商</w:t>
      </w:r>
    </w:p>
    <w:p w14:paraId="4F9CD429">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磋商小组按照磋商文件确定的评审方法、步骤、标准，对响应文件进行评审。评审结束后，对供应商的评审名次进行排序，确定成交供应商或者推荐成交候选供应商。</w:t>
      </w:r>
    </w:p>
    <w:p w14:paraId="373BF7BA">
      <w:pPr>
        <w:pStyle w:val="126"/>
        <w:keepNext w:val="0"/>
        <w:keepLines w:val="0"/>
        <w:pageBreakBefore w:val="0"/>
        <w:widowControl w:val="0"/>
        <w:numPr>
          <w:ilvl w:val="0"/>
          <w:numId w:val="15"/>
        </w:numPr>
        <w:kinsoku/>
        <w:wordWrap/>
        <w:overflowPunct/>
        <w:topLinePunct w:val="0"/>
        <w:bidi w:val="0"/>
        <w:spacing w:before="120" w:beforeLines="50" w:after="120" w:afterLines="50" w:line="360" w:lineRule="auto"/>
        <w:outlineLvl w:val="2"/>
        <w:rPr>
          <w:rFonts w:hint="eastAsia" w:ascii="宋体" w:hAnsi="宋体"/>
          <w:b/>
          <w:bCs/>
          <w:color w:val="auto"/>
          <w:highlight w:val="none"/>
        </w:rPr>
      </w:pPr>
      <w:r>
        <w:rPr>
          <w:rFonts w:hint="eastAsia" w:ascii="宋体" w:hAnsi="宋体"/>
          <w:b/>
          <w:bCs/>
          <w:color w:val="auto"/>
          <w:highlight w:val="none"/>
        </w:rPr>
        <w:t>价格修正</w:t>
      </w:r>
    </w:p>
    <w:p w14:paraId="7DEDB727">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对报价的计算错误按以下原则修正：</w:t>
      </w:r>
    </w:p>
    <w:p w14:paraId="7231072A">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（1）响应文件中首轮报价表（报价表）内容与响应文件中相应内容不一致的，以首轮报价表（报价表）为准；</w:t>
      </w:r>
    </w:p>
    <w:p w14:paraId="22A95B62">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（2）大写金额和小写金额不一致的，以大写金额为准；</w:t>
      </w:r>
    </w:p>
    <w:p w14:paraId="71C336A5">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（3）单价金额小数点或者百分比有明显错位的，以首轮报价表的总价为准，并修改单价；</w:t>
      </w:r>
    </w:p>
    <w:p w14:paraId="45EA8F45">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（4）总价金额与按单价汇总金额不一致的，以单价金额计算结果为准。但是单价金额计算结果超过预算价的，对其按无效响应处理；</w:t>
      </w:r>
    </w:p>
    <w:p w14:paraId="2628C5D5">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注：同时出现两种以上不一致的，按照前款规定的顺序进行价格澄清。供应商澄清后的价格加盖供应商公章，或法定代表人签字或盖章，或法定代表人授权委托人签字或盖章确认后产生约束力，但不得超出响应文件的范围或者改变响应文件的实质性内容，供应商不确认的，其响应无效。</w:t>
      </w:r>
    </w:p>
    <w:p w14:paraId="2FFC08F1">
      <w:pPr>
        <w:pStyle w:val="3"/>
        <w:keepNext w:val="0"/>
        <w:keepLines w:val="0"/>
        <w:pageBreakBefore w:val="0"/>
        <w:widowControl w:val="0"/>
        <w:numPr>
          <w:ilvl w:val="0"/>
          <w:numId w:val="14"/>
        </w:numPr>
        <w:kinsoku/>
        <w:wordWrap/>
        <w:overflowPunct/>
        <w:topLinePunct w:val="0"/>
        <w:bidi w:val="0"/>
        <w:spacing w:before="120" w:after="120" w:line="360" w:lineRule="auto"/>
        <w:jc w:val="left"/>
        <w:rPr>
          <w:rFonts w:hint="eastAsia" w:ascii="宋体" w:hAnsi="宋体" w:eastAsia="宋体"/>
          <w:color w:val="auto"/>
          <w:sz w:val="21"/>
          <w:szCs w:val="21"/>
          <w:highlight w:val="none"/>
        </w:rPr>
      </w:pPr>
      <w:bookmarkStart w:id="106" w:name="_Toc2739"/>
      <w:bookmarkStart w:id="107" w:name="_Toc104040698"/>
      <w:bookmarkStart w:id="108" w:name="_Toc104040752"/>
      <w:r>
        <w:rPr>
          <w:rFonts w:hint="eastAsia" w:ascii="宋体" w:hAnsi="宋体" w:eastAsia="宋体"/>
          <w:color w:val="auto"/>
          <w:sz w:val="21"/>
          <w:szCs w:val="21"/>
          <w:highlight w:val="none"/>
        </w:rPr>
        <w:t>政府采购政策落实</w:t>
      </w:r>
      <w:bookmarkEnd w:id="106"/>
      <w:bookmarkEnd w:id="107"/>
      <w:bookmarkEnd w:id="108"/>
    </w:p>
    <w:p w14:paraId="3D51DB3C">
      <w:pPr>
        <w:pStyle w:val="126"/>
        <w:keepNext w:val="0"/>
        <w:keepLines w:val="0"/>
        <w:pageBreakBefore w:val="0"/>
        <w:widowControl w:val="0"/>
        <w:numPr>
          <w:ilvl w:val="1"/>
          <w:numId w:val="16"/>
        </w:numPr>
        <w:kinsoku/>
        <w:wordWrap/>
        <w:overflowPunct/>
        <w:topLinePunct w:val="0"/>
        <w:bidi w:val="0"/>
        <w:spacing w:line="360" w:lineRule="auto"/>
        <w:ind w:left="0" w:firstLine="0"/>
        <w:jc w:val="left"/>
        <w:outlineLvl w:val="2"/>
        <w:rPr>
          <w:rFonts w:hint="eastAsia" w:ascii="宋体" w:hAnsi="宋体"/>
          <w:b/>
          <w:color w:val="auto"/>
          <w:szCs w:val="21"/>
          <w:highlight w:val="none"/>
        </w:rPr>
      </w:pPr>
      <w:r>
        <w:rPr>
          <w:rFonts w:hint="eastAsia" w:ascii="宋体" w:hAnsi="宋体"/>
          <w:b/>
          <w:color w:val="auto"/>
          <w:szCs w:val="21"/>
          <w:highlight w:val="none"/>
        </w:rPr>
        <w:t>节能、环保要求</w:t>
      </w:r>
    </w:p>
    <w:p w14:paraId="4FEF6869">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采购的产品属于品目清单范围的，将依据国家确定的认证机构出具的、处于有效期之内的节能产品、环境标志产品认证证书，对获得证书的产品实施政府优先采购或强制采购，具体按照本磋商文件相关要求执行。</w:t>
      </w:r>
    </w:p>
    <w:p w14:paraId="5DCB1F1B">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相关认证机构和获证产品信息以市场监管总局组织建立的节能产品、环境标志产品认证结果信息发布平台公布为准。</w:t>
      </w:r>
    </w:p>
    <w:p w14:paraId="2D3D5D92">
      <w:pPr>
        <w:pStyle w:val="126"/>
        <w:keepNext w:val="0"/>
        <w:keepLines w:val="0"/>
        <w:pageBreakBefore w:val="0"/>
        <w:widowControl w:val="0"/>
        <w:numPr>
          <w:ilvl w:val="1"/>
          <w:numId w:val="16"/>
        </w:numPr>
        <w:kinsoku/>
        <w:wordWrap/>
        <w:overflowPunct/>
        <w:topLinePunct w:val="0"/>
        <w:bidi w:val="0"/>
        <w:spacing w:line="360" w:lineRule="auto"/>
        <w:ind w:left="0" w:firstLine="0"/>
        <w:jc w:val="left"/>
        <w:outlineLvl w:val="2"/>
        <w:rPr>
          <w:rFonts w:hint="eastAsia" w:ascii="宋体" w:hAnsi="宋体"/>
          <w:b/>
          <w:color w:val="auto"/>
          <w:szCs w:val="21"/>
          <w:highlight w:val="none"/>
          <w:lang w:eastAsia="zh-CN"/>
        </w:rPr>
      </w:pPr>
      <w:r>
        <w:rPr>
          <w:rFonts w:hint="eastAsia" w:ascii="宋体" w:hAnsi="宋体"/>
          <w:b/>
          <w:color w:val="auto"/>
          <w:szCs w:val="21"/>
          <w:highlight w:val="none"/>
          <w:lang w:eastAsia="zh-CN"/>
        </w:rPr>
        <w:t>对小型、微型企业、监狱企业或残疾人福利性单位给予价格扣除</w:t>
      </w:r>
    </w:p>
    <w:p w14:paraId="5726CEBF">
      <w:pPr>
        <w:keepNext w:val="0"/>
        <w:keepLines w:val="0"/>
        <w:pageBreakBefore w:val="0"/>
        <w:widowControl w:val="0"/>
        <w:kinsoku/>
        <w:wordWrap/>
        <w:overflowPunct/>
        <w:topLinePunct w:val="0"/>
        <w:bidi w:val="0"/>
        <w:spacing w:line="360" w:lineRule="auto"/>
        <w:ind w:firstLine="420" w:firstLineChars="200"/>
        <w:jc w:val="left"/>
        <w:rPr>
          <w:rFonts w:hint="eastAsia"/>
          <w:bCs/>
          <w:color w:val="auto"/>
          <w:szCs w:val="21"/>
          <w:highlight w:val="none"/>
        </w:rPr>
      </w:pPr>
      <w:r>
        <w:rPr>
          <w:rFonts w:hint="eastAsia"/>
          <w:bCs/>
          <w:color w:val="auto"/>
          <w:szCs w:val="21"/>
          <w:highlight w:val="none"/>
        </w:rPr>
        <w:t>依照《政府采购促进中小企业发展管理办法》、《支持监狱企业发展有关问题的通知》和《财政部 民政部 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14:paraId="2F898457">
      <w:pPr>
        <w:pStyle w:val="126"/>
        <w:keepNext w:val="0"/>
        <w:keepLines w:val="0"/>
        <w:pageBreakBefore w:val="0"/>
        <w:widowControl w:val="0"/>
        <w:numPr>
          <w:ilvl w:val="1"/>
          <w:numId w:val="16"/>
        </w:numPr>
        <w:kinsoku/>
        <w:wordWrap/>
        <w:overflowPunct/>
        <w:topLinePunct w:val="0"/>
        <w:bidi w:val="0"/>
        <w:spacing w:line="360" w:lineRule="auto"/>
        <w:ind w:left="0" w:firstLine="0"/>
        <w:jc w:val="left"/>
        <w:outlineLvl w:val="2"/>
        <w:rPr>
          <w:rFonts w:hint="eastAsia" w:ascii="宋体" w:hAnsi="宋体"/>
          <w:b/>
          <w:color w:val="auto"/>
          <w:szCs w:val="21"/>
          <w:highlight w:val="none"/>
        </w:rPr>
      </w:pPr>
      <w:r>
        <w:rPr>
          <w:rFonts w:hint="eastAsia" w:ascii="宋体" w:hAnsi="宋体"/>
          <w:b/>
          <w:color w:val="auto"/>
          <w:szCs w:val="21"/>
          <w:highlight w:val="none"/>
        </w:rPr>
        <w:t>价格扣除相关要求</w:t>
      </w:r>
    </w:p>
    <w:tbl>
      <w:tblPr>
        <w:tblStyle w:val="47"/>
        <w:tblW w:w="9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888"/>
        <w:gridCol w:w="4200"/>
        <w:gridCol w:w="700"/>
        <w:gridCol w:w="3448"/>
      </w:tblGrid>
      <w:tr w14:paraId="53666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500" w:type="dxa"/>
            <w:vAlign w:val="center"/>
          </w:tcPr>
          <w:p w14:paraId="1280B68E">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b/>
                <w:color w:val="auto"/>
                <w:szCs w:val="21"/>
                <w:highlight w:val="none"/>
              </w:rPr>
              <w:t>序号</w:t>
            </w:r>
          </w:p>
        </w:tc>
        <w:tc>
          <w:tcPr>
            <w:tcW w:w="888" w:type="dxa"/>
            <w:vAlign w:val="center"/>
          </w:tcPr>
          <w:p w14:paraId="12C57F8E">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b/>
                <w:color w:val="auto"/>
                <w:szCs w:val="21"/>
                <w:highlight w:val="none"/>
              </w:rPr>
              <w:t>情形</w:t>
            </w:r>
          </w:p>
        </w:tc>
        <w:tc>
          <w:tcPr>
            <w:tcW w:w="4200" w:type="dxa"/>
            <w:vAlign w:val="center"/>
          </w:tcPr>
          <w:p w14:paraId="2F65558D">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b/>
                <w:color w:val="auto"/>
                <w:szCs w:val="21"/>
                <w:highlight w:val="none"/>
              </w:rPr>
              <w:t>适用对象</w:t>
            </w:r>
          </w:p>
        </w:tc>
        <w:tc>
          <w:tcPr>
            <w:tcW w:w="700" w:type="dxa"/>
            <w:vAlign w:val="center"/>
          </w:tcPr>
          <w:p w14:paraId="629BE010">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b/>
                <w:color w:val="auto"/>
                <w:szCs w:val="21"/>
                <w:highlight w:val="none"/>
              </w:rPr>
              <w:t>价格扣除比例</w:t>
            </w:r>
          </w:p>
        </w:tc>
        <w:tc>
          <w:tcPr>
            <w:tcW w:w="3448" w:type="dxa"/>
            <w:vAlign w:val="center"/>
          </w:tcPr>
          <w:p w14:paraId="582DD3FF">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b/>
                <w:color w:val="auto"/>
                <w:szCs w:val="21"/>
                <w:highlight w:val="none"/>
              </w:rPr>
              <w:t>计算公式</w:t>
            </w:r>
          </w:p>
        </w:tc>
      </w:tr>
      <w:tr w14:paraId="66855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 w:type="dxa"/>
            <w:vAlign w:val="center"/>
          </w:tcPr>
          <w:p w14:paraId="1E606041">
            <w:pPr>
              <w:pStyle w:val="19"/>
              <w:keepNext w:val="0"/>
              <w:keepLines w:val="0"/>
              <w:pageBreakBefore w:val="0"/>
              <w:widowControl w:val="0"/>
              <w:numPr>
                <w:ilvl w:val="0"/>
                <w:numId w:val="17"/>
              </w:numPr>
              <w:kinsoku/>
              <w:wordWrap/>
              <w:overflowPunct/>
              <w:topLinePunct w:val="0"/>
              <w:bidi w:val="0"/>
              <w:spacing w:line="360" w:lineRule="auto"/>
              <w:ind w:left="0" w:firstLine="0"/>
              <w:jc w:val="center"/>
              <w:rPr>
                <w:rFonts w:hint="eastAsia"/>
                <w:color w:val="auto"/>
                <w:szCs w:val="21"/>
                <w:highlight w:val="none"/>
              </w:rPr>
            </w:pPr>
          </w:p>
        </w:tc>
        <w:tc>
          <w:tcPr>
            <w:tcW w:w="888" w:type="dxa"/>
            <w:vAlign w:val="center"/>
          </w:tcPr>
          <w:p w14:paraId="6E7C53D9">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color w:val="auto"/>
                <w:szCs w:val="21"/>
                <w:highlight w:val="none"/>
              </w:rPr>
              <w:t>小型、微型企业，监狱企业，残疾人福利性单位</w:t>
            </w:r>
          </w:p>
        </w:tc>
        <w:tc>
          <w:tcPr>
            <w:tcW w:w="4200" w:type="dxa"/>
            <w:vAlign w:val="center"/>
          </w:tcPr>
          <w:p w14:paraId="3D676180">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服务由小微企业承接</w:t>
            </w:r>
          </w:p>
        </w:tc>
        <w:tc>
          <w:tcPr>
            <w:tcW w:w="700" w:type="dxa"/>
            <w:vAlign w:val="center"/>
          </w:tcPr>
          <w:p w14:paraId="7F3FFD5F">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lang w:val="en-US" w:eastAsia="zh-CN"/>
              </w:rPr>
              <w:t>1</w:t>
            </w:r>
            <w:r>
              <w:rPr>
                <w:color w:val="auto"/>
                <w:szCs w:val="21"/>
                <w:highlight w:val="none"/>
              </w:rPr>
              <w:t>0%</w:t>
            </w:r>
          </w:p>
        </w:tc>
        <w:tc>
          <w:tcPr>
            <w:tcW w:w="3448" w:type="dxa"/>
            <w:vAlign w:val="center"/>
          </w:tcPr>
          <w:p w14:paraId="57D3F274">
            <w:pPr>
              <w:pStyle w:val="19"/>
              <w:keepNext w:val="0"/>
              <w:keepLines w:val="0"/>
              <w:pageBreakBefore w:val="0"/>
              <w:widowControl w:val="0"/>
              <w:kinsoku/>
              <w:wordWrap/>
              <w:overflowPunct/>
              <w:topLinePunct w:val="0"/>
              <w:bidi w:val="0"/>
              <w:spacing w:line="360" w:lineRule="auto"/>
              <w:jc w:val="left"/>
              <w:rPr>
                <w:rFonts w:hint="eastAsia"/>
                <w:color w:val="auto"/>
                <w:szCs w:val="21"/>
                <w:highlight w:val="none"/>
              </w:rPr>
            </w:pPr>
            <w:r>
              <w:rPr>
                <w:rFonts w:hint="eastAsia"/>
                <w:color w:val="auto"/>
                <w:szCs w:val="21"/>
                <w:highlight w:val="none"/>
              </w:rPr>
              <w:t>服务由小微企业承接，即提供服务的人员为小微企业依照《中华人民共和国劳动合同法》订立劳动合同的从业人员时，给予价格扣除</w:t>
            </w:r>
            <w:r>
              <w:rPr>
                <w:color w:val="auto"/>
                <w:szCs w:val="21"/>
                <w:highlight w:val="none"/>
              </w:rPr>
              <w:t>C1，即：评</w:t>
            </w:r>
            <w:r>
              <w:rPr>
                <w:rFonts w:hint="eastAsia"/>
                <w:color w:val="auto"/>
                <w:szCs w:val="21"/>
                <w:highlight w:val="none"/>
              </w:rPr>
              <w:t>审价</w:t>
            </w:r>
            <w:r>
              <w:rPr>
                <w:color w:val="auto"/>
                <w:szCs w:val="21"/>
                <w:highlight w:val="none"/>
              </w:rPr>
              <w:t>=</w:t>
            </w:r>
            <w:r>
              <w:rPr>
                <w:rFonts w:hint="eastAsia"/>
                <w:color w:val="auto"/>
                <w:szCs w:val="21"/>
                <w:highlight w:val="none"/>
              </w:rPr>
              <w:t>响应</w:t>
            </w:r>
            <w:r>
              <w:rPr>
                <w:color w:val="auto"/>
                <w:szCs w:val="21"/>
                <w:highlight w:val="none"/>
              </w:rPr>
              <w:t>报价×（1-C1）</w:t>
            </w:r>
            <w:r>
              <w:rPr>
                <w:rFonts w:hint="eastAsia"/>
                <w:color w:val="auto"/>
                <w:szCs w:val="21"/>
                <w:highlight w:val="none"/>
              </w:rPr>
              <w:t>；</w:t>
            </w:r>
            <w:r>
              <w:rPr>
                <w:color w:val="auto"/>
                <w:szCs w:val="21"/>
                <w:highlight w:val="none"/>
              </w:rPr>
              <w:t>监</w:t>
            </w:r>
            <w:r>
              <w:rPr>
                <w:rFonts w:hint="eastAsia"/>
                <w:color w:val="auto"/>
                <w:szCs w:val="21"/>
                <w:highlight w:val="none"/>
              </w:rPr>
              <w:t>狱企业与残疾人福利性单位视同小型、微型企业，享受同等价格扣除，当企业属性重复时，不重复价格扣除。</w:t>
            </w:r>
          </w:p>
        </w:tc>
      </w:tr>
      <w:tr w14:paraId="5F92F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 w:type="dxa"/>
            <w:vAlign w:val="center"/>
          </w:tcPr>
          <w:p w14:paraId="6FD04528">
            <w:pPr>
              <w:pStyle w:val="19"/>
              <w:keepNext w:val="0"/>
              <w:keepLines w:val="0"/>
              <w:pageBreakBefore w:val="0"/>
              <w:widowControl w:val="0"/>
              <w:numPr>
                <w:ilvl w:val="0"/>
                <w:numId w:val="17"/>
              </w:numPr>
              <w:kinsoku/>
              <w:wordWrap/>
              <w:overflowPunct/>
              <w:topLinePunct w:val="0"/>
              <w:bidi w:val="0"/>
              <w:spacing w:line="360" w:lineRule="auto"/>
              <w:ind w:left="0" w:firstLine="0"/>
              <w:jc w:val="center"/>
              <w:rPr>
                <w:rFonts w:hint="eastAsia"/>
                <w:color w:val="auto"/>
                <w:szCs w:val="21"/>
                <w:highlight w:val="none"/>
              </w:rPr>
            </w:pPr>
          </w:p>
        </w:tc>
        <w:tc>
          <w:tcPr>
            <w:tcW w:w="888" w:type="dxa"/>
            <w:vAlign w:val="center"/>
          </w:tcPr>
          <w:p w14:paraId="4D39EBC4">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属于政府采购品目清单的节能产品、环境标志产品</w:t>
            </w:r>
          </w:p>
        </w:tc>
        <w:tc>
          <w:tcPr>
            <w:tcW w:w="4200" w:type="dxa"/>
            <w:vAlign w:val="center"/>
          </w:tcPr>
          <w:p w14:paraId="2F0E3F6B">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投标（响应）产品属于政府采购清单中的非强制采购节能产品或环境标志产品，且提供了有效的节能产品认证证书或环境标志产品认证证书，以及中国政府采购网（</w:t>
            </w:r>
            <w:r>
              <w:rPr>
                <w:color w:val="auto"/>
                <w:szCs w:val="21"/>
                <w:highlight w:val="none"/>
              </w:rPr>
              <w:t>http://www.ccgp.gov.cn/jnhb/jnhbqd/）查询截图（网页查询的证书编号必须与认证证书的一致，且状态为有效；如公开网页信息中无法查询，或证书信息与公开网页信息不一致的，可提供认证单位出具的说明文件，否则视为不满足要求）</w:t>
            </w:r>
          </w:p>
        </w:tc>
        <w:tc>
          <w:tcPr>
            <w:tcW w:w="700" w:type="dxa"/>
            <w:vAlign w:val="center"/>
          </w:tcPr>
          <w:p w14:paraId="795A6440">
            <w:pPr>
              <w:pStyle w:val="19"/>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color w:val="auto"/>
                <w:szCs w:val="21"/>
                <w:highlight w:val="none"/>
              </w:rPr>
              <w:t>5%</w:t>
            </w:r>
          </w:p>
        </w:tc>
        <w:tc>
          <w:tcPr>
            <w:tcW w:w="3448" w:type="dxa"/>
            <w:vAlign w:val="center"/>
          </w:tcPr>
          <w:p w14:paraId="60DD3998">
            <w:pPr>
              <w:pStyle w:val="19"/>
              <w:keepNext w:val="0"/>
              <w:keepLines w:val="0"/>
              <w:pageBreakBefore w:val="0"/>
              <w:widowControl w:val="0"/>
              <w:kinsoku/>
              <w:wordWrap/>
              <w:overflowPunct/>
              <w:topLinePunct w:val="0"/>
              <w:bidi w:val="0"/>
              <w:spacing w:line="360" w:lineRule="auto"/>
              <w:jc w:val="left"/>
              <w:rPr>
                <w:rFonts w:hint="eastAsia"/>
                <w:color w:val="auto"/>
                <w:szCs w:val="21"/>
                <w:highlight w:val="none"/>
              </w:rPr>
            </w:pPr>
            <w:r>
              <w:rPr>
                <w:rFonts w:hint="eastAsia"/>
                <w:color w:val="auto"/>
                <w:szCs w:val="21"/>
                <w:highlight w:val="none"/>
              </w:rPr>
              <w:t>对满足要求的所有节能产品和环境标志产品的总报价给予价格扣除</w:t>
            </w:r>
            <w:r>
              <w:rPr>
                <w:color w:val="auto"/>
                <w:szCs w:val="21"/>
                <w:highlight w:val="none"/>
              </w:rPr>
              <w:t>C2，即：该类产品评审价＝该类产品最终报价×（1-C2）；当同一产品同时获得节能产品认证证书和环境标志产品认证证书时，不可重复进行价格扣除。</w:t>
            </w:r>
          </w:p>
        </w:tc>
      </w:tr>
      <w:tr w14:paraId="68C83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36" w:type="dxa"/>
            <w:gridSpan w:val="5"/>
            <w:vAlign w:val="center"/>
          </w:tcPr>
          <w:p w14:paraId="0DC17AD1">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注：（1）上述评审价仅用于计算价格分，成交金额以实际投标（响应）价为准。</w:t>
            </w:r>
          </w:p>
          <w:p w14:paraId="32759FF0">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（2）组成联合体的大中型企业和其他自然人、法人或者其他组织、与小型、微型企业之间不得存在投资关系。</w:t>
            </w:r>
          </w:p>
        </w:tc>
      </w:tr>
    </w:tbl>
    <w:p w14:paraId="34B63C29">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（1）所称小型和微型企业应当符合以下条件：</w:t>
      </w:r>
    </w:p>
    <w:p w14:paraId="66C6B2EE">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在中华人民共和国境内依法设立，依据国务院批准的中小企业划分标准确定的小型企业和微型企业，但与大企业的负责人为同一人，或者与大企业存在直接控股、管理关系的除外。符合中小企业划分标准的个体工商户，在政府采购活动中视同中小企业。提供本企业制造的货物或者提供其他小型或微型企业制造的货物。</w:t>
      </w:r>
    </w:p>
    <w:p w14:paraId="116CE2D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符合中小企业划分标准的个体工商户，在政府采购活动中视同中小企业。</w:t>
      </w:r>
    </w:p>
    <w:p w14:paraId="39221E19">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提供本企业（属于小微企业）制造的货物或者提供其他小型或微型企业制造的货物/提供本企业（属于小微企业）承接的服务。</w:t>
      </w:r>
    </w:p>
    <w:p w14:paraId="55050E69">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2）符合中小企业扶持政策的供应商应填写《中小企业声明函》；监狱企业须供应商提供由监狱管理局、戒毒管理局（含新疆生产建设兵团）出具的属于监狱企业的证明文件；残疾人福利性单位应填写《残疾人福利性单位声明函》，否则不认定价格扣除。</w:t>
      </w:r>
    </w:p>
    <w:p w14:paraId="0AA9DC95">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说明：供应商应当对其出具的《中小企业声明函》真实性负责，供应商出具的《中小企业声明函》内容不实的，属于提供虚假材料谋取成交。</w:t>
      </w:r>
    </w:p>
    <w:p w14:paraId="53968FE8">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3）联合体各方均为小型、微型企业的，各方均应提供《中小企业声明函》；中小微企业作为联合体一方参与政府采购活动，且联合体协议书中约定，小型、微型企业的协议合同金额占到联合体协议合同总金额30%以上的，应附中小微企业的《中小企业声明函》。</w:t>
      </w:r>
    </w:p>
    <w:p w14:paraId="60636512">
      <w:pPr>
        <w:pStyle w:val="3"/>
        <w:keepNext w:val="0"/>
        <w:keepLines w:val="0"/>
        <w:pageBreakBefore w:val="0"/>
        <w:widowControl w:val="0"/>
        <w:numPr>
          <w:ilvl w:val="0"/>
          <w:numId w:val="14"/>
        </w:numPr>
        <w:kinsoku/>
        <w:wordWrap/>
        <w:overflowPunct/>
        <w:topLinePunct w:val="0"/>
        <w:bidi w:val="0"/>
        <w:spacing w:before="120" w:after="120" w:line="360" w:lineRule="auto"/>
        <w:jc w:val="left"/>
        <w:rPr>
          <w:rFonts w:hint="eastAsia" w:ascii="宋体" w:hAnsi="宋体" w:eastAsia="宋体"/>
          <w:color w:val="auto"/>
          <w:sz w:val="21"/>
          <w:szCs w:val="21"/>
          <w:highlight w:val="none"/>
        </w:rPr>
      </w:pPr>
      <w:bookmarkStart w:id="109" w:name="_Toc104040699"/>
      <w:bookmarkStart w:id="110" w:name="_Toc104040753"/>
      <w:bookmarkStart w:id="111" w:name="_Toc13958"/>
      <w:r>
        <w:rPr>
          <w:rFonts w:hint="eastAsia" w:ascii="宋体" w:hAnsi="宋体" w:eastAsia="宋体"/>
          <w:color w:val="auto"/>
          <w:sz w:val="21"/>
          <w:szCs w:val="21"/>
          <w:highlight w:val="none"/>
        </w:rPr>
        <w:t>评审程序</w:t>
      </w:r>
      <w:bookmarkEnd w:id="109"/>
      <w:bookmarkEnd w:id="110"/>
      <w:bookmarkEnd w:id="111"/>
    </w:p>
    <w:p w14:paraId="3A19328E">
      <w:pPr>
        <w:pStyle w:val="126"/>
        <w:keepNext w:val="0"/>
        <w:keepLines w:val="0"/>
        <w:pageBreakBefore w:val="0"/>
        <w:widowControl w:val="0"/>
        <w:numPr>
          <w:ilvl w:val="0"/>
          <w:numId w:val="18"/>
        </w:numPr>
        <w:kinsoku/>
        <w:wordWrap/>
        <w:overflowPunct/>
        <w:topLinePunct w:val="0"/>
        <w:bidi w:val="0"/>
        <w:spacing w:line="360" w:lineRule="auto"/>
        <w:jc w:val="left"/>
        <w:outlineLvl w:val="2"/>
        <w:rPr>
          <w:rFonts w:hint="eastAsia" w:ascii="宋体" w:hAnsi="宋体"/>
          <w:b/>
          <w:color w:val="auto"/>
          <w:szCs w:val="21"/>
          <w:highlight w:val="none"/>
          <w:lang w:eastAsia="zh-CN"/>
        </w:rPr>
      </w:pPr>
      <w:r>
        <w:rPr>
          <w:rFonts w:hint="eastAsia" w:ascii="宋体" w:hAnsi="宋体"/>
          <w:b/>
          <w:color w:val="auto"/>
          <w:szCs w:val="21"/>
          <w:highlight w:val="none"/>
          <w:lang w:eastAsia="zh-CN"/>
        </w:rPr>
        <w:t>资格性审查和符合性审查（适用于采购</w:t>
      </w:r>
      <w:r>
        <w:rPr>
          <w:rFonts w:hint="eastAsia" w:ascii="宋体" w:hAnsi="宋体"/>
          <w:b/>
          <w:color w:val="auto"/>
          <w:szCs w:val="21"/>
          <w:highlight w:val="none"/>
          <w:lang w:val="en-US" w:eastAsia="zh-CN"/>
        </w:rPr>
        <w:t>包1、采购包2）</w:t>
      </w:r>
    </w:p>
    <w:p w14:paraId="78AE8166">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磋商小组根据《资格性审查表》（附表一）和《符合性审查表》（附表二）的内容逐条对响应文件进行评审，审查每份响应文件的相关资格证明文件是否齐全有效。审查每份响应文件是否实质上响应了磋商文件的要求，只要不满足《资格性审查表》和《符合性审查表》所列各项要求之一的，将被认定为无效响应。对响应有效性认定意见不一致的，磋商小组按少数服从多数原则表决决定。</w:t>
      </w:r>
    </w:p>
    <w:p w14:paraId="352C5464">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磋商小组对各磋商供应商进行资格性和符合性审查过程中，对初步被认定为初审不合格或无效响应者应实行及时告知，由磋商小组组长或采购人代表将集体意见及时告知报价当事人。</w:t>
      </w:r>
    </w:p>
    <w:p w14:paraId="1AD4E90B">
      <w:pPr>
        <w:keepNext w:val="0"/>
        <w:keepLines w:val="0"/>
        <w:pageBreakBefore w:val="0"/>
        <w:widowControl w:val="0"/>
        <w:kinsoku/>
        <w:wordWrap/>
        <w:overflowPunct/>
        <w:topLinePunct w:val="0"/>
        <w:bidi w:val="0"/>
        <w:spacing w:line="360" w:lineRule="auto"/>
        <w:ind w:firstLine="422" w:firstLineChars="200"/>
        <w:jc w:val="left"/>
        <w:outlineLvl w:val="3"/>
        <w:rPr>
          <w:rFonts w:hint="eastAsia" w:cs="Futura-Heavy"/>
          <w:b/>
          <w:bCs/>
          <w:color w:val="auto"/>
          <w:kern w:val="0"/>
          <w:szCs w:val="21"/>
          <w:highlight w:val="none"/>
        </w:rPr>
      </w:pPr>
      <w:r>
        <w:rPr>
          <w:rFonts w:hint="eastAsia" w:cs="Futura-Heavy"/>
          <w:b/>
          <w:bCs/>
          <w:color w:val="auto"/>
          <w:kern w:val="0"/>
          <w:szCs w:val="21"/>
          <w:highlight w:val="none"/>
        </w:rPr>
        <w:t>表一：资格性审查表</w:t>
      </w:r>
      <w:bookmarkEnd w:id="98"/>
    </w:p>
    <w:tbl>
      <w:tblPr>
        <w:tblStyle w:val="4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2440"/>
        <w:gridCol w:w="6703"/>
      </w:tblGrid>
      <w:tr w14:paraId="204CA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vAlign w:val="center"/>
          </w:tcPr>
          <w:p w14:paraId="0BCAB93D">
            <w:pPr>
              <w:keepNext w:val="0"/>
              <w:keepLines w:val="0"/>
              <w:pageBreakBefore w:val="0"/>
              <w:widowControl w:val="0"/>
              <w:kinsoku/>
              <w:wordWrap/>
              <w:overflowPunct/>
              <w:topLinePunct w:val="0"/>
              <w:bidi w:val="0"/>
              <w:snapToGrid w:val="0"/>
              <w:spacing w:before="120" w:beforeLines="50" w:after="120" w:afterLines="50" w:line="360" w:lineRule="auto"/>
              <w:jc w:val="center"/>
              <w:rPr>
                <w:rFonts w:hint="eastAsia"/>
                <w:b/>
                <w:color w:val="auto"/>
                <w:szCs w:val="21"/>
                <w:highlight w:val="none"/>
              </w:rPr>
            </w:pPr>
            <w:r>
              <w:rPr>
                <w:b/>
                <w:color w:val="auto"/>
                <w:szCs w:val="21"/>
                <w:highlight w:val="none"/>
              </w:rPr>
              <w:t>序号</w:t>
            </w:r>
          </w:p>
        </w:tc>
        <w:tc>
          <w:tcPr>
            <w:tcW w:w="9143" w:type="dxa"/>
            <w:gridSpan w:val="2"/>
            <w:vAlign w:val="center"/>
          </w:tcPr>
          <w:p w14:paraId="0F4B1CCF">
            <w:pPr>
              <w:keepNext w:val="0"/>
              <w:keepLines w:val="0"/>
              <w:pageBreakBefore w:val="0"/>
              <w:widowControl w:val="0"/>
              <w:kinsoku/>
              <w:wordWrap/>
              <w:overflowPunct/>
              <w:topLinePunct w:val="0"/>
              <w:bidi w:val="0"/>
              <w:snapToGrid w:val="0"/>
              <w:spacing w:before="120" w:beforeLines="50" w:after="120" w:afterLines="50" w:line="360" w:lineRule="auto"/>
              <w:jc w:val="center"/>
              <w:rPr>
                <w:rFonts w:hint="eastAsia"/>
                <w:b/>
                <w:color w:val="auto"/>
                <w:szCs w:val="21"/>
                <w:highlight w:val="none"/>
              </w:rPr>
            </w:pPr>
            <w:r>
              <w:rPr>
                <w:rFonts w:hint="eastAsia"/>
                <w:b/>
                <w:color w:val="auto"/>
                <w:szCs w:val="21"/>
                <w:highlight w:val="none"/>
              </w:rPr>
              <w:t>资格审查内容</w:t>
            </w:r>
          </w:p>
        </w:tc>
      </w:tr>
      <w:tr w14:paraId="75C02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vAlign w:val="center"/>
          </w:tcPr>
          <w:p w14:paraId="04D251F9">
            <w:pPr>
              <w:pStyle w:val="126"/>
              <w:keepNext w:val="0"/>
              <w:keepLines w:val="0"/>
              <w:pageBreakBefore w:val="0"/>
              <w:widowControl w:val="0"/>
              <w:numPr>
                <w:ilvl w:val="0"/>
                <w:numId w:val="19"/>
              </w:numPr>
              <w:kinsoku/>
              <w:wordWrap/>
              <w:overflowPunct/>
              <w:topLinePunct w:val="0"/>
              <w:bidi w:val="0"/>
              <w:snapToGrid w:val="0"/>
              <w:spacing w:line="360" w:lineRule="auto"/>
              <w:ind w:left="0" w:firstLine="0"/>
              <w:jc w:val="center"/>
              <w:rPr>
                <w:rFonts w:hint="eastAsia" w:ascii="宋体" w:hAnsi="宋体"/>
                <w:bCs/>
                <w:color w:val="auto"/>
                <w:szCs w:val="21"/>
                <w:highlight w:val="none"/>
              </w:rPr>
            </w:pPr>
          </w:p>
        </w:tc>
        <w:tc>
          <w:tcPr>
            <w:tcW w:w="2440" w:type="dxa"/>
            <w:vAlign w:val="center"/>
          </w:tcPr>
          <w:p w14:paraId="353F5037">
            <w:pPr>
              <w:keepNext w:val="0"/>
              <w:keepLines w:val="0"/>
              <w:pageBreakBefore w:val="0"/>
              <w:widowControl w:val="0"/>
              <w:kinsoku/>
              <w:wordWrap/>
              <w:overflowPunct/>
              <w:topLinePunct w:val="0"/>
              <w:bidi w:val="0"/>
              <w:snapToGrid w:val="0"/>
              <w:spacing w:line="360" w:lineRule="auto"/>
              <w:jc w:val="center"/>
              <w:rPr>
                <w:rFonts w:hint="eastAsia"/>
                <w:bCs/>
                <w:color w:val="auto"/>
                <w:szCs w:val="21"/>
                <w:highlight w:val="none"/>
              </w:rPr>
            </w:pPr>
            <w:r>
              <w:rPr>
                <w:rFonts w:hint="eastAsia"/>
                <w:color w:val="auto"/>
                <w:szCs w:val="21"/>
                <w:highlight w:val="none"/>
              </w:rPr>
              <w:t>具有独立承担民事责任的能力</w:t>
            </w:r>
          </w:p>
        </w:tc>
        <w:tc>
          <w:tcPr>
            <w:tcW w:w="6703" w:type="dxa"/>
            <w:vAlign w:val="center"/>
          </w:tcPr>
          <w:p w14:paraId="1F24D332">
            <w:pPr>
              <w:keepNext w:val="0"/>
              <w:keepLines w:val="0"/>
              <w:pageBreakBefore w:val="0"/>
              <w:widowControl w:val="0"/>
              <w:kinsoku/>
              <w:wordWrap/>
              <w:overflowPunct/>
              <w:topLinePunct w:val="0"/>
              <w:bidi w:val="0"/>
              <w:snapToGrid w:val="0"/>
              <w:spacing w:line="360" w:lineRule="auto"/>
              <w:rPr>
                <w:rFonts w:hint="eastAsia"/>
                <w:bCs/>
                <w:color w:val="auto"/>
                <w:szCs w:val="21"/>
                <w:highlight w:val="none"/>
              </w:rPr>
            </w:pPr>
            <w:r>
              <w:rPr>
                <w:rFonts w:hint="eastAsia" w:ascii="宋体" w:hAnsi="宋体"/>
                <w:color w:val="auto"/>
                <w:szCs w:val="21"/>
                <w:highlight w:val="none"/>
                <w:lang w:eastAsia="zh-CN"/>
              </w:rPr>
              <w:t>在中华人民共和国境内注册的法人或其他组织或自然人，</w:t>
            </w:r>
            <w:r>
              <w:rPr>
                <w:rFonts w:hint="eastAsia"/>
                <w:color w:val="auto"/>
                <w:szCs w:val="21"/>
                <w:highlight w:val="none"/>
                <w:lang w:eastAsia="zh-CN"/>
              </w:rPr>
              <w:t>响应文件中须提供</w:t>
            </w:r>
            <w:r>
              <w:rPr>
                <w:rFonts w:hint="eastAsia" w:ascii="宋体" w:hAnsi="宋体"/>
                <w:color w:val="auto"/>
                <w:szCs w:val="21"/>
                <w:highlight w:val="none"/>
                <w:lang w:eastAsia="zh-CN"/>
              </w:rPr>
              <w:t>有效的营业执照（或事业法人登记证或身份证等相关证明）</w:t>
            </w:r>
            <w:r>
              <w:rPr>
                <w:rFonts w:hint="eastAsia"/>
                <w:color w:val="auto"/>
                <w:szCs w:val="21"/>
                <w:highlight w:val="none"/>
                <w:lang w:eastAsia="zh-CN"/>
              </w:rPr>
              <w:t>复印件</w:t>
            </w:r>
            <w:r>
              <w:rPr>
                <w:rFonts w:hint="eastAsia" w:ascii="宋体" w:hAnsi="宋体"/>
                <w:color w:val="auto"/>
                <w:szCs w:val="21"/>
                <w:highlight w:val="none"/>
                <w:lang w:eastAsia="zh-CN"/>
              </w:rPr>
              <w:t>。分支机构响应的，</w:t>
            </w:r>
            <w:r>
              <w:rPr>
                <w:rFonts w:hint="eastAsia"/>
                <w:color w:val="auto"/>
                <w:szCs w:val="21"/>
                <w:highlight w:val="none"/>
                <w:lang w:eastAsia="zh-CN"/>
              </w:rPr>
              <w:t>响应文件中须</w:t>
            </w:r>
            <w:r>
              <w:rPr>
                <w:rFonts w:hint="eastAsia" w:ascii="宋体" w:hAnsi="宋体"/>
                <w:color w:val="auto"/>
                <w:szCs w:val="21"/>
                <w:highlight w:val="none"/>
                <w:lang w:eastAsia="zh-CN"/>
              </w:rPr>
              <w:t>提供总公司和分公司营业执照</w:t>
            </w:r>
            <w:r>
              <w:rPr>
                <w:rFonts w:hint="eastAsia"/>
                <w:color w:val="auto"/>
                <w:szCs w:val="21"/>
                <w:highlight w:val="none"/>
                <w:lang w:eastAsia="zh-CN"/>
              </w:rPr>
              <w:t>复印件</w:t>
            </w:r>
            <w:r>
              <w:rPr>
                <w:rFonts w:hint="eastAsia" w:ascii="宋体" w:hAnsi="宋体"/>
                <w:color w:val="auto"/>
                <w:szCs w:val="21"/>
                <w:highlight w:val="none"/>
                <w:lang w:eastAsia="zh-CN"/>
              </w:rPr>
              <w:t>，总公司出具给分支机构的授权书。</w:t>
            </w:r>
          </w:p>
        </w:tc>
      </w:tr>
      <w:tr w14:paraId="4B140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vAlign w:val="center"/>
          </w:tcPr>
          <w:p w14:paraId="5B307C81">
            <w:pPr>
              <w:pStyle w:val="126"/>
              <w:keepNext w:val="0"/>
              <w:keepLines w:val="0"/>
              <w:pageBreakBefore w:val="0"/>
              <w:widowControl w:val="0"/>
              <w:numPr>
                <w:ilvl w:val="0"/>
                <w:numId w:val="19"/>
              </w:numPr>
              <w:kinsoku/>
              <w:wordWrap/>
              <w:overflowPunct/>
              <w:topLinePunct w:val="0"/>
              <w:bidi w:val="0"/>
              <w:snapToGrid w:val="0"/>
              <w:spacing w:line="360" w:lineRule="auto"/>
              <w:ind w:left="0" w:firstLine="0"/>
              <w:jc w:val="center"/>
              <w:rPr>
                <w:rFonts w:hint="eastAsia" w:ascii="宋体" w:hAnsi="宋体"/>
                <w:bCs/>
                <w:color w:val="auto"/>
                <w:szCs w:val="21"/>
                <w:highlight w:val="none"/>
                <w:lang w:eastAsia="zh-CN"/>
              </w:rPr>
            </w:pPr>
          </w:p>
        </w:tc>
        <w:tc>
          <w:tcPr>
            <w:tcW w:w="2440" w:type="dxa"/>
            <w:vAlign w:val="center"/>
          </w:tcPr>
          <w:p w14:paraId="3DF91E6C">
            <w:pPr>
              <w:keepNext w:val="0"/>
              <w:keepLines w:val="0"/>
              <w:pageBreakBefore w:val="0"/>
              <w:widowControl w:val="0"/>
              <w:kinsoku/>
              <w:wordWrap/>
              <w:overflowPunct/>
              <w:topLinePunct w:val="0"/>
              <w:bidi w:val="0"/>
              <w:snapToGrid w:val="0"/>
              <w:spacing w:line="360" w:lineRule="auto"/>
              <w:jc w:val="center"/>
              <w:rPr>
                <w:rFonts w:hint="eastAsia"/>
                <w:color w:val="auto"/>
                <w:szCs w:val="21"/>
                <w:highlight w:val="none"/>
              </w:rPr>
            </w:pPr>
            <w:r>
              <w:rPr>
                <w:rFonts w:hint="eastAsia"/>
                <w:color w:val="auto"/>
                <w:szCs w:val="21"/>
                <w:highlight w:val="none"/>
              </w:rPr>
              <w:t>有依法缴纳税收和社会保障资金的良好记录</w:t>
            </w:r>
          </w:p>
        </w:tc>
        <w:tc>
          <w:tcPr>
            <w:tcW w:w="6703" w:type="dxa"/>
            <w:vAlign w:val="center"/>
          </w:tcPr>
          <w:p w14:paraId="47B1062E">
            <w:pPr>
              <w:keepNext w:val="0"/>
              <w:keepLines w:val="0"/>
              <w:pageBreakBefore w:val="0"/>
              <w:widowControl w:val="0"/>
              <w:kinsoku/>
              <w:wordWrap/>
              <w:overflowPunct/>
              <w:topLinePunct w:val="0"/>
              <w:bidi w:val="0"/>
              <w:snapToGrid w:val="0"/>
              <w:spacing w:line="360" w:lineRule="auto"/>
              <w:rPr>
                <w:rFonts w:hint="eastAsia"/>
                <w:bCs/>
                <w:color w:val="auto"/>
                <w:szCs w:val="21"/>
                <w:highlight w:val="none"/>
              </w:rPr>
            </w:pPr>
            <w:r>
              <w:rPr>
                <w:rFonts w:hint="eastAsia"/>
                <w:color w:val="auto"/>
                <w:szCs w:val="21"/>
                <w:highlight w:val="none"/>
              </w:rPr>
              <w:t>响应文件中须提供</w:t>
            </w:r>
            <w:r>
              <w:rPr>
                <w:color w:val="auto"/>
                <w:szCs w:val="21"/>
                <w:highlight w:val="none"/>
              </w:rPr>
              <w:t>20</w:t>
            </w:r>
            <w:r>
              <w:rPr>
                <w:rFonts w:hint="eastAsia"/>
                <w:color w:val="auto"/>
                <w:szCs w:val="21"/>
                <w:highlight w:val="none"/>
                <w:lang w:val="en-US" w:eastAsia="zh-CN"/>
              </w:rPr>
              <w:t>25</w:t>
            </w:r>
            <w:r>
              <w:rPr>
                <w:color w:val="auto"/>
                <w:szCs w:val="21"/>
                <w:highlight w:val="none"/>
              </w:rPr>
              <w:t>年</w:t>
            </w:r>
            <w:r>
              <w:rPr>
                <w:rFonts w:hint="eastAsia"/>
                <w:color w:val="auto"/>
                <w:szCs w:val="21"/>
                <w:highlight w:val="none"/>
                <w:lang w:val="en-US" w:eastAsia="zh-CN"/>
              </w:rPr>
              <w:t>01</w:t>
            </w:r>
            <w:r>
              <w:rPr>
                <w:color w:val="auto"/>
                <w:szCs w:val="21"/>
                <w:highlight w:val="none"/>
              </w:rPr>
              <w:t>月至今任意1个月依法缴纳税收和社会保障资金的相关材料。如依法免税或不需要缴纳社会保障资金的，提供相应证明材料</w:t>
            </w:r>
            <w:r>
              <w:rPr>
                <w:rFonts w:hint="eastAsia"/>
                <w:color w:val="auto"/>
                <w:szCs w:val="21"/>
                <w:highlight w:val="none"/>
              </w:rPr>
              <w:t>。</w:t>
            </w:r>
          </w:p>
        </w:tc>
      </w:tr>
      <w:tr w14:paraId="1BB4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vAlign w:val="center"/>
          </w:tcPr>
          <w:p w14:paraId="49C673CC">
            <w:pPr>
              <w:pStyle w:val="126"/>
              <w:keepNext w:val="0"/>
              <w:keepLines w:val="0"/>
              <w:pageBreakBefore w:val="0"/>
              <w:widowControl w:val="0"/>
              <w:numPr>
                <w:ilvl w:val="0"/>
                <w:numId w:val="19"/>
              </w:numPr>
              <w:kinsoku/>
              <w:wordWrap/>
              <w:overflowPunct/>
              <w:topLinePunct w:val="0"/>
              <w:bidi w:val="0"/>
              <w:snapToGrid w:val="0"/>
              <w:spacing w:line="360" w:lineRule="auto"/>
              <w:ind w:left="0" w:firstLine="0"/>
              <w:jc w:val="center"/>
              <w:rPr>
                <w:rFonts w:hint="eastAsia" w:ascii="宋体" w:hAnsi="宋体"/>
                <w:bCs/>
                <w:color w:val="auto"/>
                <w:szCs w:val="21"/>
                <w:highlight w:val="none"/>
                <w:lang w:eastAsia="zh-CN"/>
              </w:rPr>
            </w:pPr>
          </w:p>
        </w:tc>
        <w:tc>
          <w:tcPr>
            <w:tcW w:w="2440" w:type="dxa"/>
            <w:vAlign w:val="center"/>
          </w:tcPr>
          <w:p w14:paraId="6FF4FD63">
            <w:pPr>
              <w:keepNext w:val="0"/>
              <w:keepLines w:val="0"/>
              <w:pageBreakBefore w:val="0"/>
              <w:widowControl w:val="0"/>
              <w:kinsoku/>
              <w:wordWrap/>
              <w:overflowPunct/>
              <w:topLinePunct w:val="0"/>
              <w:bidi w:val="0"/>
              <w:snapToGrid w:val="0"/>
              <w:spacing w:line="360" w:lineRule="auto"/>
              <w:jc w:val="center"/>
              <w:rPr>
                <w:rFonts w:hint="eastAsia"/>
                <w:bCs/>
                <w:color w:val="auto"/>
                <w:szCs w:val="21"/>
                <w:highlight w:val="none"/>
              </w:rPr>
            </w:pPr>
            <w:r>
              <w:rPr>
                <w:rFonts w:hint="eastAsia"/>
                <w:color w:val="auto"/>
                <w:szCs w:val="21"/>
                <w:highlight w:val="none"/>
              </w:rPr>
              <w:t>具有良好的商业信誉和健全的财务会计制度</w:t>
            </w:r>
          </w:p>
        </w:tc>
        <w:tc>
          <w:tcPr>
            <w:tcW w:w="6703" w:type="dxa"/>
            <w:vAlign w:val="center"/>
          </w:tcPr>
          <w:p w14:paraId="04CE74AD">
            <w:pPr>
              <w:keepNext w:val="0"/>
              <w:keepLines w:val="0"/>
              <w:pageBreakBefore w:val="0"/>
              <w:widowControl w:val="0"/>
              <w:kinsoku/>
              <w:wordWrap/>
              <w:overflowPunct/>
              <w:topLinePunct w:val="0"/>
              <w:bidi w:val="0"/>
              <w:snapToGrid w:val="0"/>
              <w:spacing w:line="360" w:lineRule="auto"/>
              <w:rPr>
                <w:rFonts w:hint="eastAsia"/>
                <w:bCs/>
                <w:color w:val="auto"/>
                <w:szCs w:val="21"/>
                <w:highlight w:val="none"/>
              </w:rPr>
            </w:pPr>
            <w:r>
              <w:rPr>
                <w:rFonts w:hint="eastAsia"/>
                <w:color w:val="auto"/>
                <w:szCs w:val="21"/>
                <w:highlight w:val="none"/>
              </w:rPr>
              <w:t>响应文件中须提供</w:t>
            </w:r>
            <w:r>
              <w:rPr>
                <w:color w:val="auto"/>
                <w:szCs w:val="21"/>
                <w:highlight w:val="none"/>
              </w:rPr>
              <w:t>20</w:t>
            </w:r>
            <w:r>
              <w:rPr>
                <w:rFonts w:hint="eastAsia"/>
                <w:color w:val="auto"/>
                <w:szCs w:val="21"/>
                <w:highlight w:val="none"/>
                <w:lang w:val="en-US" w:eastAsia="zh-CN"/>
              </w:rPr>
              <w:t>24</w:t>
            </w:r>
            <w:r>
              <w:rPr>
                <w:color w:val="auto"/>
                <w:szCs w:val="21"/>
                <w:highlight w:val="none"/>
              </w:rPr>
              <w:t>年度经审计的财务状况报告，或20</w:t>
            </w:r>
            <w:r>
              <w:rPr>
                <w:rFonts w:hint="eastAsia"/>
                <w:color w:val="auto"/>
                <w:szCs w:val="21"/>
                <w:highlight w:val="none"/>
                <w:lang w:val="en-US" w:eastAsia="zh-CN"/>
              </w:rPr>
              <w:t>25</w:t>
            </w:r>
            <w:r>
              <w:rPr>
                <w:color w:val="auto"/>
                <w:szCs w:val="21"/>
                <w:highlight w:val="none"/>
              </w:rPr>
              <w:t>年</w:t>
            </w:r>
            <w:r>
              <w:rPr>
                <w:rFonts w:hint="eastAsia"/>
                <w:color w:val="auto"/>
                <w:szCs w:val="21"/>
                <w:highlight w:val="none"/>
                <w:lang w:val="en-US" w:eastAsia="zh-CN"/>
              </w:rPr>
              <w:t>01</w:t>
            </w:r>
            <w:r>
              <w:rPr>
                <w:color w:val="auto"/>
                <w:szCs w:val="21"/>
                <w:highlight w:val="none"/>
              </w:rPr>
              <w:t>月至今任意1个月的会计报表，或银行出具的资信证明</w:t>
            </w:r>
            <w:r>
              <w:rPr>
                <w:rFonts w:hint="eastAsia"/>
                <w:color w:val="auto"/>
                <w:szCs w:val="21"/>
                <w:highlight w:val="none"/>
              </w:rPr>
              <w:t>（资信证明应在有效期内；未注明有效期的，银行出具时间至提交响应文件截止时间不超过一年）。</w:t>
            </w:r>
          </w:p>
        </w:tc>
      </w:tr>
      <w:tr w14:paraId="22FAC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vAlign w:val="center"/>
          </w:tcPr>
          <w:p w14:paraId="55AE00A8">
            <w:pPr>
              <w:pStyle w:val="126"/>
              <w:keepNext w:val="0"/>
              <w:keepLines w:val="0"/>
              <w:pageBreakBefore w:val="0"/>
              <w:widowControl w:val="0"/>
              <w:numPr>
                <w:ilvl w:val="0"/>
                <w:numId w:val="19"/>
              </w:numPr>
              <w:kinsoku/>
              <w:wordWrap/>
              <w:overflowPunct/>
              <w:topLinePunct w:val="0"/>
              <w:bidi w:val="0"/>
              <w:snapToGrid w:val="0"/>
              <w:spacing w:line="360" w:lineRule="auto"/>
              <w:ind w:left="0" w:firstLine="0"/>
              <w:jc w:val="center"/>
              <w:rPr>
                <w:rFonts w:hint="eastAsia" w:ascii="宋体" w:hAnsi="宋体"/>
                <w:bCs/>
                <w:color w:val="auto"/>
                <w:szCs w:val="21"/>
                <w:highlight w:val="none"/>
                <w:lang w:eastAsia="zh-CN"/>
              </w:rPr>
            </w:pPr>
          </w:p>
        </w:tc>
        <w:tc>
          <w:tcPr>
            <w:tcW w:w="2440" w:type="dxa"/>
            <w:vAlign w:val="center"/>
          </w:tcPr>
          <w:p w14:paraId="55426325">
            <w:pPr>
              <w:keepNext w:val="0"/>
              <w:keepLines w:val="0"/>
              <w:pageBreakBefore w:val="0"/>
              <w:widowControl w:val="0"/>
              <w:kinsoku/>
              <w:wordWrap/>
              <w:overflowPunct/>
              <w:topLinePunct w:val="0"/>
              <w:bidi w:val="0"/>
              <w:snapToGrid w:val="0"/>
              <w:spacing w:line="360" w:lineRule="auto"/>
              <w:jc w:val="center"/>
              <w:rPr>
                <w:rFonts w:hint="eastAsia"/>
                <w:bCs/>
                <w:color w:val="auto"/>
                <w:szCs w:val="21"/>
                <w:highlight w:val="none"/>
              </w:rPr>
            </w:pPr>
            <w:r>
              <w:rPr>
                <w:rFonts w:hint="eastAsia"/>
                <w:color w:val="auto"/>
                <w:szCs w:val="21"/>
                <w:highlight w:val="none"/>
              </w:rPr>
              <w:t>履行合同所必需的设备和专业技术能力</w:t>
            </w:r>
          </w:p>
        </w:tc>
        <w:tc>
          <w:tcPr>
            <w:tcW w:w="6703" w:type="dxa"/>
            <w:vAlign w:val="center"/>
          </w:tcPr>
          <w:p w14:paraId="2BDB0997">
            <w:pPr>
              <w:keepNext w:val="0"/>
              <w:keepLines w:val="0"/>
              <w:pageBreakBefore w:val="0"/>
              <w:widowControl w:val="0"/>
              <w:kinsoku/>
              <w:wordWrap/>
              <w:overflowPunct/>
              <w:topLinePunct w:val="0"/>
              <w:bidi w:val="0"/>
              <w:snapToGrid w:val="0"/>
              <w:spacing w:line="360" w:lineRule="auto"/>
              <w:rPr>
                <w:rFonts w:hint="eastAsia"/>
                <w:bCs/>
                <w:color w:val="auto"/>
                <w:szCs w:val="21"/>
                <w:highlight w:val="none"/>
              </w:rPr>
            </w:pPr>
            <w:r>
              <w:rPr>
                <w:rFonts w:hint="eastAsia"/>
                <w:color w:val="auto"/>
                <w:szCs w:val="21"/>
                <w:highlight w:val="none"/>
              </w:rPr>
              <w:t>响应文件中须提供设备和专业技术能力情况表。</w:t>
            </w:r>
          </w:p>
        </w:tc>
      </w:tr>
      <w:tr w14:paraId="2FDF4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vAlign w:val="center"/>
          </w:tcPr>
          <w:p w14:paraId="7E8F74DD">
            <w:pPr>
              <w:pStyle w:val="126"/>
              <w:keepNext w:val="0"/>
              <w:keepLines w:val="0"/>
              <w:pageBreakBefore w:val="0"/>
              <w:widowControl w:val="0"/>
              <w:numPr>
                <w:ilvl w:val="0"/>
                <w:numId w:val="19"/>
              </w:numPr>
              <w:kinsoku/>
              <w:wordWrap/>
              <w:overflowPunct/>
              <w:topLinePunct w:val="0"/>
              <w:bidi w:val="0"/>
              <w:snapToGrid w:val="0"/>
              <w:spacing w:line="360" w:lineRule="auto"/>
              <w:ind w:left="0" w:firstLine="0"/>
              <w:jc w:val="center"/>
              <w:rPr>
                <w:rFonts w:hint="eastAsia" w:ascii="宋体" w:hAnsi="宋体"/>
                <w:bCs/>
                <w:color w:val="auto"/>
                <w:szCs w:val="21"/>
                <w:highlight w:val="none"/>
                <w:lang w:eastAsia="zh-CN"/>
              </w:rPr>
            </w:pPr>
          </w:p>
        </w:tc>
        <w:tc>
          <w:tcPr>
            <w:tcW w:w="2440" w:type="dxa"/>
            <w:vAlign w:val="center"/>
          </w:tcPr>
          <w:p w14:paraId="563B9935">
            <w:pPr>
              <w:keepNext w:val="0"/>
              <w:keepLines w:val="0"/>
              <w:pageBreakBefore w:val="0"/>
              <w:widowControl w:val="0"/>
              <w:kinsoku/>
              <w:wordWrap/>
              <w:overflowPunct/>
              <w:topLinePunct w:val="0"/>
              <w:bidi w:val="0"/>
              <w:snapToGrid w:val="0"/>
              <w:spacing w:line="360" w:lineRule="auto"/>
              <w:jc w:val="center"/>
              <w:rPr>
                <w:rFonts w:hint="eastAsia"/>
                <w:bCs/>
                <w:color w:val="auto"/>
                <w:szCs w:val="21"/>
                <w:highlight w:val="none"/>
              </w:rPr>
            </w:pPr>
            <w:r>
              <w:rPr>
                <w:rFonts w:hint="eastAsia"/>
                <w:color w:val="auto"/>
                <w:szCs w:val="21"/>
                <w:highlight w:val="none"/>
              </w:rPr>
              <w:t>参加采购活动前3年内，在经营活动中没有重大违法记录</w:t>
            </w:r>
          </w:p>
        </w:tc>
        <w:tc>
          <w:tcPr>
            <w:tcW w:w="6703" w:type="dxa"/>
            <w:vAlign w:val="center"/>
          </w:tcPr>
          <w:p w14:paraId="4B064563">
            <w:pPr>
              <w:keepNext w:val="0"/>
              <w:keepLines w:val="0"/>
              <w:pageBreakBefore w:val="0"/>
              <w:widowControl w:val="0"/>
              <w:kinsoku/>
              <w:wordWrap/>
              <w:overflowPunct/>
              <w:topLinePunct w:val="0"/>
              <w:bidi w:val="0"/>
              <w:snapToGrid w:val="0"/>
              <w:spacing w:line="360" w:lineRule="auto"/>
              <w:rPr>
                <w:rFonts w:hint="eastAsia"/>
                <w:bCs/>
                <w:color w:val="auto"/>
                <w:szCs w:val="21"/>
                <w:highlight w:val="none"/>
              </w:rPr>
            </w:pPr>
            <w:r>
              <w:rPr>
                <w:rFonts w:hint="eastAsia"/>
                <w:color w:val="auto"/>
                <w:szCs w:val="21"/>
                <w:highlight w:val="none"/>
              </w:rPr>
              <w:t>在《响应承诺函》中进行相关申明。重大违法记录，是指供应商因违法经营受到刑事处罚或者责令停产停业、吊销许可证或者执照、较大数额罚款等行政处罚。（根据财库〔</w:t>
            </w:r>
            <w:r>
              <w:rPr>
                <w:color w:val="auto"/>
                <w:szCs w:val="21"/>
                <w:highlight w:val="none"/>
              </w:rPr>
              <w:t>2022〕3号文，“较大数额罚款”认定为200万元以上的罚款，法律、行政法规以及国务院有关部门明确规定相关领域“较大数额罚款”标准高于200万元的，从其规定。</w:t>
            </w:r>
            <w:r>
              <w:rPr>
                <w:rFonts w:hint="eastAsia"/>
                <w:color w:val="auto"/>
                <w:szCs w:val="21"/>
                <w:highlight w:val="none"/>
              </w:rPr>
              <w:t>）</w:t>
            </w:r>
          </w:p>
        </w:tc>
      </w:tr>
      <w:tr w14:paraId="6D75F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vAlign w:val="center"/>
          </w:tcPr>
          <w:p w14:paraId="2B988E38">
            <w:pPr>
              <w:pStyle w:val="126"/>
              <w:keepNext w:val="0"/>
              <w:keepLines w:val="0"/>
              <w:pageBreakBefore w:val="0"/>
              <w:widowControl w:val="0"/>
              <w:numPr>
                <w:ilvl w:val="0"/>
                <w:numId w:val="19"/>
              </w:numPr>
              <w:kinsoku/>
              <w:wordWrap/>
              <w:overflowPunct/>
              <w:topLinePunct w:val="0"/>
              <w:bidi w:val="0"/>
              <w:snapToGrid w:val="0"/>
              <w:spacing w:line="360" w:lineRule="auto"/>
              <w:ind w:left="0" w:firstLine="0"/>
              <w:jc w:val="center"/>
              <w:rPr>
                <w:rFonts w:hint="eastAsia" w:ascii="宋体" w:hAnsi="宋体"/>
                <w:bCs/>
                <w:color w:val="auto"/>
                <w:szCs w:val="21"/>
                <w:highlight w:val="none"/>
                <w:lang w:eastAsia="zh-CN"/>
              </w:rPr>
            </w:pPr>
          </w:p>
        </w:tc>
        <w:tc>
          <w:tcPr>
            <w:tcW w:w="2440" w:type="dxa"/>
            <w:vAlign w:val="center"/>
          </w:tcPr>
          <w:p w14:paraId="116FF01E">
            <w:pPr>
              <w:keepNext w:val="0"/>
              <w:keepLines w:val="0"/>
              <w:pageBreakBefore w:val="0"/>
              <w:widowControl w:val="0"/>
              <w:kinsoku/>
              <w:wordWrap/>
              <w:overflowPunct/>
              <w:topLinePunct w:val="0"/>
              <w:bidi w:val="0"/>
              <w:snapToGrid w:val="0"/>
              <w:spacing w:line="360" w:lineRule="auto"/>
              <w:jc w:val="center"/>
              <w:rPr>
                <w:rFonts w:hint="eastAsia"/>
                <w:bCs/>
                <w:color w:val="auto"/>
                <w:szCs w:val="21"/>
                <w:highlight w:val="none"/>
              </w:rPr>
            </w:pPr>
            <w:r>
              <w:rPr>
                <w:rFonts w:hint="eastAsia"/>
                <w:bCs/>
                <w:color w:val="auto"/>
                <w:szCs w:val="21"/>
                <w:highlight w:val="none"/>
              </w:rPr>
              <w:t>供应商符合法律、行政法规规定的其他条件</w:t>
            </w:r>
          </w:p>
        </w:tc>
        <w:tc>
          <w:tcPr>
            <w:tcW w:w="6703" w:type="dxa"/>
            <w:vAlign w:val="center"/>
          </w:tcPr>
          <w:p w14:paraId="43F58935">
            <w:pPr>
              <w:keepNext w:val="0"/>
              <w:keepLines w:val="0"/>
              <w:pageBreakBefore w:val="0"/>
              <w:widowControl w:val="0"/>
              <w:kinsoku/>
              <w:wordWrap/>
              <w:overflowPunct/>
              <w:topLinePunct w:val="0"/>
              <w:bidi w:val="0"/>
              <w:snapToGrid w:val="0"/>
              <w:spacing w:line="360" w:lineRule="auto"/>
              <w:rPr>
                <w:rFonts w:hint="eastAsia" w:eastAsia="宋体"/>
                <w:color w:val="auto"/>
                <w:highlight w:val="none"/>
                <w:lang w:eastAsia="zh-CN"/>
              </w:rPr>
            </w:pPr>
            <w:r>
              <w:rPr>
                <w:color w:val="auto"/>
                <w:szCs w:val="21"/>
                <w:highlight w:val="none"/>
              </w:rPr>
              <w:t>单位负责人为同一人或者存在直接控股、管理关系的不同供应商，不得同时参加本采购项目（或采购包）投标（响应）。为本项目提供整体设计、规范编制或者项目管理、监理、检测等服务的供应商，不得再参与本项目投标（响应）。</w:t>
            </w:r>
            <w:r>
              <w:rPr>
                <w:rFonts w:hint="eastAsia"/>
                <w:color w:val="auto"/>
                <w:szCs w:val="21"/>
                <w:highlight w:val="none"/>
              </w:rPr>
              <w:t>在《响应承诺函》中进行相关申明</w:t>
            </w:r>
            <w:r>
              <w:rPr>
                <w:rFonts w:hint="eastAsia"/>
                <w:color w:val="auto"/>
                <w:szCs w:val="21"/>
                <w:highlight w:val="none"/>
                <w:lang w:eastAsia="zh-CN"/>
              </w:rPr>
              <w:t>。</w:t>
            </w:r>
          </w:p>
        </w:tc>
      </w:tr>
      <w:tr w14:paraId="16069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vAlign w:val="center"/>
          </w:tcPr>
          <w:p w14:paraId="0FA942C1">
            <w:pPr>
              <w:pStyle w:val="126"/>
              <w:keepNext w:val="0"/>
              <w:keepLines w:val="0"/>
              <w:pageBreakBefore w:val="0"/>
              <w:widowControl w:val="0"/>
              <w:numPr>
                <w:ilvl w:val="0"/>
                <w:numId w:val="19"/>
              </w:numPr>
              <w:kinsoku/>
              <w:wordWrap/>
              <w:overflowPunct/>
              <w:topLinePunct w:val="0"/>
              <w:bidi w:val="0"/>
              <w:snapToGrid w:val="0"/>
              <w:spacing w:line="360" w:lineRule="auto"/>
              <w:ind w:left="0" w:firstLine="0"/>
              <w:jc w:val="center"/>
              <w:rPr>
                <w:rFonts w:hint="eastAsia" w:ascii="宋体" w:hAnsi="宋体"/>
                <w:bCs/>
                <w:color w:val="auto"/>
                <w:szCs w:val="21"/>
                <w:highlight w:val="none"/>
                <w:lang w:eastAsia="zh-CN"/>
              </w:rPr>
            </w:pPr>
          </w:p>
        </w:tc>
        <w:tc>
          <w:tcPr>
            <w:tcW w:w="2440" w:type="dxa"/>
            <w:vAlign w:val="center"/>
          </w:tcPr>
          <w:p w14:paraId="7BEAA02C">
            <w:pPr>
              <w:keepNext w:val="0"/>
              <w:keepLines w:val="0"/>
              <w:pageBreakBefore w:val="0"/>
              <w:widowControl w:val="0"/>
              <w:kinsoku/>
              <w:wordWrap/>
              <w:overflowPunct/>
              <w:topLinePunct w:val="0"/>
              <w:bidi w:val="0"/>
              <w:snapToGrid w:val="0"/>
              <w:spacing w:line="360" w:lineRule="auto"/>
              <w:jc w:val="center"/>
              <w:rPr>
                <w:rFonts w:hint="eastAsia"/>
                <w:bCs/>
                <w:color w:val="auto"/>
                <w:szCs w:val="21"/>
                <w:highlight w:val="none"/>
              </w:rPr>
            </w:pPr>
            <w:r>
              <w:rPr>
                <w:rFonts w:hint="eastAsia"/>
                <w:bCs/>
                <w:color w:val="auto"/>
                <w:szCs w:val="21"/>
                <w:highlight w:val="none"/>
              </w:rPr>
              <w:t>信用记录</w:t>
            </w:r>
          </w:p>
        </w:tc>
        <w:tc>
          <w:tcPr>
            <w:tcW w:w="6703" w:type="dxa"/>
            <w:vAlign w:val="center"/>
          </w:tcPr>
          <w:p w14:paraId="3B819749">
            <w:pPr>
              <w:keepNext w:val="0"/>
              <w:keepLines w:val="0"/>
              <w:pageBreakBefore w:val="0"/>
              <w:widowControl w:val="0"/>
              <w:kinsoku/>
              <w:wordWrap/>
              <w:overflowPunct/>
              <w:topLinePunct w:val="0"/>
              <w:bidi w:val="0"/>
              <w:snapToGrid w:val="0"/>
              <w:spacing w:line="360" w:lineRule="auto"/>
              <w:rPr>
                <w:rFonts w:hint="eastAsia"/>
                <w:bCs/>
                <w:color w:val="auto"/>
                <w:szCs w:val="21"/>
                <w:highlight w:val="none"/>
              </w:rPr>
            </w:pPr>
            <w:r>
              <w:rPr>
                <w:rFonts w:hint="eastAsia"/>
                <w:color w:val="auto"/>
                <w:szCs w:val="21"/>
                <w:highlight w:val="none"/>
              </w:rPr>
              <w:t>供应商未被列入“信用中国”网站（www.creditchina.gov.cn）“失信被执行人名单或重大税收违法案件当事人名单（即‘重大税收违法失信主体’）或政府采购严重违法失信行为记录名单”中；不处于“中国政府采购网”（www.ccgp.gov.cn）“政府采购严重违法失信行为信息记录”中的禁止参加政府采购活动期间。（以采购代理机构于投标（响应）截止时间当天在上述网站查询结果为准，如在上述网站查询结果均显示没有相关记录，视为没有上述不良信用记录；如相关失信记录已失效，供应商须提供相关证明资料。</w:t>
            </w:r>
            <w:r>
              <w:rPr>
                <w:color w:val="auto"/>
                <w:szCs w:val="21"/>
                <w:highlight w:val="none"/>
              </w:rPr>
              <w:t>）</w:t>
            </w:r>
          </w:p>
        </w:tc>
      </w:tr>
      <w:tr w14:paraId="06938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54" w:type="dxa"/>
            <w:gridSpan w:val="3"/>
            <w:vAlign w:val="center"/>
          </w:tcPr>
          <w:p w14:paraId="2D898009">
            <w:pPr>
              <w:keepNext w:val="0"/>
              <w:keepLines w:val="0"/>
              <w:pageBreakBefore w:val="0"/>
              <w:widowControl w:val="0"/>
              <w:kinsoku/>
              <w:wordWrap/>
              <w:overflowPunct/>
              <w:topLinePunct w:val="0"/>
              <w:bidi w:val="0"/>
              <w:snapToGrid w:val="0"/>
              <w:spacing w:line="360" w:lineRule="auto"/>
              <w:jc w:val="center"/>
              <w:rPr>
                <w:rFonts w:hint="eastAsia"/>
                <w:b/>
                <w:color w:val="auto"/>
                <w:szCs w:val="21"/>
                <w:highlight w:val="none"/>
              </w:rPr>
            </w:pPr>
            <w:r>
              <w:rPr>
                <w:rFonts w:hint="eastAsia"/>
                <w:b/>
                <w:color w:val="auto"/>
                <w:szCs w:val="21"/>
                <w:highlight w:val="none"/>
              </w:rPr>
              <w:t>结论</w:t>
            </w:r>
          </w:p>
        </w:tc>
      </w:tr>
      <w:tr w14:paraId="6CA79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54" w:type="dxa"/>
            <w:gridSpan w:val="3"/>
            <w:vAlign w:val="center"/>
          </w:tcPr>
          <w:p w14:paraId="1EF8DE42">
            <w:pPr>
              <w:keepNext w:val="0"/>
              <w:keepLines w:val="0"/>
              <w:pageBreakBefore w:val="0"/>
              <w:widowControl w:val="0"/>
              <w:kinsoku/>
              <w:wordWrap/>
              <w:overflowPunct/>
              <w:topLinePunct w:val="0"/>
              <w:bidi w:val="0"/>
              <w:spacing w:line="360" w:lineRule="auto"/>
              <w:jc w:val="left"/>
              <w:rPr>
                <w:rFonts w:hint="eastAsia"/>
                <w:bCs/>
                <w:color w:val="auto"/>
                <w:szCs w:val="21"/>
                <w:highlight w:val="none"/>
              </w:rPr>
            </w:pPr>
            <w:r>
              <w:rPr>
                <w:rFonts w:hint="eastAsia"/>
                <w:bCs/>
                <w:color w:val="auto"/>
                <w:szCs w:val="21"/>
                <w:highlight w:val="none"/>
              </w:rPr>
              <w:t>填表说明：</w:t>
            </w:r>
          </w:p>
          <w:p w14:paraId="73948E9E">
            <w:pPr>
              <w:keepNext w:val="0"/>
              <w:keepLines w:val="0"/>
              <w:pageBreakBefore w:val="0"/>
              <w:widowControl w:val="0"/>
              <w:kinsoku/>
              <w:wordWrap/>
              <w:overflowPunct/>
              <w:topLinePunct w:val="0"/>
              <w:bidi w:val="0"/>
              <w:spacing w:line="360" w:lineRule="auto"/>
              <w:jc w:val="left"/>
              <w:rPr>
                <w:rFonts w:hint="eastAsia"/>
                <w:bCs/>
                <w:color w:val="auto"/>
                <w:szCs w:val="21"/>
                <w:highlight w:val="none"/>
              </w:rPr>
            </w:pPr>
            <w:r>
              <w:rPr>
                <w:rFonts w:hint="eastAsia"/>
                <w:bCs/>
                <w:color w:val="auto"/>
                <w:szCs w:val="21"/>
                <w:highlight w:val="none"/>
              </w:rPr>
              <w:t>1.“通过”打“√”，“未通过”打“×”；</w:t>
            </w:r>
          </w:p>
          <w:p w14:paraId="411EB3EA">
            <w:pPr>
              <w:keepNext w:val="0"/>
              <w:keepLines w:val="0"/>
              <w:pageBreakBefore w:val="0"/>
              <w:widowControl w:val="0"/>
              <w:kinsoku/>
              <w:wordWrap/>
              <w:overflowPunct/>
              <w:topLinePunct w:val="0"/>
              <w:bidi w:val="0"/>
              <w:spacing w:line="360" w:lineRule="auto"/>
              <w:jc w:val="left"/>
              <w:rPr>
                <w:rFonts w:hint="eastAsia"/>
                <w:bCs/>
                <w:color w:val="auto"/>
                <w:szCs w:val="21"/>
                <w:highlight w:val="none"/>
              </w:rPr>
            </w:pPr>
            <w:r>
              <w:rPr>
                <w:rFonts w:hint="eastAsia"/>
                <w:bCs/>
                <w:color w:val="auto"/>
                <w:szCs w:val="21"/>
                <w:highlight w:val="none"/>
              </w:rPr>
              <w:t>2.在结论栏中填写“通过”或“未通过”；</w:t>
            </w:r>
          </w:p>
          <w:p w14:paraId="47E69629">
            <w:pPr>
              <w:keepNext w:val="0"/>
              <w:keepLines w:val="0"/>
              <w:pageBreakBefore w:val="0"/>
              <w:widowControl w:val="0"/>
              <w:kinsoku/>
              <w:wordWrap/>
              <w:overflowPunct/>
              <w:topLinePunct w:val="0"/>
              <w:bidi w:val="0"/>
              <w:snapToGrid w:val="0"/>
              <w:spacing w:line="360" w:lineRule="auto"/>
              <w:rPr>
                <w:rFonts w:hint="eastAsia"/>
                <w:bCs/>
                <w:color w:val="auto"/>
                <w:szCs w:val="21"/>
                <w:highlight w:val="none"/>
              </w:rPr>
            </w:pPr>
            <w:r>
              <w:rPr>
                <w:rFonts w:hint="eastAsia"/>
                <w:bCs/>
                <w:color w:val="auto"/>
                <w:szCs w:val="21"/>
                <w:highlight w:val="none"/>
              </w:rPr>
              <w:t>3.供应商有一个“未通过”，审查结论视为“未通过”。</w:t>
            </w:r>
          </w:p>
        </w:tc>
      </w:tr>
    </w:tbl>
    <w:p w14:paraId="2E99AD07">
      <w:pPr>
        <w:keepNext w:val="0"/>
        <w:keepLines w:val="0"/>
        <w:pageBreakBefore w:val="0"/>
        <w:widowControl w:val="0"/>
        <w:kinsoku/>
        <w:wordWrap/>
        <w:overflowPunct/>
        <w:topLinePunct w:val="0"/>
        <w:bidi w:val="0"/>
        <w:spacing w:line="360" w:lineRule="auto"/>
        <w:jc w:val="left"/>
        <w:rPr>
          <w:rFonts w:hint="eastAsia"/>
          <w:color w:val="auto"/>
          <w:highlight w:val="none"/>
        </w:rPr>
      </w:pPr>
    </w:p>
    <w:p w14:paraId="6C892ECB">
      <w:pPr>
        <w:keepNext w:val="0"/>
        <w:keepLines w:val="0"/>
        <w:pageBreakBefore w:val="0"/>
        <w:widowControl w:val="0"/>
        <w:kinsoku/>
        <w:wordWrap/>
        <w:overflowPunct/>
        <w:topLinePunct w:val="0"/>
        <w:bidi w:val="0"/>
        <w:spacing w:line="360" w:lineRule="auto"/>
        <w:ind w:firstLine="422" w:firstLineChars="200"/>
        <w:jc w:val="left"/>
        <w:outlineLvl w:val="3"/>
        <w:rPr>
          <w:rFonts w:hint="eastAsia" w:cs="Futura-Heavy"/>
          <w:b/>
          <w:bCs/>
          <w:color w:val="auto"/>
          <w:kern w:val="0"/>
          <w:szCs w:val="21"/>
          <w:highlight w:val="none"/>
        </w:rPr>
      </w:pPr>
      <w:r>
        <w:rPr>
          <w:rFonts w:hint="eastAsia" w:cs="Futura-Heavy"/>
          <w:b/>
          <w:bCs/>
          <w:color w:val="auto"/>
          <w:kern w:val="0"/>
          <w:szCs w:val="21"/>
          <w:highlight w:val="none"/>
        </w:rPr>
        <w:t>表二：符合性审查表</w:t>
      </w:r>
    </w:p>
    <w:tbl>
      <w:tblPr>
        <w:tblStyle w:val="4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2294"/>
        <w:gridCol w:w="6847"/>
      </w:tblGrid>
      <w:tr w14:paraId="25AC2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713" w:type="dxa"/>
            <w:vAlign w:val="center"/>
          </w:tcPr>
          <w:p w14:paraId="6972686C">
            <w:pPr>
              <w:keepNext w:val="0"/>
              <w:keepLines w:val="0"/>
              <w:pageBreakBefore w:val="0"/>
              <w:widowControl w:val="0"/>
              <w:kinsoku/>
              <w:wordWrap/>
              <w:overflowPunct/>
              <w:topLinePunct w:val="0"/>
              <w:bidi w:val="0"/>
              <w:snapToGrid w:val="0"/>
              <w:spacing w:before="120" w:beforeLines="50" w:after="120" w:afterLines="50" w:line="360" w:lineRule="auto"/>
              <w:jc w:val="center"/>
              <w:rPr>
                <w:rFonts w:hint="eastAsia"/>
                <w:b/>
                <w:color w:val="auto"/>
                <w:szCs w:val="21"/>
                <w:highlight w:val="none"/>
              </w:rPr>
            </w:pPr>
            <w:r>
              <w:rPr>
                <w:b/>
                <w:color w:val="auto"/>
                <w:szCs w:val="21"/>
                <w:highlight w:val="none"/>
              </w:rPr>
              <w:t>序号</w:t>
            </w:r>
          </w:p>
        </w:tc>
        <w:tc>
          <w:tcPr>
            <w:tcW w:w="2294" w:type="dxa"/>
            <w:vAlign w:val="center"/>
          </w:tcPr>
          <w:p w14:paraId="4E324847">
            <w:pPr>
              <w:keepNext w:val="0"/>
              <w:keepLines w:val="0"/>
              <w:pageBreakBefore w:val="0"/>
              <w:widowControl w:val="0"/>
              <w:kinsoku/>
              <w:wordWrap/>
              <w:overflowPunct/>
              <w:topLinePunct w:val="0"/>
              <w:bidi w:val="0"/>
              <w:snapToGrid w:val="0"/>
              <w:spacing w:before="120" w:beforeLines="50" w:after="120" w:afterLines="50" w:line="360" w:lineRule="auto"/>
              <w:jc w:val="center"/>
              <w:rPr>
                <w:rFonts w:hint="eastAsia"/>
                <w:b/>
                <w:color w:val="auto"/>
                <w:szCs w:val="21"/>
                <w:highlight w:val="none"/>
              </w:rPr>
            </w:pPr>
            <w:r>
              <w:rPr>
                <w:rFonts w:hint="eastAsia"/>
                <w:b/>
                <w:color w:val="auto"/>
                <w:szCs w:val="21"/>
                <w:highlight w:val="none"/>
              </w:rPr>
              <w:t>评审点要求概况</w:t>
            </w:r>
          </w:p>
        </w:tc>
        <w:tc>
          <w:tcPr>
            <w:tcW w:w="6847" w:type="dxa"/>
            <w:vAlign w:val="center"/>
          </w:tcPr>
          <w:p w14:paraId="65A205C1">
            <w:pPr>
              <w:keepNext w:val="0"/>
              <w:keepLines w:val="0"/>
              <w:pageBreakBefore w:val="0"/>
              <w:widowControl w:val="0"/>
              <w:kinsoku/>
              <w:wordWrap/>
              <w:overflowPunct/>
              <w:topLinePunct w:val="0"/>
              <w:bidi w:val="0"/>
              <w:snapToGrid w:val="0"/>
              <w:spacing w:before="120" w:beforeLines="50" w:after="120" w:afterLines="50" w:line="360" w:lineRule="auto"/>
              <w:jc w:val="center"/>
              <w:rPr>
                <w:rFonts w:hint="eastAsia"/>
                <w:b/>
                <w:color w:val="auto"/>
                <w:szCs w:val="21"/>
                <w:highlight w:val="none"/>
              </w:rPr>
            </w:pPr>
            <w:r>
              <w:rPr>
                <w:rFonts w:hint="eastAsia"/>
                <w:b/>
                <w:color w:val="auto"/>
                <w:szCs w:val="21"/>
                <w:highlight w:val="none"/>
              </w:rPr>
              <w:t>评审点具体描述</w:t>
            </w:r>
          </w:p>
        </w:tc>
      </w:tr>
      <w:tr w14:paraId="4F89A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713" w:type="dxa"/>
            <w:vAlign w:val="center"/>
          </w:tcPr>
          <w:p w14:paraId="1CF4D97D">
            <w:pPr>
              <w:pStyle w:val="126"/>
              <w:keepNext w:val="0"/>
              <w:keepLines w:val="0"/>
              <w:pageBreakBefore w:val="0"/>
              <w:widowControl w:val="0"/>
              <w:numPr>
                <w:ilvl w:val="0"/>
                <w:numId w:val="20"/>
              </w:numPr>
              <w:kinsoku/>
              <w:wordWrap/>
              <w:overflowPunct/>
              <w:topLinePunct w:val="0"/>
              <w:bidi w:val="0"/>
              <w:spacing w:line="360" w:lineRule="auto"/>
              <w:ind w:left="0" w:firstLine="0"/>
              <w:jc w:val="center"/>
              <w:rPr>
                <w:rFonts w:hint="eastAsia" w:ascii="宋体" w:hAnsi="宋体"/>
                <w:color w:val="auto"/>
                <w:highlight w:val="none"/>
              </w:rPr>
            </w:pPr>
          </w:p>
        </w:tc>
        <w:tc>
          <w:tcPr>
            <w:tcW w:w="2294" w:type="dxa"/>
            <w:vAlign w:val="center"/>
          </w:tcPr>
          <w:p w14:paraId="04525C3E">
            <w:pPr>
              <w:keepNext w:val="0"/>
              <w:keepLines w:val="0"/>
              <w:pageBreakBefore w:val="0"/>
              <w:widowControl w:val="0"/>
              <w:kinsoku/>
              <w:wordWrap/>
              <w:overflowPunct/>
              <w:topLinePunct w:val="0"/>
              <w:bidi w:val="0"/>
              <w:snapToGrid w:val="0"/>
              <w:spacing w:line="360" w:lineRule="auto"/>
              <w:jc w:val="center"/>
              <w:rPr>
                <w:rFonts w:hint="eastAsia"/>
                <w:bCs/>
                <w:color w:val="auto"/>
                <w:szCs w:val="21"/>
                <w:highlight w:val="none"/>
              </w:rPr>
            </w:pPr>
            <w:r>
              <w:rPr>
                <w:rFonts w:hint="eastAsia"/>
                <w:bCs/>
                <w:color w:val="auto"/>
                <w:szCs w:val="21"/>
                <w:highlight w:val="none"/>
              </w:rPr>
              <w:t>响应承诺函</w:t>
            </w:r>
          </w:p>
        </w:tc>
        <w:tc>
          <w:tcPr>
            <w:tcW w:w="6847" w:type="dxa"/>
            <w:vAlign w:val="center"/>
          </w:tcPr>
          <w:p w14:paraId="1C0468EB">
            <w:pPr>
              <w:keepNext w:val="0"/>
              <w:keepLines w:val="0"/>
              <w:pageBreakBefore w:val="0"/>
              <w:widowControl w:val="0"/>
              <w:kinsoku/>
              <w:wordWrap/>
              <w:overflowPunct/>
              <w:topLinePunct w:val="0"/>
              <w:bidi w:val="0"/>
              <w:snapToGrid w:val="0"/>
              <w:spacing w:line="360" w:lineRule="auto"/>
              <w:rPr>
                <w:rFonts w:hint="eastAsia"/>
                <w:bCs/>
                <w:color w:val="auto"/>
                <w:szCs w:val="21"/>
                <w:highlight w:val="none"/>
              </w:rPr>
            </w:pPr>
            <w:r>
              <w:rPr>
                <w:rFonts w:hint="eastAsia"/>
                <w:bCs/>
                <w:color w:val="auto"/>
                <w:szCs w:val="21"/>
                <w:highlight w:val="none"/>
              </w:rPr>
              <w:t>按采购文件要求提交响应承诺函，内容完整，无重大错漏，按对应格式文件签署和盖章。</w:t>
            </w:r>
          </w:p>
        </w:tc>
      </w:tr>
      <w:tr w14:paraId="5C48F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713" w:type="dxa"/>
            <w:vAlign w:val="center"/>
          </w:tcPr>
          <w:p w14:paraId="338DC399">
            <w:pPr>
              <w:pStyle w:val="126"/>
              <w:keepNext w:val="0"/>
              <w:keepLines w:val="0"/>
              <w:pageBreakBefore w:val="0"/>
              <w:widowControl w:val="0"/>
              <w:numPr>
                <w:ilvl w:val="0"/>
                <w:numId w:val="20"/>
              </w:numPr>
              <w:kinsoku/>
              <w:wordWrap/>
              <w:overflowPunct/>
              <w:topLinePunct w:val="0"/>
              <w:bidi w:val="0"/>
              <w:spacing w:line="360" w:lineRule="auto"/>
              <w:ind w:left="0" w:firstLine="0"/>
              <w:jc w:val="center"/>
              <w:rPr>
                <w:rFonts w:hint="eastAsia" w:ascii="宋体" w:hAnsi="宋体"/>
                <w:color w:val="auto"/>
                <w:highlight w:val="none"/>
                <w:lang w:eastAsia="zh-CN"/>
              </w:rPr>
            </w:pPr>
          </w:p>
        </w:tc>
        <w:tc>
          <w:tcPr>
            <w:tcW w:w="2294" w:type="dxa"/>
            <w:vAlign w:val="center"/>
          </w:tcPr>
          <w:p w14:paraId="4D5E94F2">
            <w:pPr>
              <w:keepNext w:val="0"/>
              <w:keepLines w:val="0"/>
              <w:pageBreakBefore w:val="0"/>
              <w:widowControl w:val="0"/>
              <w:kinsoku/>
              <w:wordWrap/>
              <w:overflowPunct/>
              <w:topLinePunct w:val="0"/>
              <w:bidi w:val="0"/>
              <w:snapToGrid w:val="0"/>
              <w:spacing w:line="360" w:lineRule="auto"/>
              <w:jc w:val="center"/>
              <w:rPr>
                <w:rFonts w:hint="eastAsia"/>
                <w:bCs/>
                <w:color w:val="auto"/>
                <w:szCs w:val="21"/>
                <w:highlight w:val="none"/>
              </w:rPr>
            </w:pPr>
            <w:r>
              <w:rPr>
                <w:rFonts w:hint="eastAsia"/>
                <w:bCs/>
                <w:color w:val="auto"/>
                <w:szCs w:val="21"/>
                <w:highlight w:val="none"/>
              </w:rPr>
              <w:t>响应</w:t>
            </w:r>
            <w:r>
              <w:rPr>
                <w:bCs/>
                <w:color w:val="auto"/>
                <w:szCs w:val="21"/>
                <w:highlight w:val="none"/>
              </w:rPr>
              <w:t>有效期</w:t>
            </w:r>
          </w:p>
        </w:tc>
        <w:tc>
          <w:tcPr>
            <w:tcW w:w="6847" w:type="dxa"/>
            <w:vAlign w:val="center"/>
          </w:tcPr>
          <w:p w14:paraId="4ECFACF2">
            <w:pPr>
              <w:keepNext w:val="0"/>
              <w:keepLines w:val="0"/>
              <w:pageBreakBefore w:val="0"/>
              <w:widowControl w:val="0"/>
              <w:kinsoku/>
              <w:wordWrap/>
              <w:overflowPunct/>
              <w:topLinePunct w:val="0"/>
              <w:bidi w:val="0"/>
              <w:snapToGrid w:val="0"/>
              <w:spacing w:line="360" w:lineRule="auto"/>
              <w:rPr>
                <w:rFonts w:hint="eastAsia"/>
                <w:bCs/>
                <w:color w:val="auto"/>
                <w:szCs w:val="21"/>
                <w:highlight w:val="none"/>
              </w:rPr>
            </w:pPr>
            <w:r>
              <w:rPr>
                <w:rFonts w:hint="eastAsia"/>
                <w:bCs/>
                <w:color w:val="auto"/>
                <w:szCs w:val="21"/>
                <w:highlight w:val="none"/>
              </w:rPr>
              <w:t>响应有效期不少于采购文件中载明的响应有效期。</w:t>
            </w:r>
          </w:p>
        </w:tc>
      </w:tr>
      <w:tr w14:paraId="6E2CF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713" w:type="dxa"/>
            <w:vAlign w:val="center"/>
          </w:tcPr>
          <w:p w14:paraId="313A7142">
            <w:pPr>
              <w:pStyle w:val="126"/>
              <w:keepNext w:val="0"/>
              <w:keepLines w:val="0"/>
              <w:pageBreakBefore w:val="0"/>
              <w:widowControl w:val="0"/>
              <w:numPr>
                <w:ilvl w:val="0"/>
                <w:numId w:val="20"/>
              </w:numPr>
              <w:kinsoku/>
              <w:wordWrap/>
              <w:overflowPunct/>
              <w:topLinePunct w:val="0"/>
              <w:bidi w:val="0"/>
              <w:spacing w:line="360" w:lineRule="auto"/>
              <w:ind w:left="0" w:firstLine="0"/>
              <w:jc w:val="center"/>
              <w:rPr>
                <w:rFonts w:hint="eastAsia" w:ascii="宋体" w:hAnsi="宋体"/>
                <w:color w:val="auto"/>
                <w:highlight w:val="none"/>
                <w:lang w:eastAsia="zh-CN"/>
              </w:rPr>
            </w:pPr>
          </w:p>
        </w:tc>
        <w:tc>
          <w:tcPr>
            <w:tcW w:w="2294" w:type="dxa"/>
            <w:vAlign w:val="center"/>
          </w:tcPr>
          <w:p w14:paraId="36C6E88D">
            <w:pPr>
              <w:keepNext w:val="0"/>
              <w:keepLines w:val="0"/>
              <w:pageBreakBefore w:val="0"/>
              <w:widowControl w:val="0"/>
              <w:kinsoku/>
              <w:wordWrap/>
              <w:overflowPunct/>
              <w:topLinePunct w:val="0"/>
              <w:bidi w:val="0"/>
              <w:snapToGrid w:val="0"/>
              <w:spacing w:line="360" w:lineRule="auto"/>
              <w:jc w:val="center"/>
              <w:rPr>
                <w:rFonts w:hint="eastAsia"/>
                <w:bCs/>
                <w:color w:val="auto"/>
                <w:szCs w:val="21"/>
                <w:highlight w:val="none"/>
              </w:rPr>
            </w:pPr>
            <w:r>
              <w:rPr>
                <w:rFonts w:hint="eastAsia"/>
                <w:bCs/>
                <w:color w:val="auto"/>
                <w:szCs w:val="21"/>
                <w:highlight w:val="none"/>
              </w:rPr>
              <w:t>响应</w:t>
            </w:r>
            <w:r>
              <w:rPr>
                <w:bCs/>
                <w:color w:val="auto"/>
                <w:szCs w:val="21"/>
                <w:highlight w:val="none"/>
              </w:rPr>
              <w:t>报价</w:t>
            </w:r>
          </w:p>
        </w:tc>
        <w:tc>
          <w:tcPr>
            <w:tcW w:w="6847" w:type="dxa"/>
            <w:vAlign w:val="center"/>
          </w:tcPr>
          <w:p w14:paraId="5212C1C0">
            <w:pPr>
              <w:keepNext w:val="0"/>
              <w:keepLines w:val="0"/>
              <w:pageBreakBefore w:val="0"/>
              <w:widowControl w:val="0"/>
              <w:kinsoku/>
              <w:wordWrap/>
              <w:overflowPunct/>
              <w:topLinePunct w:val="0"/>
              <w:bidi w:val="0"/>
              <w:snapToGrid w:val="0"/>
              <w:spacing w:line="360" w:lineRule="auto"/>
              <w:rPr>
                <w:rFonts w:hint="eastAsia"/>
                <w:bCs/>
                <w:color w:val="auto"/>
                <w:szCs w:val="21"/>
                <w:highlight w:val="none"/>
              </w:rPr>
            </w:pPr>
            <w:r>
              <w:rPr>
                <w:rFonts w:hint="eastAsia"/>
                <w:bCs/>
                <w:color w:val="auto"/>
                <w:szCs w:val="21"/>
                <w:highlight w:val="none"/>
              </w:rPr>
              <w:t>1.响应报价是固定价且是唯一的，未超过项目预算总金额或 最高限价的。</w:t>
            </w:r>
          </w:p>
          <w:p w14:paraId="6B1FFC65">
            <w:pPr>
              <w:keepNext w:val="0"/>
              <w:keepLines w:val="0"/>
              <w:pageBreakBefore w:val="0"/>
              <w:widowControl w:val="0"/>
              <w:kinsoku/>
              <w:wordWrap/>
              <w:overflowPunct/>
              <w:topLinePunct w:val="0"/>
              <w:bidi w:val="0"/>
              <w:snapToGrid w:val="0"/>
              <w:spacing w:line="360" w:lineRule="auto"/>
              <w:rPr>
                <w:rFonts w:hint="eastAsia"/>
                <w:bCs/>
                <w:color w:val="auto"/>
                <w:szCs w:val="21"/>
                <w:highlight w:val="none"/>
              </w:rPr>
            </w:pPr>
            <w:r>
              <w:rPr>
                <w:rFonts w:hint="eastAsia"/>
                <w:bCs/>
                <w:color w:val="auto"/>
                <w:szCs w:val="21"/>
                <w:highlight w:val="none"/>
              </w:rPr>
              <w:t>2.价格修正：若出现响应报价错误的，按采购文件规定的价格修正原则处理，供应商按规定书面确认报价。</w:t>
            </w:r>
          </w:p>
          <w:p w14:paraId="101CD70E">
            <w:pPr>
              <w:keepNext w:val="0"/>
              <w:keepLines w:val="0"/>
              <w:pageBreakBefore w:val="0"/>
              <w:widowControl w:val="0"/>
              <w:kinsoku/>
              <w:wordWrap/>
              <w:overflowPunct/>
              <w:topLinePunct w:val="0"/>
              <w:bidi w:val="0"/>
              <w:snapToGrid w:val="0"/>
              <w:spacing w:line="360" w:lineRule="auto"/>
              <w:rPr>
                <w:rFonts w:hint="eastAsia"/>
                <w:bCs/>
                <w:color w:val="auto"/>
                <w:szCs w:val="21"/>
                <w:highlight w:val="none"/>
              </w:rPr>
            </w:pPr>
            <w:r>
              <w:rPr>
                <w:rFonts w:hint="eastAsia"/>
                <w:bCs/>
                <w:color w:val="auto"/>
                <w:szCs w:val="21"/>
                <w:highlight w:val="none"/>
              </w:rPr>
              <w:t>3.报价合理性：若磋商小组认为供应商的报价明显低于其他通过符合性审查供应商的报价，有可能影响产品质量或者不能诚信履约的，将要求其在评审现场合理的时间内提供书面说明，必要时提交相关证明材料；供应商应能证明其报价合理性。</w:t>
            </w:r>
          </w:p>
        </w:tc>
      </w:tr>
      <w:tr w14:paraId="2C030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713" w:type="dxa"/>
            <w:vAlign w:val="center"/>
          </w:tcPr>
          <w:p w14:paraId="336CDC57">
            <w:pPr>
              <w:pStyle w:val="126"/>
              <w:keepNext w:val="0"/>
              <w:keepLines w:val="0"/>
              <w:pageBreakBefore w:val="0"/>
              <w:widowControl w:val="0"/>
              <w:numPr>
                <w:ilvl w:val="0"/>
                <w:numId w:val="20"/>
              </w:numPr>
              <w:kinsoku/>
              <w:wordWrap/>
              <w:overflowPunct/>
              <w:topLinePunct w:val="0"/>
              <w:bidi w:val="0"/>
              <w:spacing w:line="360" w:lineRule="auto"/>
              <w:ind w:left="0" w:firstLine="0"/>
              <w:jc w:val="center"/>
              <w:rPr>
                <w:rFonts w:hint="eastAsia" w:ascii="宋体" w:hAnsi="宋体"/>
                <w:color w:val="auto"/>
                <w:highlight w:val="none"/>
                <w:lang w:eastAsia="zh-CN"/>
              </w:rPr>
            </w:pPr>
          </w:p>
        </w:tc>
        <w:tc>
          <w:tcPr>
            <w:tcW w:w="2294" w:type="dxa"/>
            <w:vAlign w:val="center"/>
          </w:tcPr>
          <w:p w14:paraId="0816920D">
            <w:pPr>
              <w:keepNext w:val="0"/>
              <w:keepLines w:val="0"/>
              <w:pageBreakBefore w:val="0"/>
              <w:widowControl w:val="0"/>
              <w:kinsoku/>
              <w:wordWrap/>
              <w:overflowPunct/>
              <w:topLinePunct w:val="0"/>
              <w:bidi w:val="0"/>
              <w:snapToGrid w:val="0"/>
              <w:spacing w:line="360" w:lineRule="auto"/>
              <w:jc w:val="center"/>
              <w:rPr>
                <w:rFonts w:hint="eastAsia"/>
                <w:bCs/>
                <w:color w:val="auto"/>
                <w:szCs w:val="21"/>
                <w:highlight w:val="none"/>
              </w:rPr>
            </w:pPr>
            <w:bookmarkStart w:id="112" w:name="_Hlk69329880"/>
            <w:r>
              <w:rPr>
                <w:rFonts w:hint="eastAsia"/>
                <w:bCs/>
                <w:color w:val="auto"/>
                <w:szCs w:val="21"/>
                <w:highlight w:val="none"/>
              </w:rPr>
              <w:t>法定代表人证明书和</w:t>
            </w:r>
            <w:bookmarkEnd w:id="112"/>
            <w:r>
              <w:rPr>
                <w:rFonts w:hint="eastAsia"/>
                <w:bCs/>
                <w:color w:val="auto"/>
                <w:szCs w:val="21"/>
                <w:highlight w:val="none"/>
              </w:rPr>
              <w:t>法定代表人授权书</w:t>
            </w:r>
          </w:p>
        </w:tc>
        <w:tc>
          <w:tcPr>
            <w:tcW w:w="6847" w:type="dxa"/>
            <w:vAlign w:val="center"/>
          </w:tcPr>
          <w:p w14:paraId="011B6589">
            <w:pPr>
              <w:keepNext w:val="0"/>
              <w:keepLines w:val="0"/>
              <w:pageBreakBefore w:val="0"/>
              <w:widowControl w:val="0"/>
              <w:kinsoku/>
              <w:wordWrap/>
              <w:overflowPunct/>
              <w:topLinePunct w:val="0"/>
              <w:bidi w:val="0"/>
              <w:snapToGrid w:val="0"/>
              <w:spacing w:line="360" w:lineRule="auto"/>
              <w:rPr>
                <w:rFonts w:hint="eastAsia"/>
                <w:bCs/>
                <w:color w:val="auto"/>
                <w:szCs w:val="21"/>
                <w:highlight w:val="none"/>
              </w:rPr>
            </w:pPr>
            <w:r>
              <w:rPr>
                <w:rFonts w:hint="eastAsia"/>
                <w:bCs/>
                <w:color w:val="auto"/>
                <w:szCs w:val="21"/>
                <w:highlight w:val="none"/>
              </w:rPr>
              <w:t>响应供应商提供的法定代表人证明书及法定代表人授权书原件</w:t>
            </w:r>
            <w:r>
              <w:rPr>
                <w:rFonts w:hint="eastAsia"/>
                <w:color w:val="auto"/>
                <w:szCs w:val="21"/>
                <w:highlight w:val="none"/>
              </w:rPr>
              <w:t>，</w:t>
            </w:r>
            <w:r>
              <w:rPr>
                <w:rFonts w:hint="eastAsia"/>
                <w:bCs/>
                <w:color w:val="auto"/>
                <w:szCs w:val="21"/>
                <w:highlight w:val="none"/>
              </w:rPr>
              <w:t>按格式要求签署并盖章；</w:t>
            </w:r>
            <w:r>
              <w:rPr>
                <w:rFonts w:hint="eastAsia"/>
                <w:color w:val="auto"/>
                <w:szCs w:val="21"/>
                <w:highlight w:val="none"/>
              </w:rPr>
              <w:t>若法定代表人作为供应商代表参加响应，则只需提供法定代表人证明书</w:t>
            </w:r>
            <w:r>
              <w:rPr>
                <w:rFonts w:hint="eastAsia"/>
                <w:bCs/>
                <w:color w:val="auto"/>
                <w:szCs w:val="21"/>
                <w:highlight w:val="none"/>
              </w:rPr>
              <w:t>。</w:t>
            </w:r>
          </w:p>
        </w:tc>
      </w:tr>
      <w:tr w14:paraId="3E89F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713" w:type="dxa"/>
            <w:vAlign w:val="center"/>
          </w:tcPr>
          <w:p w14:paraId="197760E4">
            <w:pPr>
              <w:pStyle w:val="126"/>
              <w:keepNext w:val="0"/>
              <w:keepLines w:val="0"/>
              <w:pageBreakBefore w:val="0"/>
              <w:widowControl w:val="0"/>
              <w:numPr>
                <w:ilvl w:val="0"/>
                <w:numId w:val="20"/>
              </w:numPr>
              <w:kinsoku/>
              <w:wordWrap/>
              <w:overflowPunct/>
              <w:topLinePunct w:val="0"/>
              <w:bidi w:val="0"/>
              <w:spacing w:line="360" w:lineRule="auto"/>
              <w:ind w:left="0" w:firstLine="0"/>
              <w:jc w:val="center"/>
              <w:rPr>
                <w:rFonts w:hint="eastAsia" w:ascii="宋体" w:hAnsi="宋体"/>
                <w:color w:val="auto"/>
                <w:highlight w:val="none"/>
                <w:lang w:eastAsia="zh-CN"/>
              </w:rPr>
            </w:pPr>
          </w:p>
        </w:tc>
        <w:tc>
          <w:tcPr>
            <w:tcW w:w="2294" w:type="dxa"/>
            <w:vAlign w:val="center"/>
          </w:tcPr>
          <w:p w14:paraId="0592B651">
            <w:pPr>
              <w:keepNext w:val="0"/>
              <w:keepLines w:val="0"/>
              <w:pageBreakBefore w:val="0"/>
              <w:widowControl w:val="0"/>
              <w:kinsoku/>
              <w:wordWrap/>
              <w:overflowPunct/>
              <w:topLinePunct w:val="0"/>
              <w:bidi w:val="0"/>
              <w:snapToGrid w:val="0"/>
              <w:spacing w:line="360" w:lineRule="auto"/>
              <w:jc w:val="center"/>
              <w:rPr>
                <w:rFonts w:hint="eastAsia"/>
                <w:bCs/>
                <w:color w:val="auto"/>
                <w:szCs w:val="21"/>
                <w:highlight w:val="none"/>
              </w:rPr>
            </w:pPr>
            <w:r>
              <w:rPr>
                <w:rFonts w:hint="eastAsia"/>
                <w:bCs/>
                <w:color w:val="auto"/>
                <w:szCs w:val="21"/>
                <w:highlight w:val="none"/>
              </w:rPr>
              <w:t>附加条件</w:t>
            </w:r>
          </w:p>
        </w:tc>
        <w:tc>
          <w:tcPr>
            <w:tcW w:w="6847" w:type="dxa"/>
            <w:vAlign w:val="center"/>
          </w:tcPr>
          <w:p w14:paraId="15D30090">
            <w:pPr>
              <w:keepNext w:val="0"/>
              <w:keepLines w:val="0"/>
              <w:pageBreakBefore w:val="0"/>
              <w:widowControl w:val="0"/>
              <w:kinsoku/>
              <w:wordWrap/>
              <w:overflowPunct/>
              <w:topLinePunct w:val="0"/>
              <w:bidi w:val="0"/>
              <w:snapToGrid w:val="0"/>
              <w:spacing w:line="360" w:lineRule="auto"/>
              <w:rPr>
                <w:rFonts w:hint="eastAsia"/>
                <w:bCs/>
                <w:color w:val="auto"/>
                <w:szCs w:val="21"/>
                <w:highlight w:val="none"/>
              </w:rPr>
            </w:pPr>
            <w:r>
              <w:rPr>
                <w:rFonts w:hint="eastAsia"/>
                <w:bCs/>
                <w:color w:val="auto"/>
                <w:szCs w:val="21"/>
                <w:highlight w:val="none"/>
              </w:rPr>
              <w:t>响应文件中未含有采购人不能接受的附加条件。</w:t>
            </w:r>
          </w:p>
        </w:tc>
      </w:tr>
      <w:tr w14:paraId="2C8B5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713" w:type="dxa"/>
            <w:vAlign w:val="center"/>
          </w:tcPr>
          <w:p w14:paraId="481334DC">
            <w:pPr>
              <w:pStyle w:val="126"/>
              <w:keepNext w:val="0"/>
              <w:keepLines w:val="0"/>
              <w:pageBreakBefore w:val="0"/>
              <w:widowControl w:val="0"/>
              <w:numPr>
                <w:ilvl w:val="0"/>
                <w:numId w:val="20"/>
              </w:numPr>
              <w:kinsoku/>
              <w:wordWrap/>
              <w:overflowPunct/>
              <w:topLinePunct w:val="0"/>
              <w:bidi w:val="0"/>
              <w:spacing w:line="360" w:lineRule="auto"/>
              <w:ind w:left="0" w:firstLine="0"/>
              <w:jc w:val="center"/>
              <w:rPr>
                <w:rFonts w:hint="eastAsia" w:ascii="宋体" w:hAnsi="宋体"/>
                <w:color w:val="auto"/>
                <w:highlight w:val="none"/>
                <w:lang w:eastAsia="zh-CN"/>
              </w:rPr>
            </w:pPr>
          </w:p>
        </w:tc>
        <w:tc>
          <w:tcPr>
            <w:tcW w:w="2294" w:type="dxa"/>
            <w:vAlign w:val="center"/>
          </w:tcPr>
          <w:p w14:paraId="51A93609">
            <w:pPr>
              <w:keepNext w:val="0"/>
              <w:keepLines w:val="0"/>
              <w:pageBreakBefore w:val="0"/>
              <w:widowControl w:val="0"/>
              <w:kinsoku/>
              <w:wordWrap/>
              <w:overflowPunct/>
              <w:topLinePunct w:val="0"/>
              <w:bidi w:val="0"/>
              <w:snapToGrid w:val="0"/>
              <w:spacing w:line="360" w:lineRule="auto"/>
              <w:jc w:val="center"/>
              <w:rPr>
                <w:rFonts w:hint="eastAsia"/>
                <w:color w:val="auto"/>
                <w:szCs w:val="21"/>
                <w:highlight w:val="none"/>
              </w:rPr>
            </w:pPr>
            <w:r>
              <w:rPr>
                <w:color w:val="auto"/>
                <w:szCs w:val="21"/>
                <w:highlight w:val="none"/>
              </w:rPr>
              <w:t>商务条款响应情况</w:t>
            </w:r>
          </w:p>
        </w:tc>
        <w:tc>
          <w:tcPr>
            <w:tcW w:w="6847" w:type="dxa"/>
            <w:vAlign w:val="center"/>
          </w:tcPr>
          <w:p w14:paraId="3E1EF356">
            <w:pPr>
              <w:keepNext w:val="0"/>
              <w:keepLines w:val="0"/>
              <w:pageBreakBefore w:val="0"/>
              <w:widowControl w:val="0"/>
              <w:kinsoku/>
              <w:wordWrap/>
              <w:overflowPunct/>
              <w:topLinePunct w:val="0"/>
              <w:bidi w:val="0"/>
              <w:snapToGrid w:val="0"/>
              <w:spacing w:line="360" w:lineRule="auto"/>
              <w:rPr>
                <w:rFonts w:hint="eastAsia"/>
                <w:color w:val="auto"/>
                <w:szCs w:val="21"/>
                <w:highlight w:val="none"/>
              </w:rPr>
            </w:pPr>
            <w:r>
              <w:rPr>
                <w:rFonts w:hint="eastAsia"/>
                <w:color w:val="auto"/>
                <w:szCs w:val="21"/>
                <w:highlight w:val="none"/>
              </w:rPr>
              <w:t>满足采购文件中“采购需求”的“主要商务要求”，提供《商务条款响应表》，且不存在负偏离或不满足的情况。</w:t>
            </w:r>
          </w:p>
        </w:tc>
      </w:tr>
      <w:tr w14:paraId="68716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713" w:type="dxa"/>
            <w:vAlign w:val="center"/>
          </w:tcPr>
          <w:p w14:paraId="1D613A6F">
            <w:pPr>
              <w:pStyle w:val="126"/>
              <w:keepNext w:val="0"/>
              <w:keepLines w:val="0"/>
              <w:pageBreakBefore w:val="0"/>
              <w:widowControl w:val="0"/>
              <w:numPr>
                <w:ilvl w:val="0"/>
                <w:numId w:val="20"/>
              </w:numPr>
              <w:kinsoku/>
              <w:wordWrap/>
              <w:overflowPunct/>
              <w:topLinePunct w:val="0"/>
              <w:bidi w:val="0"/>
              <w:spacing w:line="360" w:lineRule="auto"/>
              <w:ind w:left="0" w:firstLine="0"/>
              <w:jc w:val="center"/>
              <w:rPr>
                <w:rFonts w:hint="eastAsia" w:ascii="宋体" w:hAnsi="宋体"/>
                <w:color w:val="auto"/>
                <w:highlight w:val="none"/>
                <w:lang w:eastAsia="zh-CN"/>
              </w:rPr>
            </w:pPr>
          </w:p>
        </w:tc>
        <w:tc>
          <w:tcPr>
            <w:tcW w:w="2294" w:type="dxa"/>
            <w:vAlign w:val="center"/>
          </w:tcPr>
          <w:p w14:paraId="59C5E3A5">
            <w:pPr>
              <w:keepNext w:val="0"/>
              <w:keepLines w:val="0"/>
              <w:pageBreakBefore w:val="0"/>
              <w:widowControl w:val="0"/>
              <w:kinsoku/>
              <w:wordWrap/>
              <w:overflowPunct/>
              <w:topLinePunct w:val="0"/>
              <w:bidi w:val="0"/>
              <w:snapToGrid w:val="0"/>
              <w:spacing w:line="360" w:lineRule="auto"/>
              <w:jc w:val="center"/>
              <w:rPr>
                <w:rFonts w:hint="eastAsia"/>
                <w:bCs/>
                <w:color w:val="auto"/>
                <w:szCs w:val="21"/>
                <w:highlight w:val="none"/>
              </w:rPr>
            </w:pPr>
            <w:r>
              <w:rPr>
                <w:rFonts w:hint="eastAsia"/>
                <w:bCs/>
                <w:color w:val="auto"/>
                <w:szCs w:val="21"/>
                <w:highlight w:val="none"/>
              </w:rPr>
              <w:t>响应</w:t>
            </w:r>
            <w:r>
              <w:rPr>
                <w:bCs/>
                <w:color w:val="auto"/>
                <w:szCs w:val="21"/>
                <w:highlight w:val="none"/>
              </w:rPr>
              <w:t>文件</w:t>
            </w:r>
            <w:r>
              <w:rPr>
                <w:rFonts w:hint="eastAsia"/>
                <w:bCs/>
                <w:color w:val="auto"/>
                <w:szCs w:val="21"/>
                <w:highlight w:val="none"/>
              </w:rPr>
              <w:t>签署、</w:t>
            </w:r>
            <w:r>
              <w:rPr>
                <w:bCs/>
                <w:color w:val="auto"/>
                <w:szCs w:val="21"/>
                <w:highlight w:val="none"/>
              </w:rPr>
              <w:t>盖章</w:t>
            </w:r>
          </w:p>
        </w:tc>
        <w:tc>
          <w:tcPr>
            <w:tcW w:w="6847" w:type="dxa"/>
            <w:vAlign w:val="center"/>
          </w:tcPr>
          <w:p w14:paraId="12E39415">
            <w:pPr>
              <w:keepNext w:val="0"/>
              <w:keepLines w:val="0"/>
              <w:pageBreakBefore w:val="0"/>
              <w:widowControl w:val="0"/>
              <w:kinsoku/>
              <w:wordWrap/>
              <w:overflowPunct/>
              <w:topLinePunct w:val="0"/>
              <w:bidi w:val="0"/>
              <w:snapToGrid w:val="0"/>
              <w:spacing w:line="360" w:lineRule="auto"/>
              <w:rPr>
                <w:rFonts w:hint="eastAsia"/>
                <w:bCs/>
                <w:color w:val="auto"/>
                <w:szCs w:val="21"/>
                <w:highlight w:val="none"/>
              </w:rPr>
            </w:pPr>
            <w:r>
              <w:rPr>
                <w:rFonts w:hint="eastAsia"/>
                <w:bCs/>
                <w:color w:val="auto"/>
                <w:szCs w:val="21"/>
                <w:highlight w:val="none"/>
              </w:rPr>
              <w:t>响应文件按照磋商文件要求签署、盖章。</w:t>
            </w:r>
          </w:p>
        </w:tc>
      </w:tr>
      <w:tr w14:paraId="2DEB5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713" w:type="dxa"/>
            <w:vAlign w:val="center"/>
          </w:tcPr>
          <w:p w14:paraId="080BD4E0">
            <w:pPr>
              <w:pStyle w:val="126"/>
              <w:keepNext w:val="0"/>
              <w:keepLines w:val="0"/>
              <w:pageBreakBefore w:val="0"/>
              <w:widowControl w:val="0"/>
              <w:numPr>
                <w:ilvl w:val="0"/>
                <w:numId w:val="20"/>
              </w:numPr>
              <w:kinsoku/>
              <w:wordWrap/>
              <w:overflowPunct/>
              <w:topLinePunct w:val="0"/>
              <w:bidi w:val="0"/>
              <w:spacing w:line="360" w:lineRule="auto"/>
              <w:ind w:left="0" w:firstLine="0"/>
              <w:jc w:val="center"/>
              <w:rPr>
                <w:rFonts w:hint="eastAsia" w:ascii="宋体" w:hAnsi="宋体"/>
                <w:color w:val="auto"/>
                <w:highlight w:val="none"/>
                <w:lang w:eastAsia="zh-CN"/>
              </w:rPr>
            </w:pPr>
          </w:p>
        </w:tc>
        <w:tc>
          <w:tcPr>
            <w:tcW w:w="2294" w:type="dxa"/>
            <w:vAlign w:val="center"/>
          </w:tcPr>
          <w:p w14:paraId="63A4C8B8">
            <w:pPr>
              <w:keepNext w:val="0"/>
              <w:keepLines w:val="0"/>
              <w:pageBreakBefore w:val="0"/>
              <w:widowControl w:val="0"/>
              <w:kinsoku/>
              <w:wordWrap/>
              <w:overflowPunct/>
              <w:topLinePunct w:val="0"/>
              <w:bidi w:val="0"/>
              <w:snapToGrid w:val="0"/>
              <w:spacing w:line="360" w:lineRule="auto"/>
              <w:jc w:val="center"/>
              <w:rPr>
                <w:rFonts w:hint="eastAsia"/>
                <w:bCs/>
                <w:color w:val="auto"/>
                <w:szCs w:val="21"/>
                <w:highlight w:val="none"/>
              </w:rPr>
            </w:pPr>
            <w:r>
              <w:rPr>
                <w:rFonts w:hint="eastAsia"/>
                <w:bCs/>
                <w:color w:val="auto"/>
                <w:szCs w:val="21"/>
                <w:highlight w:val="none"/>
              </w:rPr>
              <w:t>其他无效情形</w:t>
            </w:r>
          </w:p>
        </w:tc>
        <w:tc>
          <w:tcPr>
            <w:tcW w:w="6847" w:type="dxa"/>
            <w:vAlign w:val="center"/>
          </w:tcPr>
          <w:p w14:paraId="43442744">
            <w:pPr>
              <w:keepNext w:val="0"/>
              <w:keepLines w:val="0"/>
              <w:pageBreakBefore w:val="0"/>
              <w:widowControl w:val="0"/>
              <w:kinsoku/>
              <w:wordWrap/>
              <w:overflowPunct/>
              <w:topLinePunct w:val="0"/>
              <w:bidi w:val="0"/>
              <w:snapToGrid w:val="0"/>
              <w:spacing w:line="360" w:lineRule="auto"/>
              <w:rPr>
                <w:rFonts w:hint="eastAsia"/>
                <w:bCs/>
                <w:color w:val="auto"/>
                <w:szCs w:val="21"/>
                <w:highlight w:val="none"/>
              </w:rPr>
            </w:pPr>
            <w:r>
              <w:rPr>
                <w:rFonts w:hint="eastAsia"/>
                <w:bCs/>
                <w:color w:val="auto"/>
                <w:szCs w:val="21"/>
                <w:highlight w:val="none"/>
              </w:rPr>
              <w:t>响应文件中不存在有关法律、法规和规章及采购文件规定的其他无效情形。</w:t>
            </w:r>
          </w:p>
        </w:tc>
      </w:tr>
      <w:tr w14:paraId="6702B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9854" w:type="dxa"/>
            <w:gridSpan w:val="3"/>
            <w:vAlign w:val="center"/>
          </w:tcPr>
          <w:p w14:paraId="197E8490">
            <w:pPr>
              <w:keepNext w:val="0"/>
              <w:keepLines w:val="0"/>
              <w:pageBreakBefore w:val="0"/>
              <w:widowControl w:val="0"/>
              <w:kinsoku/>
              <w:wordWrap/>
              <w:overflowPunct/>
              <w:topLinePunct w:val="0"/>
              <w:bidi w:val="0"/>
              <w:snapToGrid w:val="0"/>
              <w:spacing w:line="360" w:lineRule="auto"/>
              <w:jc w:val="center"/>
              <w:rPr>
                <w:rFonts w:hint="eastAsia"/>
                <w:bCs/>
                <w:color w:val="auto"/>
                <w:szCs w:val="21"/>
                <w:highlight w:val="none"/>
              </w:rPr>
            </w:pPr>
            <w:bookmarkStart w:id="113" w:name="_Toc496088680"/>
            <w:bookmarkStart w:id="114" w:name="_Toc76397748"/>
            <w:bookmarkStart w:id="115" w:name="_Toc67046846"/>
            <w:bookmarkStart w:id="116" w:name="_Toc68789512"/>
            <w:bookmarkStart w:id="117" w:name="_Toc70528437"/>
            <w:bookmarkStart w:id="118" w:name="_Toc462677180"/>
            <w:bookmarkStart w:id="119" w:name="_Toc276645572"/>
            <w:bookmarkStart w:id="120" w:name="_Hlk45712320"/>
            <w:r>
              <w:rPr>
                <w:rFonts w:hint="eastAsia"/>
                <w:b/>
                <w:color w:val="auto"/>
                <w:szCs w:val="21"/>
                <w:highlight w:val="none"/>
              </w:rPr>
              <w:t>结论</w:t>
            </w:r>
          </w:p>
        </w:tc>
      </w:tr>
      <w:tr w14:paraId="5CB7C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9854" w:type="dxa"/>
            <w:gridSpan w:val="3"/>
            <w:vAlign w:val="center"/>
          </w:tcPr>
          <w:p w14:paraId="54D38E34">
            <w:pPr>
              <w:keepNext w:val="0"/>
              <w:keepLines w:val="0"/>
              <w:pageBreakBefore w:val="0"/>
              <w:widowControl w:val="0"/>
              <w:kinsoku/>
              <w:wordWrap/>
              <w:overflowPunct/>
              <w:topLinePunct w:val="0"/>
              <w:bidi w:val="0"/>
              <w:spacing w:line="360" w:lineRule="auto"/>
              <w:jc w:val="left"/>
              <w:rPr>
                <w:rFonts w:hint="eastAsia"/>
                <w:bCs/>
                <w:color w:val="auto"/>
                <w:szCs w:val="21"/>
                <w:highlight w:val="none"/>
              </w:rPr>
            </w:pPr>
            <w:r>
              <w:rPr>
                <w:rFonts w:hint="eastAsia"/>
                <w:bCs/>
                <w:color w:val="auto"/>
                <w:szCs w:val="21"/>
                <w:highlight w:val="none"/>
              </w:rPr>
              <w:t>填表说明：</w:t>
            </w:r>
          </w:p>
          <w:p w14:paraId="041A091C">
            <w:pPr>
              <w:keepNext w:val="0"/>
              <w:keepLines w:val="0"/>
              <w:pageBreakBefore w:val="0"/>
              <w:widowControl w:val="0"/>
              <w:kinsoku/>
              <w:wordWrap/>
              <w:overflowPunct/>
              <w:topLinePunct w:val="0"/>
              <w:bidi w:val="0"/>
              <w:spacing w:line="360" w:lineRule="auto"/>
              <w:jc w:val="left"/>
              <w:rPr>
                <w:rFonts w:hint="eastAsia"/>
                <w:bCs/>
                <w:color w:val="auto"/>
                <w:szCs w:val="21"/>
                <w:highlight w:val="none"/>
              </w:rPr>
            </w:pPr>
            <w:r>
              <w:rPr>
                <w:rFonts w:hint="eastAsia"/>
                <w:bCs/>
                <w:color w:val="auto"/>
                <w:szCs w:val="21"/>
                <w:highlight w:val="none"/>
              </w:rPr>
              <w:t>1.“通过”打“√”，“未通过”打“×”；</w:t>
            </w:r>
          </w:p>
          <w:p w14:paraId="3D525FE6">
            <w:pPr>
              <w:keepNext w:val="0"/>
              <w:keepLines w:val="0"/>
              <w:pageBreakBefore w:val="0"/>
              <w:widowControl w:val="0"/>
              <w:kinsoku/>
              <w:wordWrap/>
              <w:overflowPunct/>
              <w:topLinePunct w:val="0"/>
              <w:bidi w:val="0"/>
              <w:spacing w:line="360" w:lineRule="auto"/>
              <w:jc w:val="left"/>
              <w:rPr>
                <w:rFonts w:hint="eastAsia"/>
                <w:bCs/>
                <w:color w:val="auto"/>
                <w:szCs w:val="21"/>
                <w:highlight w:val="none"/>
              </w:rPr>
            </w:pPr>
            <w:r>
              <w:rPr>
                <w:rFonts w:hint="eastAsia"/>
                <w:bCs/>
                <w:color w:val="auto"/>
                <w:szCs w:val="21"/>
                <w:highlight w:val="none"/>
              </w:rPr>
              <w:t>2.在结论栏中填写“通过”或“未通过”；</w:t>
            </w:r>
          </w:p>
          <w:p w14:paraId="70FB54A6">
            <w:pPr>
              <w:keepNext w:val="0"/>
              <w:keepLines w:val="0"/>
              <w:pageBreakBefore w:val="0"/>
              <w:widowControl w:val="0"/>
              <w:kinsoku/>
              <w:wordWrap/>
              <w:overflowPunct/>
              <w:topLinePunct w:val="0"/>
              <w:bidi w:val="0"/>
              <w:snapToGrid w:val="0"/>
              <w:spacing w:line="360" w:lineRule="auto"/>
              <w:rPr>
                <w:rFonts w:hint="eastAsia"/>
                <w:bCs/>
                <w:color w:val="auto"/>
                <w:szCs w:val="21"/>
                <w:highlight w:val="none"/>
              </w:rPr>
            </w:pPr>
            <w:r>
              <w:rPr>
                <w:rFonts w:hint="eastAsia"/>
                <w:bCs/>
                <w:color w:val="auto"/>
                <w:szCs w:val="21"/>
                <w:highlight w:val="none"/>
              </w:rPr>
              <w:t>3.供应商有一个“未通过”，审查结论视为“未通过”。</w:t>
            </w:r>
          </w:p>
        </w:tc>
      </w:tr>
    </w:tbl>
    <w:p w14:paraId="1EE1A2AF">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p>
    <w:p w14:paraId="1AA71B0D">
      <w:pPr>
        <w:pStyle w:val="126"/>
        <w:keepNext w:val="0"/>
        <w:keepLines w:val="0"/>
        <w:pageBreakBefore w:val="0"/>
        <w:widowControl w:val="0"/>
        <w:numPr>
          <w:ilvl w:val="0"/>
          <w:numId w:val="18"/>
        </w:numPr>
        <w:kinsoku/>
        <w:wordWrap/>
        <w:overflowPunct/>
        <w:topLinePunct w:val="0"/>
        <w:bidi w:val="0"/>
        <w:spacing w:line="360" w:lineRule="auto"/>
        <w:jc w:val="left"/>
        <w:outlineLvl w:val="2"/>
        <w:rPr>
          <w:rFonts w:hint="eastAsia" w:ascii="宋体" w:hAnsi="宋体"/>
          <w:b/>
          <w:color w:val="auto"/>
          <w:szCs w:val="21"/>
          <w:highlight w:val="none"/>
        </w:rPr>
      </w:pPr>
      <w:r>
        <w:rPr>
          <w:rFonts w:hint="eastAsia" w:ascii="宋体" w:hAnsi="宋体"/>
          <w:b/>
          <w:color w:val="auto"/>
          <w:szCs w:val="21"/>
          <w:highlight w:val="none"/>
        </w:rPr>
        <w:t>响应文件澄清</w:t>
      </w:r>
    </w:p>
    <w:p w14:paraId="04F28609">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2.1对于响应文件中含义不明确、同类问题表述不一致或者有明显文字和计算错误的内容，磋商小组可在评审过程中发起澄清，要求供应商针对价格或内容做出必要的澄清、说明或补正。代理机构可根据开启环节记录的授权代表人联系方式发送短信提醒或电话告知。</w:t>
      </w:r>
    </w:p>
    <w:p w14:paraId="4C14EFB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供应商需在规定时间内完成澄清（响应），并加盖供应商公章，或法定代表人签字或盖章，或法定代表人授权委托人签字或盖章。</w:t>
      </w:r>
    </w:p>
    <w:p w14:paraId="0FC50B8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若因供应商联系方式错误未接收短信、未接听电话或超时未进行澄清（响应）造成的不利后果由供应商自行承担。供应商的澄清、说明或者补正不得超出响应文件的范围或者改变响应文件的实质性内容。</w:t>
      </w:r>
    </w:p>
    <w:p w14:paraId="104D7AB1">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2.2磋商小组不接受供应商主动提出的澄清、说明或补正。</w:t>
      </w:r>
    </w:p>
    <w:p w14:paraId="46441895">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2.3磋商小组对供应商提交的澄清、说明或补正有疑问的，可以要求供应商进一步澄清、说明或补正。</w:t>
      </w:r>
    </w:p>
    <w:p w14:paraId="4D3D60A9">
      <w:pPr>
        <w:pStyle w:val="126"/>
        <w:keepNext w:val="0"/>
        <w:keepLines w:val="0"/>
        <w:pageBreakBefore w:val="0"/>
        <w:widowControl w:val="0"/>
        <w:numPr>
          <w:ilvl w:val="0"/>
          <w:numId w:val="18"/>
        </w:numPr>
        <w:kinsoku/>
        <w:wordWrap/>
        <w:overflowPunct/>
        <w:topLinePunct w:val="0"/>
        <w:bidi w:val="0"/>
        <w:spacing w:line="360" w:lineRule="auto"/>
        <w:jc w:val="left"/>
        <w:outlineLvl w:val="2"/>
        <w:rPr>
          <w:rFonts w:hint="eastAsia" w:ascii="宋体" w:hAnsi="宋体"/>
          <w:b/>
          <w:color w:val="auto"/>
          <w:szCs w:val="21"/>
          <w:highlight w:val="none"/>
        </w:rPr>
      </w:pPr>
      <w:r>
        <w:rPr>
          <w:rFonts w:hint="eastAsia" w:ascii="宋体" w:hAnsi="宋体"/>
          <w:b/>
          <w:color w:val="auto"/>
          <w:szCs w:val="21"/>
          <w:highlight w:val="none"/>
        </w:rPr>
        <w:t>磋商</w:t>
      </w:r>
    </w:p>
    <w:p w14:paraId="2B530AEF">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3.1磋商小组所有成员应当集中与单一供应商分别进行磋商，并给予所有参加磋商的供应商平等的磋商机会。</w:t>
      </w:r>
    </w:p>
    <w:p w14:paraId="00198929">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3.2在磋商过程中，磋商小组可以根据磋商文件和磋商情况实质性变动采购需求中的技术、服务要求以及合同草案条款，但不得变动磋商文件中的其他内容。实质性变动的内容，须经采购人代表确认。</w:t>
      </w:r>
    </w:p>
    <w:p w14:paraId="264981A4">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3.3对磋商文件作出的实质性变动是磋商文件的有效组成部分，磋商小组应当及时、同时通知所有参加磋商的供应商。</w:t>
      </w:r>
    </w:p>
    <w:p w14:paraId="1D9A7443">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w:t>
      </w:r>
      <w:r>
        <w:rPr>
          <w:color w:val="auto"/>
          <w:szCs w:val="20"/>
          <w:highlight w:val="none"/>
        </w:rPr>
        <w:t>.4</w:t>
      </w:r>
      <w:r>
        <w:rPr>
          <w:rFonts w:hint="eastAsia"/>
          <w:color w:val="auto"/>
          <w:szCs w:val="20"/>
          <w:highlight w:val="none"/>
        </w:rPr>
        <w:t>供应商应当按照磋商文件的变动情况和磋商小组的要求进行最终报价或重新提交响应文件，并由其法定代表人或授权代表签字(或盖私章)或者加盖公章。</w:t>
      </w:r>
    </w:p>
    <w:p w14:paraId="5E07180B">
      <w:pPr>
        <w:pStyle w:val="126"/>
        <w:keepNext w:val="0"/>
        <w:keepLines w:val="0"/>
        <w:pageBreakBefore w:val="0"/>
        <w:widowControl w:val="0"/>
        <w:numPr>
          <w:ilvl w:val="0"/>
          <w:numId w:val="18"/>
        </w:numPr>
        <w:kinsoku/>
        <w:wordWrap/>
        <w:overflowPunct/>
        <w:topLinePunct w:val="0"/>
        <w:bidi w:val="0"/>
        <w:spacing w:line="360" w:lineRule="auto"/>
        <w:jc w:val="left"/>
        <w:outlineLvl w:val="2"/>
        <w:rPr>
          <w:rFonts w:hint="eastAsia" w:ascii="宋体" w:hAnsi="宋体"/>
          <w:b/>
          <w:color w:val="auto"/>
          <w:szCs w:val="21"/>
          <w:highlight w:val="none"/>
        </w:rPr>
      </w:pPr>
      <w:r>
        <w:rPr>
          <w:rFonts w:hint="eastAsia" w:ascii="宋体" w:hAnsi="宋体"/>
          <w:b/>
          <w:color w:val="auto"/>
          <w:szCs w:val="21"/>
          <w:highlight w:val="none"/>
        </w:rPr>
        <w:t>最后报价</w:t>
      </w:r>
    </w:p>
    <w:p w14:paraId="0AA5EEAB">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4.1磋商结束后，磋商小组应当要求所有实质性响应的供应商在规定时间内提交最后报价。最后报价是供应商响应文件的有效组成部分。</w:t>
      </w:r>
    </w:p>
    <w:p w14:paraId="50C7F89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4.2已提交响应文件的供应商，在提交最后报价之前，可以根据磋商情况退出磋商。</w:t>
      </w:r>
    </w:p>
    <w:p w14:paraId="7169F4D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color w:val="auto"/>
          <w:szCs w:val="20"/>
          <w:highlight w:val="none"/>
        </w:rPr>
        <w:t>4.3</w:t>
      </w:r>
      <w:r>
        <w:rPr>
          <w:rFonts w:hint="eastAsia"/>
          <w:color w:val="auto"/>
          <w:szCs w:val="20"/>
          <w:highlight w:val="none"/>
        </w:rPr>
        <w:t>除法规规定的特殊性情形外，提交最后报价的供应商不得少于3家。</w:t>
      </w:r>
    </w:p>
    <w:p w14:paraId="23C8D20F">
      <w:pPr>
        <w:pStyle w:val="126"/>
        <w:keepNext w:val="0"/>
        <w:keepLines w:val="0"/>
        <w:pageBreakBefore w:val="0"/>
        <w:widowControl w:val="0"/>
        <w:numPr>
          <w:ilvl w:val="0"/>
          <w:numId w:val="18"/>
        </w:numPr>
        <w:kinsoku/>
        <w:wordWrap/>
        <w:overflowPunct/>
        <w:topLinePunct w:val="0"/>
        <w:bidi w:val="0"/>
        <w:spacing w:line="360" w:lineRule="auto"/>
        <w:jc w:val="left"/>
        <w:outlineLvl w:val="2"/>
        <w:rPr>
          <w:rFonts w:hint="eastAsia" w:ascii="宋体" w:hAnsi="宋体"/>
          <w:b/>
          <w:color w:val="auto"/>
          <w:szCs w:val="21"/>
          <w:highlight w:val="none"/>
        </w:rPr>
      </w:pPr>
      <w:r>
        <w:rPr>
          <w:rFonts w:hint="eastAsia" w:ascii="宋体" w:hAnsi="宋体"/>
          <w:b/>
          <w:color w:val="auto"/>
          <w:szCs w:val="21"/>
          <w:highlight w:val="none"/>
        </w:rPr>
        <w:t>详细评审</w:t>
      </w:r>
    </w:p>
    <w:bookmarkEnd w:id="113"/>
    <w:bookmarkEnd w:id="114"/>
    <w:bookmarkEnd w:id="115"/>
    <w:bookmarkEnd w:id="116"/>
    <w:bookmarkEnd w:id="117"/>
    <w:p w14:paraId="2EDB83AB">
      <w:pPr>
        <w:pStyle w:val="45"/>
        <w:keepNext w:val="0"/>
        <w:keepLines w:val="0"/>
        <w:pageBreakBefore w:val="0"/>
        <w:widowControl w:val="0"/>
        <w:kinsoku/>
        <w:wordWrap/>
        <w:overflowPunct/>
        <w:topLinePunct w:val="0"/>
        <w:bidi w:val="0"/>
        <w:spacing w:after="0" w:line="360" w:lineRule="auto"/>
        <w:ind w:left="0" w:leftChars="0"/>
        <w:outlineLvl w:val="1"/>
        <w:rPr>
          <w:rFonts w:hint="eastAsia" w:ascii="宋体" w:hAnsi="宋体" w:eastAsia="宋体" w:cs="宋体"/>
          <w:b/>
          <w:bCs/>
          <w:color w:val="auto"/>
          <w:kern w:val="21"/>
          <w:szCs w:val="21"/>
          <w:highlight w:val="none"/>
          <w:lang w:eastAsia="zh-CN"/>
        </w:rPr>
      </w:pPr>
      <w:bookmarkStart w:id="121" w:name="_Toc10438"/>
      <w:bookmarkStart w:id="122" w:name="_Toc6322232"/>
      <w:bookmarkStart w:id="123" w:name="_Toc67046848"/>
      <w:r>
        <w:rPr>
          <w:rFonts w:hint="eastAsia" w:ascii="宋体" w:hAnsi="宋体" w:eastAsia="宋体" w:cs="宋体"/>
          <w:b/>
          <w:bCs/>
          <w:color w:val="auto"/>
          <w:kern w:val="21"/>
          <w:szCs w:val="21"/>
          <w:highlight w:val="none"/>
          <w:lang w:eastAsia="zh-CN"/>
        </w:rPr>
        <w:t>采购包1（查验设施设备保养维护）：</w:t>
      </w:r>
      <w:bookmarkEnd w:id="121"/>
    </w:p>
    <w:bookmarkEnd w:id="122"/>
    <w:bookmarkEnd w:id="123"/>
    <w:p w14:paraId="78BA1794">
      <w:pPr>
        <w:spacing w:line="360" w:lineRule="auto"/>
        <w:ind w:firstLine="422" w:firstLineChars="200"/>
        <w:jc w:val="left"/>
        <w:outlineLvl w:val="3"/>
        <w:rPr>
          <w:rFonts w:cs="Futura-Heavy"/>
          <w:b/>
          <w:bCs/>
          <w:color w:val="auto"/>
          <w:kern w:val="0"/>
          <w:szCs w:val="21"/>
          <w:highlight w:val="none"/>
        </w:rPr>
      </w:pPr>
      <w:bookmarkStart w:id="303" w:name="_GoBack"/>
      <w:bookmarkEnd w:id="303"/>
      <w:r>
        <w:rPr>
          <w:rFonts w:hint="eastAsia" w:cs="Futura-Heavy"/>
          <w:b/>
          <w:bCs/>
          <w:color w:val="auto"/>
          <w:kern w:val="0"/>
          <w:szCs w:val="21"/>
          <w:highlight w:val="none"/>
        </w:rPr>
        <w:t>表三：商务评分细则表（</w:t>
      </w:r>
      <w:r>
        <w:rPr>
          <w:rFonts w:hint="eastAsia" w:cs="Futura-Heavy"/>
          <w:b/>
          <w:bCs/>
          <w:color w:val="auto"/>
          <w:kern w:val="0"/>
          <w:szCs w:val="21"/>
          <w:highlight w:val="none"/>
          <w:lang w:val="en-US" w:eastAsia="zh-CN"/>
        </w:rPr>
        <w:t>21</w:t>
      </w:r>
      <w:r>
        <w:rPr>
          <w:rFonts w:hint="eastAsia" w:cs="Futura-Heavy"/>
          <w:b/>
          <w:bCs/>
          <w:color w:val="auto"/>
          <w:kern w:val="0"/>
          <w:szCs w:val="21"/>
          <w:highlight w:val="none"/>
        </w:rPr>
        <w:t>分）</w:t>
      </w:r>
      <w:r>
        <w:rPr>
          <w:rFonts w:cs="Futura-Heavy"/>
          <w:b/>
          <w:bCs/>
          <w:color w:val="auto"/>
          <w:kern w:val="0"/>
          <w:szCs w:val="21"/>
          <w:highlight w:val="none"/>
        </w:rPr>
        <w:t xml:space="preserve"> </w:t>
      </w:r>
    </w:p>
    <w:tbl>
      <w:tblPr>
        <w:tblStyle w:val="46"/>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1108"/>
        <w:gridCol w:w="6900"/>
        <w:gridCol w:w="850"/>
      </w:tblGrid>
      <w:tr w14:paraId="39EAF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78" w:type="dxa"/>
            <w:vAlign w:val="center"/>
          </w:tcPr>
          <w:p w14:paraId="42067E79">
            <w:pPr>
              <w:spacing w:before="120" w:beforeLines="50" w:after="120" w:afterLines="50" w:line="360" w:lineRule="auto"/>
              <w:jc w:val="center"/>
              <w:rPr>
                <w:rFonts w:hint="eastAsia" w:ascii="宋体" w:hAnsi="宋体" w:eastAsia="宋体" w:cs="宋体"/>
                <w:b/>
                <w:color w:val="auto"/>
                <w:szCs w:val="21"/>
                <w:highlight w:val="none"/>
              </w:rPr>
            </w:pPr>
            <w:bookmarkStart w:id="124" w:name="_Hlk43300484"/>
            <w:r>
              <w:rPr>
                <w:rFonts w:hint="eastAsia" w:ascii="宋体" w:hAnsi="宋体" w:eastAsia="宋体" w:cs="宋体"/>
                <w:b/>
                <w:color w:val="auto"/>
                <w:szCs w:val="21"/>
                <w:highlight w:val="none"/>
              </w:rPr>
              <w:t>序号</w:t>
            </w:r>
          </w:p>
        </w:tc>
        <w:tc>
          <w:tcPr>
            <w:tcW w:w="1108" w:type="dxa"/>
            <w:vAlign w:val="center"/>
          </w:tcPr>
          <w:p w14:paraId="498E4EE2">
            <w:pPr>
              <w:spacing w:before="120" w:beforeLines="50" w:after="120" w:afterLines="5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c>
          <w:tcPr>
            <w:tcW w:w="6900" w:type="dxa"/>
            <w:vAlign w:val="center"/>
          </w:tcPr>
          <w:p w14:paraId="6AEC3951">
            <w:pPr>
              <w:spacing w:before="120" w:beforeLines="50" w:after="120" w:afterLines="5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评审标准</w:t>
            </w:r>
          </w:p>
        </w:tc>
        <w:tc>
          <w:tcPr>
            <w:tcW w:w="850" w:type="dxa"/>
            <w:vAlign w:val="center"/>
          </w:tcPr>
          <w:p w14:paraId="4B45704C">
            <w:pPr>
              <w:spacing w:before="120" w:beforeLines="50" w:after="120" w:afterLines="5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分值（分）</w:t>
            </w:r>
          </w:p>
        </w:tc>
      </w:tr>
      <w:tr w14:paraId="3FFDE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78" w:type="dxa"/>
            <w:vAlign w:val="center"/>
          </w:tcPr>
          <w:p w14:paraId="7B597F0B">
            <w:pPr>
              <w:pStyle w:val="126"/>
              <w:numPr>
                <w:ilvl w:val="0"/>
                <w:numId w:val="21"/>
              </w:numPr>
              <w:spacing w:before="120" w:beforeLines="50" w:after="120" w:afterLines="50" w:line="360" w:lineRule="auto"/>
              <w:jc w:val="center"/>
              <w:rPr>
                <w:rFonts w:hint="eastAsia" w:ascii="宋体" w:hAnsi="宋体" w:eastAsia="宋体" w:cs="宋体"/>
                <w:color w:val="auto"/>
                <w:szCs w:val="21"/>
                <w:highlight w:val="none"/>
              </w:rPr>
            </w:pPr>
          </w:p>
        </w:tc>
        <w:tc>
          <w:tcPr>
            <w:tcW w:w="1108" w:type="dxa"/>
            <w:vAlign w:val="center"/>
          </w:tcPr>
          <w:p w14:paraId="2D3FAE0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类似项目经验</w:t>
            </w:r>
          </w:p>
        </w:tc>
        <w:tc>
          <w:tcPr>
            <w:tcW w:w="6900" w:type="dxa"/>
            <w:vAlign w:val="center"/>
          </w:tcPr>
          <w:p w14:paraId="4001EB9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响应供应商202</w:t>
            </w:r>
            <w:r>
              <w:rPr>
                <w:rFonts w:hint="eastAsia" w:cs="宋体"/>
                <w:color w:val="auto"/>
                <w:szCs w:val="21"/>
                <w:highlight w:val="none"/>
                <w:lang w:val="en-US" w:eastAsia="zh-CN"/>
              </w:rPr>
              <w:t>2</w:t>
            </w:r>
            <w:r>
              <w:rPr>
                <w:rFonts w:hint="eastAsia" w:ascii="宋体" w:hAnsi="宋体" w:eastAsia="宋体" w:cs="宋体"/>
                <w:color w:val="auto"/>
                <w:szCs w:val="21"/>
                <w:highlight w:val="none"/>
              </w:rPr>
              <w:t>年1月1日至今具有类似（查验设施设备）保养维护项目业绩，每提供一份得2分，共计6份业绩，本小项满分12分；</w:t>
            </w:r>
          </w:p>
          <w:p w14:paraId="2250EC2B">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注：响应文件中须提供合同关键页复印件（包括但不限于合同名称页、合同主要内容页、合同签订日期页、合同双方签字盖章页），否则不得分。合同体现签订日期的，以合同签订日期为准；合同未体现签订日期的，但是合同履行期限能明显判断在2021年1月1日或之后开始实施的，该合同应予以认可。若合同无法体现具体内容的，可增加客户方提供的证明材料作为佐证材料，否则不得分。</w:t>
            </w:r>
          </w:p>
        </w:tc>
        <w:tc>
          <w:tcPr>
            <w:tcW w:w="850" w:type="dxa"/>
            <w:vAlign w:val="center"/>
          </w:tcPr>
          <w:p w14:paraId="3FA666F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r>
      <w:tr w14:paraId="5EE75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78" w:type="dxa"/>
            <w:vAlign w:val="center"/>
          </w:tcPr>
          <w:p w14:paraId="43CF8852">
            <w:pPr>
              <w:pStyle w:val="126"/>
              <w:numPr>
                <w:ilvl w:val="0"/>
                <w:numId w:val="21"/>
              </w:numPr>
              <w:spacing w:before="120" w:beforeLines="50" w:after="120" w:afterLines="50" w:line="360" w:lineRule="auto"/>
              <w:jc w:val="center"/>
              <w:rPr>
                <w:rFonts w:hint="eastAsia" w:ascii="宋体" w:hAnsi="宋体" w:eastAsia="宋体" w:cs="宋体"/>
                <w:color w:val="auto"/>
                <w:szCs w:val="21"/>
                <w:highlight w:val="none"/>
              </w:rPr>
            </w:pPr>
          </w:p>
        </w:tc>
        <w:tc>
          <w:tcPr>
            <w:tcW w:w="1108" w:type="dxa"/>
            <w:vAlign w:val="center"/>
          </w:tcPr>
          <w:p w14:paraId="7DA989A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企业认证情况</w:t>
            </w:r>
          </w:p>
        </w:tc>
        <w:tc>
          <w:tcPr>
            <w:tcW w:w="6900" w:type="dxa"/>
            <w:vAlign w:val="center"/>
          </w:tcPr>
          <w:p w14:paraId="1D8AE940">
            <w:pPr>
              <w:numPr>
                <w:ilvl w:val="255"/>
                <w:numId w:val="0"/>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响应供应商提供有效期内的质量管理体系认证、职业健康安全管理体系认证、环境管理体系认证证书，每提供1个有效证书得3分，满分9分。</w:t>
            </w:r>
          </w:p>
          <w:p w14:paraId="60F93161">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注：响应文件须提供有效的证书复印件</w:t>
            </w:r>
            <w:r>
              <w:rPr>
                <w:rFonts w:hint="eastAsia" w:cs="宋体"/>
                <w:b/>
                <w:bCs/>
                <w:color w:val="auto"/>
                <w:szCs w:val="21"/>
                <w:highlight w:val="none"/>
                <w:lang w:eastAsia="zh-CN"/>
              </w:rPr>
              <w:t>，</w:t>
            </w:r>
            <w:r>
              <w:rPr>
                <w:rFonts w:hint="eastAsia" w:cs="宋体"/>
                <w:b/>
                <w:bCs/>
                <w:color w:val="auto"/>
                <w:szCs w:val="21"/>
                <w:highlight w:val="none"/>
                <w:lang w:val="en-US" w:eastAsia="zh-CN"/>
              </w:rPr>
              <w:t>及</w:t>
            </w:r>
            <w:r>
              <w:rPr>
                <w:rFonts w:hint="eastAsia" w:ascii="宋体" w:hAnsi="宋体" w:eastAsia="宋体" w:cs="宋体"/>
                <w:b/>
                <w:bCs/>
                <w:color w:val="auto"/>
                <w:szCs w:val="21"/>
                <w:highlight w:val="none"/>
              </w:rPr>
              <w:t>全国认证认可信息公共服务平台（http://cx.cnca.cn/）网页查询截图打印件；网页公开信息中无法查询，或证书内容与公开信息不一致的，或证书状态非有效的，不得分。</w:t>
            </w:r>
          </w:p>
        </w:tc>
        <w:tc>
          <w:tcPr>
            <w:tcW w:w="850" w:type="dxa"/>
            <w:vAlign w:val="center"/>
          </w:tcPr>
          <w:p w14:paraId="105DC51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r>
      <w:bookmarkEnd w:id="124"/>
    </w:tbl>
    <w:p w14:paraId="75D74BDC">
      <w:pPr>
        <w:pStyle w:val="45"/>
        <w:spacing w:line="360" w:lineRule="auto"/>
        <w:ind w:left="0" w:leftChars="0" w:firstLine="0" w:firstLineChars="0"/>
        <w:rPr>
          <w:rFonts w:hint="eastAsia" w:ascii="宋体" w:hAnsi="宋体" w:eastAsia="宋体" w:cs="宋体"/>
          <w:color w:val="auto"/>
          <w:szCs w:val="21"/>
          <w:highlight w:val="none"/>
        </w:rPr>
      </w:pPr>
    </w:p>
    <w:p w14:paraId="451528E6">
      <w:pPr>
        <w:spacing w:line="360" w:lineRule="auto"/>
        <w:ind w:firstLine="422" w:firstLineChars="200"/>
        <w:jc w:val="left"/>
        <w:outlineLvl w:val="3"/>
        <w:rPr>
          <w:rFonts w:hint="eastAsia" w:ascii="宋体" w:hAnsi="宋体" w:eastAsia="宋体" w:cs="宋体"/>
          <w:b/>
          <w:bCs/>
          <w:color w:val="auto"/>
          <w:kern w:val="0"/>
          <w:szCs w:val="21"/>
          <w:highlight w:val="none"/>
        </w:rPr>
      </w:pPr>
      <w:bookmarkStart w:id="125" w:name="_Toc67046847"/>
      <w:bookmarkStart w:id="126" w:name="_Toc6322231"/>
      <w:r>
        <w:rPr>
          <w:rFonts w:hint="eastAsia" w:ascii="宋体" w:hAnsi="宋体" w:eastAsia="宋体" w:cs="宋体"/>
          <w:b/>
          <w:bCs/>
          <w:color w:val="auto"/>
          <w:kern w:val="0"/>
          <w:szCs w:val="21"/>
          <w:highlight w:val="none"/>
        </w:rPr>
        <w:t>表四：技术评分细则表</w:t>
      </w:r>
      <w:r>
        <w:rPr>
          <w:rFonts w:hint="eastAsia" w:ascii="宋体" w:hAnsi="宋体" w:eastAsia="宋体" w:cs="宋体"/>
          <w:b/>
          <w:bCs/>
          <w:color w:val="auto"/>
          <w:kern w:val="0"/>
          <w:szCs w:val="21"/>
          <w:highlight w:val="none"/>
        </w:rPr>
        <w:t>（5</w:t>
      </w:r>
      <w:r>
        <w:rPr>
          <w:rFonts w:hint="eastAsia" w:cs="宋体"/>
          <w:b/>
          <w:bCs/>
          <w:color w:val="auto"/>
          <w:kern w:val="0"/>
          <w:szCs w:val="21"/>
          <w:highlight w:val="none"/>
          <w:lang w:val="en-US" w:eastAsia="zh-CN"/>
        </w:rPr>
        <w:t>9</w:t>
      </w:r>
      <w:r>
        <w:rPr>
          <w:rFonts w:hint="eastAsia" w:ascii="宋体" w:hAnsi="宋体" w:eastAsia="宋体" w:cs="宋体"/>
          <w:b/>
          <w:bCs/>
          <w:color w:val="auto"/>
          <w:kern w:val="0"/>
          <w:szCs w:val="21"/>
          <w:highlight w:val="none"/>
        </w:rPr>
        <w:t>分）</w:t>
      </w:r>
      <w:bookmarkEnd w:id="125"/>
      <w:bookmarkEnd w:id="126"/>
    </w:p>
    <w:tbl>
      <w:tblPr>
        <w:tblStyle w:val="46"/>
        <w:tblW w:w="98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1124"/>
        <w:gridCol w:w="7010"/>
        <w:gridCol w:w="855"/>
      </w:tblGrid>
      <w:tr w14:paraId="1CEB2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3" w:type="dxa"/>
            <w:vAlign w:val="center"/>
          </w:tcPr>
          <w:p w14:paraId="40649FBB">
            <w:pPr>
              <w:spacing w:before="120" w:beforeLines="50" w:after="120" w:afterLines="50"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124" w:type="dxa"/>
            <w:vAlign w:val="center"/>
          </w:tcPr>
          <w:p w14:paraId="7F1DE7EC">
            <w:pPr>
              <w:spacing w:before="120" w:beforeLines="50" w:after="120" w:afterLines="50"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c>
          <w:tcPr>
            <w:tcW w:w="7010" w:type="dxa"/>
            <w:vAlign w:val="center"/>
          </w:tcPr>
          <w:p w14:paraId="2B5C9E94">
            <w:pPr>
              <w:spacing w:before="120" w:beforeLines="50" w:after="120" w:afterLines="50"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评审标准</w:t>
            </w:r>
          </w:p>
        </w:tc>
        <w:tc>
          <w:tcPr>
            <w:tcW w:w="855" w:type="dxa"/>
            <w:vAlign w:val="center"/>
          </w:tcPr>
          <w:p w14:paraId="704798CD">
            <w:pPr>
              <w:spacing w:before="120" w:beforeLines="50" w:after="120" w:afterLines="50"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分值（分）</w:t>
            </w:r>
          </w:p>
        </w:tc>
      </w:tr>
      <w:tr w14:paraId="3519D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833" w:type="dxa"/>
            <w:vAlign w:val="center"/>
          </w:tcPr>
          <w:p w14:paraId="4BC27132">
            <w:pPr>
              <w:pStyle w:val="326"/>
              <w:widowControl w:val="0"/>
              <w:numPr>
                <w:ilvl w:val="0"/>
                <w:numId w:val="22"/>
              </w:numPr>
              <w:spacing w:before="120" w:beforeLines="50" w:after="120" w:afterLines="50" w:line="240" w:lineRule="auto"/>
              <w:ind w:firstLineChars="0"/>
              <w:jc w:val="center"/>
              <w:rPr>
                <w:rFonts w:hint="eastAsia" w:ascii="宋体" w:hAnsi="宋体" w:eastAsia="宋体" w:cs="宋体"/>
                <w:color w:val="auto"/>
                <w:sz w:val="21"/>
                <w:szCs w:val="21"/>
                <w:highlight w:val="none"/>
              </w:rPr>
            </w:pPr>
          </w:p>
        </w:tc>
        <w:tc>
          <w:tcPr>
            <w:tcW w:w="1124" w:type="dxa"/>
            <w:vAlign w:val="center"/>
          </w:tcPr>
          <w:p w14:paraId="43F8E08D">
            <w:pPr>
              <w:jc w:val="center"/>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rPr>
              <w:t>对本项目的理解</w:t>
            </w:r>
            <w:r>
              <w:rPr>
                <w:rFonts w:hint="eastAsia" w:ascii="宋体" w:hAnsi="宋体" w:eastAsia="宋体" w:cs="宋体"/>
                <w:color w:val="auto"/>
                <w:highlight w:val="none"/>
                <w:lang w:val="en-US" w:eastAsia="zh-CN"/>
              </w:rPr>
              <w:t>1</w:t>
            </w:r>
          </w:p>
        </w:tc>
        <w:tc>
          <w:tcPr>
            <w:tcW w:w="7010" w:type="dxa"/>
            <w:vAlign w:val="top"/>
          </w:tcPr>
          <w:p w14:paraId="50DAB179">
            <w:pPr>
              <w:jc w:val="both"/>
              <w:rPr>
                <w:rFonts w:hint="eastAsia" w:ascii="宋体" w:hAnsi="宋体" w:eastAsia="宋体" w:cs="宋体"/>
                <w:color w:val="auto"/>
                <w:highlight w:val="none"/>
              </w:rPr>
            </w:pPr>
            <w:r>
              <w:rPr>
                <w:rFonts w:hint="eastAsia" w:ascii="宋体" w:hAnsi="宋体" w:eastAsia="宋体" w:cs="宋体"/>
                <w:color w:val="auto"/>
                <w:highlight w:val="none"/>
              </w:rPr>
              <w:t>根据响应供应商对本项目的</w:t>
            </w:r>
            <w:r>
              <w:rPr>
                <w:rFonts w:hint="eastAsia" w:ascii="宋体" w:hAnsi="宋体" w:eastAsia="宋体" w:cs="宋体"/>
                <w:color w:val="auto"/>
                <w:highlight w:val="none"/>
                <w:lang w:val="en-US" w:eastAsia="zh-CN"/>
              </w:rPr>
              <w:t>理解</w:t>
            </w:r>
            <w:r>
              <w:rPr>
                <w:rFonts w:hint="eastAsia" w:ascii="宋体" w:hAnsi="宋体" w:eastAsia="宋体" w:cs="宋体"/>
                <w:color w:val="auto"/>
                <w:highlight w:val="none"/>
              </w:rPr>
              <w:t>进行评分：</w:t>
            </w:r>
          </w:p>
          <w:p w14:paraId="0D16F88C">
            <w:pPr>
              <w:jc w:val="both"/>
              <w:rPr>
                <w:rFonts w:hint="eastAsia" w:ascii="宋体" w:hAnsi="宋体" w:eastAsia="宋体" w:cs="宋体"/>
                <w:color w:val="auto"/>
                <w:highlight w:val="none"/>
              </w:rPr>
            </w:pPr>
            <w:r>
              <w:rPr>
                <w:rFonts w:hint="eastAsia" w:ascii="宋体" w:hAnsi="宋体" w:eastAsia="宋体" w:cs="宋体"/>
                <w:color w:val="auto"/>
                <w:highlight w:val="none"/>
              </w:rPr>
              <w:t>方案应包括但不限于以下内容：</w:t>
            </w:r>
          </w:p>
          <w:p w14:paraId="746C07BE">
            <w:pPr>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①</w:t>
            </w:r>
            <w:r>
              <w:rPr>
                <w:rFonts w:hint="eastAsia" w:ascii="宋体" w:hAnsi="宋体" w:eastAsia="宋体" w:cs="宋体"/>
                <w:color w:val="auto"/>
                <w:highlight w:val="none"/>
              </w:rPr>
              <w:t>对用户需求的理解</w:t>
            </w:r>
            <w:r>
              <w:rPr>
                <w:rFonts w:hint="eastAsia" w:ascii="宋体" w:hAnsi="宋体" w:eastAsia="宋体" w:cs="宋体"/>
                <w:color w:val="auto"/>
                <w:highlight w:val="none"/>
                <w:lang w:eastAsia="zh-CN"/>
              </w:rPr>
              <w:t>；</w:t>
            </w:r>
          </w:p>
          <w:p w14:paraId="794F3331">
            <w:pPr>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②对用户单位性质的了解；</w:t>
            </w:r>
          </w:p>
          <w:p w14:paraId="57900790">
            <w:pPr>
              <w:jc w:val="both"/>
              <w:rPr>
                <w:rFonts w:hint="eastAsia" w:cs="宋体"/>
                <w:color w:val="auto"/>
                <w:highlight w:val="none"/>
                <w:lang w:val="en-US" w:eastAsia="zh-CN"/>
              </w:rPr>
            </w:pPr>
            <w:r>
              <w:rPr>
                <w:rFonts w:hint="eastAsia" w:ascii="宋体" w:hAnsi="宋体" w:eastAsia="宋体" w:cs="宋体"/>
                <w:color w:val="auto"/>
                <w:highlight w:val="none"/>
                <w:lang w:val="en-US" w:eastAsia="zh-CN"/>
              </w:rPr>
              <w:t>③对项目</w:t>
            </w:r>
            <w:r>
              <w:rPr>
                <w:rFonts w:hint="eastAsia" w:cs="宋体"/>
                <w:color w:val="auto"/>
                <w:highlight w:val="none"/>
                <w:lang w:val="en-US" w:eastAsia="zh-CN"/>
              </w:rPr>
              <w:t>目标的理解；</w:t>
            </w:r>
          </w:p>
          <w:p w14:paraId="1BA1AF64">
            <w:pPr>
              <w:jc w:val="both"/>
              <w:rPr>
                <w:rFonts w:hint="eastAsia" w:ascii="宋体" w:hAnsi="宋体" w:eastAsia="宋体" w:cs="宋体"/>
                <w:color w:val="auto"/>
                <w:highlight w:val="none"/>
              </w:rPr>
            </w:pPr>
            <w:r>
              <w:rPr>
                <w:rFonts w:hint="eastAsia" w:cs="宋体"/>
                <w:color w:val="auto"/>
                <w:highlight w:val="none"/>
                <w:lang w:val="en-US" w:eastAsia="zh-CN"/>
              </w:rPr>
              <w:t>④对</w:t>
            </w:r>
            <w:r>
              <w:rPr>
                <w:rFonts w:hint="eastAsia" w:ascii="宋体" w:hAnsi="宋体" w:eastAsia="宋体" w:cs="宋体"/>
                <w:color w:val="auto"/>
                <w:highlight w:val="none"/>
                <w:lang w:val="en-US" w:eastAsia="zh-CN"/>
              </w:rPr>
              <w:t>可能涉及的政策和标准的了解。</w:t>
            </w:r>
          </w:p>
          <w:p w14:paraId="2C1BC285">
            <w:pPr>
              <w:jc w:val="both"/>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rPr>
              <w:t>以上每项得1分，本小项满分为</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分，未提供相关内容不得分。</w:t>
            </w:r>
          </w:p>
        </w:tc>
        <w:tc>
          <w:tcPr>
            <w:tcW w:w="855" w:type="dxa"/>
            <w:vAlign w:val="center"/>
          </w:tcPr>
          <w:p w14:paraId="06C68750">
            <w:pPr>
              <w:spacing w:before="120" w:beforeLines="50" w:after="120" w:afterLines="50" w:line="240" w:lineRule="auto"/>
              <w:jc w:val="center"/>
              <w:rPr>
                <w:rFonts w:hint="default" w:ascii="宋体" w:hAnsi="宋体" w:eastAsia="宋体" w:cs="宋体"/>
                <w:color w:val="auto"/>
                <w:szCs w:val="21"/>
                <w:highlight w:val="none"/>
                <w:lang w:val="en-US" w:eastAsia="zh-CN"/>
              </w:rPr>
            </w:pPr>
            <w:r>
              <w:rPr>
                <w:rFonts w:hint="eastAsia" w:cs="宋体"/>
                <w:color w:val="auto"/>
                <w:szCs w:val="21"/>
                <w:highlight w:val="none"/>
                <w:lang w:val="en-US" w:eastAsia="zh-CN"/>
              </w:rPr>
              <w:t>4</w:t>
            </w:r>
          </w:p>
        </w:tc>
      </w:tr>
      <w:tr w14:paraId="1EA0F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833" w:type="dxa"/>
            <w:vAlign w:val="center"/>
          </w:tcPr>
          <w:p w14:paraId="0C9FF101">
            <w:pPr>
              <w:pStyle w:val="326"/>
              <w:widowControl w:val="0"/>
              <w:numPr>
                <w:ilvl w:val="0"/>
                <w:numId w:val="22"/>
              </w:numPr>
              <w:spacing w:before="120" w:beforeLines="50" w:after="120" w:afterLines="50" w:line="240" w:lineRule="auto"/>
              <w:ind w:firstLineChars="0"/>
              <w:jc w:val="center"/>
              <w:rPr>
                <w:rFonts w:hint="eastAsia" w:ascii="宋体" w:hAnsi="宋体" w:eastAsia="宋体" w:cs="宋体"/>
                <w:color w:val="auto"/>
                <w:sz w:val="21"/>
                <w:szCs w:val="21"/>
                <w:highlight w:val="none"/>
              </w:rPr>
            </w:pPr>
          </w:p>
        </w:tc>
        <w:tc>
          <w:tcPr>
            <w:tcW w:w="1124" w:type="dxa"/>
            <w:vAlign w:val="center"/>
          </w:tcPr>
          <w:p w14:paraId="3B911FFD">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对本项目的理解</w:t>
            </w:r>
            <w:r>
              <w:rPr>
                <w:rFonts w:hint="eastAsia" w:ascii="宋体" w:hAnsi="宋体" w:eastAsia="宋体" w:cs="宋体"/>
                <w:color w:val="auto"/>
                <w:highlight w:val="none"/>
                <w:lang w:val="en-US" w:eastAsia="zh-CN"/>
              </w:rPr>
              <w:t>2</w:t>
            </w:r>
          </w:p>
        </w:tc>
        <w:tc>
          <w:tcPr>
            <w:tcW w:w="7010" w:type="dxa"/>
            <w:vAlign w:val="top"/>
          </w:tcPr>
          <w:p w14:paraId="41C8454C">
            <w:pPr>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w:t>
            </w:r>
            <w:r>
              <w:rPr>
                <w:rFonts w:hint="eastAsia" w:ascii="宋体" w:hAnsi="宋体" w:eastAsia="宋体" w:cs="宋体"/>
                <w:color w:val="auto"/>
                <w:highlight w:val="none"/>
              </w:rPr>
              <w:t>对本项目的理解</w:t>
            </w:r>
            <w:r>
              <w:rPr>
                <w:rFonts w:hint="eastAsia" w:ascii="宋体" w:hAnsi="宋体" w:eastAsia="宋体" w:cs="宋体"/>
                <w:color w:val="auto"/>
                <w:highlight w:val="none"/>
                <w:lang w:val="en-US" w:eastAsia="zh-CN"/>
              </w:rPr>
              <w:t>1内容是否与本项目相匹配，是否具备准确性和针对性进行评审：</w:t>
            </w:r>
          </w:p>
          <w:p w14:paraId="08ED4AD9">
            <w:pPr>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szCs w:val="21"/>
                <w:highlight w:val="none"/>
              </w:rPr>
              <w:t>对项目的整体目标、需求内容、性质和要求理解全面完善、准确合理，对涉及的标准和政策阐述清晰详实，所有内容能够切实与本项目相匹配、相关联，得</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分；</w:t>
            </w:r>
          </w:p>
          <w:p w14:paraId="495DCDA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2、对项目的整体目标、需求内容、性质和要求理解基本准确，对涉及的基础标准和政策有清晰阐述，基本内容能够切实与本项目相匹配、相关联，得</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w:t>
            </w:r>
          </w:p>
          <w:p w14:paraId="43817B2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3、对项目的整体目标、需求内容、性质和要求理解有细微偏差，对涉及的基础标准和政策阐述不足，部分内容能够与本项目相匹配、相关联，得</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w:t>
            </w:r>
          </w:p>
          <w:p w14:paraId="68172D0B">
            <w:pPr>
              <w:jc w:val="both"/>
              <w:rPr>
                <w:rFonts w:hint="eastAsia" w:ascii="宋体" w:hAnsi="宋体" w:eastAsia="宋体" w:cs="宋体"/>
                <w:color w:val="auto"/>
                <w:highlight w:val="none"/>
              </w:rPr>
            </w:pPr>
            <w:r>
              <w:rPr>
                <w:rFonts w:hint="eastAsia" w:ascii="宋体" w:hAnsi="宋体" w:eastAsia="宋体" w:cs="宋体"/>
                <w:color w:val="auto"/>
                <w:szCs w:val="21"/>
                <w:highlight w:val="none"/>
              </w:rPr>
              <w:t>4、对项目理解内容不够完整，或阐述标准和政策与项目不匹配，或大部分内容与本项目无关，得1分；</w:t>
            </w:r>
          </w:p>
          <w:p w14:paraId="2C512917">
            <w:pPr>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没有提供相关内容</w:t>
            </w:r>
            <w:r>
              <w:rPr>
                <w:rFonts w:hint="eastAsia" w:cs="宋体"/>
                <w:color w:val="auto"/>
                <w:highlight w:val="none"/>
                <w:lang w:eastAsia="zh-CN"/>
              </w:rPr>
              <w:t>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得</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分。</w:t>
            </w:r>
          </w:p>
        </w:tc>
        <w:tc>
          <w:tcPr>
            <w:tcW w:w="855" w:type="dxa"/>
            <w:vAlign w:val="center"/>
          </w:tcPr>
          <w:p w14:paraId="3CC2E702">
            <w:pPr>
              <w:spacing w:before="120" w:beforeLines="50" w:after="120" w:afterLines="50" w:line="240" w:lineRule="auto"/>
              <w:jc w:val="center"/>
              <w:rPr>
                <w:rFonts w:hint="default" w:cs="宋体"/>
                <w:color w:val="auto"/>
                <w:szCs w:val="21"/>
                <w:highlight w:val="none"/>
                <w:lang w:val="en-US" w:eastAsia="zh-CN"/>
              </w:rPr>
            </w:pPr>
            <w:r>
              <w:rPr>
                <w:rFonts w:hint="eastAsia" w:cs="宋体"/>
                <w:color w:val="auto"/>
                <w:szCs w:val="21"/>
                <w:highlight w:val="none"/>
                <w:lang w:val="en-US" w:eastAsia="zh-CN"/>
              </w:rPr>
              <w:t>7</w:t>
            </w:r>
          </w:p>
        </w:tc>
      </w:tr>
      <w:tr w14:paraId="02444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3" w:type="dxa"/>
            <w:vAlign w:val="center"/>
          </w:tcPr>
          <w:p w14:paraId="64C063B4">
            <w:pPr>
              <w:pStyle w:val="326"/>
              <w:widowControl w:val="0"/>
              <w:numPr>
                <w:ilvl w:val="0"/>
                <w:numId w:val="22"/>
              </w:numPr>
              <w:spacing w:before="120" w:beforeLines="50" w:after="120" w:afterLines="50" w:line="240" w:lineRule="auto"/>
              <w:ind w:firstLineChars="0"/>
              <w:jc w:val="center"/>
              <w:rPr>
                <w:rFonts w:hint="eastAsia" w:ascii="宋体" w:hAnsi="宋体" w:eastAsia="宋体" w:cs="宋体"/>
                <w:color w:val="auto"/>
                <w:sz w:val="21"/>
                <w:szCs w:val="21"/>
                <w:highlight w:val="none"/>
              </w:rPr>
            </w:pPr>
          </w:p>
        </w:tc>
        <w:tc>
          <w:tcPr>
            <w:tcW w:w="1124" w:type="dxa"/>
            <w:vAlign w:val="center"/>
          </w:tcPr>
          <w:p w14:paraId="05D3814B">
            <w:pPr>
              <w:spacing w:line="240" w:lineRule="auto"/>
              <w:jc w:val="center"/>
              <w:rPr>
                <w:rFonts w:hint="default" w:ascii="宋体" w:hAnsi="宋体" w:eastAsia="宋体" w:cs="Wingdings"/>
                <w:color w:val="auto"/>
                <w:kern w:val="2"/>
                <w:sz w:val="21"/>
                <w:szCs w:val="21"/>
                <w:highlight w:val="none"/>
                <w:lang w:val="en-US" w:eastAsia="zh-CN" w:bidi="ar-SA"/>
              </w:rPr>
            </w:pPr>
            <w:r>
              <w:rPr>
                <w:rFonts w:hint="eastAsia" w:cs="Wingdings"/>
                <w:color w:val="auto"/>
                <w:szCs w:val="21"/>
                <w:highlight w:val="none"/>
              </w:rPr>
              <w:t>项目实施重点、难点</w:t>
            </w:r>
            <w:r>
              <w:rPr>
                <w:rFonts w:hint="eastAsia" w:cs="Wingdings"/>
                <w:color w:val="auto"/>
                <w:szCs w:val="21"/>
                <w:highlight w:val="none"/>
                <w:lang w:val="en-US" w:eastAsia="zh-CN"/>
              </w:rPr>
              <w:t>分析1</w:t>
            </w:r>
          </w:p>
        </w:tc>
        <w:tc>
          <w:tcPr>
            <w:tcW w:w="7010" w:type="dxa"/>
            <w:vAlign w:val="center"/>
          </w:tcPr>
          <w:p w14:paraId="7F80308E">
            <w:pPr>
              <w:jc w:val="both"/>
              <w:rPr>
                <w:rFonts w:hint="eastAsia" w:ascii="宋体" w:hAnsi="宋体" w:eastAsia="宋体" w:cs="宋体"/>
                <w:color w:val="auto"/>
                <w:highlight w:val="none"/>
              </w:rPr>
            </w:pPr>
            <w:r>
              <w:rPr>
                <w:rFonts w:hint="eastAsia" w:ascii="宋体" w:hAnsi="宋体" w:eastAsia="宋体" w:cs="宋体"/>
                <w:color w:val="auto"/>
                <w:highlight w:val="none"/>
              </w:rPr>
              <w:t>根据响应供应商对</w:t>
            </w:r>
            <w:r>
              <w:rPr>
                <w:rFonts w:hint="eastAsia" w:cs="Calibri Light"/>
                <w:color w:val="auto"/>
                <w:szCs w:val="21"/>
                <w:highlight w:val="none"/>
              </w:rPr>
              <w:t>本项目实施的重点、难点</w:t>
            </w:r>
            <w:r>
              <w:rPr>
                <w:rFonts w:hint="eastAsia" w:cs="Calibri Light"/>
                <w:color w:val="auto"/>
                <w:szCs w:val="21"/>
                <w:highlight w:val="none"/>
                <w:lang w:val="en-US" w:eastAsia="zh-CN"/>
              </w:rPr>
              <w:t>分析</w:t>
            </w:r>
            <w:r>
              <w:rPr>
                <w:rFonts w:hint="eastAsia" w:ascii="宋体" w:hAnsi="宋体" w:eastAsia="宋体" w:cs="宋体"/>
                <w:color w:val="auto"/>
                <w:highlight w:val="none"/>
              </w:rPr>
              <w:t>进行评分：</w:t>
            </w:r>
          </w:p>
          <w:p w14:paraId="438B1534">
            <w:pPr>
              <w:jc w:val="both"/>
              <w:rPr>
                <w:rFonts w:hint="eastAsia" w:ascii="宋体" w:hAnsi="宋体" w:eastAsia="宋体" w:cs="宋体"/>
                <w:color w:val="auto"/>
                <w:highlight w:val="none"/>
              </w:rPr>
            </w:pPr>
            <w:r>
              <w:rPr>
                <w:rFonts w:hint="eastAsia" w:ascii="宋体" w:hAnsi="宋体" w:eastAsia="宋体" w:cs="宋体"/>
                <w:color w:val="auto"/>
                <w:highlight w:val="none"/>
              </w:rPr>
              <w:t>方案应包括但不限于以下内容：</w:t>
            </w:r>
          </w:p>
          <w:p w14:paraId="096B5A0C">
            <w:pPr>
              <w:rPr>
                <w:rFonts w:hint="eastAsia" w:cs="Calibri Light"/>
                <w:color w:val="auto"/>
                <w:szCs w:val="21"/>
                <w:highlight w:val="none"/>
                <w:lang w:val="en-US" w:eastAsia="zh-CN"/>
              </w:rPr>
            </w:pPr>
            <w:r>
              <w:rPr>
                <w:rFonts w:hint="eastAsia" w:cs="Calibri Light"/>
                <w:color w:val="auto"/>
                <w:szCs w:val="21"/>
                <w:highlight w:val="none"/>
                <w:lang w:val="en-US" w:eastAsia="zh-CN"/>
              </w:rPr>
              <w:t>①罗列项目实施过程中可能存在的重点、难点和重要节点；</w:t>
            </w:r>
          </w:p>
          <w:p w14:paraId="77257A35">
            <w:pPr>
              <w:rPr>
                <w:rFonts w:hint="eastAsia" w:cs="Calibri Light"/>
                <w:color w:val="auto"/>
                <w:szCs w:val="21"/>
                <w:highlight w:val="none"/>
                <w:lang w:val="en-US" w:eastAsia="zh-CN"/>
              </w:rPr>
            </w:pPr>
            <w:r>
              <w:rPr>
                <w:rFonts w:hint="eastAsia" w:cs="Calibri Light"/>
                <w:color w:val="auto"/>
                <w:szCs w:val="21"/>
                <w:highlight w:val="none"/>
                <w:lang w:val="en-US" w:eastAsia="zh-CN"/>
              </w:rPr>
              <w:t>②针对重点问题和重要节点提供实施计划；</w:t>
            </w:r>
          </w:p>
          <w:p w14:paraId="58181594">
            <w:pPr>
              <w:rPr>
                <w:rFonts w:hint="eastAsia" w:cs="Calibri Light"/>
                <w:color w:val="auto"/>
                <w:szCs w:val="21"/>
                <w:highlight w:val="none"/>
                <w:lang w:val="en-US" w:eastAsia="zh-CN"/>
              </w:rPr>
            </w:pPr>
            <w:r>
              <w:rPr>
                <w:rFonts w:hint="eastAsia" w:cs="Calibri Light"/>
                <w:color w:val="auto"/>
                <w:szCs w:val="21"/>
                <w:highlight w:val="none"/>
                <w:lang w:val="en-US" w:eastAsia="zh-CN"/>
              </w:rPr>
              <w:t>③针对实施困难的问题提供应对措施。</w:t>
            </w:r>
          </w:p>
          <w:p w14:paraId="651AB173">
            <w:pPr>
              <w:pStyle w:val="19"/>
              <w:rPr>
                <w:rFonts w:hint="eastAsia" w:ascii="宋体" w:hAnsi="宋体" w:eastAsia="宋体" w:cs="Calibri Light"/>
                <w:color w:val="auto"/>
                <w:kern w:val="2"/>
                <w:sz w:val="21"/>
                <w:szCs w:val="21"/>
                <w:highlight w:val="none"/>
                <w:lang w:val="en-US" w:eastAsia="zh-CN" w:bidi="ar-SA"/>
              </w:rPr>
            </w:pPr>
            <w:r>
              <w:rPr>
                <w:rFonts w:hint="eastAsia" w:ascii="宋体" w:hAnsi="宋体" w:eastAsia="宋体" w:cs="宋体"/>
                <w:color w:val="auto"/>
                <w:highlight w:val="none"/>
              </w:rPr>
              <w:t>以上每项得1分，本小项满分为</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分，未提供相关内容不得分。</w:t>
            </w:r>
          </w:p>
        </w:tc>
        <w:tc>
          <w:tcPr>
            <w:tcW w:w="855" w:type="dxa"/>
            <w:vAlign w:val="center"/>
          </w:tcPr>
          <w:p w14:paraId="1B994C4E">
            <w:pPr>
              <w:spacing w:before="120" w:beforeLines="50" w:after="120" w:afterLines="50" w:line="240" w:lineRule="auto"/>
              <w:jc w:val="center"/>
              <w:rPr>
                <w:rFonts w:hint="default" w:cs="宋体"/>
                <w:color w:val="auto"/>
                <w:szCs w:val="21"/>
                <w:highlight w:val="none"/>
                <w:lang w:val="en-US" w:eastAsia="zh-CN"/>
              </w:rPr>
            </w:pPr>
            <w:r>
              <w:rPr>
                <w:rFonts w:hint="eastAsia" w:cs="宋体"/>
                <w:color w:val="auto"/>
                <w:szCs w:val="21"/>
                <w:highlight w:val="none"/>
                <w:lang w:val="en-US" w:eastAsia="zh-CN"/>
              </w:rPr>
              <w:t>3</w:t>
            </w:r>
          </w:p>
        </w:tc>
      </w:tr>
      <w:tr w14:paraId="22B62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3" w:type="dxa"/>
            <w:vAlign w:val="center"/>
          </w:tcPr>
          <w:p w14:paraId="336082E7">
            <w:pPr>
              <w:pStyle w:val="326"/>
              <w:widowControl w:val="0"/>
              <w:numPr>
                <w:ilvl w:val="0"/>
                <w:numId w:val="22"/>
              </w:numPr>
              <w:spacing w:before="120" w:beforeLines="50" w:after="120" w:afterLines="50" w:line="240" w:lineRule="auto"/>
              <w:ind w:firstLineChars="0"/>
              <w:jc w:val="center"/>
              <w:rPr>
                <w:rFonts w:hint="eastAsia" w:ascii="宋体" w:hAnsi="宋体" w:eastAsia="宋体" w:cs="宋体"/>
                <w:color w:val="auto"/>
                <w:sz w:val="21"/>
                <w:szCs w:val="21"/>
                <w:highlight w:val="none"/>
              </w:rPr>
            </w:pPr>
          </w:p>
        </w:tc>
        <w:tc>
          <w:tcPr>
            <w:tcW w:w="1124" w:type="dxa"/>
            <w:vAlign w:val="center"/>
          </w:tcPr>
          <w:p w14:paraId="282316E5">
            <w:pPr>
              <w:spacing w:line="240" w:lineRule="auto"/>
              <w:jc w:val="center"/>
              <w:rPr>
                <w:rFonts w:hint="default" w:cs="Wingdings"/>
                <w:color w:val="auto"/>
                <w:szCs w:val="21"/>
                <w:highlight w:val="none"/>
                <w:lang w:val="en-US"/>
              </w:rPr>
            </w:pPr>
            <w:r>
              <w:rPr>
                <w:rFonts w:hint="eastAsia" w:cs="Wingdings"/>
                <w:color w:val="auto"/>
                <w:szCs w:val="21"/>
                <w:highlight w:val="none"/>
              </w:rPr>
              <w:t>项目实施重点、难点</w:t>
            </w:r>
            <w:r>
              <w:rPr>
                <w:rFonts w:hint="eastAsia" w:cs="Wingdings"/>
                <w:color w:val="auto"/>
                <w:szCs w:val="21"/>
                <w:highlight w:val="none"/>
                <w:lang w:val="en-US" w:eastAsia="zh-CN"/>
              </w:rPr>
              <w:t>分析2</w:t>
            </w:r>
          </w:p>
        </w:tc>
        <w:tc>
          <w:tcPr>
            <w:tcW w:w="7010" w:type="dxa"/>
            <w:vAlign w:val="center"/>
          </w:tcPr>
          <w:p w14:paraId="5FBE0700">
            <w:pPr>
              <w:jc w:val="both"/>
              <w:rPr>
                <w:rFonts w:hint="eastAsia" w:ascii="宋体" w:hAnsi="宋体" w:eastAsia="宋体" w:cs="宋体"/>
                <w:color w:val="auto"/>
                <w:highlight w:val="none"/>
              </w:rPr>
            </w:pPr>
            <w:r>
              <w:rPr>
                <w:rFonts w:hint="eastAsia" w:ascii="宋体" w:hAnsi="宋体" w:eastAsia="宋体" w:cs="宋体"/>
                <w:color w:val="auto"/>
                <w:highlight w:val="none"/>
              </w:rPr>
              <w:t>根据</w:t>
            </w:r>
            <w:r>
              <w:rPr>
                <w:rFonts w:hint="eastAsia" w:cs="Calibri Light"/>
                <w:color w:val="auto"/>
                <w:szCs w:val="21"/>
                <w:highlight w:val="none"/>
              </w:rPr>
              <w:t>项目实施重点、难点</w:t>
            </w:r>
            <w:r>
              <w:rPr>
                <w:rFonts w:hint="eastAsia" w:cs="Calibri Light"/>
                <w:color w:val="auto"/>
                <w:szCs w:val="21"/>
                <w:highlight w:val="none"/>
                <w:lang w:val="en-US" w:eastAsia="zh-CN"/>
              </w:rPr>
              <w:t>分析1的内容是否全面，是否具备合理性</w:t>
            </w:r>
            <w:r>
              <w:rPr>
                <w:rFonts w:hint="eastAsia" w:ascii="宋体" w:hAnsi="宋体" w:eastAsia="宋体" w:cs="宋体"/>
                <w:color w:val="auto"/>
                <w:highlight w:val="none"/>
              </w:rPr>
              <w:t>进行评分：</w:t>
            </w:r>
          </w:p>
          <w:p w14:paraId="31939B4B">
            <w:pPr>
              <w:rPr>
                <w:rFonts w:cs="Calibri Light"/>
                <w:color w:val="auto"/>
                <w:szCs w:val="21"/>
                <w:highlight w:val="none"/>
              </w:rPr>
            </w:pPr>
            <w:r>
              <w:rPr>
                <w:rFonts w:hint="eastAsia" w:cs="Calibri Light"/>
                <w:color w:val="auto"/>
                <w:szCs w:val="21"/>
                <w:highlight w:val="none"/>
              </w:rPr>
              <w:t>1</w:t>
            </w:r>
            <w:r>
              <w:rPr>
                <w:rFonts w:hint="eastAsia" w:cs="Calibri Light"/>
                <w:color w:val="auto"/>
                <w:szCs w:val="21"/>
                <w:highlight w:val="none"/>
                <w:lang w:eastAsia="zh-CN"/>
              </w:rPr>
              <w:t>、</w:t>
            </w:r>
            <w:r>
              <w:rPr>
                <w:rFonts w:hint="eastAsia" w:cs="Calibri Light"/>
                <w:color w:val="auto"/>
                <w:szCs w:val="21"/>
                <w:highlight w:val="none"/>
              </w:rPr>
              <w:t>对项目实施的重点难点分析</w:t>
            </w:r>
            <w:r>
              <w:rPr>
                <w:rFonts w:hint="eastAsia" w:cs="Calibri Light"/>
                <w:color w:val="auto"/>
                <w:szCs w:val="21"/>
                <w:highlight w:val="none"/>
                <w:lang w:val="en-US" w:eastAsia="zh-CN"/>
              </w:rPr>
              <w:t>全面完善</w:t>
            </w:r>
            <w:r>
              <w:rPr>
                <w:rFonts w:hint="eastAsia" w:cs="Calibri Light"/>
                <w:color w:val="auto"/>
                <w:szCs w:val="21"/>
                <w:highlight w:val="none"/>
              </w:rPr>
              <w:t>、深入透彻，</w:t>
            </w:r>
            <w:r>
              <w:rPr>
                <w:rFonts w:hint="eastAsia" w:cs="Calibri Light"/>
                <w:color w:val="auto"/>
                <w:szCs w:val="21"/>
                <w:highlight w:val="none"/>
                <w:lang w:val="en-US" w:eastAsia="zh-CN"/>
              </w:rPr>
              <w:t>提供的应对措施能够完全对应本项目重难点罗列，实施计划</w:t>
            </w:r>
            <w:r>
              <w:rPr>
                <w:rFonts w:hint="eastAsia" w:cs="Calibri Light"/>
                <w:color w:val="auto"/>
                <w:szCs w:val="21"/>
                <w:highlight w:val="none"/>
              </w:rPr>
              <w:t>科学合理可行，得</w:t>
            </w:r>
            <w:r>
              <w:rPr>
                <w:rFonts w:hint="eastAsia" w:cs="Calibri Light"/>
                <w:color w:val="auto"/>
                <w:szCs w:val="21"/>
                <w:highlight w:val="none"/>
                <w:lang w:val="en-US" w:eastAsia="zh-CN"/>
              </w:rPr>
              <w:t>7</w:t>
            </w:r>
            <w:r>
              <w:rPr>
                <w:rFonts w:cs="Calibri Light"/>
                <w:color w:val="auto"/>
                <w:szCs w:val="21"/>
                <w:highlight w:val="none"/>
              </w:rPr>
              <w:t>分；</w:t>
            </w:r>
          </w:p>
          <w:p w14:paraId="093DAABE">
            <w:pPr>
              <w:rPr>
                <w:rFonts w:cs="Calibri Light"/>
                <w:color w:val="auto"/>
                <w:szCs w:val="21"/>
                <w:highlight w:val="none"/>
              </w:rPr>
            </w:pPr>
            <w:r>
              <w:rPr>
                <w:rFonts w:cs="Calibri Light"/>
                <w:color w:val="auto"/>
                <w:szCs w:val="21"/>
                <w:highlight w:val="none"/>
              </w:rPr>
              <w:t>2</w:t>
            </w:r>
            <w:r>
              <w:rPr>
                <w:rFonts w:hint="eastAsia" w:cs="Calibri Light"/>
                <w:color w:val="auto"/>
                <w:szCs w:val="21"/>
                <w:highlight w:val="none"/>
                <w:lang w:eastAsia="zh-CN"/>
              </w:rPr>
              <w:t>、</w:t>
            </w:r>
            <w:r>
              <w:rPr>
                <w:rFonts w:hint="eastAsia" w:cs="Calibri Light"/>
                <w:color w:val="auto"/>
                <w:szCs w:val="21"/>
                <w:highlight w:val="none"/>
              </w:rPr>
              <w:t>对项目实施的重点难点分析</w:t>
            </w:r>
            <w:r>
              <w:rPr>
                <w:rFonts w:hint="eastAsia" w:cs="Calibri Light"/>
                <w:color w:val="auto"/>
                <w:szCs w:val="21"/>
                <w:highlight w:val="none"/>
                <w:lang w:val="en-US" w:eastAsia="zh-CN"/>
              </w:rPr>
              <w:t>基本</w:t>
            </w:r>
            <w:r>
              <w:rPr>
                <w:rFonts w:hint="eastAsia" w:cs="Calibri Light"/>
                <w:color w:val="auto"/>
                <w:szCs w:val="21"/>
                <w:highlight w:val="none"/>
              </w:rPr>
              <w:t>全面</w:t>
            </w:r>
            <w:r>
              <w:rPr>
                <w:rFonts w:hint="eastAsia" w:cs="Calibri Light"/>
                <w:color w:val="auto"/>
                <w:szCs w:val="21"/>
                <w:highlight w:val="none"/>
                <w:lang w:eastAsia="zh-CN"/>
              </w:rPr>
              <w:t>，</w:t>
            </w:r>
            <w:r>
              <w:rPr>
                <w:rFonts w:hint="eastAsia" w:cs="Calibri Light"/>
                <w:color w:val="auto"/>
                <w:szCs w:val="21"/>
                <w:highlight w:val="none"/>
                <w:lang w:val="en-US" w:eastAsia="zh-CN"/>
              </w:rPr>
              <w:t>提供的应对措施有针对性</w:t>
            </w:r>
            <w:r>
              <w:rPr>
                <w:rFonts w:hint="eastAsia" w:cs="Calibri Light"/>
                <w:color w:val="auto"/>
                <w:szCs w:val="21"/>
                <w:highlight w:val="none"/>
              </w:rPr>
              <w:t>，</w:t>
            </w:r>
            <w:r>
              <w:rPr>
                <w:rFonts w:hint="eastAsia" w:cs="Calibri Light"/>
                <w:color w:val="auto"/>
                <w:szCs w:val="21"/>
                <w:highlight w:val="none"/>
                <w:lang w:val="en-US" w:eastAsia="zh-CN"/>
              </w:rPr>
              <w:t>实施计划可行</w:t>
            </w:r>
            <w:r>
              <w:rPr>
                <w:rFonts w:hint="eastAsia" w:cs="Calibri Light"/>
                <w:color w:val="auto"/>
                <w:szCs w:val="21"/>
                <w:highlight w:val="none"/>
              </w:rPr>
              <w:t>，得</w:t>
            </w:r>
            <w:r>
              <w:rPr>
                <w:rFonts w:hint="eastAsia" w:cs="Calibri Light"/>
                <w:color w:val="auto"/>
                <w:szCs w:val="21"/>
                <w:highlight w:val="none"/>
                <w:lang w:val="en-US" w:eastAsia="zh-CN"/>
              </w:rPr>
              <w:t>5</w:t>
            </w:r>
            <w:r>
              <w:rPr>
                <w:rFonts w:cs="Calibri Light"/>
                <w:color w:val="auto"/>
                <w:szCs w:val="21"/>
                <w:highlight w:val="none"/>
              </w:rPr>
              <w:t>分；</w:t>
            </w:r>
          </w:p>
          <w:p w14:paraId="6E315511">
            <w:pPr>
              <w:rPr>
                <w:rFonts w:cs="Calibri Light"/>
                <w:color w:val="auto"/>
                <w:szCs w:val="21"/>
                <w:highlight w:val="none"/>
              </w:rPr>
            </w:pPr>
            <w:r>
              <w:rPr>
                <w:rFonts w:hint="eastAsia" w:cs="Calibri Light"/>
                <w:color w:val="auto"/>
                <w:szCs w:val="21"/>
                <w:highlight w:val="none"/>
              </w:rPr>
              <w:t>3</w:t>
            </w:r>
            <w:r>
              <w:rPr>
                <w:rFonts w:hint="eastAsia" w:cs="Calibri Light"/>
                <w:color w:val="auto"/>
                <w:szCs w:val="21"/>
                <w:highlight w:val="none"/>
                <w:lang w:eastAsia="zh-CN"/>
              </w:rPr>
              <w:t>、</w:t>
            </w:r>
            <w:r>
              <w:rPr>
                <w:rFonts w:hint="eastAsia" w:cs="Calibri Light"/>
                <w:color w:val="auto"/>
                <w:szCs w:val="21"/>
                <w:highlight w:val="none"/>
              </w:rPr>
              <w:t>对项目实施的重点难点分析</w:t>
            </w:r>
            <w:r>
              <w:rPr>
                <w:rFonts w:hint="eastAsia" w:cs="Calibri Light"/>
                <w:color w:val="auto"/>
                <w:szCs w:val="21"/>
                <w:highlight w:val="none"/>
                <w:lang w:val="en-US" w:eastAsia="zh-CN"/>
              </w:rPr>
              <w:t>部分贴合本项目，提供的应对措施部分有针对性</w:t>
            </w:r>
            <w:r>
              <w:rPr>
                <w:rFonts w:hint="eastAsia" w:cs="Calibri Light"/>
                <w:color w:val="auto"/>
                <w:szCs w:val="21"/>
                <w:highlight w:val="none"/>
              </w:rPr>
              <w:t>，</w:t>
            </w:r>
            <w:r>
              <w:rPr>
                <w:rFonts w:hint="eastAsia" w:cs="Calibri Light"/>
                <w:color w:val="auto"/>
                <w:szCs w:val="21"/>
                <w:highlight w:val="none"/>
                <w:lang w:val="en-US" w:eastAsia="zh-CN"/>
              </w:rPr>
              <w:t>实施计划部分可行</w:t>
            </w:r>
            <w:r>
              <w:rPr>
                <w:rFonts w:hint="eastAsia" w:cs="Calibri Light"/>
                <w:color w:val="auto"/>
                <w:szCs w:val="21"/>
                <w:highlight w:val="none"/>
              </w:rPr>
              <w:t>，得</w:t>
            </w:r>
            <w:r>
              <w:rPr>
                <w:rFonts w:hint="eastAsia" w:cs="Calibri Light"/>
                <w:color w:val="auto"/>
                <w:szCs w:val="21"/>
                <w:highlight w:val="none"/>
                <w:lang w:val="en-US" w:eastAsia="zh-CN"/>
              </w:rPr>
              <w:t>3</w:t>
            </w:r>
            <w:r>
              <w:rPr>
                <w:rFonts w:cs="Calibri Light"/>
                <w:color w:val="auto"/>
                <w:szCs w:val="21"/>
                <w:highlight w:val="none"/>
              </w:rPr>
              <w:t>分；</w:t>
            </w:r>
          </w:p>
          <w:p w14:paraId="76C4F2D8">
            <w:pPr>
              <w:rPr>
                <w:rFonts w:cs="Calibri Light"/>
                <w:color w:val="auto"/>
                <w:szCs w:val="21"/>
                <w:highlight w:val="none"/>
              </w:rPr>
            </w:pPr>
            <w:r>
              <w:rPr>
                <w:rFonts w:cs="Calibri Light"/>
                <w:color w:val="auto"/>
                <w:szCs w:val="21"/>
                <w:highlight w:val="none"/>
              </w:rPr>
              <w:t>4</w:t>
            </w:r>
            <w:r>
              <w:rPr>
                <w:rFonts w:hint="eastAsia" w:cs="Calibri Light"/>
                <w:color w:val="auto"/>
                <w:szCs w:val="21"/>
                <w:highlight w:val="none"/>
                <w:lang w:eastAsia="zh-CN"/>
              </w:rPr>
              <w:t>、</w:t>
            </w:r>
            <w:r>
              <w:rPr>
                <w:rFonts w:hint="eastAsia" w:cs="Calibri Light"/>
                <w:color w:val="auto"/>
                <w:szCs w:val="21"/>
                <w:highlight w:val="none"/>
              </w:rPr>
              <w:t>对项目实施的重点难点分析</w:t>
            </w:r>
            <w:r>
              <w:rPr>
                <w:rFonts w:hint="eastAsia" w:cs="Calibri Light"/>
                <w:color w:val="auto"/>
                <w:szCs w:val="21"/>
                <w:highlight w:val="none"/>
                <w:lang w:val="en-US" w:eastAsia="zh-CN"/>
              </w:rPr>
              <w:t>有缺漏或缺乏针对性</w:t>
            </w:r>
            <w:r>
              <w:rPr>
                <w:rFonts w:hint="eastAsia" w:cs="Calibri Light"/>
                <w:color w:val="auto"/>
                <w:szCs w:val="21"/>
                <w:highlight w:val="none"/>
              </w:rPr>
              <w:t>，</w:t>
            </w:r>
            <w:r>
              <w:rPr>
                <w:rFonts w:hint="eastAsia" w:cs="Calibri Light"/>
                <w:color w:val="auto"/>
                <w:szCs w:val="21"/>
                <w:highlight w:val="none"/>
                <w:lang w:val="en-US" w:eastAsia="zh-CN"/>
              </w:rPr>
              <w:t>或应对措施与重难点列举不匹配</w:t>
            </w:r>
            <w:r>
              <w:rPr>
                <w:rFonts w:hint="eastAsia" w:cs="Calibri Light"/>
                <w:color w:val="auto"/>
                <w:szCs w:val="21"/>
                <w:highlight w:val="none"/>
              </w:rPr>
              <w:t>，</w:t>
            </w:r>
            <w:r>
              <w:rPr>
                <w:rFonts w:hint="eastAsia" w:cs="Calibri Light"/>
                <w:color w:val="auto"/>
                <w:szCs w:val="21"/>
                <w:highlight w:val="none"/>
                <w:lang w:val="en-US" w:eastAsia="zh-CN"/>
              </w:rPr>
              <w:t>或实施计划缺乏可行性，</w:t>
            </w:r>
            <w:r>
              <w:rPr>
                <w:rFonts w:hint="eastAsia" w:cs="Calibri Light"/>
                <w:color w:val="auto"/>
                <w:szCs w:val="21"/>
                <w:highlight w:val="none"/>
              </w:rPr>
              <w:t>得</w:t>
            </w:r>
            <w:r>
              <w:rPr>
                <w:rFonts w:cs="Calibri Light"/>
                <w:color w:val="auto"/>
                <w:szCs w:val="21"/>
                <w:highlight w:val="none"/>
              </w:rPr>
              <w:t>1分</w:t>
            </w:r>
            <w:r>
              <w:rPr>
                <w:rFonts w:hint="eastAsia" w:cs="Calibri Light"/>
                <w:color w:val="auto"/>
                <w:szCs w:val="21"/>
                <w:highlight w:val="none"/>
              </w:rPr>
              <w:t>。</w:t>
            </w:r>
          </w:p>
          <w:p w14:paraId="001A836A">
            <w:pPr>
              <w:rPr>
                <w:rFonts w:hint="eastAsia" w:cs="Calibri Light"/>
                <w:color w:val="auto"/>
                <w:szCs w:val="21"/>
                <w:highlight w:val="none"/>
                <w:lang w:val="en-US" w:eastAsia="zh-CN"/>
              </w:rPr>
            </w:pPr>
            <w:r>
              <w:rPr>
                <w:rFonts w:hint="eastAsia" w:cs="Calibri Light"/>
                <w:color w:val="auto"/>
                <w:szCs w:val="21"/>
                <w:highlight w:val="none"/>
                <w:lang w:val="en-US" w:eastAsia="zh-CN"/>
              </w:rPr>
              <w:t>5、</w:t>
            </w:r>
            <w:r>
              <w:rPr>
                <w:rFonts w:hint="eastAsia" w:cs="Calibri Light"/>
                <w:color w:val="auto"/>
                <w:szCs w:val="21"/>
                <w:highlight w:val="none"/>
              </w:rPr>
              <w:t>未提供方案</w:t>
            </w:r>
            <w:r>
              <w:rPr>
                <w:rFonts w:hint="eastAsia" w:cs="Calibri Light"/>
                <w:color w:val="auto"/>
                <w:szCs w:val="21"/>
                <w:highlight w:val="none"/>
                <w:lang w:eastAsia="zh-CN"/>
              </w:rPr>
              <w:t>的，</w:t>
            </w:r>
            <w:r>
              <w:rPr>
                <w:rFonts w:hint="eastAsia" w:cs="Calibri Light"/>
                <w:color w:val="auto"/>
                <w:szCs w:val="21"/>
                <w:highlight w:val="none"/>
              </w:rPr>
              <w:t>得</w:t>
            </w:r>
            <w:r>
              <w:rPr>
                <w:rFonts w:hint="eastAsia" w:cs="Calibri Light"/>
                <w:color w:val="auto"/>
                <w:szCs w:val="21"/>
                <w:highlight w:val="none"/>
                <w:lang w:val="en-US" w:eastAsia="zh-CN"/>
              </w:rPr>
              <w:t>0</w:t>
            </w:r>
            <w:r>
              <w:rPr>
                <w:rFonts w:hint="eastAsia" w:cs="Calibri Light"/>
                <w:color w:val="auto"/>
                <w:szCs w:val="21"/>
                <w:highlight w:val="none"/>
              </w:rPr>
              <w:t>分</w:t>
            </w:r>
          </w:p>
        </w:tc>
        <w:tc>
          <w:tcPr>
            <w:tcW w:w="855" w:type="dxa"/>
            <w:vAlign w:val="center"/>
          </w:tcPr>
          <w:p w14:paraId="43CCA51A">
            <w:pPr>
              <w:spacing w:before="120" w:beforeLines="50" w:after="120" w:afterLines="50" w:line="240" w:lineRule="auto"/>
              <w:jc w:val="center"/>
              <w:rPr>
                <w:rFonts w:hint="default" w:cs="宋体"/>
                <w:color w:val="auto"/>
                <w:szCs w:val="21"/>
                <w:highlight w:val="none"/>
                <w:lang w:val="en-US" w:eastAsia="zh-CN"/>
              </w:rPr>
            </w:pPr>
            <w:r>
              <w:rPr>
                <w:rFonts w:hint="eastAsia" w:cs="宋体"/>
                <w:color w:val="auto"/>
                <w:szCs w:val="21"/>
                <w:highlight w:val="none"/>
                <w:lang w:val="en-US" w:eastAsia="zh-CN"/>
              </w:rPr>
              <w:t>7</w:t>
            </w:r>
          </w:p>
        </w:tc>
      </w:tr>
      <w:tr w14:paraId="01ACD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3" w:type="dxa"/>
            <w:vAlign w:val="center"/>
          </w:tcPr>
          <w:p w14:paraId="09A21EB3">
            <w:pPr>
              <w:pStyle w:val="326"/>
              <w:widowControl w:val="0"/>
              <w:numPr>
                <w:ilvl w:val="0"/>
                <w:numId w:val="22"/>
              </w:numPr>
              <w:spacing w:before="120" w:beforeLines="50" w:after="120" w:afterLines="50" w:line="240" w:lineRule="auto"/>
              <w:ind w:firstLineChars="0"/>
              <w:jc w:val="center"/>
              <w:rPr>
                <w:rFonts w:hint="eastAsia" w:ascii="宋体" w:hAnsi="宋体" w:eastAsia="宋体" w:cs="宋体"/>
                <w:color w:val="auto"/>
                <w:sz w:val="21"/>
                <w:szCs w:val="21"/>
                <w:highlight w:val="none"/>
              </w:rPr>
            </w:pPr>
          </w:p>
        </w:tc>
        <w:tc>
          <w:tcPr>
            <w:tcW w:w="1124" w:type="dxa"/>
            <w:vAlign w:val="center"/>
          </w:tcPr>
          <w:p w14:paraId="0AC4FCA3">
            <w:pPr>
              <w:jc w:val="center"/>
              <w:rPr>
                <w:rFonts w:hint="eastAsia" w:ascii="宋体" w:hAnsi="宋体" w:eastAsia="宋体" w:cs="宋体"/>
                <w:color w:val="auto"/>
                <w:kern w:val="2"/>
                <w:sz w:val="21"/>
                <w:szCs w:val="24"/>
                <w:highlight w:val="none"/>
                <w:lang w:val="en-US" w:eastAsia="zh-CN" w:bidi="ar-SA"/>
              </w:rPr>
            </w:pPr>
            <w:r>
              <w:rPr>
                <w:rFonts w:hint="eastAsia" w:cs="宋体"/>
                <w:color w:val="auto"/>
                <w:highlight w:val="none"/>
                <w:lang w:val="en-US" w:eastAsia="zh-CN"/>
              </w:rPr>
              <w:t>服务</w:t>
            </w:r>
            <w:r>
              <w:rPr>
                <w:rFonts w:hint="eastAsia" w:ascii="宋体" w:hAnsi="宋体" w:eastAsia="宋体" w:cs="宋体"/>
                <w:color w:val="auto"/>
                <w:highlight w:val="none"/>
              </w:rPr>
              <w:t>实施方案</w:t>
            </w:r>
            <w:r>
              <w:rPr>
                <w:rFonts w:hint="eastAsia" w:ascii="宋体" w:hAnsi="宋体" w:eastAsia="宋体" w:cs="宋体"/>
                <w:color w:val="auto"/>
                <w:highlight w:val="none"/>
                <w:lang w:val="en-US" w:eastAsia="zh-CN"/>
              </w:rPr>
              <w:t>1</w:t>
            </w:r>
          </w:p>
        </w:tc>
        <w:tc>
          <w:tcPr>
            <w:tcW w:w="7010" w:type="dxa"/>
            <w:vAlign w:val="top"/>
          </w:tcPr>
          <w:p w14:paraId="418D2AC3">
            <w:pPr>
              <w:jc w:val="both"/>
              <w:rPr>
                <w:rFonts w:hint="eastAsia" w:ascii="宋体" w:hAnsi="宋体" w:eastAsia="宋体" w:cs="宋体"/>
                <w:color w:val="auto"/>
                <w:highlight w:val="none"/>
              </w:rPr>
            </w:pPr>
            <w:r>
              <w:rPr>
                <w:rFonts w:hint="eastAsia" w:ascii="宋体" w:hAnsi="宋体" w:eastAsia="宋体" w:cs="宋体"/>
                <w:color w:val="auto"/>
                <w:highlight w:val="none"/>
              </w:rPr>
              <w:t>根据响应供应商</w:t>
            </w:r>
            <w:r>
              <w:rPr>
                <w:rFonts w:hint="eastAsia" w:ascii="宋体" w:hAnsi="宋体" w:eastAsia="宋体" w:cs="宋体"/>
                <w:color w:val="auto"/>
                <w:highlight w:val="none"/>
                <w:lang w:val="en-US" w:eastAsia="zh-CN"/>
              </w:rPr>
              <w:t>提供的</w:t>
            </w:r>
            <w:r>
              <w:rPr>
                <w:rFonts w:hint="eastAsia" w:cs="宋体"/>
                <w:color w:val="auto"/>
                <w:highlight w:val="none"/>
                <w:lang w:val="en-US" w:eastAsia="zh-CN"/>
              </w:rPr>
              <w:t>服务</w:t>
            </w:r>
            <w:r>
              <w:rPr>
                <w:rFonts w:hint="eastAsia" w:ascii="宋体" w:hAnsi="宋体" w:eastAsia="宋体" w:cs="宋体"/>
                <w:color w:val="auto"/>
                <w:highlight w:val="none"/>
              </w:rPr>
              <w:t>实施</w:t>
            </w:r>
            <w:r>
              <w:rPr>
                <w:rFonts w:hint="eastAsia" w:ascii="宋体" w:hAnsi="宋体" w:eastAsia="宋体" w:cs="宋体"/>
                <w:color w:val="auto"/>
                <w:highlight w:val="none"/>
                <w:lang w:val="en-US" w:eastAsia="zh-CN"/>
              </w:rPr>
              <w:t>方案</w:t>
            </w:r>
            <w:r>
              <w:rPr>
                <w:rFonts w:hint="eastAsia" w:ascii="宋体" w:hAnsi="宋体" w:eastAsia="宋体" w:cs="宋体"/>
                <w:color w:val="auto"/>
                <w:highlight w:val="none"/>
              </w:rPr>
              <w:t>进行评分：</w:t>
            </w:r>
          </w:p>
          <w:p w14:paraId="2B8D72EC">
            <w:pPr>
              <w:jc w:val="both"/>
              <w:rPr>
                <w:rFonts w:hint="eastAsia" w:ascii="宋体" w:hAnsi="宋体" w:eastAsia="宋体" w:cs="宋体"/>
                <w:color w:val="auto"/>
                <w:highlight w:val="none"/>
              </w:rPr>
            </w:pPr>
            <w:r>
              <w:rPr>
                <w:rFonts w:hint="eastAsia" w:ascii="宋体" w:hAnsi="宋体" w:eastAsia="宋体" w:cs="宋体"/>
                <w:color w:val="auto"/>
                <w:highlight w:val="none"/>
              </w:rPr>
              <w:t>方案应包括但不限于以下内容：</w:t>
            </w:r>
          </w:p>
          <w:p w14:paraId="2A176116">
            <w:pPr>
              <w:jc w:val="both"/>
              <w:rPr>
                <w:rFonts w:hint="eastAsia" w:cs="宋体"/>
                <w:color w:val="auto"/>
                <w:highlight w:val="none"/>
                <w:lang w:eastAsia="zh-CN"/>
              </w:rPr>
            </w:pPr>
            <w:r>
              <w:rPr>
                <w:rFonts w:hint="eastAsia" w:ascii="宋体" w:hAnsi="宋体" w:eastAsia="宋体" w:cs="宋体"/>
                <w:color w:val="auto"/>
                <w:highlight w:val="none"/>
                <w:lang w:val="en-US" w:eastAsia="zh-CN"/>
              </w:rPr>
              <w:t>①</w:t>
            </w:r>
            <w:r>
              <w:rPr>
                <w:rFonts w:hint="eastAsia" w:ascii="宋体" w:hAnsi="宋体" w:eastAsia="宋体" w:cs="宋体"/>
                <w:color w:val="auto"/>
                <w:highlight w:val="none"/>
              </w:rPr>
              <w:t>实施</w:t>
            </w:r>
            <w:r>
              <w:rPr>
                <w:rFonts w:hint="eastAsia" w:cs="宋体"/>
                <w:color w:val="auto"/>
                <w:highlight w:val="none"/>
                <w:lang w:val="en-US" w:eastAsia="zh-CN"/>
              </w:rPr>
              <w:t>团队</w:t>
            </w:r>
            <w:r>
              <w:rPr>
                <w:rFonts w:hint="eastAsia" w:ascii="宋体" w:hAnsi="宋体" w:eastAsia="宋体" w:cs="宋体"/>
                <w:color w:val="auto"/>
                <w:highlight w:val="none"/>
              </w:rPr>
              <w:t>管理</w:t>
            </w:r>
            <w:r>
              <w:rPr>
                <w:rFonts w:hint="eastAsia" w:cs="宋体"/>
                <w:color w:val="auto"/>
                <w:highlight w:val="none"/>
                <w:lang w:eastAsia="zh-CN"/>
              </w:rPr>
              <w:t>；</w:t>
            </w:r>
          </w:p>
          <w:p w14:paraId="2FA27130">
            <w:pPr>
              <w:jc w:val="both"/>
              <w:rPr>
                <w:rFonts w:hint="eastAsia" w:cs="宋体"/>
                <w:color w:val="auto"/>
                <w:highlight w:val="none"/>
                <w:lang w:eastAsia="zh-CN"/>
              </w:rPr>
            </w:pPr>
            <w:r>
              <w:rPr>
                <w:rFonts w:hint="eastAsia" w:cs="宋体"/>
                <w:color w:val="auto"/>
                <w:highlight w:val="none"/>
                <w:lang w:val="en-US" w:eastAsia="zh-CN"/>
              </w:rPr>
              <w:t>②</w:t>
            </w:r>
            <w:r>
              <w:rPr>
                <w:rFonts w:hint="eastAsia" w:ascii="宋体" w:hAnsi="宋体" w:eastAsia="宋体" w:cs="宋体"/>
                <w:color w:val="auto"/>
                <w:highlight w:val="none"/>
              </w:rPr>
              <w:t>项目进度</w:t>
            </w:r>
            <w:r>
              <w:rPr>
                <w:rFonts w:hint="eastAsia" w:cs="宋体"/>
                <w:color w:val="auto"/>
                <w:highlight w:val="none"/>
                <w:lang w:val="en-US" w:eastAsia="zh-CN"/>
              </w:rPr>
              <w:t>计划</w:t>
            </w:r>
            <w:r>
              <w:rPr>
                <w:rFonts w:hint="eastAsia" w:cs="宋体"/>
                <w:color w:val="auto"/>
                <w:highlight w:val="none"/>
                <w:lang w:eastAsia="zh-CN"/>
              </w:rPr>
              <w:t>；</w:t>
            </w:r>
          </w:p>
          <w:p w14:paraId="5B816B58">
            <w:pPr>
              <w:jc w:val="both"/>
              <w:rPr>
                <w:rFonts w:hint="eastAsia" w:ascii="宋体" w:hAnsi="宋体" w:eastAsia="宋体" w:cs="宋体"/>
                <w:color w:val="auto"/>
                <w:highlight w:val="none"/>
              </w:rPr>
            </w:pPr>
            <w:r>
              <w:rPr>
                <w:rFonts w:hint="eastAsia" w:cs="宋体"/>
                <w:color w:val="auto"/>
                <w:highlight w:val="none"/>
                <w:lang w:val="en-US" w:eastAsia="zh-CN"/>
              </w:rPr>
              <w:t>③</w:t>
            </w:r>
            <w:r>
              <w:rPr>
                <w:rFonts w:hint="eastAsia" w:ascii="宋体" w:hAnsi="宋体" w:eastAsia="宋体" w:cs="宋体"/>
                <w:color w:val="auto"/>
                <w:szCs w:val="21"/>
                <w:highlight w:val="none"/>
                <w:lang w:val="en-US" w:eastAsia="zh-CN"/>
              </w:rPr>
              <w:t>针对本</w:t>
            </w:r>
            <w:r>
              <w:rPr>
                <w:rFonts w:hint="eastAsia" w:ascii="宋体" w:hAnsi="宋体" w:eastAsia="宋体" w:cs="宋体"/>
                <w:color w:val="auto"/>
                <w:szCs w:val="21"/>
                <w:highlight w:val="none"/>
              </w:rPr>
              <w:t>项目</w:t>
            </w:r>
            <w:r>
              <w:rPr>
                <w:rFonts w:hint="eastAsia" w:ascii="宋体" w:hAnsi="宋体" w:eastAsia="宋体" w:cs="宋体"/>
                <w:color w:val="auto"/>
                <w:szCs w:val="21"/>
                <w:highlight w:val="none"/>
                <w:lang w:val="en-US" w:eastAsia="zh-CN"/>
              </w:rPr>
              <w:t>拟定的</w:t>
            </w:r>
            <w:r>
              <w:rPr>
                <w:rFonts w:hint="eastAsia" w:cs="宋体"/>
                <w:color w:val="auto"/>
                <w:highlight w:val="none"/>
                <w:lang w:val="en-US" w:eastAsia="zh-CN"/>
              </w:rPr>
              <w:t>服务方案、</w:t>
            </w:r>
            <w:r>
              <w:rPr>
                <w:rFonts w:hint="eastAsia" w:ascii="宋体" w:hAnsi="宋体" w:eastAsia="宋体" w:cs="宋体"/>
                <w:color w:val="auto"/>
                <w:szCs w:val="21"/>
                <w:highlight w:val="none"/>
              </w:rPr>
              <w:t>实施周期</w:t>
            </w:r>
            <w:r>
              <w:rPr>
                <w:rFonts w:hint="eastAsia" w:ascii="宋体" w:hAnsi="宋体" w:eastAsia="宋体" w:cs="宋体"/>
                <w:color w:val="auto"/>
                <w:szCs w:val="21"/>
                <w:highlight w:val="none"/>
                <w:lang w:eastAsia="zh-CN"/>
              </w:rPr>
              <w:t>、</w:t>
            </w:r>
            <w:r>
              <w:rPr>
                <w:rFonts w:hint="eastAsia" w:cs="宋体"/>
                <w:color w:val="auto"/>
                <w:highlight w:val="none"/>
                <w:lang w:val="en-US" w:eastAsia="zh-CN"/>
              </w:rPr>
              <w:t>技术支撑。</w:t>
            </w:r>
          </w:p>
          <w:p w14:paraId="39276D36">
            <w:pPr>
              <w:jc w:val="both"/>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rPr>
              <w:t>以上每项得1分，本小项满分为</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分，未提供相关内容不得分。</w:t>
            </w:r>
          </w:p>
        </w:tc>
        <w:tc>
          <w:tcPr>
            <w:tcW w:w="855" w:type="dxa"/>
            <w:vAlign w:val="center"/>
          </w:tcPr>
          <w:p w14:paraId="40F54C45">
            <w:pPr>
              <w:spacing w:before="120" w:beforeLines="50" w:after="120" w:afterLines="50" w:line="24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p>
        </w:tc>
      </w:tr>
      <w:tr w14:paraId="5E66C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3" w:type="dxa"/>
            <w:vAlign w:val="center"/>
          </w:tcPr>
          <w:p w14:paraId="128EEC27">
            <w:pPr>
              <w:pStyle w:val="326"/>
              <w:widowControl w:val="0"/>
              <w:numPr>
                <w:ilvl w:val="0"/>
                <w:numId w:val="22"/>
              </w:numPr>
              <w:spacing w:before="120" w:beforeLines="50" w:after="120" w:afterLines="50" w:line="240" w:lineRule="auto"/>
              <w:ind w:firstLineChars="0"/>
              <w:jc w:val="center"/>
              <w:rPr>
                <w:rFonts w:hint="eastAsia" w:ascii="宋体" w:hAnsi="宋体" w:eastAsia="宋体" w:cs="宋体"/>
                <w:color w:val="auto"/>
                <w:sz w:val="21"/>
                <w:szCs w:val="21"/>
                <w:highlight w:val="none"/>
              </w:rPr>
            </w:pPr>
          </w:p>
        </w:tc>
        <w:tc>
          <w:tcPr>
            <w:tcW w:w="1124" w:type="dxa"/>
            <w:shd w:val="clear" w:color="auto" w:fill="auto"/>
            <w:vAlign w:val="center"/>
          </w:tcPr>
          <w:p w14:paraId="5408AC12">
            <w:pPr>
              <w:jc w:val="center"/>
              <w:rPr>
                <w:rFonts w:hint="eastAsia" w:ascii="宋体" w:hAnsi="宋体" w:eastAsia="宋体" w:cs="宋体"/>
                <w:color w:val="auto"/>
                <w:kern w:val="2"/>
                <w:sz w:val="21"/>
                <w:szCs w:val="24"/>
                <w:highlight w:val="none"/>
                <w:lang w:val="en-US" w:eastAsia="zh-CN" w:bidi="ar-SA"/>
              </w:rPr>
            </w:pPr>
            <w:r>
              <w:rPr>
                <w:rFonts w:hint="eastAsia" w:cs="宋体"/>
                <w:color w:val="auto"/>
                <w:highlight w:val="none"/>
                <w:lang w:val="en-US" w:eastAsia="zh-CN"/>
              </w:rPr>
              <w:t>服务</w:t>
            </w:r>
            <w:r>
              <w:rPr>
                <w:rFonts w:hint="eastAsia" w:ascii="宋体" w:hAnsi="宋体" w:eastAsia="宋体" w:cs="宋体"/>
                <w:color w:val="auto"/>
                <w:highlight w:val="none"/>
              </w:rPr>
              <w:t>实施方案</w:t>
            </w:r>
            <w:r>
              <w:rPr>
                <w:rFonts w:hint="eastAsia" w:ascii="宋体" w:hAnsi="宋体" w:eastAsia="宋体" w:cs="宋体"/>
                <w:color w:val="auto"/>
                <w:highlight w:val="none"/>
                <w:lang w:val="en-US" w:eastAsia="zh-CN"/>
              </w:rPr>
              <w:t>2</w:t>
            </w:r>
          </w:p>
        </w:tc>
        <w:tc>
          <w:tcPr>
            <w:tcW w:w="7010" w:type="dxa"/>
            <w:shd w:val="clear" w:color="auto" w:fill="auto"/>
            <w:vAlign w:val="top"/>
          </w:tcPr>
          <w:p w14:paraId="2097F7DE">
            <w:pPr>
              <w:jc w:val="both"/>
              <w:rPr>
                <w:rFonts w:hint="eastAsia" w:ascii="宋体" w:hAnsi="宋体" w:eastAsia="宋体" w:cs="宋体"/>
                <w:color w:val="auto"/>
                <w:highlight w:val="none"/>
              </w:rPr>
            </w:pPr>
            <w:r>
              <w:rPr>
                <w:rFonts w:hint="eastAsia" w:ascii="宋体" w:hAnsi="宋体" w:eastAsia="宋体" w:cs="宋体"/>
                <w:color w:val="auto"/>
                <w:highlight w:val="none"/>
              </w:rPr>
              <w:t>根据</w:t>
            </w:r>
            <w:r>
              <w:rPr>
                <w:rFonts w:hint="eastAsia" w:cs="宋体"/>
                <w:color w:val="auto"/>
                <w:highlight w:val="none"/>
                <w:lang w:val="en-US" w:eastAsia="zh-CN"/>
              </w:rPr>
              <w:t>服务</w:t>
            </w:r>
            <w:r>
              <w:rPr>
                <w:rFonts w:hint="eastAsia" w:ascii="宋体" w:hAnsi="宋体" w:eastAsia="宋体" w:cs="宋体"/>
                <w:color w:val="auto"/>
                <w:highlight w:val="none"/>
              </w:rPr>
              <w:t>实施方案</w:t>
            </w:r>
            <w:r>
              <w:rPr>
                <w:rFonts w:hint="eastAsia" w:ascii="宋体" w:hAnsi="宋体" w:eastAsia="宋体" w:cs="宋体"/>
                <w:color w:val="auto"/>
                <w:highlight w:val="none"/>
                <w:lang w:val="en-US" w:eastAsia="zh-CN"/>
              </w:rPr>
              <w:t>1是否具备针对性、合理性</w:t>
            </w:r>
            <w:r>
              <w:rPr>
                <w:rFonts w:hint="eastAsia" w:ascii="宋体" w:hAnsi="宋体" w:eastAsia="宋体" w:cs="宋体"/>
                <w:color w:val="auto"/>
                <w:highlight w:val="none"/>
              </w:rPr>
              <w:t>进行评分：</w:t>
            </w:r>
          </w:p>
          <w:p w14:paraId="56C46804">
            <w:pPr>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项目</w:t>
            </w:r>
            <w:r>
              <w:rPr>
                <w:rFonts w:hint="eastAsia" w:cs="宋体"/>
                <w:color w:val="auto"/>
                <w:highlight w:val="none"/>
                <w:lang w:val="en-US" w:eastAsia="zh-CN"/>
              </w:rPr>
              <w:t>服务</w:t>
            </w:r>
            <w:r>
              <w:rPr>
                <w:rFonts w:hint="eastAsia" w:ascii="宋体" w:hAnsi="宋体" w:eastAsia="宋体" w:cs="宋体"/>
                <w:color w:val="auto"/>
                <w:highlight w:val="none"/>
              </w:rPr>
              <w:t>方案有针对采购需求进行分析，实施方案中已明确各项工作的详细要求及具体措施，时间及逻辑均安排科学合理；根据项目实际情况提出有利于项目实施的</w:t>
            </w:r>
            <w:r>
              <w:rPr>
                <w:rFonts w:hint="eastAsia" w:cs="宋体"/>
                <w:color w:val="auto"/>
                <w:highlight w:val="none"/>
                <w:lang w:val="en-US" w:eastAsia="zh-CN"/>
              </w:rPr>
              <w:t>资源</w:t>
            </w:r>
            <w:r>
              <w:rPr>
                <w:rFonts w:hint="eastAsia" w:ascii="宋体" w:hAnsi="宋体" w:eastAsia="宋体" w:cs="宋体"/>
                <w:color w:val="auto"/>
                <w:highlight w:val="none"/>
              </w:rPr>
              <w:t>部署</w:t>
            </w:r>
            <w:r>
              <w:rPr>
                <w:rFonts w:hint="eastAsia" w:cs="宋体"/>
                <w:color w:val="auto"/>
                <w:highlight w:val="none"/>
                <w:lang w:val="en-US" w:eastAsia="zh-CN"/>
              </w:rPr>
              <w:t>和技术支撑</w:t>
            </w:r>
            <w:r>
              <w:rPr>
                <w:rFonts w:hint="eastAsia" w:ascii="宋体" w:hAnsi="宋体" w:eastAsia="宋体" w:cs="宋体"/>
                <w:color w:val="auto"/>
                <w:highlight w:val="none"/>
              </w:rPr>
              <w:t>方案，完全满足且优于项目需求的，得</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分；</w:t>
            </w:r>
          </w:p>
          <w:p w14:paraId="1FCEB3DE">
            <w:pPr>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项目</w:t>
            </w:r>
            <w:r>
              <w:rPr>
                <w:rFonts w:hint="eastAsia" w:cs="宋体"/>
                <w:color w:val="auto"/>
                <w:highlight w:val="none"/>
                <w:lang w:val="en-US" w:eastAsia="zh-CN"/>
              </w:rPr>
              <w:t>服务</w:t>
            </w:r>
            <w:r>
              <w:rPr>
                <w:rFonts w:hint="eastAsia" w:ascii="宋体" w:hAnsi="宋体" w:eastAsia="宋体" w:cs="宋体"/>
                <w:color w:val="auto"/>
                <w:highlight w:val="none"/>
              </w:rPr>
              <w:t>方案</w:t>
            </w:r>
            <w:r>
              <w:rPr>
                <w:rFonts w:hint="eastAsia" w:cs="宋体"/>
                <w:color w:val="auto"/>
                <w:highlight w:val="none"/>
                <w:lang w:val="en-US" w:eastAsia="zh-CN"/>
              </w:rPr>
              <w:t>结合了</w:t>
            </w:r>
            <w:r>
              <w:rPr>
                <w:rFonts w:hint="eastAsia" w:ascii="宋体" w:hAnsi="宋体" w:eastAsia="宋体" w:cs="宋体"/>
                <w:color w:val="auto"/>
                <w:highlight w:val="none"/>
              </w:rPr>
              <w:t>采购需求，</w:t>
            </w:r>
            <w:r>
              <w:rPr>
                <w:rFonts w:hint="eastAsia" w:cs="宋体"/>
                <w:color w:val="auto"/>
                <w:highlight w:val="none"/>
                <w:lang w:val="en-US" w:eastAsia="zh-CN"/>
              </w:rPr>
              <w:t>实施方案</w:t>
            </w:r>
            <w:r>
              <w:rPr>
                <w:rFonts w:hint="eastAsia" w:ascii="宋体" w:hAnsi="宋体" w:eastAsia="宋体" w:cs="宋体"/>
                <w:color w:val="auto"/>
                <w:highlight w:val="none"/>
              </w:rPr>
              <w:t>能贴合</w:t>
            </w:r>
            <w:r>
              <w:rPr>
                <w:rFonts w:hint="eastAsia" w:cs="宋体"/>
                <w:color w:val="auto"/>
                <w:highlight w:val="none"/>
                <w:lang w:val="en-US" w:eastAsia="zh-CN"/>
              </w:rPr>
              <w:t>工作任务</w:t>
            </w:r>
            <w:r>
              <w:rPr>
                <w:rFonts w:hint="eastAsia" w:ascii="宋体" w:hAnsi="宋体" w:eastAsia="宋体" w:cs="宋体"/>
                <w:color w:val="auto"/>
                <w:highlight w:val="none"/>
              </w:rPr>
              <w:t>建立各流程的</w:t>
            </w:r>
            <w:r>
              <w:rPr>
                <w:rFonts w:hint="eastAsia" w:cs="宋体"/>
                <w:color w:val="auto"/>
                <w:highlight w:val="none"/>
                <w:lang w:val="en-US" w:eastAsia="zh-CN"/>
              </w:rPr>
              <w:t>具体实施措施和</w:t>
            </w:r>
            <w:r>
              <w:rPr>
                <w:rFonts w:hint="eastAsia" w:ascii="宋体" w:hAnsi="宋体" w:eastAsia="宋体" w:cs="宋体"/>
                <w:color w:val="auto"/>
                <w:highlight w:val="none"/>
              </w:rPr>
              <w:t>规范；</w:t>
            </w:r>
            <w:r>
              <w:rPr>
                <w:rFonts w:hint="eastAsia" w:cs="宋体"/>
                <w:color w:val="auto"/>
                <w:highlight w:val="none"/>
                <w:lang w:val="en-US" w:eastAsia="zh-CN"/>
              </w:rPr>
              <w:t>提出的资源部署和技术支撑方案</w:t>
            </w:r>
            <w:r>
              <w:rPr>
                <w:rFonts w:hint="eastAsia" w:ascii="宋体" w:hAnsi="宋体" w:eastAsia="宋体" w:cs="宋体"/>
                <w:color w:val="auto"/>
                <w:highlight w:val="none"/>
              </w:rPr>
              <w:t>条理清晰的，</w:t>
            </w:r>
            <w:r>
              <w:rPr>
                <w:rFonts w:hint="eastAsia" w:cs="宋体"/>
                <w:color w:val="auto"/>
                <w:highlight w:val="none"/>
                <w:lang w:val="en-US" w:eastAsia="zh-CN"/>
              </w:rPr>
              <w:t>基本</w:t>
            </w:r>
            <w:r>
              <w:rPr>
                <w:rFonts w:hint="eastAsia" w:ascii="宋体" w:hAnsi="宋体" w:eastAsia="宋体" w:cs="宋体"/>
                <w:color w:val="auto"/>
                <w:highlight w:val="none"/>
              </w:rPr>
              <w:t>满足项目需求的，得</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分；</w:t>
            </w:r>
          </w:p>
          <w:p w14:paraId="69E3227D">
            <w:pPr>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项目</w:t>
            </w:r>
            <w:r>
              <w:rPr>
                <w:rFonts w:hint="eastAsia" w:cs="宋体"/>
                <w:color w:val="auto"/>
                <w:highlight w:val="none"/>
                <w:lang w:val="en-US" w:eastAsia="zh-CN"/>
              </w:rPr>
              <w:t>服务</w:t>
            </w:r>
            <w:r>
              <w:rPr>
                <w:rFonts w:hint="eastAsia" w:ascii="宋体" w:hAnsi="宋体" w:eastAsia="宋体" w:cs="宋体"/>
                <w:color w:val="auto"/>
                <w:highlight w:val="none"/>
              </w:rPr>
              <w:t>方案完整，具备基础的实施步骤；实施方案具有一定的条理性的，</w:t>
            </w:r>
            <w:r>
              <w:rPr>
                <w:rFonts w:hint="eastAsia" w:cs="宋体"/>
                <w:color w:val="auto"/>
                <w:highlight w:val="none"/>
                <w:lang w:val="en-US" w:eastAsia="zh-CN"/>
              </w:rPr>
              <w:t>部分内容逻辑通顺，符合</w:t>
            </w:r>
            <w:r>
              <w:rPr>
                <w:rFonts w:hint="eastAsia" w:ascii="宋体" w:hAnsi="宋体" w:eastAsia="宋体" w:cs="宋体"/>
                <w:color w:val="auto"/>
                <w:highlight w:val="none"/>
              </w:rPr>
              <w:t>项目</w:t>
            </w:r>
            <w:r>
              <w:rPr>
                <w:rFonts w:hint="eastAsia" w:cs="宋体"/>
                <w:color w:val="auto"/>
                <w:highlight w:val="none"/>
                <w:lang w:val="en-US" w:eastAsia="zh-CN"/>
              </w:rPr>
              <w:t>基本要求</w:t>
            </w:r>
            <w:r>
              <w:rPr>
                <w:rFonts w:hint="eastAsia" w:ascii="宋体" w:hAnsi="宋体" w:eastAsia="宋体" w:cs="宋体"/>
                <w:color w:val="auto"/>
                <w:highlight w:val="none"/>
              </w:rPr>
              <w:t>的，得</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w:t>
            </w:r>
          </w:p>
          <w:p w14:paraId="7FB322E3">
            <w:pPr>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项目</w:t>
            </w:r>
            <w:r>
              <w:rPr>
                <w:rFonts w:hint="eastAsia" w:cs="宋体"/>
                <w:color w:val="auto"/>
                <w:highlight w:val="none"/>
                <w:lang w:val="en-US" w:eastAsia="zh-CN"/>
              </w:rPr>
              <w:t>服务</w:t>
            </w:r>
            <w:r>
              <w:rPr>
                <w:rFonts w:hint="eastAsia" w:ascii="宋体" w:hAnsi="宋体" w:eastAsia="宋体" w:cs="宋体"/>
                <w:color w:val="auto"/>
                <w:highlight w:val="none"/>
              </w:rPr>
              <w:t>方案简要，实施</w:t>
            </w:r>
            <w:r>
              <w:rPr>
                <w:rFonts w:hint="eastAsia" w:cs="宋体"/>
                <w:color w:val="auto"/>
                <w:highlight w:val="none"/>
                <w:lang w:val="en-US" w:eastAsia="zh-CN"/>
              </w:rPr>
              <w:t>方案未能结合工作内容，提出的资源部署和技术支撑方案</w:t>
            </w:r>
            <w:r>
              <w:rPr>
                <w:rFonts w:hint="eastAsia" w:ascii="宋体" w:hAnsi="宋体" w:eastAsia="宋体" w:cs="宋体"/>
                <w:color w:val="auto"/>
                <w:highlight w:val="none"/>
              </w:rPr>
              <w:t>不</w:t>
            </w:r>
            <w:r>
              <w:rPr>
                <w:rFonts w:hint="eastAsia" w:cs="宋体"/>
                <w:color w:val="auto"/>
                <w:highlight w:val="none"/>
                <w:lang w:val="en-US" w:eastAsia="zh-CN"/>
              </w:rPr>
              <w:t>够</w:t>
            </w:r>
            <w:r>
              <w:rPr>
                <w:rFonts w:hint="eastAsia" w:ascii="宋体" w:hAnsi="宋体" w:eastAsia="宋体" w:cs="宋体"/>
                <w:color w:val="auto"/>
                <w:highlight w:val="none"/>
              </w:rPr>
              <w:t>全面</w:t>
            </w:r>
            <w:r>
              <w:rPr>
                <w:rFonts w:hint="eastAsia" w:cs="宋体"/>
                <w:color w:val="auto"/>
                <w:highlight w:val="none"/>
                <w:lang w:val="en-US" w:eastAsia="zh-CN"/>
              </w:rPr>
              <w:t>且缺乏针对性</w:t>
            </w:r>
            <w:r>
              <w:rPr>
                <w:rFonts w:hint="eastAsia" w:ascii="宋体" w:hAnsi="宋体" w:eastAsia="宋体" w:cs="宋体"/>
                <w:color w:val="auto"/>
                <w:highlight w:val="none"/>
              </w:rPr>
              <w:t>，</w:t>
            </w:r>
            <w:r>
              <w:rPr>
                <w:rFonts w:hint="eastAsia" w:cs="宋体"/>
                <w:color w:val="auto"/>
                <w:highlight w:val="none"/>
                <w:lang w:val="en-US" w:eastAsia="zh-CN"/>
              </w:rPr>
              <w:t>仅部分内容能符合</w:t>
            </w:r>
            <w:r>
              <w:rPr>
                <w:rFonts w:hint="eastAsia" w:ascii="宋体" w:hAnsi="宋体" w:eastAsia="宋体" w:cs="宋体"/>
                <w:color w:val="auto"/>
                <w:highlight w:val="none"/>
              </w:rPr>
              <w:t>项目</w:t>
            </w:r>
            <w:r>
              <w:rPr>
                <w:rFonts w:hint="eastAsia" w:cs="宋体"/>
                <w:color w:val="auto"/>
                <w:highlight w:val="none"/>
                <w:lang w:val="en-US" w:eastAsia="zh-CN"/>
              </w:rPr>
              <w:t>要求</w:t>
            </w:r>
            <w:r>
              <w:rPr>
                <w:rFonts w:hint="eastAsia" w:ascii="宋体" w:hAnsi="宋体" w:eastAsia="宋体" w:cs="宋体"/>
                <w:color w:val="auto"/>
                <w:highlight w:val="none"/>
              </w:rPr>
              <w:t>的，得1分；</w:t>
            </w:r>
          </w:p>
          <w:p w14:paraId="4DB31BB3">
            <w:pPr>
              <w:jc w:val="both"/>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没有提供相关内容</w:t>
            </w:r>
            <w:r>
              <w:rPr>
                <w:rFonts w:hint="eastAsia" w:cs="宋体"/>
                <w:color w:val="auto"/>
                <w:highlight w:val="none"/>
                <w:lang w:eastAsia="zh-CN"/>
              </w:rPr>
              <w:t>的，</w:t>
            </w:r>
            <w:r>
              <w:rPr>
                <w:rFonts w:hint="eastAsia" w:ascii="宋体" w:hAnsi="宋体" w:eastAsia="宋体" w:cs="宋体"/>
                <w:color w:val="auto"/>
                <w:highlight w:val="none"/>
              </w:rPr>
              <w:t>得</w:t>
            </w:r>
            <w:r>
              <w:rPr>
                <w:rFonts w:hint="eastAsia" w:cs="宋体"/>
                <w:color w:val="auto"/>
                <w:highlight w:val="none"/>
                <w:lang w:val="en-US" w:eastAsia="zh-CN"/>
              </w:rPr>
              <w:t>0</w:t>
            </w:r>
            <w:r>
              <w:rPr>
                <w:rFonts w:hint="eastAsia" w:ascii="宋体" w:hAnsi="宋体" w:eastAsia="宋体" w:cs="宋体"/>
                <w:color w:val="auto"/>
                <w:highlight w:val="none"/>
              </w:rPr>
              <w:t>分。</w:t>
            </w:r>
          </w:p>
        </w:tc>
        <w:tc>
          <w:tcPr>
            <w:tcW w:w="855" w:type="dxa"/>
            <w:shd w:val="clear" w:color="auto" w:fill="auto"/>
            <w:vAlign w:val="center"/>
          </w:tcPr>
          <w:p w14:paraId="6B780C39">
            <w:pPr>
              <w:spacing w:before="120" w:beforeLines="50" w:after="120" w:afterLines="50"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lang w:val="en-US" w:eastAsia="zh-CN"/>
              </w:rPr>
              <w:t>7</w:t>
            </w:r>
          </w:p>
        </w:tc>
      </w:tr>
      <w:tr w14:paraId="3045E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3" w:type="dxa"/>
            <w:vAlign w:val="center"/>
          </w:tcPr>
          <w:p w14:paraId="48EA00B8">
            <w:pPr>
              <w:pStyle w:val="326"/>
              <w:widowControl w:val="0"/>
              <w:numPr>
                <w:ilvl w:val="0"/>
                <w:numId w:val="22"/>
              </w:numPr>
              <w:spacing w:before="120" w:beforeLines="50" w:after="120" w:afterLines="50" w:line="240" w:lineRule="auto"/>
              <w:ind w:firstLineChars="0"/>
              <w:jc w:val="center"/>
              <w:rPr>
                <w:rFonts w:hint="eastAsia" w:ascii="宋体" w:hAnsi="宋体" w:eastAsia="宋体" w:cs="宋体"/>
                <w:color w:val="auto"/>
                <w:sz w:val="21"/>
                <w:szCs w:val="21"/>
                <w:highlight w:val="none"/>
              </w:rPr>
            </w:pPr>
          </w:p>
        </w:tc>
        <w:tc>
          <w:tcPr>
            <w:tcW w:w="1124" w:type="dxa"/>
            <w:vAlign w:val="center"/>
          </w:tcPr>
          <w:p w14:paraId="7524EEC4">
            <w:pPr>
              <w:jc w:val="center"/>
              <w:rPr>
                <w:rFonts w:hint="default" w:ascii="宋体" w:hAnsi="宋体"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服务质量保障1</w:t>
            </w:r>
          </w:p>
        </w:tc>
        <w:tc>
          <w:tcPr>
            <w:tcW w:w="7010" w:type="dxa"/>
            <w:vAlign w:val="top"/>
          </w:tcPr>
          <w:p w14:paraId="5CA3027C">
            <w:pPr>
              <w:jc w:val="both"/>
              <w:rPr>
                <w:rFonts w:hint="eastAsia" w:ascii="宋体" w:hAnsi="宋体" w:eastAsia="宋体" w:cs="宋体"/>
                <w:color w:val="auto"/>
                <w:highlight w:val="none"/>
              </w:rPr>
            </w:pPr>
            <w:r>
              <w:rPr>
                <w:rFonts w:hint="eastAsia" w:ascii="宋体" w:hAnsi="宋体" w:eastAsia="宋体" w:cs="宋体"/>
                <w:color w:val="auto"/>
                <w:highlight w:val="none"/>
              </w:rPr>
              <w:t>根据响应供应商</w:t>
            </w:r>
            <w:r>
              <w:rPr>
                <w:rFonts w:hint="eastAsia" w:ascii="宋体" w:hAnsi="宋体" w:eastAsia="宋体" w:cs="宋体"/>
                <w:color w:val="auto"/>
                <w:highlight w:val="none"/>
                <w:lang w:val="en-US" w:eastAsia="zh-CN"/>
              </w:rPr>
              <w:t>提供的</w:t>
            </w:r>
            <w:r>
              <w:rPr>
                <w:rFonts w:hint="eastAsia" w:cs="Times New Roman"/>
                <w:color w:val="auto"/>
                <w:kern w:val="2"/>
                <w:sz w:val="21"/>
                <w:szCs w:val="24"/>
                <w:highlight w:val="none"/>
                <w:lang w:val="en-US" w:eastAsia="zh-CN" w:bidi="ar-SA"/>
              </w:rPr>
              <w:t>服务质量保障</w:t>
            </w:r>
            <w:r>
              <w:rPr>
                <w:rFonts w:hint="eastAsia" w:ascii="宋体" w:hAnsi="宋体" w:eastAsia="宋体" w:cs="宋体"/>
                <w:color w:val="auto"/>
                <w:highlight w:val="none"/>
              </w:rPr>
              <w:t>进行评分：</w:t>
            </w:r>
          </w:p>
          <w:p w14:paraId="6EC55D42">
            <w:pPr>
              <w:jc w:val="both"/>
              <w:rPr>
                <w:rFonts w:hint="eastAsia" w:ascii="宋体" w:hAnsi="宋体" w:eastAsia="宋体" w:cs="宋体"/>
                <w:color w:val="auto"/>
                <w:highlight w:val="none"/>
              </w:rPr>
            </w:pPr>
            <w:r>
              <w:rPr>
                <w:rFonts w:hint="eastAsia" w:ascii="宋体" w:hAnsi="宋体" w:eastAsia="宋体" w:cs="宋体"/>
                <w:color w:val="auto"/>
                <w:highlight w:val="none"/>
              </w:rPr>
              <w:t>方案应包括但不限于以下内容：</w:t>
            </w:r>
          </w:p>
          <w:p w14:paraId="0D8E71DD">
            <w:pPr>
              <w:autoSpaceDE/>
              <w:autoSpaceDN/>
              <w:spacing w:line="360" w:lineRule="auto"/>
              <w:jc w:val="both"/>
              <w:rPr>
                <w:rFonts w:hint="eastAsia"/>
                <w:color w:val="auto"/>
                <w:szCs w:val="21"/>
                <w:highlight w:val="none"/>
                <w:lang w:eastAsia="zh-CN"/>
              </w:rPr>
            </w:pPr>
            <w:r>
              <w:rPr>
                <w:rFonts w:hint="eastAsia"/>
                <w:color w:val="auto"/>
                <w:szCs w:val="21"/>
                <w:highlight w:val="none"/>
                <w:lang w:val="en-US" w:eastAsia="zh-CN"/>
              </w:rPr>
              <w:t>①</w:t>
            </w:r>
            <w:r>
              <w:rPr>
                <w:rFonts w:hint="eastAsia"/>
                <w:color w:val="auto"/>
                <w:szCs w:val="21"/>
                <w:highlight w:val="none"/>
                <w:lang w:eastAsia="zh-CN"/>
              </w:rPr>
              <w:t>质量保证措施</w:t>
            </w:r>
            <w:r>
              <w:rPr>
                <w:rFonts w:hint="eastAsia"/>
                <w:color w:val="auto"/>
                <w:szCs w:val="21"/>
                <w:highlight w:val="none"/>
                <w:lang w:val="en-US" w:eastAsia="zh-CN"/>
              </w:rPr>
              <w:t>及执行标准</w:t>
            </w:r>
            <w:r>
              <w:rPr>
                <w:rFonts w:hint="eastAsia"/>
                <w:color w:val="auto"/>
                <w:szCs w:val="21"/>
                <w:highlight w:val="none"/>
                <w:lang w:eastAsia="zh-CN"/>
              </w:rPr>
              <w:t>；</w:t>
            </w:r>
          </w:p>
          <w:p w14:paraId="08B3B9D0">
            <w:pPr>
              <w:autoSpaceDE/>
              <w:autoSpaceDN/>
              <w:spacing w:line="360" w:lineRule="auto"/>
              <w:jc w:val="both"/>
              <w:rPr>
                <w:rFonts w:hint="eastAsia"/>
                <w:color w:val="auto"/>
                <w:szCs w:val="21"/>
                <w:highlight w:val="none"/>
                <w:lang w:val="en-US" w:eastAsia="zh-CN"/>
              </w:rPr>
            </w:pPr>
            <w:r>
              <w:rPr>
                <w:rFonts w:hint="eastAsia"/>
                <w:color w:val="auto"/>
                <w:szCs w:val="21"/>
                <w:highlight w:val="none"/>
                <w:lang w:val="en-US" w:eastAsia="zh-CN"/>
              </w:rPr>
              <w:t>②质量目标及承诺；</w:t>
            </w:r>
          </w:p>
          <w:p w14:paraId="4A67B263">
            <w:pPr>
              <w:autoSpaceDE/>
              <w:autoSpaceDN/>
              <w:spacing w:line="360" w:lineRule="auto"/>
              <w:jc w:val="both"/>
              <w:rPr>
                <w:color w:val="auto"/>
                <w:szCs w:val="21"/>
                <w:highlight w:val="none"/>
                <w:lang w:eastAsia="zh-CN"/>
              </w:rPr>
            </w:pPr>
            <w:r>
              <w:rPr>
                <w:rFonts w:hint="eastAsia"/>
                <w:color w:val="auto"/>
                <w:szCs w:val="21"/>
                <w:highlight w:val="none"/>
                <w:lang w:val="en-US" w:eastAsia="zh-CN"/>
              </w:rPr>
              <w:t>③备品备件保障及供应。</w:t>
            </w:r>
          </w:p>
          <w:p w14:paraId="726D3F43">
            <w:pPr>
              <w:jc w:val="left"/>
              <w:rPr>
                <w:rFonts w:hint="default" w:ascii="宋体" w:hAnsi="宋体" w:eastAsia="宋体" w:cs="Times New Roman"/>
                <w:color w:val="auto"/>
                <w:kern w:val="2"/>
                <w:sz w:val="21"/>
                <w:szCs w:val="24"/>
                <w:highlight w:val="none"/>
                <w:lang w:val="en-US" w:eastAsia="zh-CN" w:bidi="ar-SA"/>
              </w:rPr>
            </w:pPr>
            <w:r>
              <w:rPr>
                <w:rFonts w:hint="eastAsia" w:ascii="宋体" w:hAnsi="宋体" w:eastAsia="宋体" w:cs="宋体"/>
                <w:color w:val="auto"/>
                <w:highlight w:val="none"/>
              </w:rPr>
              <w:t>以上每项得1分，本小项满分为</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分，未提供相关内容不得分。</w:t>
            </w:r>
          </w:p>
        </w:tc>
        <w:tc>
          <w:tcPr>
            <w:tcW w:w="855" w:type="dxa"/>
            <w:vAlign w:val="center"/>
          </w:tcPr>
          <w:p w14:paraId="42D2EB20">
            <w:pPr>
              <w:spacing w:before="120" w:beforeLines="50" w:after="120" w:afterLines="50" w:line="240" w:lineRule="auto"/>
              <w:jc w:val="center"/>
              <w:rPr>
                <w:rFonts w:hint="eastAsia" w:ascii="宋体" w:hAnsi="宋体" w:eastAsia="宋体" w:cs="宋体"/>
                <w:color w:val="auto"/>
                <w:szCs w:val="21"/>
                <w:highlight w:val="none"/>
                <w:lang w:val="en-US" w:eastAsia="zh-CN"/>
              </w:rPr>
            </w:pPr>
            <w:r>
              <w:rPr>
                <w:rFonts w:hint="eastAsia" w:cs="宋体"/>
                <w:color w:val="auto"/>
                <w:szCs w:val="21"/>
                <w:highlight w:val="none"/>
                <w:lang w:val="en-US" w:eastAsia="zh-CN"/>
              </w:rPr>
              <w:t>3</w:t>
            </w:r>
          </w:p>
        </w:tc>
      </w:tr>
      <w:tr w14:paraId="443ED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3" w:type="dxa"/>
            <w:vAlign w:val="center"/>
          </w:tcPr>
          <w:p w14:paraId="67C9E6D8">
            <w:pPr>
              <w:pStyle w:val="326"/>
              <w:widowControl w:val="0"/>
              <w:numPr>
                <w:ilvl w:val="0"/>
                <w:numId w:val="22"/>
              </w:numPr>
              <w:spacing w:before="120" w:beforeLines="50" w:after="120" w:afterLines="50" w:line="240" w:lineRule="auto"/>
              <w:ind w:firstLineChars="0"/>
              <w:jc w:val="center"/>
              <w:rPr>
                <w:rFonts w:hint="eastAsia" w:ascii="宋体" w:hAnsi="宋体" w:eastAsia="宋体" w:cs="宋体"/>
                <w:color w:val="auto"/>
                <w:sz w:val="21"/>
                <w:szCs w:val="21"/>
                <w:highlight w:val="none"/>
              </w:rPr>
            </w:pPr>
          </w:p>
        </w:tc>
        <w:tc>
          <w:tcPr>
            <w:tcW w:w="1124" w:type="dxa"/>
            <w:shd w:val="clear" w:color="auto" w:fill="auto"/>
            <w:vAlign w:val="center"/>
          </w:tcPr>
          <w:p w14:paraId="3041F34E">
            <w:pPr>
              <w:jc w:val="center"/>
              <w:rPr>
                <w:rFonts w:hint="default" w:ascii="宋体" w:hAnsi="宋体"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服务质量保障2</w:t>
            </w:r>
          </w:p>
        </w:tc>
        <w:tc>
          <w:tcPr>
            <w:tcW w:w="7010" w:type="dxa"/>
            <w:shd w:val="clear" w:color="auto" w:fill="auto"/>
            <w:vAlign w:val="top"/>
          </w:tcPr>
          <w:p w14:paraId="639B055A">
            <w:pPr>
              <w:autoSpaceDE/>
              <w:autoSpaceDN/>
              <w:spacing w:line="360" w:lineRule="auto"/>
              <w:jc w:val="both"/>
              <w:rPr>
                <w:color w:val="auto"/>
                <w:szCs w:val="21"/>
                <w:highlight w:val="none"/>
                <w:lang w:eastAsia="zh-CN"/>
              </w:rPr>
            </w:pPr>
            <w:r>
              <w:rPr>
                <w:rFonts w:hint="eastAsia"/>
                <w:color w:val="auto"/>
                <w:szCs w:val="21"/>
                <w:highlight w:val="none"/>
                <w:lang w:eastAsia="zh-CN"/>
              </w:rPr>
              <w:t>根据服务质量保障</w:t>
            </w:r>
            <w:r>
              <w:rPr>
                <w:rFonts w:hint="eastAsia"/>
                <w:color w:val="auto"/>
                <w:szCs w:val="21"/>
                <w:highlight w:val="none"/>
                <w:lang w:val="en-US" w:eastAsia="zh-CN"/>
              </w:rPr>
              <w:t>1的内容是否具备针对性</w:t>
            </w:r>
            <w:r>
              <w:rPr>
                <w:rFonts w:hint="eastAsia"/>
                <w:color w:val="auto"/>
                <w:szCs w:val="21"/>
                <w:highlight w:val="none"/>
                <w:lang w:eastAsia="zh-CN"/>
              </w:rPr>
              <w:t>进行评分：</w:t>
            </w:r>
          </w:p>
          <w:p w14:paraId="6EDD26C3">
            <w:pPr>
              <w:autoSpaceDE/>
              <w:autoSpaceDN/>
              <w:spacing w:line="360" w:lineRule="auto"/>
              <w:jc w:val="both"/>
              <w:rPr>
                <w:color w:val="auto"/>
                <w:szCs w:val="21"/>
                <w:highlight w:val="none"/>
                <w:lang w:eastAsia="zh-CN"/>
              </w:rPr>
            </w:pPr>
            <w:r>
              <w:rPr>
                <w:rFonts w:hint="eastAsia"/>
                <w:color w:val="auto"/>
                <w:szCs w:val="21"/>
                <w:highlight w:val="none"/>
                <w:lang w:eastAsia="zh-CN"/>
              </w:rPr>
              <w:t>1、质量保证措施完善详细，</w:t>
            </w:r>
            <w:r>
              <w:rPr>
                <w:rFonts w:hint="eastAsia"/>
                <w:color w:val="auto"/>
                <w:szCs w:val="21"/>
                <w:highlight w:val="none"/>
                <w:lang w:val="en-US" w:eastAsia="zh-CN"/>
              </w:rPr>
              <w:t>拟定为本项目提供的服务质量目标清晰明确，执行标准严谨合理</w:t>
            </w:r>
            <w:r>
              <w:rPr>
                <w:rFonts w:hint="eastAsia"/>
                <w:color w:val="auto"/>
                <w:szCs w:val="21"/>
                <w:highlight w:val="none"/>
                <w:lang w:eastAsia="zh-CN"/>
              </w:rPr>
              <w:t>，</w:t>
            </w:r>
            <w:r>
              <w:rPr>
                <w:rFonts w:hint="eastAsia"/>
                <w:color w:val="auto"/>
                <w:szCs w:val="21"/>
                <w:highlight w:val="none"/>
                <w:lang w:val="en-US" w:eastAsia="zh-CN"/>
              </w:rPr>
              <w:t>服务</w:t>
            </w:r>
            <w:r>
              <w:rPr>
                <w:rFonts w:hint="eastAsia"/>
                <w:color w:val="auto"/>
                <w:szCs w:val="21"/>
                <w:highlight w:val="none"/>
                <w:lang w:eastAsia="zh-CN"/>
              </w:rPr>
              <w:t>承诺</w:t>
            </w:r>
            <w:r>
              <w:rPr>
                <w:rFonts w:hint="eastAsia"/>
                <w:color w:val="auto"/>
                <w:szCs w:val="21"/>
                <w:highlight w:val="none"/>
                <w:lang w:val="en-US" w:eastAsia="zh-CN"/>
              </w:rPr>
              <w:t>具体且针对性强</w:t>
            </w:r>
            <w:r>
              <w:rPr>
                <w:rFonts w:hint="eastAsia"/>
                <w:color w:val="auto"/>
                <w:szCs w:val="21"/>
                <w:highlight w:val="none"/>
                <w:lang w:eastAsia="zh-CN"/>
              </w:rPr>
              <w:t>，</w:t>
            </w:r>
            <w:r>
              <w:rPr>
                <w:rFonts w:hint="eastAsia"/>
                <w:color w:val="auto"/>
                <w:szCs w:val="21"/>
                <w:highlight w:val="none"/>
                <w:lang w:val="en-US" w:eastAsia="zh-CN"/>
              </w:rPr>
              <w:t>完成项目任务拟提供的备品</w:t>
            </w:r>
            <w:r>
              <w:rPr>
                <w:rFonts w:hint="eastAsia"/>
                <w:color w:val="auto"/>
                <w:szCs w:val="21"/>
                <w:highlight w:val="none"/>
                <w:lang w:eastAsia="zh-CN"/>
              </w:rPr>
              <w:t>备件供应</w:t>
            </w:r>
            <w:r>
              <w:rPr>
                <w:rFonts w:hint="eastAsia"/>
                <w:color w:val="auto"/>
                <w:szCs w:val="21"/>
                <w:highlight w:val="none"/>
                <w:lang w:val="en-US" w:eastAsia="zh-CN"/>
              </w:rPr>
              <w:t>种类</w:t>
            </w:r>
            <w:r>
              <w:rPr>
                <w:rFonts w:hint="eastAsia"/>
                <w:color w:val="auto"/>
                <w:szCs w:val="21"/>
                <w:highlight w:val="none"/>
                <w:lang w:eastAsia="zh-CN"/>
              </w:rPr>
              <w:t>齐全、</w:t>
            </w:r>
            <w:r>
              <w:rPr>
                <w:rFonts w:hint="eastAsia"/>
                <w:color w:val="auto"/>
                <w:szCs w:val="21"/>
                <w:highlight w:val="none"/>
                <w:lang w:val="en-US" w:eastAsia="zh-CN"/>
              </w:rPr>
              <w:t>数量充足有余的</w:t>
            </w:r>
            <w:r>
              <w:rPr>
                <w:rFonts w:hint="eastAsia"/>
                <w:color w:val="auto"/>
                <w:szCs w:val="21"/>
                <w:highlight w:val="none"/>
                <w:lang w:eastAsia="zh-CN"/>
              </w:rPr>
              <w:t>，得</w:t>
            </w:r>
            <w:r>
              <w:rPr>
                <w:rFonts w:hint="eastAsia"/>
                <w:color w:val="auto"/>
                <w:szCs w:val="21"/>
                <w:highlight w:val="none"/>
                <w:lang w:val="en-US" w:eastAsia="zh-CN"/>
              </w:rPr>
              <w:t>7</w:t>
            </w:r>
            <w:r>
              <w:rPr>
                <w:rFonts w:hint="eastAsia"/>
                <w:color w:val="auto"/>
                <w:szCs w:val="21"/>
                <w:highlight w:val="none"/>
                <w:lang w:eastAsia="zh-CN"/>
              </w:rPr>
              <w:t>分；</w:t>
            </w:r>
          </w:p>
          <w:p w14:paraId="0B832FE5">
            <w:pPr>
              <w:autoSpaceDE/>
              <w:autoSpaceDN/>
              <w:spacing w:line="360" w:lineRule="auto"/>
              <w:jc w:val="both"/>
              <w:rPr>
                <w:rFonts w:hint="default"/>
                <w:color w:val="auto"/>
                <w:szCs w:val="21"/>
                <w:highlight w:val="none"/>
                <w:lang w:val="en-US" w:eastAsia="zh-CN"/>
              </w:rPr>
            </w:pPr>
            <w:r>
              <w:rPr>
                <w:rFonts w:hint="eastAsia"/>
                <w:color w:val="auto"/>
                <w:szCs w:val="21"/>
                <w:highlight w:val="none"/>
                <w:lang w:eastAsia="zh-CN"/>
              </w:rPr>
              <w:t>2、质量保证措施基本完整，</w:t>
            </w:r>
            <w:r>
              <w:rPr>
                <w:rFonts w:hint="eastAsia"/>
                <w:color w:val="auto"/>
                <w:szCs w:val="21"/>
                <w:highlight w:val="none"/>
                <w:lang w:val="en-US" w:eastAsia="zh-CN"/>
              </w:rPr>
              <w:t>拟定为本项目提供的服务质量目标全面具体，执行标准基本严谨，能够针对项目列举服务承诺，完成项目任务拟提供的备品</w:t>
            </w:r>
            <w:r>
              <w:rPr>
                <w:rFonts w:hint="eastAsia"/>
                <w:color w:val="auto"/>
                <w:szCs w:val="21"/>
                <w:highlight w:val="none"/>
                <w:lang w:eastAsia="zh-CN"/>
              </w:rPr>
              <w:t>备件供应</w:t>
            </w:r>
            <w:r>
              <w:rPr>
                <w:rFonts w:hint="eastAsia"/>
                <w:color w:val="auto"/>
                <w:szCs w:val="21"/>
                <w:highlight w:val="none"/>
                <w:lang w:val="en-US" w:eastAsia="zh-CN"/>
              </w:rPr>
              <w:t>种类和数量能够满足项目需求的</w:t>
            </w:r>
            <w:r>
              <w:rPr>
                <w:rFonts w:hint="eastAsia"/>
                <w:color w:val="auto"/>
                <w:szCs w:val="21"/>
                <w:highlight w:val="none"/>
                <w:lang w:eastAsia="zh-CN"/>
              </w:rPr>
              <w:t>，</w:t>
            </w:r>
            <w:r>
              <w:rPr>
                <w:rFonts w:hint="eastAsia"/>
                <w:color w:val="auto"/>
                <w:szCs w:val="21"/>
                <w:highlight w:val="none"/>
                <w:lang w:val="en-US" w:eastAsia="zh-CN"/>
              </w:rPr>
              <w:t>得5分；</w:t>
            </w:r>
          </w:p>
          <w:p w14:paraId="1FBA6798">
            <w:pPr>
              <w:autoSpaceDE/>
              <w:autoSpaceDN/>
              <w:spacing w:line="360" w:lineRule="auto"/>
              <w:jc w:val="both"/>
              <w:rPr>
                <w:color w:val="auto"/>
                <w:szCs w:val="21"/>
                <w:highlight w:val="none"/>
                <w:lang w:eastAsia="zh-CN"/>
              </w:rPr>
            </w:pPr>
            <w:r>
              <w:rPr>
                <w:rFonts w:hint="eastAsia"/>
                <w:color w:val="auto"/>
                <w:szCs w:val="21"/>
                <w:highlight w:val="none"/>
                <w:lang w:val="en-US" w:eastAsia="zh-CN"/>
              </w:rPr>
              <w:t>3、</w:t>
            </w:r>
            <w:r>
              <w:rPr>
                <w:rFonts w:hint="eastAsia"/>
                <w:color w:val="auto"/>
                <w:szCs w:val="21"/>
                <w:highlight w:val="none"/>
                <w:lang w:eastAsia="zh-CN"/>
              </w:rPr>
              <w:t>质量保证措施</w:t>
            </w:r>
            <w:r>
              <w:rPr>
                <w:rFonts w:hint="eastAsia"/>
                <w:color w:val="auto"/>
                <w:szCs w:val="21"/>
                <w:highlight w:val="none"/>
                <w:lang w:val="en-US" w:eastAsia="zh-CN"/>
              </w:rPr>
              <w:t>部分内容能结合项目需求</w:t>
            </w:r>
            <w:r>
              <w:rPr>
                <w:rFonts w:hint="eastAsia"/>
                <w:color w:val="auto"/>
                <w:szCs w:val="21"/>
                <w:highlight w:val="none"/>
                <w:lang w:eastAsia="zh-CN"/>
              </w:rPr>
              <w:t>，</w:t>
            </w:r>
            <w:r>
              <w:rPr>
                <w:rFonts w:hint="eastAsia"/>
                <w:color w:val="auto"/>
                <w:szCs w:val="21"/>
                <w:highlight w:val="none"/>
                <w:lang w:val="en-US" w:eastAsia="zh-CN"/>
              </w:rPr>
              <w:t>拟定为本项目提供的服务质量目标</w:t>
            </w:r>
            <w:r>
              <w:rPr>
                <w:rFonts w:hint="eastAsia"/>
                <w:color w:val="auto"/>
                <w:szCs w:val="21"/>
                <w:highlight w:val="none"/>
                <w:lang w:eastAsia="zh-CN"/>
              </w:rPr>
              <w:t>有</w:t>
            </w:r>
            <w:r>
              <w:rPr>
                <w:rFonts w:hint="eastAsia"/>
                <w:color w:val="auto"/>
                <w:szCs w:val="21"/>
                <w:highlight w:val="none"/>
                <w:lang w:val="en-US" w:eastAsia="zh-CN"/>
              </w:rPr>
              <w:t>一定</w:t>
            </w:r>
            <w:r>
              <w:rPr>
                <w:rFonts w:hint="eastAsia"/>
                <w:color w:val="auto"/>
                <w:szCs w:val="21"/>
                <w:highlight w:val="none"/>
                <w:lang w:eastAsia="zh-CN"/>
              </w:rPr>
              <w:t>可行性，</w:t>
            </w:r>
            <w:r>
              <w:rPr>
                <w:rFonts w:hint="eastAsia"/>
                <w:color w:val="auto"/>
                <w:szCs w:val="21"/>
                <w:highlight w:val="none"/>
                <w:lang w:val="en-US" w:eastAsia="zh-CN"/>
              </w:rPr>
              <w:t>执行标准部分明确，但服务承诺缺乏针对性，完成项目任务拟提供的备品</w:t>
            </w:r>
            <w:r>
              <w:rPr>
                <w:rFonts w:hint="eastAsia"/>
                <w:color w:val="auto"/>
                <w:szCs w:val="21"/>
                <w:highlight w:val="none"/>
                <w:lang w:eastAsia="zh-CN"/>
              </w:rPr>
              <w:t>备件供应</w:t>
            </w:r>
            <w:r>
              <w:rPr>
                <w:rFonts w:hint="eastAsia"/>
                <w:color w:val="auto"/>
                <w:szCs w:val="21"/>
                <w:highlight w:val="none"/>
                <w:lang w:val="en-US" w:eastAsia="zh-CN"/>
              </w:rPr>
              <w:t>种类或数量不够充足的</w:t>
            </w:r>
            <w:r>
              <w:rPr>
                <w:rFonts w:hint="eastAsia"/>
                <w:color w:val="auto"/>
                <w:szCs w:val="21"/>
                <w:highlight w:val="none"/>
                <w:lang w:eastAsia="zh-CN"/>
              </w:rPr>
              <w:t>，得</w:t>
            </w:r>
            <w:r>
              <w:rPr>
                <w:rFonts w:hint="eastAsia"/>
                <w:color w:val="auto"/>
                <w:szCs w:val="21"/>
                <w:highlight w:val="none"/>
                <w:lang w:val="en-US" w:eastAsia="zh-CN"/>
              </w:rPr>
              <w:t>3</w:t>
            </w:r>
            <w:r>
              <w:rPr>
                <w:rFonts w:hint="eastAsia"/>
                <w:color w:val="auto"/>
                <w:szCs w:val="21"/>
                <w:highlight w:val="none"/>
                <w:lang w:eastAsia="zh-CN"/>
              </w:rPr>
              <w:t>分；</w:t>
            </w:r>
          </w:p>
          <w:p w14:paraId="6715EC82">
            <w:pPr>
              <w:autoSpaceDE/>
              <w:autoSpaceDN/>
              <w:spacing w:line="360" w:lineRule="auto"/>
              <w:jc w:val="both"/>
              <w:rPr>
                <w:color w:val="auto"/>
                <w:szCs w:val="21"/>
                <w:highlight w:val="none"/>
                <w:lang w:eastAsia="zh-CN"/>
              </w:rPr>
            </w:pPr>
            <w:r>
              <w:rPr>
                <w:rFonts w:hint="eastAsia"/>
                <w:color w:val="auto"/>
                <w:szCs w:val="21"/>
                <w:highlight w:val="none"/>
                <w:lang w:val="en-US" w:eastAsia="zh-CN"/>
              </w:rPr>
              <w:t>4</w:t>
            </w:r>
            <w:r>
              <w:rPr>
                <w:rFonts w:hint="eastAsia"/>
                <w:color w:val="auto"/>
                <w:szCs w:val="21"/>
                <w:highlight w:val="none"/>
                <w:lang w:eastAsia="zh-CN"/>
              </w:rPr>
              <w:t>、质量保证措施</w:t>
            </w:r>
            <w:r>
              <w:rPr>
                <w:rFonts w:hint="eastAsia"/>
                <w:color w:val="auto"/>
                <w:szCs w:val="21"/>
                <w:highlight w:val="none"/>
                <w:lang w:val="en-US" w:eastAsia="zh-CN"/>
              </w:rPr>
              <w:t>不完整</w:t>
            </w:r>
            <w:r>
              <w:rPr>
                <w:rFonts w:hint="eastAsia"/>
                <w:color w:val="auto"/>
                <w:szCs w:val="21"/>
                <w:highlight w:val="none"/>
                <w:lang w:eastAsia="zh-CN"/>
              </w:rPr>
              <w:t>，</w:t>
            </w:r>
            <w:r>
              <w:rPr>
                <w:rFonts w:hint="eastAsia"/>
                <w:color w:val="auto"/>
                <w:szCs w:val="21"/>
                <w:highlight w:val="none"/>
                <w:lang w:val="en-US" w:eastAsia="zh-CN"/>
              </w:rPr>
              <w:t>服务质量目标和执行标准仅部分符合采购需求，缺乏服务承诺或备品</w:t>
            </w:r>
            <w:r>
              <w:rPr>
                <w:rFonts w:hint="eastAsia"/>
                <w:color w:val="auto"/>
                <w:szCs w:val="21"/>
                <w:highlight w:val="none"/>
                <w:lang w:eastAsia="zh-CN"/>
              </w:rPr>
              <w:t>备件</w:t>
            </w:r>
            <w:r>
              <w:rPr>
                <w:rFonts w:hint="eastAsia"/>
                <w:color w:val="auto"/>
                <w:szCs w:val="21"/>
                <w:highlight w:val="none"/>
                <w:lang w:val="en-US" w:eastAsia="zh-CN"/>
              </w:rPr>
              <w:t>供应</w:t>
            </w:r>
            <w:r>
              <w:rPr>
                <w:rFonts w:hint="eastAsia"/>
                <w:color w:val="auto"/>
                <w:szCs w:val="21"/>
                <w:highlight w:val="none"/>
                <w:lang w:eastAsia="zh-CN"/>
              </w:rPr>
              <w:t>的</w:t>
            </w:r>
            <w:r>
              <w:rPr>
                <w:rFonts w:hint="eastAsia"/>
                <w:color w:val="auto"/>
                <w:szCs w:val="21"/>
                <w:highlight w:val="none"/>
                <w:lang w:val="en-US" w:eastAsia="zh-CN"/>
              </w:rPr>
              <w:t>，</w:t>
            </w:r>
            <w:r>
              <w:rPr>
                <w:rFonts w:hint="eastAsia"/>
                <w:color w:val="auto"/>
                <w:szCs w:val="21"/>
                <w:highlight w:val="none"/>
                <w:lang w:eastAsia="zh-CN"/>
              </w:rPr>
              <w:t>得1分；</w:t>
            </w:r>
          </w:p>
          <w:p w14:paraId="77C46F4D">
            <w:pPr>
              <w:jc w:val="left"/>
              <w:rPr>
                <w:rFonts w:hint="eastAsia" w:ascii="宋体" w:hAnsi="宋体" w:eastAsia="宋体" w:cs="Times New Roman"/>
                <w:color w:val="auto"/>
                <w:kern w:val="2"/>
                <w:sz w:val="21"/>
                <w:szCs w:val="24"/>
                <w:highlight w:val="none"/>
                <w:lang w:val="en-US" w:eastAsia="zh-CN" w:bidi="ar-SA"/>
              </w:rPr>
            </w:pPr>
            <w:r>
              <w:rPr>
                <w:rFonts w:hint="eastAsia"/>
                <w:color w:val="auto"/>
                <w:szCs w:val="21"/>
                <w:highlight w:val="none"/>
                <w:lang w:val="en-US" w:eastAsia="zh-CN"/>
              </w:rPr>
              <w:t>5</w:t>
            </w:r>
            <w:r>
              <w:rPr>
                <w:rFonts w:hint="eastAsia"/>
                <w:color w:val="auto"/>
                <w:szCs w:val="21"/>
                <w:highlight w:val="none"/>
                <w:lang w:eastAsia="zh-CN"/>
              </w:rPr>
              <w:t>、未提供相关方案的，得0分。</w:t>
            </w:r>
          </w:p>
        </w:tc>
        <w:tc>
          <w:tcPr>
            <w:tcW w:w="855" w:type="dxa"/>
            <w:vAlign w:val="center"/>
          </w:tcPr>
          <w:p w14:paraId="7BE3AA57">
            <w:pPr>
              <w:spacing w:before="120" w:beforeLines="50" w:after="120" w:afterLines="50" w:line="240" w:lineRule="auto"/>
              <w:jc w:val="center"/>
              <w:rPr>
                <w:rFonts w:hint="default" w:cs="宋体"/>
                <w:color w:val="auto"/>
                <w:szCs w:val="21"/>
                <w:highlight w:val="none"/>
                <w:lang w:val="en-US" w:eastAsia="zh-CN"/>
              </w:rPr>
            </w:pPr>
            <w:r>
              <w:rPr>
                <w:rFonts w:hint="eastAsia" w:cs="宋体"/>
                <w:color w:val="auto"/>
                <w:szCs w:val="21"/>
                <w:highlight w:val="none"/>
                <w:lang w:val="en-US" w:eastAsia="zh-CN"/>
              </w:rPr>
              <w:t>7</w:t>
            </w:r>
          </w:p>
        </w:tc>
      </w:tr>
      <w:tr w14:paraId="30E1A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3" w:type="dxa"/>
            <w:vAlign w:val="center"/>
          </w:tcPr>
          <w:p w14:paraId="133544BF">
            <w:pPr>
              <w:pStyle w:val="326"/>
              <w:widowControl w:val="0"/>
              <w:numPr>
                <w:ilvl w:val="0"/>
                <w:numId w:val="22"/>
              </w:numPr>
              <w:spacing w:before="120" w:beforeLines="50" w:after="120" w:afterLines="50" w:line="240" w:lineRule="auto"/>
              <w:ind w:firstLineChars="0"/>
              <w:jc w:val="center"/>
              <w:rPr>
                <w:rFonts w:hint="eastAsia" w:ascii="宋体" w:hAnsi="宋体" w:eastAsia="宋体" w:cs="宋体"/>
                <w:color w:val="auto"/>
                <w:sz w:val="21"/>
                <w:szCs w:val="21"/>
                <w:highlight w:val="none"/>
              </w:rPr>
            </w:pPr>
          </w:p>
        </w:tc>
        <w:tc>
          <w:tcPr>
            <w:tcW w:w="1124" w:type="dxa"/>
            <w:vAlign w:val="center"/>
          </w:tcPr>
          <w:p w14:paraId="39C0B721">
            <w:pPr>
              <w:spacing w:line="240" w:lineRule="auto"/>
              <w:jc w:val="center"/>
              <w:rPr>
                <w:rFonts w:hint="eastAsia" w:ascii="宋体" w:hAnsi="宋体" w:eastAsia="宋体" w:cs="Times New Roman"/>
                <w:color w:val="auto"/>
                <w:kern w:val="2"/>
                <w:sz w:val="21"/>
                <w:szCs w:val="21"/>
                <w:highlight w:val="none"/>
                <w:lang w:val="en-US" w:eastAsia="zh-CN" w:bidi="ar-SA"/>
              </w:rPr>
            </w:pPr>
            <w:r>
              <w:rPr>
                <w:rFonts w:hint="eastAsia"/>
                <w:color w:val="auto"/>
                <w:szCs w:val="21"/>
                <w:highlight w:val="none"/>
              </w:rPr>
              <w:t>紧急突发事件应对措施及预案</w:t>
            </w:r>
            <w:r>
              <w:rPr>
                <w:rFonts w:hint="eastAsia"/>
                <w:color w:val="auto"/>
                <w:szCs w:val="21"/>
                <w:highlight w:val="none"/>
                <w:lang w:val="en-US" w:eastAsia="zh-CN"/>
              </w:rPr>
              <w:t>1</w:t>
            </w:r>
          </w:p>
        </w:tc>
        <w:tc>
          <w:tcPr>
            <w:tcW w:w="7010" w:type="dxa"/>
            <w:vAlign w:val="center"/>
          </w:tcPr>
          <w:p w14:paraId="2A25C6A5">
            <w:pPr>
              <w:jc w:val="both"/>
              <w:rPr>
                <w:rFonts w:hint="eastAsia" w:ascii="宋体" w:hAnsi="宋体" w:eastAsia="宋体" w:cs="宋体"/>
                <w:color w:val="auto"/>
                <w:highlight w:val="none"/>
              </w:rPr>
            </w:pPr>
            <w:r>
              <w:rPr>
                <w:rFonts w:hint="eastAsia" w:ascii="宋体" w:hAnsi="宋体" w:eastAsia="宋体" w:cs="宋体"/>
                <w:color w:val="auto"/>
                <w:highlight w:val="none"/>
              </w:rPr>
              <w:t>根据响应供应商</w:t>
            </w:r>
            <w:r>
              <w:rPr>
                <w:rFonts w:hint="eastAsia" w:ascii="宋体" w:hAnsi="宋体" w:eastAsia="宋体" w:cs="宋体"/>
                <w:color w:val="auto"/>
                <w:highlight w:val="none"/>
                <w:lang w:val="en-US" w:eastAsia="zh-CN"/>
              </w:rPr>
              <w:t>提供的</w:t>
            </w:r>
            <w:r>
              <w:rPr>
                <w:rFonts w:hint="eastAsia"/>
                <w:color w:val="auto"/>
                <w:szCs w:val="21"/>
                <w:highlight w:val="none"/>
              </w:rPr>
              <w:t>紧急突发事件应对措施及预案</w:t>
            </w:r>
            <w:r>
              <w:rPr>
                <w:rFonts w:hint="eastAsia" w:ascii="宋体" w:hAnsi="宋体" w:eastAsia="宋体" w:cs="宋体"/>
                <w:color w:val="auto"/>
                <w:highlight w:val="none"/>
              </w:rPr>
              <w:t>进行评分：</w:t>
            </w:r>
          </w:p>
          <w:p w14:paraId="1F291377">
            <w:pPr>
              <w:adjustRightInd w:val="0"/>
              <w:snapToGrid w:val="0"/>
              <w:rPr>
                <w:rFonts w:hint="eastAsia" w:ascii="宋体" w:hAnsi="宋体" w:eastAsia="宋体" w:cs="宋体"/>
                <w:color w:val="auto"/>
                <w:highlight w:val="none"/>
              </w:rPr>
            </w:pPr>
            <w:r>
              <w:rPr>
                <w:rFonts w:hint="eastAsia" w:ascii="宋体" w:hAnsi="宋体" w:eastAsia="宋体" w:cs="宋体"/>
                <w:color w:val="auto"/>
                <w:highlight w:val="none"/>
              </w:rPr>
              <w:t>方案应包括但不限于以下内容：</w:t>
            </w:r>
          </w:p>
          <w:p w14:paraId="7EDF9B8D">
            <w:pPr>
              <w:adjustRightInd w:val="0"/>
              <w:snapToGrid w:val="0"/>
              <w:rPr>
                <w:rFonts w:hint="eastAsia" w:cs="Calibri Light"/>
                <w:color w:val="auto"/>
                <w:szCs w:val="21"/>
                <w:highlight w:val="none"/>
                <w:lang w:val="en-US" w:eastAsia="zh-CN"/>
              </w:rPr>
            </w:pPr>
            <w:r>
              <w:rPr>
                <w:rFonts w:hint="eastAsia" w:ascii="宋体" w:hAnsi="宋体" w:eastAsia="宋体" w:cs="宋体"/>
                <w:color w:val="auto"/>
                <w:highlight w:val="none"/>
                <w:lang w:val="en-US" w:eastAsia="zh-CN"/>
              </w:rPr>
              <w:t>①</w:t>
            </w:r>
            <w:r>
              <w:rPr>
                <w:rFonts w:hint="eastAsia" w:cs="Calibri Light"/>
                <w:color w:val="auto"/>
                <w:szCs w:val="21"/>
                <w:highlight w:val="none"/>
                <w:lang w:val="en-US" w:eastAsia="zh-CN"/>
              </w:rPr>
              <w:t>列举项目实施过程中可能出现的各类紧急情况；</w:t>
            </w:r>
          </w:p>
          <w:p w14:paraId="3FBEB794">
            <w:pPr>
              <w:adjustRightInd w:val="0"/>
              <w:snapToGrid w:val="0"/>
              <w:rPr>
                <w:rFonts w:cs="Calibri Light"/>
                <w:color w:val="auto"/>
                <w:szCs w:val="21"/>
                <w:highlight w:val="none"/>
              </w:rPr>
            </w:pPr>
            <w:r>
              <w:rPr>
                <w:rFonts w:hint="eastAsia" w:cs="Calibri Light"/>
                <w:color w:val="auto"/>
                <w:szCs w:val="21"/>
                <w:highlight w:val="none"/>
                <w:lang w:val="en-US" w:eastAsia="zh-CN"/>
              </w:rPr>
              <w:t>②针对人为或不可抗力造成的突发状况提供预案。</w:t>
            </w:r>
          </w:p>
          <w:p w14:paraId="37B96466">
            <w:pPr>
              <w:adjustRightInd w:val="0"/>
              <w:snapToGrid w:val="0"/>
              <w:rPr>
                <w:rFonts w:hint="default" w:ascii="宋体" w:hAnsi="宋体" w:eastAsia="宋体" w:cs="Calibri Light"/>
                <w:color w:val="auto"/>
                <w:kern w:val="2"/>
                <w:sz w:val="21"/>
                <w:szCs w:val="21"/>
                <w:highlight w:val="none"/>
                <w:lang w:val="en-US" w:eastAsia="zh-CN" w:bidi="ar-SA"/>
              </w:rPr>
            </w:pPr>
            <w:r>
              <w:rPr>
                <w:rFonts w:hint="eastAsia" w:ascii="宋体" w:hAnsi="宋体" w:eastAsia="宋体" w:cs="宋体"/>
                <w:color w:val="auto"/>
                <w:highlight w:val="none"/>
              </w:rPr>
              <w:t>以上每项得1分，本小项满分为</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分，未提供相关内容不得分。</w:t>
            </w:r>
          </w:p>
        </w:tc>
        <w:tc>
          <w:tcPr>
            <w:tcW w:w="855" w:type="dxa"/>
            <w:vAlign w:val="center"/>
          </w:tcPr>
          <w:p w14:paraId="40D55607">
            <w:pPr>
              <w:spacing w:before="120" w:beforeLines="50" w:after="120" w:afterLines="50" w:line="240" w:lineRule="auto"/>
              <w:jc w:val="center"/>
              <w:rPr>
                <w:rFonts w:hint="default" w:cs="宋体"/>
                <w:color w:val="auto"/>
                <w:szCs w:val="21"/>
                <w:highlight w:val="none"/>
                <w:lang w:val="en-US" w:eastAsia="zh-CN"/>
              </w:rPr>
            </w:pPr>
            <w:r>
              <w:rPr>
                <w:rFonts w:hint="eastAsia" w:cs="宋体"/>
                <w:color w:val="auto"/>
                <w:szCs w:val="21"/>
                <w:highlight w:val="none"/>
                <w:lang w:val="en-US" w:eastAsia="zh-CN"/>
              </w:rPr>
              <w:t>2</w:t>
            </w:r>
          </w:p>
        </w:tc>
      </w:tr>
      <w:tr w14:paraId="64F47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3" w:type="dxa"/>
            <w:vAlign w:val="center"/>
          </w:tcPr>
          <w:p w14:paraId="6ECDCF7C">
            <w:pPr>
              <w:pStyle w:val="326"/>
              <w:widowControl w:val="0"/>
              <w:numPr>
                <w:ilvl w:val="0"/>
                <w:numId w:val="22"/>
              </w:numPr>
              <w:spacing w:before="120" w:beforeLines="50" w:after="120" w:afterLines="50" w:line="240" w:lineRule="auto"/>
              <w:ind w:firstLineChars="0"/>
              <w:jc w:val="center"/>
              <w:rPr>
                <w:rFonts w:hint="eastAsia" w:ascii="宋体" w:hAnsi="宋体" w:eastAsia="宋体" w:cs="宋体"/>
                <w:color w:val="auto"/>
                <w:sz w:val="21"/>
                <w:szCs w:val="21"/>
                <w:highlight w:val="none"/>
              </w:rPr>
            </w:pPr>
          </w:p>
        </w:tc>
        <w:tc>
          <w:tcPr>
            <w:tcW w:w="1124" w:type="dxa"/>
            <w:shd w:val="clear" w:color="auto" w:fill="auto"/>
            <w:vAlign w:val="center"/>
          </w:tcPr>
          <w:p w14:paraId="395FC249">
            <w:pPr>
              <w:spacing w:line="240" w:lineRule="auto"/>
              <w:jc w:val="center"/>
              <w:rPr>
                <w:rFonts w:hint="eastAsia" w:ascii="宋体" w:hAnsi="宋体" w:eastAsia="宋体" w:cs="Times New Roman"/>
                <w:color w:val="auto"/>
                <w:kern w:val="2"/>
                <w:sz w:val="21"/>
                <w:szCs w:val="21"/>
                <w:highlight w:val="none"/>
                <w:lang w:val="en-US" w:eastAsia="zh-CN" w:bidi="ar-SA"/>
              </w:rPr>
            </w:pPr>
            <w:r>
              <w:rPr>
                <w:rFonts w:hint="eastAsia"/>
                <w:color w:val="auto"/>
                <w:szCs w:val="21"/>
                <w:highlight w:val="none"/>
              </w:rPr>
              <w:t>紧急突发事件应对措施及预案</w:t>
            </w:r>
            <w:r>
              <w:rPr>
                <w:rFonts w:hint="eastAsia"/>
                <w:color w:val="auto"/>
                <w:szCs w:val="21"/>
                <w:highlight w:val="none"/>
                <w:lang w:val="en-US" w:eastAsia="zh-CN"/>
              </w:rPr>
              <w:t>2</w:t>
            </w:r>
          </w:p>
        </w:tc>
        <w:tc>
          <w:tcPr>
            <w:tcW w:w="7010" w:type="dxa"/>
            <w:shd w:val="clear" w:color="auto" w:fill="auto"/>
            <w:vAlign w:val="center"/>
          </w:tcPr>
          <w:p w14:paraId="568AB00C">
            <w:pPr>
              <w:adjustRightInd w:val="0"/>
              <w:snapToGrid w:val="0"/>
              <w:rPr>
                <w:rFonts w:cs="Calibri Light"/>
                <w:color w:val="auto"/>
                <w:szCs w:val="21"/>
                <w:highlight w:val="none"/>
              </w:rPr>
            </w:pPr>
            <w:r>
              <w:rPr>
                <w:rFonts w:hint="eastAsia" w:cs="Calibri Light"/>
                <w:color w:val="auto"/>
                <w:szCs w:val="21"/>
                <w:highlight w:val="none"/>
              </w:rPr>
              <w:t>对紧急突发事件应对措施及预案</w:t>
            </w:r>
            <w:r>
              <w:rPr>
                <w:rFonts w:hint="eastAsia" w:cs="Calibri Light"/>
                <w:color w:val="auto"/>
                <w:szCs w:val="21"/>
                <w:highlight w:val="none"/>
                <w:lang w:val="en-US" w:eastAsia="zh-CN"/>
              </w:rPr>
              <w:t>1的内容是否具备针对性和实用性</w:t>
            </w:r>
            <w:r>
              <w:rPr>
                <w:rFonts w:hint="eastAsia" w:cs="Calibri Light"/>
                <w:color w:val="auto"/>
                <w:szCs w:val="21"/>
                <w:highlight w:val="none"/>
              </w:rPr>
              <w:t>进行</w:t>
            </w:r>
            <w:r>
              <w:rPr>
                <w:rFonts w:hint="eastAsia" w:ascii="宋体" w:hAnsi="宋体" w:eastAsia="宋体" w:cs="宋体"/>
                <w:color w:val="auto"/>
                <w:highlight w:val="none"/>
              </w:rPr>
              <w:t>评分</w:t>
            </w:r>
            <w:r>
              <w:rPr>
                <w:rFonts w:hint="eastAsia" w:cs="Calibri Light"/>
                <w:color w:val="auto"/>
                <w:szCs w:val="21"/>
                <w:highlight w:val="none"/>
              </w:rPr>
              <w:t>：</w:t>
            </w:r>
          </w:p>
          <w:p w14:paraId="34166F07">
            <w:pPr>
              <w:adjustRightInd w:val="0"/>
              <w:snapToGrid w:val="0"/>
              <w:rPr>
                <w:rFonts w:cs="Calibri Light"/>
                <w:color w:val="auto"/>
                <w:szCs w:val="21"/>
                <w:highlight w:val="none"/>
              </w:rPr>
            </w:pPr>
            <w:r>
              <w:rPr>
                <w:rFonts w:cs="Calibri Light"/>
                <w:color w:val="auto"/>
                <w:szCs w:val="21"/>
                <w:highlight w:val="none"/>
              </w:rPr>
              <w:t>1</w:t>
            </w:r>
            <w:r>
              <w:rPr>
                <w:rFonts w:hint="eastAsia" w:cs="Calibri Light"/>
                <w:color w:val="auto"/>
                <w:szCs w:val="21"/>
                <w:highlight w:val="none"/>
                <w:lang w:eastAsia="zh-CN"/>
              </w:rPr>
              <w:t>、</w:t>
            </w:r>
            <w:r>
              <w:rPr>
                <w:rFonts w:cs="Calibri Light"/>
                <w:color w:val="auto"/>
                <w:szCs w:val="21"/>
                <w:highlight w:val="none"/>
              </w:rPr>
              <w:t>对各种紧急突发事件有预判性，针对</w:t>
            </w:r>
            <w:r>
              <w:rPr>
                <w:rFonts w:hint="eastAsia" w:cs="Calibri Light"/>
                <w:color w:val="auto"/>
                <w:szCs w:val="21"/>
                <w:highlight w:val="none"/>
                <w:lang w:val="en-US" w:eastAsia="zh-CN"/>
              </w:rPr>
              <w:t>各类</w:t>
            </w:r>
            <w:r>
              <w:rPr>
                <w:rFonts w:cs="Calibri Light"/>
                <w:color w:val="auto"/>
                <w:szCs w:val="21"/>
                <w:highlight w:val="none"/>
              </w:rPr>
              <w:t>紧急突发情况</w:t>
            </w:r>
            <w:r>
              <w:rPr>
                <w:rFonts w:hint="eastAsia" w:cs="Calibri Light"/>
                <w:color w:val="auto"/>
                <w:szCs w:val="21"/>
                <w:highlight w:val="none"/>
                <w:lang w:val="en-US" w:eastAsia="zh-CN"/>
              </w:rPr>
              <w:t>均能</w:t>
            </w:r>
            <w:r>
              <w:rPr>
                <w:rFonts w:cs="Calibri Light"/>
                <w:color w:val="auto"/>
                <w:szCs w:val="21"/>
                <w:highlight w:val="none"/>
              </w:rPr>
              <w:t>出具科学合理的应对措施和预案，内容</w:t>
            </w:r>
            <w:r>
              <w:rPr>
                <w:rFonts w:hint="eastAsia" w:cs="Calibri Light"/>
                <w:color w:val="auto"/>
                <w:szCs w:val="21"/>
                <w:highlight w:val="none"/>
                <w:lang w:val="en-US" w:eastAsia="zh-CN"/>
              </w:rPr>
              <w:t>完善详尽</w:t>
            </w:r>
            <w:r>
              <w:rPr>
                <w:rFonts w:hint="eastAsia" w:cs="Calibri Light"/>
                <w:color w:val="auto"/>
                <w:szCs w:val="21"/>
                <w:highlight w:val="none"/>
                <w:lang w:eastAsia="zh-CN"/>
              </w:rPr>
              <w:t>、</w:t>
            </w:r>
            <w:r>
              <w:rPr>
                <w:rFonts w:hint="eastAsia" w:cs="Calibri Light"/>
                <w:color w:val="auto"/>
                <w:szCs w:val="21"/>
                <w:highlight w:val="none"/>
                <w:lang w:val="en-US" w:eastAsia="zh-CN"/>
              </w:rPr>
              <w:t>针对性强、</w:t>
            </w:r>
            <w:r>
              <w:rPr>
                <w:rFonts w:cs="Calibri Light"/>
                <w:color w:val="auto"/>
                <w:szCs w:val="21"/>
                <w:highlight w:val="none"/>
              </w:rPr>
              <w:t>实用性强的，得</w:t>
            </w:r>
            <w:r>
              <w:rPr>
                <w:rFonts w:hint="eastAsia" w:cs="Calibri Light"/>
                <w:color w:val="auto"/>
                <w:szCs w:val="21"/>
                <w:highlight w:val="none"/>
                <w:lang w:val="en-US" w:eastAsia="zh-CN"/>
              </w:rPr>
              <w:t>7</w:t>
            </w:r>
            <w:r>
              <w:rPr>
                <w:rFonts w:cs="Calibri Light"/>
                <w:color w:val="auto"/>
                <w:szCs w:val="21"/>
                <w:highlight w:val="none"/>
              </w:rPr>
              <w:t>分；</w:t>
            </w:r>
          </w:p>
          <w:p w14:paraId="655B71B8">
            <w:pPr>
              <w:adjustRightInd w:val="0"/>
              <w:snapToGrid w:val="0"/>
              <w:rPr>
                <w:rFonts w:cs="Calibri Light"/>
                <w:color w:val="auto"/>
                <w:szCs w:val="21"/>
                <w:highlight w:val="none"/>
              </w:rPr>
            </w:pPr>
            <w:r>
              <w:rPr>
                <w:rFonts w:cs="Calibri Light"/>
                <w:color w:val="auto"/>
                <w:szCs w:val="21"/>
                <w:highlight w:val="none"/>
              </w:rPr>
              <w:t>2</w:t>
            </w:r>
            <w:r>
              <w:rPr>
                <w:rFonts w:hint="eastAsia" w:cs="Calibri Light"/>
                <w:color w:val="auto"/>
                <w:szCs w:val="21"/>
                <w:highlight w:val="none"/>
                <w:lang w:eastAsia="zh-CN"/>
              </w:rPr>
              <w:t>、</w:t>
            </w:r>
            <w:r>
              <w:rPr>
                <w:rFonts w:cs="Calibri Light"/>
                <w:color w:val="auto"/>
                <w:szCs w:val="21"/>
                <w:highlight w:val="none"/>
              </w:rPr>
              <w:t>对各种紧急突发事件有一定预判性，能针对紧急突发情况出具</w:t>
            </w:r>
            <w:r>
              <w:rPr>
                <w:rFonts w:hint="eastAsia" w:cs="Calibri Light"/>
                <w:color w:val="auto"/>
                <w:szCs w:val="21"/>
                <w:highlight w:val="none"/>
                <w:lang w:val="en-US" w:eastAsia="zh-CN"/>
              </w:rPr>
              <w:t>有针对性</w:t>
            </w:r>
            <w:r>
              <w:rPr>
                <w:rFonts w:cs="Calibri Light"/>
                <w:color w:val="auto"/>
                <w:szCs w:val="21"/>
                <w:highlight w:val="none"/>
              </w:rPr>
              <w:t>的应对措施和预案，内容</w:t>
            </w:r>
            <w:r>
              <w:rPr>
                <w:rFonts w:hint="eastAsia" w:cs="Calibri Light"/>
                <w:color w:val="auto"/>
                <w:szCs w:val="21"/>
                <w:highlight w:val="none"/>
                <w:lang w:val="en-US" w:eastAsia="zh-CN"/>
              </w:rPr>
              <w:t>基本</w:t>
            </w:r>
            <w:r>
              <w:rPr>
                <w:rFonts w:cs="Calibri Light"/>
                <w:color w:val="auto"/>
                <w:szCs w:val="21"/>
                <w:highlight w:val="none"/>
              </w:rPr>
              <w:t>完整，</w:t>
            </w:r>
            <w:r>
              <w:rPr>
                <w:rFonts w:hint="eastAsia" w:cs="Calibri Light"/>
                <w:color w:val="auto"/>
                <w:szCs w:val="21"/>
                <w:highlight w:val="none"/>
                <w:lang w:val="en-US" w:eastAsia="zh-CN"/>
              </w:rPr>
              <w:t>有一定</w:t>
            </w:r>
            <w:r>
              <w:rPr>
                <w:rFonts w:cs="Calibri Light"/>
                <w:color w:val="auto"/>
                <w:szCs w:val="21"/>
                <w:highlight w:val="none"/>
              </w:rPr>
              <w:t>实用性的，得</w:t>
            </w:r>
            <w:r>
              <w:rPr>
                <w:rFonts w:hint="eastAsia" w:cs="Calibri Light"/>
                <w:color w:val="auto"/>
                <w:szCs w:val="21"/>
                <w:highlight w:val="none"/>
                <w:lang w:val="en-US" w:eastAsia="zh-CN"/>
              </w:rPr>
              <w:t>5</w:t>
            </w:r>
            <w:r>
              <w:rPr>
                <w:rFonts w:cs="Calibri Light"/>
                <w:color w:val="auto"/>
                <w:szCs w:val="21"/>
                <w:highlight w:val="none"/>
              </w:rPr>
              <w:t xml:space="preserve">分； </w:t>
            </w:r>
          </w:p>
          <w:p w14:paraId="07014BC0">
            <w:pPr>
              <w:adjustRightInd w:val="0"/>
              <w:snapToGrid w:val="0"/>
              <w:rPr>
                <w:rFonts w:cs="Calibri Light"/>
                <w:color w:val="auto"/>
                <w:szCs w:val="21"/>
                <w:highlight w:val="none"/>
              </w:rPr>
            </w:pPr>
            <w:r>
              <w:rPr>
                <w:rFonts w:cs="Calibri Light"/>
                <w:color w:val="auto"/>
                <w:szCs w:val="21"/>
                <w:highlight w:val="none"/>
              </w:rPr>
              <w:t>3</w:t>
            </w:r>
            <w:r>
              <w:rPr>
                <w:rFonts w:hint="eastAsia" w:cs="Calibri Light"/>
                <w:color w:val="auto"/>
                <w:szCs w:val="21"/>
                <w:highlight w:val="none"/>
                <w:lang w:eastAsia="zh-CN"/>
              </w:rPr>
              <w:t>、</w:t>
            </w:r>
            <w:r>
              <w:rPr>
                <w:rFonts w:cs="Calibri Light"/>
                <w:color w:val="auto"/>
                <w:szCs w:val="21"/>
                <w:highlight w:val="none"/>
              </w:rPr>
              <w:t>有紧急突发事件分析但不全面，能对</w:t>
            </w:r>
            <w:r>
              <w:rPr>
                <w:rFonts w:hint="eastAsia" w:cs="Calibri Light"/>
                <w:color w:val="auto"/>
                <w:szCs w:val="21"/>
                <w:highlight w:val="none"/>
                <w:lang w:val="en-US" w:eastAsia="zh-CN"/>
              </w:rPr>
              <w:t>部分</w:t>
            </w:r>
            <w:r>
              <w:rPr>
                <w:rFonts w:cs="Calibri Light"/>
                <w:color w:val="auto"/>
                <w:szCs w:val="21"/>
                <w:highlight w:val="none"/>
              </w:rPr>
              <w:t>紧急突发情况出具基本</w:t>
            </w:r>
            <w:r>
              <w:rPr>
                <w:rFonts w:hint="eastAsia" w:cs="Calibri Light"/>
                <w:color w:val="auto"/>
                <w:szCs w:val="21"/>
                <w:highlight w:val="none"/>
                <w:lang w:val="en-US" w:eastAsia="zh-CN"/>
              </w:rPr>
              <w:t>可行</w:t>
            </w:r>
            <w:r>
              <w:rPr>
                <w:rFonts w:cs="Calibri Light"/>
                <w:color w:val="auto"/>
                <w:szCs w:val="21"/>
                <w:highlight w:val="none"/>
              </w:rPr>
              <w:t>的应对措施和预案，</w:t>
            </w:r>
            <w:r>
              <w:rPr>
                <w:rFonts w:hint="eastAsia" w:cs="Calibri Light"/>
                <w:color w:val="auto"/>
                <w:szCs w:val="21"/>
                <w:highlight w:val="none"/>
                <w:lang w:val="en-US" w:eastAsia="zh-CN"/>
              </w:rPr>
              <w:t>但</w:t>
            </w:r>
            <w:r>
              <w:rPr>
                <w:rFonts w:cs="Calibri Light"/>
                <w:color w:val="auto"/>
                <w:szCs w:val="21"/>
                <w:highlight w:val="none"/>
              </w:rPr>
              <w:t>实用性一般，得</w:t>
            </w:r>
            <w:r>
              <w:rPr>
                <w:rFonts w:hint="eastAsia" w:cs="Calibri Light"/>
                <w:color w:val="auto"/>
                <w:szCs w:val="21"/>
                <w:highlight w:val="none"/>
                <w:lang w:val="en-US" w:eastAsia="zh-CN"/>
              </w:rPr>
              <w:t>3</w:t>
            </w:r>
            <w:r>
              <w:rPr>
                <w:rFonts w:cs="Calibri Light"/>
                <w:color w:val="auto"/>
                <w:szCs w:val="21"/>
                <w:highlight w:val="none"/>
              </w:rPr>
              <w:t>分；</w:t>
            </w:r>
          </w:p>
          <w:p w14:paraId="10E353A5">
            <w:pPr>
              <w:adjustRightInd w:val="0"/>
              <w:snapToGrid w:val="0"/>
              <w:rPr>
                <w:rFonts w:hint="eastAsia" w:eastAsia="宋体" w:cs="Calibri Light"/>
                <w:color w:val="auto"/>
                <w:szCs w:val="21"/>
                <w:highlight w:val="none"/>
                <w:lang w:eastAsia="zh-CN"/>
              </w:rPr>
            </w:pPr>
            <w:r>
              <w:rPr>
                <w:rFonts w:cs="Calibri Light"/>
                <w:color w:val="auto"/>
                <w:szCs w:val="21"/>
                <w:highlight w:val="none"/>
              </w:rPr>
              <w:t>4</w:t>
            </w:r>
            <w:r>
              <w:rPr>
                <w:rFonts w:hint="eastAsia" w:cs="Calibri Light"/>
                <w:color w:val="auto"/>
                <w:szCs w:val="21"/>
                <w:highlight w:val="none"/>
                <w:lang w:eastAsia="zh-CN"/>
              </w:rPr>
              <w:t>、</w:t>
            </w:r>
            <w:r>
              <w:rPr>
                <w:rFonts w:cs="Calibri Light"/>
                <w:color w:val="auto"/>
                <w:szCs w:val="21"/>
                <w:highlight w:val="none"/>
              </w:rPr>
              <w:t>紧急突发事件分析</w:t>
            </w:r>
            <w:r>
              <w:rPr>
                <w:rFonts w:hint="eastAsia" w:cs="Calibri Light"/>
                <w:color w:val="auto"/>
                <w:szCs w:val="21"/>
                <w:highlight w:val="none"/>
                <w:lang w:val="en-US" w:eastAsia="zh-CN"/>
              </w:rPr>
              <w:t>未能结合本项目实施</w:t>
            </w:r>
            <w:r>
              <w:rPr>
                <w:rFonts w:cs="Calibri Light"/>
                <w:color w:val="auto"/>
                <w:szCs w:val="21"/>
                <w:highlight w:val="none"/>
              </w:rPr>
              <w:t>，</w:t>
            </w:r>
            <w:r>
              <w:rPr>
                <w:rFonts w:hint="eastAsia" w:cs="Calibri Light"/>
                <w:color w:val="auto"/>
                <w:szCs w:val="21"/>
                <w:highlight w:val="none"/>
                <w:lang w:val="en-US" w:eastAsia="zh-CN"/>
              </w:rPr>
              <w:t>或</w:t>
            </w:r>
            <w:r>
              <w:rPr>
                <w:rFonts w:cs="Calibri Light"/>
                <w:color w:val="auto"/>
                <w:szCs w:val="21"/>
                <w:highlight w:val="none"/>
              </w:rPr>
              <w:t>没有对紧急突发事件情况出具应对措施和预案的，得1分</w:t>
            </w:r>
            <w:r>
              <w:rPr>
                <w:rFonts w:hint="eastAsia" w:cs="Calibri Light"/>
                <w:color w:val="auto"/>
                <w:szCs w:val="21"/>
                <w:highlight w:val="none"/>
                <w:lang w:eastAsia="zh-CN"/>
              </w:rPr>
              <w:t>；</w:t>
            </w:r>
          </w:p>
          <w:p w14:paraId="41776ABD">
            <w:pPr>
              <w:adjustRightInd w:val="0"/>
              <w:snapToGrid w:val="0"/>
              <w:rPr>
                <w:rFonts w:hint="eastAsia" w:ascii="宋体" w:hAnsi="宋体" w:eastAsia="宋体" w:cs="Calibri Light"/>
                <w:color w:val="auto"/>
                <w:kern w:val="2"/>
                <w:sz w:val="21"/>
                <w:szCs w:val="21"/>
                <w:highlight w:val="none"/>
                <w:lang w:val="en-US" w:eastAsia="zh-CN" w:bidi="ar-SA"/>
              </w:rPr>
            </w:pPr>
            <w:r>
              <w:rPr>
                <w:rFonts w:hint="eastAsia" w:cs="Calibri Light"/>
                <w:color w:val="auto"/>
                <w:szCs w:val="21"/>
                <w:highlight w:val="none"/>
                <w:lang w:val="en-US" w:eastAsia="zh-CN"/>
              </w:rPr>
              <w:t>5、</w:t>
            </w:r>
            <w:r>
              <w:rPr>
                <w:rFonts w:hint="eastAsia" w:cs="Calibri Light"/>
                <w:color w:val="auto"/>
                <w:szCs w:val="21"/>
                <w:highlight w:val="none"/>
              </w:rPr>
              <w:t>未提供方案</w:t>
            </w:r>
            <w:r>
              <w:rPr>
                <w:rFonts w:hint="eastAsia" w:cs="Calibri Light"/>
                <w:color w:val="auto"/>
                <w:szCs w:val="21"/>
                <w:highlight w:val="none"/>
                <w:lang w:eastAsia="zh-CN"/>
              </w:rPr>
              <w:t>的，</w:t>
            </w:r>
            <w:r>
              <w:rPr>
                <w:rFonts w:hint="eastAsia" w:cs="Calibri Light"/>
                <w:color w:val="auto"/>
                <w:szCs w:val="21"/>
                <w:highlight w:val="none"/>
              </w:rPr>
              <w:t>得</w:t>
            </w:r>
            <w:r>
              <w:rPr>
                <w:rFonts w:hint="eastAsia" w:cs="Calibri Light"/>
                <w:color w:val="auto"/>
                <w:szCs w:val="21"/>
                <w:highlight w:val="none"/>
                <w:lang w:val="en-US" w:eastAsia="zh-CN"/>
              </w:rPr>
              <w:t>0</w:t>
            </w:r>
            <w:r>
              <w:rPr>
                <w:rFonts w:hint="eastAsia" w:cs="Calibri Light"/>
                <w:color w:val="auto"/>
                <w:szCs w:val="21"/>
                <w:highlight w:val="none"/>
              </w:rPr>
              <w:t>分。</w:t>
            </w:r>
          </w:p>
        </w:tc>
        <w:tc>
          <w:tcPr>
            <w:tcW w:w="855" w:type="dxa"/>
            <w:shd w:val="clear" w:color="auto" w:fill="auto"/>
            <w:vAlign w:val="center"/>
          </w:tcPr>
          <w:p w14:paraId="0239601E">
            <w:pPr>
              <w:spacing w:before="120" w:beforeLines="50" w:after="120" w:afterLines="50" w:line="240" w:lineRule="auto"/>
              <w:jc w:val="center"/>
              <w:rPr>
                <w:rFonts w:hint="eastAsia" w:ascii="宋体" w:hAnsi="宋体" w:eastAsia="宋体" w:cs="宋体"/>
                <w:color w:val="auto"/>
                <w:kern w:val="2"/>
                <w:sz w:val="21"/>
                <w:szCs w:val="21"/>
                <w:highlight w:val="none"/>
                <w:lang w:val="en-US" w:eastAsia="zh-CN" w:bidi="ar-SA"/>
              </w:rPr>
            </w:pPr>
            <w:r>
              <w:rPr>
                <w:rFonts w:hint="eastAsia" w:cs="宋体"/>
                <w:color w:val="auto"/>
                <w:szCs w:val="21"/>
                <w:highlight w:val="none"/>
                <w:lang w:val="en-US" w:eastAsia="zh-CN"/>
              </w:rPr>
              <w:t>7</w:t>
            </w:r>
          </w:p>
        </w:tc>
      </w:tr>
      <w:tr w14:paraId="01606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3" w:type="dxa"/>
            <w:vAlign w:val="center"/>
          </w:tcPr>
          <w:p w14:paraId="141DAD95">
            <w:pPr>
              <w:pStyle w:val="326"/>
              <w:widowControl w:val="0"/>
              <w:numPr>
                <w:ilvl w:val="0"/>
                <w:numId w:val="22"/>
              </w:numPr>
              <w:spacing w:before="120" w:beforeLines="50" w:after="120" w:afterLines="50" w:line="240" w:lineRule="auto"/>
              <w:ind w:firstLineChars="0"/>
              <w:jc w:val="center"/>
              <w:rPr>
                <w:rFonts w:hint="eastAsia" w:ascii="宋体" w:hAnsi="宋体" w:eastAsia="宋体" w:cs="宋体"/>
                <w:color w:val="auto"/>
                <w:sz w:val="21"/>
                <w:szCs w:val="21"/>
                <w:highlight w:val="none"/>
              </w:rPr>
            </w:pPr>
          </w:p>
        </w:tc>
        <w:tc>
          <w:tcPr>
            <w:tcW w:w="1124" w:type="dxa"/>
            <w:vAlign w:val="center"/>
          </w:tcPr>
          <w:p w14:paraId="4F9C4763">
            <w:pPr>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lang w:val="en-US" w:eastAsia="zh-CN"/>
              </w:rPr>
              <w:t>服务团队人员资质</w:t>
            </w:r>
          </w:p>
        </w:tc>
        <w:tc>
          <w:tcPr>
            <w:tcW w:w="7010" w:type="dxa"/>
            <w:vAlign w:val="center"/>
          </w:tcPr>
          <w:p w14:paraId="4B9A732A">
            <w:pPr>
              <w:numPr>
                <w:ilvl w:val="255"/>
                <w:numId w:val="0"/>
              </w:numPr>
              <w:rPr>
                <w:rFonts w:hint="eastAsia" w:eastAsia="宋体" w:cs="宋体"/>
                <w:color w:val="auto"/>
                <w:szCs w:val="21"/>
                <w:highlight w:val="none"/>
                <w:lang w:eastAsia="zh-CN"/>
              </w:rPr>
            </w:pPr>
            <w:r>
              <w:rPr>
                <w:rFonts w:hint="eastAsia" w:cs="宋体"/>
                <w:color w:val="auto"/>
                <w:szCs w:val="21"/>
                <w:highlight w:val="none"/>
                <w:lang w:val="en-US" w:eastAsia="zh-CN"/>
              </w:rPr>
              <w:t>根据</w:t>
            </w:r>
            <w:r>
              <w:rPr>
                <w:rFonts w:hint="eastAsia" w:cs="宋体"/>
                <w:color w:val="auto"/>
                <w:szCs w:val="21"/>
                <w:highlight w:val="none"/>
              </w:rPr>
              <w:t>响应供应商</w:t>
            </w:r>
            <w:r>
              <w:rPr>
                <w:rFonts w:hint="eastAsia" w:cs="宋体"/>
                <w:color w:val="auto"/>
                <w:szCs w:val="21"/>
                <w:highlight w:val="none"/>
                <w:lang w:val="en-US" w:eastAsia="zh-CN"/>
              </w:rPr>
              <w:t>拟投入本</w:t>
            </w:r>
            <w:r>
              <w:rPr>
                <w:rFonts w:hint="eastAsia" w:cs="宋体"/>
                <w:color w:val="auto"/>
                <w:szCs w:val="21"/>
                <w:highlight w:val="none"/>
              </w:rPr>
              <w:t>项目</w:t>
            </w:r>
            <w:r>
              <w:rPr>
                <w:rFonts w:hint="eastAsia" w:cs="宋体"/>
                <w:color w:val="auto"/>
                <w:szCs w:val="21"/>
                <w:highlight w:val="none"/>
                <w:lang w:val="en-US" w:eastAsia="zh-CN"/>
              </w:rPr>
              <w:t>的服务</w:t>
            </w:r>
            <w:r>
              <w:rPr>
                <w:rFonts w:hint="eastAsia" w:cs="宋体"/>
                <w:color w:val="auto"/>
                <w:szCs w:val="21"/>
                <w:highlight w:val="none"/>
              </w:rPr>
              <w:t>团队</w:t>
            </w:r>
            <w:r>
              <w:rPr>
                <w:rFonts w:hint="eastAsia" w:cs="宋体"/>
                <w:color w:val="auto"/>
                <w:szCs w:val="21"/>
                <w:highlight w:val="none"/>
                <w:lang w:val="en-US" w:eastAsia="zh-CN"/>
              </w:rPr>
              <w:t>人员资质进行评分：</w:t>
            </w:r>
          </w:p>
          <w:p w14:paraId="4D1E0262">
            <w:pPr>
              <w:numPr>
                <w:ilvl w:val="255"/>
                <w:numId w:val="0"/>
              </w:numPr>
              <w:rPr>
                <w:rFonts w:hint="eastAsia" w:cs="宋体"/>
                <w:b/>
                <w:bCs/>
                <w:color w:val="auto"/>
                <w:szCs w:val="21"/>
                <w:highlight w:val="none"/>
                <w:lang w:val="en-US" w:eastAsia="zh-CN"/>
              </w:rPr>
            </w:pPr>
            <w:r>
              <w:rPr>
                <w:rFonts w:hint="eastAsia" w:cs="宋体"/>
                <w:color w:val="auto"/>
                <w:szCs w:val="21"/>
                <w:highlight w:val="none"/>
                <w:lang w:val="en-US" w:eastAsia="zh-CN"/>
              </w:rPr>
              <w:t>1、具备大专以上学</w:t>
            </w:r>
            <w:r>
              <w:rPr>
                <w:rFonts w:hint="eastAsia" w:cs="宋体"/>
                <w:color w:val="auto"/>
                <w:szCs w:val="21"/>
                <w:highlight w:val="none"/>
                <w:lang w:val="en-US" w:eastAsia="zh-CN"/>
              </w:rPr>
              <w:t>历，</w:t>
            </w:r>
            <w:r>
              <w:rPr>
                <w:rFonts w:hint="eastAsia" w:ascii="宋体" w:hAnsi="宋体" w:eastAsia="宋体" w:cs="宋体"/>
                <w:color w:val="auto"/>
                <w:szCs w:val="21"/>
                <w:highlight w:val="none"/>
                <w:lang w:val="en-US" w:eastAsia="zh-CN"/>
              </w:rPr>
              <w:t>理工科目</w:t>
            </w:r>
            <w:r>
              <w:rPr>
                <w:rFonts w:hint="eastAsia" w:cs="宋体"/>
                <w:color w:val="auto"/>
                <w:szCs w:val="21"/>
                <w:highlight w:val="none"/>
                <w:lang w:val="en-US" w:eastAsia="zh-CN"/>
              </w:rPr>
              <w:t>专业毕业，得1分；</w:t>
            </w:r>
            <w:r>
              <w:rPr>
                <w:rFonts w:hint="eastAsia" w:cs="宋体"/>
                <w:b/>
                <w:bCs/>
                <w:color w:val="auto"/>
                <w:szCs w:val="21"/>
                <w:highlight w:val="none"/>
                <w:lang w:val="en-US" w:eastAsia="zh-CN"/>
              </w:rPr>
              <w:t>（提供证书复印件）</w:t>
            </w:r>
          </w:p>
          <w:p w14:paraId="6BDAE34B">
            <w:pPr>
              <w:numPr>
                <w:ilvl w:val="255"/>
                <w:numId w:val="0"/>
              </w:numPr>
              <w:spacing w:line="360" w:lineRule="auto"/>
              <w:rPr>
                <w:rFonts w:hint="eastAsia" w:ascii="宋体" w:hAnsi="宋体" w:eastAsia="宋体" w:cs="宋体"/>
                <w:b/>
                <w:bCs/>
                <w:color w:val="auto"/>
                <w:szCs w:val="21"/>
                <w:highlight w:val="none"/>
              </w:rPr>
            </w:pPr>
            <w:r>
              <w:rPr>
                <w:rFonts w:hint="eastAsia" w:cs="宋体"/>
                <w:color w:val="auto"/>
                <w:szCs w:val="21"/>
                <w:highlight w:val="none"/>
                <w:lang w:val="en-US" w:eastAsia="zh-CN"/>
              </w:rPr>
              <w:t>2、</w:t>
            </w:r>
            <w:r>
              <w:rPr>
                <w:rFonts w:hint="eastAsia" w:ascii="宋体" w:hAnsi="宋体" w:eastAsia="宋体" w:cs="宋体"/>
                <w:color w:val="auto"/>
                <w:szCs w:val="21"/>
                <w:highlight w:val="none"/>
              </w:rPr>
              <w:t>具有中级工程师</w:t>
            </w:r>
            <w:r>
              <w:rPr>
                <w:rFonts w:hint="eastAsia" w:ascii="宋体" w:hAnsi="宋体" w:eastAsia="宋体" w:cs="宋体"/>
                <w:color w:val="auto"/>
                <w:szCs w:val="21"/>
                <w:highlight w:val="none"/>
                <w:lang w:val="en-US" w:eastAsia="zh-CN"/>
              </w:rPr>
              <w:t>及以上职称</w:t>
            </w:r>
            <w:r>
              <w:rPr>
                <w:rFonts w:hint="eastAsia" w:ascii="宋体" w:hAnsi="宋体" w:eastAsia="宋体" w:cs="宋体"/>
                <w:color w:val="auto"/>
                <w:szCs w:val="21"/>
                <w:highlight w:val="none"/>
              </w:rPr>
              <w:t>证书，得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w:t>
            </w:r>
            <w:r>
              <w:rPr>
                <w:rFonts w:hint="eastAsia" w:ascii="宋体" w:hAnsi="宋体" w:eastAsia="宋体" w:cs="宋体"/>
                <w:b/>
                <w:bCs/>
                <w:color w:val="auto"/>
                <w:szCs w:val="21"/>
                <w:highlight w:val="none"/>
              </w:rPr>
              <w:t>（提供证书复印件）</w:t>
            </w:r>
          </w:p>
          <w:p w14:paraId="698973AC">
            <w:pPr>
              <w:numPr>
                <w:ilvl w:val="255"/>
                <w:numId w:val="0"/>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、服务团队人员从事电子工程、电气工程相关和计算机硬件维护工作</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年及以上，每有一人满足要求得</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val="en-US" w:eastAsia="zh-CN"/>
              </w:rPr>
              <w:t>最多计4人，</w:t>
            </w:r>
            <w:r>
              <w:rPr>
                <w:rFonts w:hint="eastAsia" w:ascii="宋体" w:hAnsi="宋体" w:eastAsia="宋体" w:cs="宋体"/>
                <w:color w:val="auto"/>
                <w:szCs w:val="21"/>
                <w:highlight w:val="none"/>
              </w:rPr>
              <w:t>本小项满分</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分。</w:t>
            </w:r>
            <w:r>
              <w:rPr>
                <w:rFonts w:hint="eastAsia" w:ascii="宋体" w:hAnsi="宋体" w:eastAsia="宋体" w:cs="宋体"/>
                <w:b/>
                <w:bCs/>
                <w:color w:val="auto"/>
                <w:szCs w:val="21"/>
                <w:highlight w:val="none"/>
              </w:rPr>
              <w:t>（提</w:t>
            </w:r>
            <w:r>
              <w:rPr>
                <w:rFonts w:hint="eastAsia" w:ascii="宋体" w:hAnsi="宋体" w:eastAsia="宋体" w:cs="宋体"/>
                <w:b/>
                <w:bCs/>
                <w:color w:val="auto"/>
                <w:szCs w:val="21"/>
                <w:highlight w:val="none"/>
              </w:rPr>
              <w:t>供明确显示人员姓名、年限</w:t>
            </w:r>
            <w:r>
              <w:rPr>
                <w:rFonts w:hint="eastAsia" w:ascii="宋体" w:hAnsi="宋体" w:eastAsia="宋体" w:cs="宋体"/>
                <w:b/>
                <w:bCs/>
                <w:color w:val="auto"/>
                <w:szCs w:val="21"/>
                <w:highlight w:val="none"/>
                <w:lang w:val="en-US" w:eastAsia="zh-CN"/>
              </w:rPr>
              <w:t>日期</w:t>
            </w:r>
            <w:r>
              <w:rPr>
                <w:rFonts w:hint="eastAsia" w:ascii="宋体" w:hAnsi="宋体" w:eastAsia="宋体" w:cs="宋体"/>
                <w:b/>
                <w:bCs/>
                <w:color w:val="auto"/>
                <w:szCs w:val="21"/>
                <w:highlight w:val="none"/>
              </w:rPr>
              <w:t>及维护内容的佐证材料）</w:t>
            </w:r>
          </w:p>
          <w:p w14:paraId="0C45CD2B">
            <w:pPr>
              <w:autoSpaceDE/>
              <w:autoSpaceDN/>
              <w:adjustRightInd/>
              <w:spacing w:line="36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Cs w:val="21"/>
                <w:highlight w:val="none"/>
              </w:rPr>
              <w:t>注：响应文件须提供上述证明材料，以及2025年0</w:t>
            </w: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rPr>
              <w:t>月至开标当月任意一个月供应商为对应人员购买社保的凭证；未提供不得分。</w:t>
            </w:r>
          </w:p>
        </w:tc>
        <w:tc>
          <w:tcPr>
            <w:tcW w:w="855" w:type="dxa"/>
            <w:vAlign w:val="center"/>
          </w:tcPr>
          <w:p w14:paraId="13C71C43">
            <w:pPr>
              <w:spacing w:before="120" w:beforeLines="50" w:after="120" w:afterLines="50" w:line="240" w:lineRule="auto"/>
              <w:jc w:val="center"/>
              <w:rPr>
                <w:rFonts w:hint="default" w:ascii="宋体" w:hAnsi="宋体" w:eastAsia="宋体" w:cs="宋体"/>
                <w:color w:val="auto"/>
                <w:szCs w:val="21"/>
                <w:highlight w:val="none"/>
                <w:lang w:val="en-US" w:eastAsia="zh-CN"/>
              </w:rPr>
            </w:pPr>
            <w:r>
              <w:rPr>
                <w:rFonts w:hint="eastAsia" w:cs="宋体"/>
                <w:color w:val="auto"/>
                <w:szCs w:val="21"/>
                <w:highlight w:val="none"/>
                <w:lang w:val="en-US" w:eastAsia="zh-CN"/>
              </w:rPr>
              <w:t>9</w:t>
            </w:r>
          </w:p>
        </w:tc>
      </w:tr>
    </w:tbl>
    <w:p w14:paraId="75DC177F">
      <w:pPr>
        <w:pStyle w:val="45"/>
        <w:spacing w:line="360" w:lineRule="auto"/>
        <w:ind w:left="0" w:leftChars="0" w:firstLine="0" w:firstLineChars="0"/>
        <w:rPr>
          <w:color w:val="auto"/>
          <w:highlight w:val="none"/>
        </w:rPr>
      </w:pPr>
    </w:p>
    <w:p w14:paraId="5DCC4641">
      <w:pPr>
        <w:spacing w:line="360" w:lineRule="auto"/>
        <w:ind w:firstLine="422" w:firstLineChars="200"/>
        <w:jc w:val="left"/>
        <w:outlineLvl w:val="3"/>
        <w:rPr>
          <w:rFonts w:cs="Futura-Heavy"/>
          <w:b/>
          <w:bCs/>
          <w:color w:val="auto"/>
          <w:kern w:val="0"/>
          <w:szCs w:val="21"/>
          <w:highlight w:val="none"/>
        </w:rPr>
      </w:pPr>
      <w:bookmarkStart w:id="127" w:name="_Toc67046849"/>
      <w:r>
        <w:rPr>
          <w:rFonts w:hint="eastAsia" w:cs="Futura-Heavy"/>
          <w:b/>
          <w:bCs/>
          <w:color w:val="auto"/>
          <w:kern w:val="0"/>
          <w:szCs w:val="21"/>
          <w:highlight w:val="none"/>
        </w:rPr>
        <w:t>表五：价格</w:t>
      </w:r>
      <w:r>
        <w:rPr>
          <w:rFonts w:cs="Futura-Heavy"/>
          <w:b/>
          <w:bCs/>
          <w:color w:val="auto"/>
          <w:kern w:val="0"/>
          <w:szCs w:val="21"/>
          <w:highlight w:val="none"/>
        </w:rPr>
        <w:t>评分细则</w:t>
      </w:r>
      <w:r>
        <w:rPr>
          <w:rFonts w:hint="eastAsia" w:cs="Futura-Heavy"/>
          <w:b/>
          <w:bCs/>
          <w:color w:val="auto"/>
          <w:kern w:val="0"/>
          <w:szCs w:val="21"/>
          <w:highlight w:val="none"/>
        </w:rPr>
        <w:t>表（</w:t>
      </w:r>
      <w:r>
        <w:rPr>
          <w:rFonts w:hint="eastAsia" w:cs="Futura-Heavy"/>
          <w:b/>
          <w:bCs/>
          <w:color w:val="auto"/>
          <w:kern w:val="0"/>
          <w:szCs w:val="21"/>
          <w:highlight w:val="none"/>
          <w:lang w:val="en-US" w:eastAsia="zh-CN"/>
        </w:rPr>
        <w:t>20</w:t>
      </w:r>
      <w:r>
        <w:rPr>
          <w:rFonts w:hint="eastAsia" w:cs="Futura-Heavy"/>
          <w:b/>
          <w:bCs/>
          <w:color w:val="auto"/>
          <w:kern w:val="0"/>
          <w:szCs w:val="21"/>
          <w:highlight w:val="none"/>
        </w:rPr>
        <w:t>分）</w:t>
      </w:r>
      <w:bookmarkEnd w:id="127"/>
    </w:p>
    <w:tbl>
      <w:tblPr>
        <w:tblStyle w:val="4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1139"/>
        <w:gridCol w:w="7020"/>
        <w:gridCol w:w="859"/>
      </w:tblGrid>
      <w:tr w14:paraId="3AB36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36" w:type="dxa"/>
            <w:vAlign w:val="center"/>
          </w:tcPr>
          <w:p w14:paraId="154ADC32">
            <w:pPr>
              <w:spacing w:before="120" w:beforeLines="50" w:after="120" w:afterLines="50" w:line="360" w:lineRule="auto"/>
              <w:jc w:val="center"/>
              <w:rPr>
                <w:rFonts w:cs="@文鼎CS中黑"/>
                <w:b/>
                <w:bCs/>
                <w:color w:val="auto"/>
                <w:szCs w:val="21"/>
                <w:highlight w:val="none"/>
              </w:rPr>
            </w:pPr>
            <w:r>
              <w:rPr>
                <w:rFonts w:hint="eastAsia" w:cs="@文鼎CS中黑"/>
                <w:b/>
                <w:bCs/>
                <w:color w:val="auto"/>
                <w:szCs w:val="21"/>
                <w:highlight w:val="none"/>
              </w:rPr>
              <w:t>序号</w:t>
            </w:r>
          </w:p>
        </w:tc>
        <w:tc>
          <w:tcPr>
            <w:tcW w:w="1139" w:type="dxa"/>
            <w:vAlign w:val="center"/>
          </w:tcPr>
          <w:p w14:paraId="6839F30F">
            <w:pPr>
              <w:spacing w:before="120" w:beforeLines="50" w:after="120" w:afterLines="50" w:line="360" w:lineRule="auto"/>
              <w:jc w:val="center"/>
              <w:rPr>
                <w:rFonts w:cs="等线"/>
                <w:b/>
                <w:color w:val="auto"/>
                <w:highlight w:val="none"/>
              </w:rPr>
            </w:pPr>
            <w:r>
              <w:rPr>
                <w:rFonts w:hint="eastAsia" w:cs="等线"/>
                <w:b/>
                <w:color w:val="auto"/>
                <w:highlight w:val="none"/>
              </w:rPr>
              <w:t>评审因素</w:t>
            </w:r>
          </w:p>
        </w:tc>
        <w:tc>
          <w:tcPr>
            <w:tcW w:w="7020" w:type="dxa"/>
            <w:vAlign w:val="center"/>
          </w:tcPr>
          <w:p w14:paraId="1F253BCE">
            <w:pPr>
              <w:spacing w:before="120" w:beforeLines="50" w:after="120" w:afterLines="50" w:line="360" w:lineRule="auto"/>
              <w:jc w:val="center"/>
              <w:rPr>
                <w:rFonts w:cs="等线"/>
                <w:b/>
                <w:color w:val="auto"/>
                <w:highlight w:val="none"/>
              </w:rPr>
            </w:pPr>
            <w:r>
              <w:rPr>
                <w:rFonts w:hint="eastAsia" w:cs="等线"/>
                <w:b/>
                <w:color w:val="auto"/>
                <w:highlight w:val="none"/>
              </w:rPr>
              <w:t>评审标准</w:t>
            </w:r>
          </w:p>
        </w:tc>
        <w:tc>
          <w:tcPr>
            <w:tcW w:w="859" w:type="dxa"/>
            <w:vAlign w:val="center"/>
          </w:tcPr>
          <w:p w14:paraId="2EA6E3A3">
            <w:pPr>
              <w:spacing w:before="120" w:beforeLines="50" w:after="120" w:afterLines="50" w:line="360" w:lineRule="auto"/>
              <w:jc w:val="center"/>
              <w:rPr>
                <w:color w:val="auto"/>
                <w:szCs w:val="21"/>
                <w:highlight w:val="none"/>
              </w:rPr>
            </w:pPr>
            <w:r>
              <w:rPr>
                <w:rFonts w:hint="eastAsia" w:cs="@文鼎CS中黑"/>
                <w:b/>
                <w:bCs/>
                <w:color w:val="auto"/>
                <w:szCs w:val="21"/>
                <w:highlight w:val="none"/>
              </w:rPr>
              <w:t>分值（分）</w:t>
            </w:r>
          </w:p>
        </w:tc>
      </w:tr>
      <w:tr w14:paraId="7359A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836" w:type="dxa"/>
            <w:tcBorders>
              <w:bottom w:val="single" w:color="auto" w:sz="4" w:space="0"/>
            </w:tcBorders>
            <w:vAlign w:val="center"/>
          </w:tcPr>
          <w:p w14:paraId="31408E6B">
            <w:pPr>
              <w:spacing w:before="120" w:beforeLines="50" w:after="120" w:afterLines="50" w:line="360" w:lineRule="auto"/>
              <w:jc w:val="center"/>
              <w:rPr>
                <w:rFonts w:cs="Courier New"/>
                <w:color w:val="auto"/>
                <w:szCs w:val="21"/>
                <w:highlight w:val="none"/>
              </w:rPr>
            </w:pPr>
            <w:r>
              <w:rPr>
                <w:rFonts w:hint="eastAsia" w:cs="Courier New"/>
                <w:color w:val="auto"/>
                <w:szCs w:val="21"/>
                <w:highlight w:val="none"/>
              </w:rPr>
              <w:t>1</w:t>
            </w:r>
          </w:p>
        </w:tc>
        <w:tc>
          <w:tcPr>
            <w:tcW w:w="1139" w:type="dxa"/>
            <w:tcBorders>
              <w:bottom w:val="single" w:color="auto" w:sz="4" w:space="0"/>
            </w:tcBorders>
            <w:vAlign w:val="center"/>
          </w:tcPr>
          <w:p w14:paraId="76925182">
            <w:pPr>
              <w:spacing w:before="120" w:beforeLines="50" w:after="120" w:afterLines="50" w:line="360" w:lineRule="auto"/>
              <w:jc w:val="center"/>
              <w:rPr>
                <w:rFonts w:cs="Courier New"/>
                <w:color w:val="auto"/>
                <w:szCs w:val="21"/>
                <w:highlight w:val="none"/>
              </w:rPr>
            </w:pPr>
            <w:r>
              <w:rPr>
                <w:rFonts w:hint="eastAsia" w:cs="Courier New"/>
                <w:color w:val="auto"/>
                <w:szCs w:val="21"/>
                <w:highlight w:val="none"/>
              </w:rPr>
              <w:t>价格</w:t>
            </w:r>
          </w:p>
        </w:tc>
        <w:tc>
          <w:tcPr>
            <w:tcW w:w="7020" w:type="dxa"/>
            <w:tcBorders>
              <w:bottom w:val="single" w:color="auto" w:sz="4" w:space="0"/>
            </w:tcBorders>
            <w:vAlign w:val="center"/>
          </w:tcPr>
          <w:p w14:paraId="344FDF44">
            <w:pPr>
              <w:spacing w:before="120" w:beforeLines="50" w:after="120" w:afterLines="50" w:line="360" w:lineRule="auto"/>
              <w:jc w:val="both"/>
              <w:rPr>
                <w:rFonts w:cs="Wingdings"/>
                <w:b/>
                <w:bCs w:val="0"/>
                <w:color w:val="auto"/>
                <w:kern w:val="0"/>
                <w:szCs w:val="21"/>
                <w:highlight w:val="none"/>
              </w:rPr>
            </w:pPr>
            <w:r>
              <w:rPr>
                <w:rFonts w:hint="eastAsia"/>
                <w:bCs/>
                <w:color w:val="auto"/>
                <w:szCs w:val="21"/>
                <w:highlight w:val="none"/>
              </w:rPr>
              <w:t>投标（响应）报价得分＝（评审基准价</w:t>
            </w:r>
            <w:r>
              <w:rPr>
                <w:bCs/>
                <w:color w:val="auto"/>
                <w:szCs w:val="21"/>
                <w:highlight w:val="none"/>
              </w:rPr>
              <w:t>/</w:t>
            </w:r>
            <w:r>
              <w:rPr>
                <w:rFonts w:hint="eastAsia"/>
                <w:bCs/>
                <w:color w:val="auto"/>
                <w:szCs w:val="21"/>
                <w:highlight w:val="none"/>
              </w:rPr>
              <w:t>最终响应</w:t>
            </w:r>
            <w:r>
              <w:rPr>
                <w:bCs/>
                <w:color w:val="auto"/>
                <w:szCs w:val="21"/>
                <w:highlight w:val="none"/>
              </w:rPr>
              <w:t>报价）×价格分值【注：满足</w:t>
            </w:r>
            <w:r>
              <w:rPr>
                <w:rFonts w:hint="eastAsia"/>
                <w:bCs/>
                <w:color w:val="auto"/>
                <w:szCs w:val="21"/>
                <w:highlight w:val="none"/>
              </w:rPr>
              <w:t>采购</w:t>
            </w:r>
            <w:r>
              <w:rPr>
                <w:bCs/>
                <w:color w:val="auto"/>
                <w:szCs w:val="21"/>
                <w:highlight w:val="none"/>
              </w:rPr>
              <w:t>文件要求且</w:t>
            </w:r>
            <w:r>
              <w:rPr>
                <w:rFonts w:hint="eastAsia"/>
                <w:bCs/>
                <w:color w:val="auto"/>
                <w:szCs w:val="21"/>
                <w:highlight w:val="none"/>
              </w:rPr>
              <w:t>最终响应</w:t>
            </w:r>
            <w:r>
              <w:rPr>
                <w:bCs/>
                <w:color w:val="auto"/>
                <w:szCs w:val="21"/>
                <w:highlight w:val="none"/>
              </w:rPr>
              <w:t>价格最低的</w:t>
            </w:r>
            <w:r>
              <w:rPr>
                <w:rFonts w:hint="eastAsia"/>
                <w:bCs/>
                <w:color w:val="auto"/>
                <w:szCs w:val="21"/>
                <w:highlight w:val="none"/>
              </w:rPr>
              <w:t>响应</w:t>
            </w:r>
            <w:r>
              <w:rPr>
                <w:bCs/>
                <w:color w:val="auto"/>
                <w:szCs w:val="21"/>
                <w:highlight w:val="none"/>
              </w:rPr>
              <w:t>报价为评</w:t>
            </w:r>
            <w:r>
              <w:rPr>
                <w:rFonts w:hint="eastAsia"/>
                <w:bCs/>
                <w:color w:val="auto"/>
                <w:szCs w:val="21"/>
                <w:highlight w:val="none"/>
              </w:rPr>
              <w:t>审</w:t>
            </w:r>
            <w:r>
              <w:rPr>
                <w:bCs/>
                <w:color w:val="auto"/>
                <w:szCs w:val="21"/>
                <w:highlight w:val="none"/>
              </w:rPr>
              <w:t>基准价。】最低报价不是</w:t>
            </w:r>
            <w:r>
              <w:rPr>
                <w:rFonts w:hint="eastAsia"/>
                <w:bCs/>
                <w:color w:val="auto"/>
                <w:szCs w:val="21"/>
                <w:highlight w:val="none"/>
              </w:rPr>
              <w:t>成交</w:t>
            </w:r>
            <w:r>
              <w:rPr>
                <w:bCs/>
                <w:color w:val="auto"/>
                <w:szCs w:val="21"/>
                <w:highlight w:val="none"/>
              </w:rPr>
              <w:t>的唯一依据。因落实政府采购政策进行价格调整的，以调整后的价格计算评</w:t>
            </w:r>
            <w:r>
              <w:rPr>
                <w:rFonts w:hint="eastAsia"/>
                <w:bCs/>
                <w:color w:val="auto"/>
                <w:szCs w:val="21"/>
                <w:highlight w:val="none"/>
              </w:rPr>
              <w:t>审</w:t>
            </w:r>
            <w:r>
              <w:rPr>
                <w:bCs/>
                <w:color w:val="auto"/>
                <w:szCs w:val="21"/>
                <w:highlight w:val="none"/>
              </w:rPr>
              <w:t>基准价和</w:t>
            </w:r>
            <w:r>
              <w:rPr>
                <w:rFonts w:hint="eastAsia"/>
                <w:bCs/>
                <w:color w:val="auto"/>
                <w:szCs w:val="21"/>
                <w:highlight w:val="none"/>
              </w:rPr>
              <w:t>最终响应</w:t>
            </w:r>
            <w:r>
              <w:rPr>
                <w:bCs/>
                <w:color w:val="auto"/>
                <w:szCs w:val="21"/>
                <w:highlight w:val="none"/>
              </w:rPr>
              <w:t>报价</w:t>
            </w:r>
            <w:r>
              <w:rPr>
                <w:rFonts w:hint="eastAsia"/>
                <w:bCs/>
                <w:color w:val="auto"/>
                <w:szCs w:val="21"/>
                <w:highlight w:val="none"/>
              </w:rPr>
              <w:t>。</w:t>
            </w:r>
          </w:p>
        </w:tc>
        <w:tc>
          <w:tcPr>
            <w:tcW w:w="859" w:type="dxa"/>
            <w:tcBorders>
              <w:bottom w:val="single" w:color="auto" w:sz="4" w:space="0"/>
            </w:tcBorders>
            <w:vAlign w:val="center"/>
          </w:tcPr>
          <w:p w14:paraId="74061765">
            <w:pPr>
              <w:spacing w:before="120" w:beforeLines="50" w:after="120" w:afterLines="50" w:line="360" w:lineRule="auto"/>
              <w:jc w:val="center"/>
              <w:rPr>
                <w:rFonts w:hint="default" w:eastAsia="宋体"/>
                <w:color w:val="auto"/>
                <w:szCs w:val="21"/>
                <w:highlight w:val="none"/>
                <w:lang w:val="en-US" w:eastAsia="zh-CN"/>
              </w:rPr>
            </w:pPr>
            <w:r>
              <w:rPr>
                <w:rFonts w:hint="eastAsia"/>
                <w:color w:val="auto"/>
                <w:szCs w:val="21"/>
                <w:highlight w:val="none"/>
                <w:lang w:val="en-US" w:eastAsia="zh-CN"/>
              </w:rPr>
              <w:t>20</w:t>
            </w:r>
          </w:p>
        </w:tc>
      </w:tr>
    </w:tbl>
    <w:p w14:paraId="38CB1839">
      <w:pPr>
        <w:pStyle w:val="19"/>
        <w:keepNext w:val="0"/>
        <w:keepLines w:val="0"/>
        <w:pageBreakBefore w:val="0"/>
        <w:widowControl w:val="0"/>
        <w:kinsoku/>
        <w:wordWrap/>
        <w:overflowPunct/>
        <w:topLinePunct w:val="0"/>
        <w:bidi w:val="0"/>
        <w:spacing w:line="360" w:lineRule="auto"/>
        <w:rPr>
          <w:rFonts w:hint="eastAsia"/>
          <w:color w:val="auto"/>
          <w:szCs w:val="20"/>
          <w:highlight w:val="none"/>
        </w:rPr>
      </w:pPr>
    </w:p>
    <w:p w14:paraId="27959DBD">
      <w:pPr>
        <w:pStyle w:val="45"/>
        <w:keepNext w:val="0"/>
        <w:keepLines w:val="0"/>
        <w:pageBreakBefore w:val="0"/>
        <w:widowControl w:val="0"/>
        <w:kinsoku/>
        <w:wordWrap/>
        <w:overflowPunct/>
        <w:topLinePunct w:val="0"/>
        <w:bidi w:val="0"/>
        <w:spacing w:after="0" w:line="360" w:lineRule="auto"/>
        <w:ind w:left="0" w:leftChars="0"/>
        <w:outlineLvl w:val="1"/>
        <w:rPr>
          <w:rFonts w:hint="eastAsia" w:ascii="宋体" w:hAnsi="宋体" w:eastAsia="宋体" w:cs="宋体"/>
          <w:b/>
          <w:bCs/>
          <w:color w:val="auto"/>
          <w:kern w:val="21"/>
          <w:szCs w:val="21"/>
          <w:highlight w:val="none"/>
          <w:lang w:eastAsia="zh-CN"/>
        </w:rPr>
      </w:pPr>
      <w:bookmarkStart w:id="128" w:name="_Toc22087"/>
      <w:r>
        <w:rPr>
          <w:rFonts w:hint="eastAsia" w:ascii="宋体" w:hAnsi="宋体" w:eastAsia="宋体" w:cs="宋体"/>
          <w:b/>
          <w:bCs/>
          <w:color w:val="auto"/>
          <w:kern w:val="21"/>
          <w:szCs w:val="21"/>
          <w:highlight w:val="none"/>
          <w:lang w:eastAsia="zh-CN"/>
        </w:rPr>
        <w:t>采购包</w:t>
      </w:r>
      <w:r>
        <w:rPr>
          <w:rFonts w:hint="eastAsia" w:ascii="宋体" w:hAnsi="宋体" w:eastAsia="宋体" w:cs="宋体"/>
          <w:b/>
          <w:bCs/>
          <w:color w:val="auto"/>
          <w:kern w:val="21"/>
          <w:szCs w:val="21"/>
          <w:highlight w:val="none"/>
          <w:lang w:val="en-US" w:eastAsia="zh-CN"/>
        </w:rPr>
        <w:t>2</w:t>
      </w:r>
      <w:r>
        <w:rPr>
          <w:rFonts w:hint="eastAsia" w:ascii="宋体" w:hAnsi="宋体" w:eastAsia="宋体" w:cs="宋体"/>
          <w:b/>
          <w:bCs/>
          <w:color w:val="auto"/>
          <w:kern w:val="21"/>
          <w:szCs w:val="21"/>
          <w:highlight w:val="none"/>
          <w:lang w:eastAsia="zh-CN"/>
        </w:rPr>
        <w:t>（信息化系统设备保养维护）：</w:t>
      </w:r>
      <w:bookmarkEnd w:id="128"/>
    </w:p>
    <w:p w14:paraId="76198E0B">
      <w:pPr>
        <w:spacing w:line="360" w:lineRule="auto"/>
        <w:ind w:firstLine="422" w:firstLineChars="200"/>
        <w:jc w:val="left"/>
        <w:outlineLvl w:val="3"/>
        <w:rPr>
          <w:rFonts w:cs="Futura-Heavy"/>
          <w:b/>
          <w:bCs/>
          <w:color w:val="auto"/>
          <w:kern w:val="0"/>
          <w:szCs w:val="21"/>
          <w:highlight w:val="none"/>
        </w:rPr>
      </w:pPr>
      <w:r>
        <w:rPr>
          <w:rFonts w:hint="eastAsia" w:cs="Futura-Heavy"/>
          <w:b/>
          <w:bCs/>
          <w:color w:val="auto"/>
          <w:kern w:val="0"/>
          <w:szCs w:val="21"/>
          <w:highlight w:val="none"/>
        </w:rPr>
        <w:t>表三：商务评分细则表</w:t>
      </w:r>
      <w:r>
        <w:rPr>
          <w:rFonts w:hint="eastAsia" w:cs="Futura-Heavy"/>
          <w:b/>
          <w:bCs/>
          <w:color w:val="auto"/>
          <w:kern w:val="0"/>
          <w:szCs w:val="21"/>
          <w:highlight w:val="none"/>
        </w:rPr>
        <w:t>（</w:t>
      </w:r>
      <w:r>
        <w:rPr>
          <w:rFonts w:hint="eastAsia" w:cs="Futura-Heavy"/>
          <w:b/>
          <w:bCs/>
          <w:color w:val="auto"/>
          <w:kern w:val="0"/>
          <w:szCs w:val="21"/>
          <w:highlight w:val="none"/>
          <w:lang w:val="en-US" w:eastAsia="zh-CN"/>
        </w:rPr>
        <w:t>19</w:t>
      </w:r>
      <w:r>
        <w:rPr>
          <w:rFonts w:hint="eastAsia" w:cs="Futura-Heavy"/>
          <w:b/>
          <w:bCs/>
          <w:color w:val="auto"/>
          <w:kern w:val="0"/>
          <w:szCs w:val="21"/>
          <w:highlight w:val="none"/>
        </w:rPr>
        <w:t>分）</w:t>
      </w:r>
      <w:r>
        <w:rPr>
          <w:rFonts w:cs="Futura-Heavy"/>
          <w:b/>
          <w:bCs/>
          <w:color w:val="auto"/>
          <w:kern w:val="0"/>
          <w:szCs w:val="21"/>
          <w:highlight w:val="none"/>
        </w:rPr>
        <w:t xml:space="preserve"> </w:t>
      </w:r>
    </w:p>
    <w:tbl>
      <w:tblPr>
        <w:tblStyle w:val="46"/>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1108"/>
        <w:gridCol w:w="6900"/>
        <w:gridCol w:w="850"/>
      </w:tblGrid>
      <w:tr w14:paraId="159CC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78" w:type="dxa"/>
            <w:vAlign w:val="center"/>
          </w:tcPr>
          <w:p w14:paraId="6A4964C2">
            <w:pPr>
              <w:spacing w:before="120" w:beforeLines="50" w:after="120" w:afterLines="50" w:line="360" w:lineRule="auto"/>
              <w:jc w:val="center"/>
              <w:rPr>
                <w:rFonts w:cs="等线"/>
                <w:b/>
                <w:color w:val="auto"/>
                <w:highlight w:val="none"/>
              </w:rPr>
            </w:pPr>
            <w:r>
              <w:rPr>
                <w:rFonts w:hint="eastAsia" w:cs="等线"/>
                <w:b/>
                <w:color w:val="auto"/>
                <w:highlight w:val="none"/>
              </w:rPr>
              <w:t>序号</w:t>
            </w:r>
          </w:p>
        </w:tc>
        <w:tc>
          <w:tcPr>
            <w:tcW w:w="1108" w:type="dxa"/>
            <w:vAlign w:val="center"/>
          </w:tcPr>
          <w:p w14:paraId="6588A647">
            <w:pPr>
              <w:spacing w:before="120" w:beforeLines="50" w:after="120" w:afterLines="50" w:line="360" w:lineRule="auto"/>
              <w:jc w:val="center"/>
              <w:rPr>
                <w:rFonts w:cs="等线"/>
                <w:b/>
                <w:color w:val="auto"/>
                <w:highlight w:val="none"/>
              </w:rPr>
            </w:pPr>
            <w:r>
              <w:rPr>
                <w:rFonts w:hint="eastAsia" w:cs="等线"/>
                <w:b/>
                <w:color w:val="auto"/>
                <w:highlight w:val="none"/>
              </w:rPr>
              <w:t>评审因素</w:t>
            </w:r>
          </w:p>
        </w:tc>
        <w:tc>
          <w:tcPr>
            <w:tcW w:w="6900" w:type="dxa"/>
            <w:vAlign w:val="center"/>
          </w:tcPr>
          <w:p w14:paraId="774D9F44">
            <w:pPr>
              <w:spacing w:before="120" w:beforeLines="50" w:after="120" w:afterLines="50" w:line="360" w:lineRule="auto"/>
              <w:jc w:val="center"/>
              <w:rPr>
                <w:rFonts w:cs="等线"/>
                <w:b/>
                <w:color w:val="auto"/>
                <w:highlight w:val="none"/>
              </w:rPr>
            </w:pPr>
            <w:r>
              <w:rPr>
                <w:rFonts w:hint="eastAsia" w:cs="等线"/>
                <w:b/>
                <w:color w:val="auto"/>
                <w:highlight w:val="none"/>
              </w:rPr>
              <w:t>评审标准</w:t>
            </w:r>
          </w:p>
        </w:tc>
        <w:tc>
          <w:tcPr>
            <w:tcW w:w="850" w:type="dxa"/>
            <w:vAlign w:val="center"/>
          </w:tcPr>
          <w:p w14:paraId="11181117">
            <w:pPr>
              <w:spacing w:before="120" w:beforeLines="50" w:after="120" w:afterLines="50" w:line="360" w:lineRule="auto"/>
              <w:jc w:val="center"/>
              <w:rPr>
                <w:rFonts w:cs="等线"/>
                <w:b/>
                <w:color w:val="auto"/>
                <w:highlight w:val="none"/>
              </w:rPr>
            </w:pPr>
            <w:r>
              <w:rPr>
                <w:rFonts w:hint="eastAsia" w:cs="等线"/>
                <w:b/>
                <w:color w:val="auto"/>
                <w:highlight w:val="none"/>
              </w:rPr>
              <w:t>分值（分）</w:t>
            </w:r>
          </w:p>
        </w:tc>
      </w:tr>
      <w:tr w14:paraId="3A332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78" w:type="dxa"/>
            <w:vAlign w:val="center"/>
          </w:tcPr>
          <w:p w14:paraId="717EDAAD">
            <w:pPr>
              <w:pStyle w:val="126"/>
              <w:numPr>
                <w:ilvl w:val="0"/>
                <w:numId w:val="0"/>
              </w:numPr>
              <w:spacing w:before="120" w:beforeLines="50" w:after="120" w:afterLines="50" w:line="360" w:lineRule="auto"/>
              <w:ind w:leftChars="0"/>
              <w:jc w:val="center"/>
              <w:rPr>
                <w:rFonts w:hint="eastAsia" w:ascii="宋体" w:hAnsi="宋体" w:eastAsia="宋体" w:cs="等线"/>
                <w:color w:val="auto"/>
                <w:szCs w:val="21"/>
                <w:highlight w:val="none"/>
                <w:lang w:val="en-US" w:eastAsia="zh-CN"/>
              </w:rPr>
            </w:pPr>
            <w:r>
              <w:rPr>
                <w:rFonts w:hint="eastAsia" w:ascii="宋体" w:hAnsi="宋体" w:cs="等线"/>
                <w:color w:val="auto"/>
                <w:szCs w:val="21"/>
                <w:highlight w:val="none"/>
                <w:lang w:val="en-US" w:eastAsia="zh-CN"/>
              </w:rPr>
              <w:t>1</w:t>
            </w:r>
          </w:p>
        </w:tc>
        <w:tc>
          <w:tcPr>
            <w:tcW w:w="1108" w:type="dxa"/>
            <w:vAlign w:val="center"/>
          </w:tcPr>
          <w:p w14:paraId="67560DEC">
            <w:pPr>
              <w:spacing w:line="360" w:lineRule="auto"/>
              <w:jc w:val="center"/>
              <w:rPr>
                <w:rFonts w:ascii="宋体" w:hAnsi="宋体" w:eastAsia="宋体" w:cs="等线"/>
                <w:color w:val="auto"/>
                <w:kern w:val="2"/>
                <w:sz w:val="21"/>
                <w:szCs w:val="21"/>
                <w:highlight w:val="none"/>
                <w:lang w:val="en-US" w:eastAsia="zh-CN" w:bidi="ar-SA"/>
              </w:rPr>
            </w:pPr>
            <w:r>
              <w:rPr>
                <w:rFonts w:hint="eastAsia" w:cs="等线"/>
                <w:color w:val="auto"/>
                <w:szCs w:val="21"/>
                <w:highlight w:val="none"/>
              </w:rPr>
              <w:t>类似项目经验</w:t>
            </w:r>
          </w:p>
        </w:tc>
        <w:tc>
          <w:tcPr>
            <w:tcW w:w="6900" w:type="dxa"/>
            <w:vAlign w:val="center"/>
          </w:tcPr>
          <w:p w14:paraId="0C013A1A">
            <w:pPr>
              <w:autoSpaceDE/>
              <w:autoSpaceDN/>
              <w:spacing w:line="360" w:lineRule="auto"/>
              <w:jc w:val="both"/>
              <w:rPr>
                <w:color w:val="auto"/>
                <w:szCs w:val="21"/>
                <w:highlight w:val="none"/>
                <w:lang w:eastAsia="zh-CN"/>
              </w:rPr>
            </w:pPr>
            <w:r>
              <w:rPr>
                <w:rFonts w:hint="eastAsia"/>
                <w:color w:val="auto"/>
                <w:szCs w:val="21"/>
                <w:highlight w:val="none"/>
                <w:lang w:val="en-US" w:eastAsia="zh-CN"/>
              </w:rPr>
              <w:t>响应供应商</w:t>
            </w:r>
            <w:r>
              <w:rPr>
                <w:rFonts w:hint="eastAsia"/>
                <w:color w:val="auto"/>
                <w:szCs w:val="21"/>
                <w:highlight w:val="none"/>
                <w:lang w:eastAsia="zh-CN"/>
              </w:rPr>
              <w:t>202</w:t>
            </w:r>
            <w:r>
              <w:rPr>
                <w:rFonts w:hint="eastAsia"/>
                <w:color w:val="auto"/>
                <w:szCs w:val="21"/>
                <w:highlight w:val="none"/>
                <w:lang w:val="en-US" w:eastAsia="zh-CN"/>
              </w:rPr>
              <w:t>2</w:t>
            </w:r>
            <w:r>
              <w:rPr>
                <w:rFonts w:hint="eastAsia"/>
                <w:color w:val="auto"/>
                <w:szCs w:val="21"/>
                <w:highlight w:val="none"/>
                <w:lang w:eastAsia="zh-CN"/>
              </w:rPr>
              <w:t>年1月1日至今具有</w:t>
            </w:r>
            <w:r>
              <w:rPr>
                <w:rFonts w:hint="eastAsia"/>
                <w:color w:val="auto"/>
                <w:szCs w:val="21"/>
                <w:highlight w:val="none"/>
                <w:lang w:val="en-US" w:eastAsia="zh-CN"/>
              </w:rPr>
              <w:t>类似</w:t>
            </w:r>
            <w:r>
              <w:rPr>
                <w:rFonts w:hint="eastAsia"/>
                <w:color w:val="auto"/>
                <w:szCs w:val="21"/>
                <w:highlight w:val="none"/>
                <w:lang w:eastAsia="zh-CN"/>
              </w:rPr>
              <w:t>（</w:t>
            </w:r>
            <w:r>
              <w:rPr>
                <w:rFonts w:hint="eastAsia"/>
                <w:color w:val="auto"/>
                <w:szCs w:val="21"/>
                <w:highlight w:val="none"/>
                <w:lang w:val="en-US" w:eastAsia="zh-CN"/>
              </w:rPr>
              <w:t>网络设备或服务器设备或UPS或</w:t>
            </w:r>
            <w:r>
              <w:rPr>
                <w:rFonts w:hint="eastAsia"/>
                <w:color w:val="auto"/>
                <w:szCs w:val="21"/>
                <w:highlight w:val="none"/>
                <w:lang w:eastAsia="zh-CN"/>
              </w:rPr>
              <w:t>精密空调</w:t>
            </w:r>
            <w:r>
              <w:rPr>
                <w:rFonts w:hint="eastAsia"/>
                <w:color w:val="auto"/>
                <w:szCs w:val="21"/>
                <w:highlight w:val="none"/>
                <w:lang w:val="en-US" w:eastAsia="zh-CN"/>
              </w:rPr>
              <w:t>或</w:t>
            </w:r>
            <w:r>
              <w:rPr>
                <w:rFonts w:hint="eastAsia"/>
                <w:color w:val="auto"/>
                <w:szCs w:val="21"/>
                <w:highlight w:val="none"/>
                <w:lang w:eastAsia="zh-CN"/>
              </w:rPr>
              <w:t>弱电信息化系统</w:t>
            </w:r>
            <w:r>
              <w:rPr>
                <w:rFonts w:hint="eastAsia"/>
                <w:color w:val="auto"/>
                <w:szCs w:val="21"/>
                <w:highlight w:val="none"/>
                <w:lang w:val="en-US" w:eastAsia="zh-CN"/>
              </w:rPr>
              <w:t>相关维护</w:t>
            </w:r>
            <w:r>
              <w:rPr>
                <w:rFonts w:hint="eastAsia"/>
                <w:color w:val="auto"/>
                <w:szCs w:val="21"/>
                <w:highlight w:val="none"/>
                <w:lang w:eastAsia="zh-CN"/>
              </w:rPr>
              <w:t>）</w:t>
            </w:r>
            <w:r>
              <w:rPr>
                <w:rFonts w:hint="eastAsia"/>
                <w:color w:val="auto"/>
                <w:szCs w:val="21"/>
                <w:highlight w:val="none"/>
                <w:lang w:val="en-US" w:eastAsia="zh-CN"/>
              </w:rPr>
              <w:t>保养维护</w:t>
            </w:r>
            <w:r>
              <w:rPr>
                <w:rFonts w:hint="eastAsia"/>
                <w:color w:val="auto"/>
                <w:szCs w:val="21"/>
                <w:highlight w:val="none"/>
                <w:lang w:eastAsia="zh-CN"/>
              </w:rPr>
              <w:t>项目业绩，每提供一份得</w:t>
            </w:r>
            <w:r>
              <w:rPr>
                <w:rFonts w:hint="eastAsia"/>
                <w:color w:val="auto"/>
                <w:szCs w:val="21"/>
                <w:highlight w:val="none"/>
                <w:lang w:val="en-US" w:eastAsia="zh-CN"/>
              </w:rPr>
              <w:t>1</w:t>
            </w:r>
            <w:r>
              <w:rPr>
                <w:rFonts w:hint="eastAsia"/>
                <w:color w:val="auto"/>
                <w:szCs w:val="21"/>
                <w:highlight w:val="none"/>
                <w:lang w:eastAsia="zh-CN"/>
              </w:rPr>
              <w:t>分，共计</w:t>
            </w:r>
            <w:r>
              <w:rPr>
                <w:rFonts w:hint="eastAsia"/>
                <w:color w:val="auto"/>
                <w:szCs w:val="21"/>
                <w:highlight w:val="none"/>
                <w:lang w:val="en-US" w:eastAsia="zh-CN"/>
              </w:rPr>
              <w:t>10</w:t>
            </w:r>
            <w:r>
              <w:rPr>
                <w:rFonts w:hint="eastAsia"/>
                <w:color w:val="auto"/>
                <w:szCs w:val="21"/>
                <w:highlight w:val="none"/>
                <w:lang w:eastAsia="zh-CN"/>
              </w:rPr>
              <w:t>份业绩，本小项满分</w:t>
            </w:r>
            <w:r>
              <w:rPr>
                <w:rFonts w:hint="eastAsia"/>
                <w:color w:val="auto"/>
                <w:szCs w:val="21"/>
                <w:highlight w:val="none"/>
                <w:lang w:val="en-US" w:eastAsia="zh-CN"/>
              </w:rPr>
              <w:t>20</w:t>
            </w:r>
            <w:r>
              <w:rPr>
                <w:rFonts w:hint="eastAsia"/>
                <w:color w:val="auto"/>
                <w:szCs w:val="21"/>
                <w:highlight w:val="none"/>
                <w:lang w:eastAsia="zh-CN"/>
              </w:rPr>
              <w:t>分；</w:t>
            </w:r>
          </w:p>
          <w:p w14:paraId="482DC01C">
            <w:pPr>
              <w:spacing w:line="360" w:lineRule="auto"/>
              <w:rPr>
                <w:rFonts w:ascii="宋体" w:hAnsi="宋体" w:eastAsia="宋体" w:cs="Times New Roman"/>
                <w:color w:val="auto"/>
                <w:kern w:val="2"/>
                <w:sz w:val="21"/>
                <w:szCs w:val="21"/>
                <w:highlight w:val="none"/>
                <w:lang w:val="en-US" w:eastAsia="zh-CN" w:bidi="ar-SA"/>
              </w:rPr>
            </w:pPr>
            <w:r>
              <w:rPr>
                <w:rFonts w:hint="eastAsia"/>
                <w:b/>
                <w:bCs/>
                <w:color w:val="auto"/>
                <w:szCs w:val="21"/>
                <w:highlight w:val="none"/>
                <w:lang w:eastAsia="zh-CN"/>
              </w:rPr>
              <w:t>注：</w:t>
            </w:r>
            <w:r>
              <w:rPr>
                <w:rFonts w:hint="eastAsia" w:cs="@宋体"/>
                <w:b/>
                <w:bCs/>
                <w:color w:val="auto"/>
                <w:szCs w:val="21"/>
                <w:highlight w:val="none"/>
                <w:lang w:val="en-US" w:eastAsia="zh-CN"/>
              </w:rPr>
              <w:t>响应</w:t>
            </w:r>
            <w:r>
              <w:rPr>
                <w:rFonts w:hint="eastAsia"/>
                <w:b/>
                <w:bCs/>
                <w:color w:val="auto"/>
                <w:szCs w:val="21"/>
                <w:highlight w:val="none"/>
                <w:lang w:eastAsia="zh-CN"/>
              </w:rPr>
              <w:t>文件中须提供合同关键页复印件（包括但不限于合同名称页、合同主要内容页、合同签订日期页、合同双方签字盖章页），否则不得分。合同体现签订日期的，以合同签订日期为准；合同未体现签订日期的，但是合同履行期限能明显判断在202</w:t>
            </w:r>
            <w:r>
              <w:rPr>
                <w:rFonts w:hint="eastAsia"/>
                <w:b/>
                <w:bCs/>
                <w:color w:val="auto"/>
                <w:szCs w:val="21"/>
                <w:highlight w:val="none"/>
                <w:lang w:val="en-US" w:eastAsia="zh-CN"/>
              </w:rPr>
              <w:t>1</w:t>
            </w:r>
            <w:r>
              <w:rPr>
                <w:rFonts w:hint="eastAsia"/>
                <w:b/>
                <w:bCs/>
                <w:color w:val="auto"/>
                <w:szCs w:val="21"/>
                <w:highlight w:val="none"/>
                <w:lang w:eastAsia="zh-CN"/>
              </w:rPr>
              <w:t>年1月1日或之后开始实施的，该合同应予以认可。若合同无法体现具体内容的，可增加客户方提供的证明材料作为佐证材料，否则不得分。</w:t>
            </w:r>
          </w:p>
        </w:tc>
        <w:tc>
          <w:tcPr>
            <w:tcW w:w="850" w:type="dxa"/>
            <w:vAlign w:val="center"/>
          </w:tcPr>
          <w:p w14:paraId="7F9A424D">
            <w:pPr>
              <w:spacing w:line="360" w:lineRule="auto"/>
              <w:jc w:val="center"/>
              <w:rPr>
                <w:rFonts w:hint="default" w:ascii="宋体" w:hAnsi="宋体"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10</w:t>
            </w:r>
          </w:p>
        </w:tc>
      </w:tr>
      <w:tr w14:paraId="41E5F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78" w:type="dxa"/>
            <w:vAlign w:val="center"/>
          </w:tcPr>
          <w:p w14:paraId="08EF2AB6">
            <w:pPr>
              <w:pStyle w:val="126"/>
              <w:numPr>
                <w:ilvl w:val="0"/>
                <w:numId w:val="0"/>
              </w:numPr>
              <w:spacing w:before="120" w:beforeLines="50" w:after="120" w:afterLines="50" w:line="360" w:lineRule="auto"/>
              <w:ind w:leftChars="0"/>
              <w:jc w:val="center"/>
              <w:rPr>
                <w:rFonts w:hint="eastAsia" w:ascii="宋体" w:hAnsi="宋体" w:eastAsia="宋体" w:cs="等线"/>
                <w:color w:val="auto"/>
                <w:szCs w:val="21"/>
                <w:highlight w:val="none"/>
                <w:lang w:val="en-US" w:eastAsia="zh-CN"/>
              </w:rPr>
            </w:pPr>
            <w:r>
              <w:rPr>
                <w:rFonts w:hint="eastAsia" w:ascii="宋体" w:hAnsi="宋体" w:cs="等线"/>
                <w:color w:val="auto"/>
                <w:szCs w:val="21"/>
                <w:highlight w:val="none"/>
                <w:lang w:val="en-US" w:eastAsia="zh-CN"/>
              </w:rPr>
              <w:t>2</w:t>
            </w:r>
          </w:p>
        </w:tc>
        <w:tc>
          <w:tcPr>
            <w:tcW w:w="1108" w:type="dxa"/>
            <w:vAlign w:val="center"/>
          </w:tcPr>
          <w:p w14:paraId="1BBFDB30">
            <w:pPr>
              <w:spacing w:line="360" w:lineRule="auto"/>
              <w:jc w:val="center"/>
              <w:rPr>
                <w:rFonts w:ascii="宋体" w:hAnsi="宋体" w:eastAsia="宋体" w:cs="等线"/>
                <w:color w:val="auto"/>
                <w:kern w:val="2"/>
                <w:sz w:val="21"/>
                <w:szCs w:val="21"/>
                <w:highlight w:val="none"/>
                <w:lang w:val="en-US" w:eastAsia="zh-CN" w:bidi="ar-SA"/>
              </w:rPr>
            </w:pPr>
            <w:r>
              <w:rPr>
                <w:rFonts w:hint="eastAsia" w:cs="等线"/>
                <w:color w:val="auto"/>
                <w:szCs w:val="21"/>
                <w:highlight w:val="none"/>
              </w:rPr>
              <w:t>企业认证情况</w:t>
            </w:r>
          </w:p>
        </w:tc>
        <w:tc>
          <w:tcPr>
            <w:tcW w:w="6900" w:type="dxa"/>
            <w:vAlign w:val="center"/>
          </w:tcPr>
          <w:p w14:paraId="7F0DAEF3">
            <w:pPr>
              <w:numPr>
                <w:ilvl w:val="-1"/>
                <w:numId w:val="0"/>
              </w:numPr>
              <w:spacing w:line="360" w:lineRule="auto"/>
              <w:rPr>
                <w:rFonts w:hint="eastAsia" w:cs="@宋体"/>
                <w:color w:val="auto"/>
                <w:szCs w:val="21"/>
                <w:highlight w:val="none"/>
                <w:lang w:val="en-US" w:eastAsia="zh-CN"/>
              </w:rPr>
            </w:pPr>
            <w:r>
              <w:rPr>
                <w:rFonts w:hint="eastAsia"/>
                <w:color w:val="auto"/>
                <w:szCs w:val="21"/>
                <w:highlight w:val="none"/>
                <w:lang w:val="en-US" w:eastAsia="zh-CN"/>
              </w:rPr>
              <w:t>响应供应商</w:t>
            </w:r>
            <w:r>
              <w:rPr>
                <w:rFonts w:cs="@宋体"/>
                <w:color w:val="auto"/>
                <w:szCs w:val="21"/>
                <w:highlight w:val="none"/>
                <w:lang w:eastAsia="zh-CN"/>
              </w:rPr>
              <w:t>提供有效期内的质量管理体系认证、职业健康安全管理体系认证、环境管理体系认证</w:t>
            </w:r>
            <w:r>
              <w:rPr>
                <w:rFonts w:hint="eastAsia" w:cs="@宋体"/>
                <w:color w:val="auto"/>
                <w:szCs w:val="21"/>
                <w:highlight w:val="none"/>
                <w:lang w:val="en-US" w:eastAsia="zh-CN"/>
              </w:rPr>
              <w:t>证书，每提供1个有效证书得3分，</w:t>
            </w:r>
            <w:r>
              <w:rPr>
                <w:rFonts w:hint="eastAsia"/>
                <w:color w:val="auto"/>
                <w:szCs w:val="21"/>
                <w:highlight w:val="none"/>
                <w:lang w:eastAsia="zh-CN"/>
              </w:rPr>
              <w:t>满分</w:t>
            </w:r>
            <w:r>
              <w:rPr>
                <w:rFonts w:hint="eastAsia"/>
                <w:color w:val="auto"/>
                <w:szCs w:val="21"/>
                <w:highlight w:val="none"/>
                <w:lang w:val="en-US" w:eastAsia="zh-CN"/>
              </w:rPr>
              <w:t>9</w:t>
            </w:r>
            <w:r>
              <w:rPr>
                <w:rFonts w:hint="eastAsia"/>
                <w:color w:val="auto"/>
                <w:szCs w:val="21"/>
                <w:highlight w:val="none"/>
                <w:lang w:eastAsia="zh-CN"/>
              </w:rPr>
              <w:t>分。</w:t>
            </w:r>
          </w:p>
          <w:p w14:paraId="30ECF375">
            <w:pPr>
              <w:spacing w:line="360" w:lineRule="auto"/>
              <w:rPr>
                <w:rFonts w:ascii="宋体" w:hAnsi="宋体" w:eastAsia="宋体" w:cs="@宋体"/>
                <w:color w:val="auto"/>
                <w:kern w:val="2"/>
                <w:sz w:val="21"/>
                <w:szCs w:val="21"/>
                <w:highlight w:val="none"/>
                <w:lang w:val="en-US" w:eastAsia="zh-CN" w:bidi="ar-SA"/>
              </w:rPr>
            </w:pPr>
            <w:r>
              <w:rPr>
                <w:rFonts w:hint="eastAsia" w:cs="@宋体"/>
                <w:b/>
                <w:bCs/>
                <w:color w:val="auto"/>
                <w:szCs w:val="21"/>
                <w:highlight w:val="none"/>
                <w:lang w:eastAsia="zh-CN"/>
              </w:rPr>
              <w:t>注：</w:t>
            </w:r>
            <w:r>
              <w:rPr>
                <w:rFonts w:hint="eastAsia" w:cs="@宋体"/>
                <w:b/>
                <w:bCs/>
                <w:color w:val="auto"/>
                <w:szCs w:val="21"/>
                <w:highlight w:val="none"/>
                <w:lang w:val="en-US" w:eastAsia="zh-CN"/>
              </w:rPr>
              <w:t>响应文件</w:t>
            </w:r>
            <w:r>
              <w:rPr>
                <w:rFonts w:hint="eastAsia"/>
                <w:b/>
                <w:bCs/>
                <w:color w:val="auto"/>
                <w:highlight w:val="none"/>
              </w:rPr>
              <w:t>须同时提供：有效的证书复印件；全国认证认可信息公共服务平台（http://cx.cnca.cn/）网页查询截图打印件；</w:t>
            </w:r>
            <w:r>
              <w:rPr>
                <w:rFonts w:hint="eastAsia"/>
                <w:b/>
                <w:bCs/>
                <w:color w:val="auto"/>
                <w:highlight w:val="none"/>
                <w:lang w:eastAsia="zh-CN"/>
              </w:rPr>
              <w:t>网页</w:t>
            </w:r>
            <w:r>
              <w:rPr>
                <w:rFonts w:hint="eastAsia"/>
                <w:b/>
                <w:bCs/>
                <w:color w:val="auto"/>
                <w:highlight w:val="none"/>
              </w:rPr>
              <w:t>公开信息中无法查询，或证书内容与公开信息不一致的，或证书状态非有效的，不得分。未能同时满足以上要求的不得分。</w:t>
            </w:r>
          </w:p>
        </w:tc>
        <w:tc>
          <w:tcPr>
            <w:tcW w:w="850" w:type="dxa"/>
            <w:vAlign w:val="center"/>
          </w:tcPr>
          <w:p w14:paraId="124A6C6E">
            <w:pPr>
              <w:spacing w:line="360" w:lineRule="auto"/>
              <w:jc w:val="center"/>
              <w:rPr>
                <w:rFonts w:hint="default" w:ascii="宋体" w:hAnsi="宋体"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9</w:t>
            </w:r>
          </w:p>
        </w:tc>
      </w:tr>
    </w:tbl>
    <w:p w14:paraId="52D006FB">
      <w:pPr>
        <w:pStyle w:val="45"/>
        <w:spacing w:line="360" w:lineRule="auto"/>
        <w:ind w:left="0" w:leftChars="0" w:firstLine="0" w:firstLineChars="0"/>
        <w:rPr>
          <w:color w:val="auto"/>
          <w:highlight w:val="none"/>
        </w:rPr>
      </w:pPr>
    </w:p>
    <w:p w14:paraId="3F02B6A6">
      <w:pPr>
        <w:spacing w:line="360" w:lineRule="auto"/>
        <w:ind w:firstLine="422" w:firstLineChars="200"/>
        <w:jc w:val="left"/>
        <w:outlineLvl w:val="3"/>
        <w:rPr>
          <w:rFonts w:cs="Futura-Heavy"/>
          <w:b/>
          <w:bCs/>
          <w:color w:val="auto"/>
          <w:kern w:val="0"/>
          <w:szCs w:val="21"/>
          <w:highlight w:val="none"/>
        </w:rPr>
      </w:pPr>
      <w:r>
        <w:rPr>
          <w:rFonts w:hint="eastAsia" w:cs="Futura-Heavy"/>
          <w:b/>
          <w:bCs/>
          <w:color w:val="auto"/>
          <w:kern w:val="0"/>
          <w:szCs w:val="21"/>
          <w:highlight w:val="none"/>
        </w:rPr>
        <w:t>表四：技术评分细则表（</w:t>
      </w:r>
      <w:r>
        <w:rPr>
          <w:rFonts w:hint="eastAsia" w:cs="Futura-Heavy"/>
          <w:b/>
          <w:bCs/>
          <w:color w:val="auto"/>
          <w:kern w:val="0"/>
          <w:szCs w:val="21"/>
          <w:highlight w:val="none"/>
          <w:lang w:val="en-US" w:eastAsia="zh-CN"/>
        </w:rPr>
        <w:t>61</w:t>
      </w:r>
      <w:r>
        <w:rPr>
          <w:rFonts w:hint="eastAsia" w:cs="Futura-Heavy"/>
          <w:b/>
          <w:bCs/>
          <w:color w:val="auto"/>
          <w:kern w:val="0"/>
          <w:szCs w:val="21"/>
          <w:highlight w:val="none"/>
        </w:rPr>
        <w:t>分）</w:t>
      </w:r>
    </w:p>
    <w:tbl>
      <w:tblPr>
        <w:tblStyle w:val="46"/>
        <w:tblW w:w="98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1124"/>
        <w:gridCol w:w="7010"/>
        <w:gridCol w:w="855"/>
      </w:tblGrid>
      <w:tr w14:paraId="55A8C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3" w:type="dxa"/>
            <w:vAlign w:val="center"/>
          </w:tcPr>
          <w:p w14:paraId="792584DF">
            <w:pPr>
              <w:spacing w:before="120" w:beforeLines="50" w:after="120" w:afterLines="5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124" w:type="dxa"/>
            <w:vAlign w:val="center"/>
          </w:tcPr>
          <w:p w14:paraId="5F937B65">
            <w:pPr>
              <w:spacing w:before="120" w:beforeLines="50" w:after="120" w:afterLines="5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c>
          <w:tcPr>
            <w:tcW w:w="7010" w:type="dxa"/>
            <w:vAlign w:val="center"/>
          </w:tcPr>
          <w:p w14:paraId="78315E66">
            <w:pPr>
              <w:spacing w:before="120" w:beforeLines="50" w:after="120" w:afterLines="5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评审标准</w:t>
            </w:r>
          </w:p>
        </w:tc>
        <w:tc>
          <w:tcPr>
            <w:tcW w:w="855" w:type="dxa"/>
            <w:vAlign w:val="center"/>
          </w:tcPr>
          <w:p w14:paraId="1795CEAE">
            <w:pPr>
              <w:spacing w:before="120" w:beforeLines="50" w:after="120" w:afterLines="5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分值（分）</w:t>
            </w:r>
          </w:p>
        </w:tc>
      </w:tr>
      <w:tr w14:paraId="29289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3" w:type="dxa"/>
            <w:vAlign w:val="center"/>
          </w:tcPr>
          <w:p w14:paraId="6B0BEA9B">
            <w:pPr>
              <w:spacing w:line="360" w:lineRule="auto"/>
              <w:jc w:val="center"/>
              <w:rPr>
                <w:rFonts w:hint="eastAsia" w:cs="等线"/>
                <w:color w:val="auto"/>
                <w:szCs w:val="21"/>
                <w:highlight w:val="none"/>
                <w:lang w:val="en-US" w:eastAsia="zh-CN"/>
              </w:rPr>
            </w:pPr>
            <w:r>
              <w:rPr>
                <w:rFonts w:hint="eastAsia" w:cs="等线"/>
                <w:color w:val="auto"/>
                <w:szCs w:val="21"/>
                <w:highlight w:val="none"/>
                <w:lang w:val="en-US" w:eastAsia="zh-CN"/>
              </w:rPr>
              <w:t>1</w:t>
            </w:r>
          </w:p>
        </w:tc>
        <w:tc>
          <w:tcPr>
            <w:tcW w:w="1124" w:type="dxa"/>
            <w:vAlign w:val="center"/>
          </w:tcPr>
          <w:p w14:paraId="6330F473">
            <w:pPr>
              <w:spacing w:line="360" w:lineRule="auto"/>
              <w:jc w:val="center"/>
              <w:rPr>
                <w:rFonts w:hint="default" w:eastAsia="宋体" w:cs="等线"/>
                <w:color w:val="auto"/>
                <w:szCs w:val="21"/>
                <w:highlight w:val="none"/>
                <w:lang w:val="en-US" w:eastAsia="zh-CN"/>
              </w:rPr>
            </w:pPr>
            <w:r>
              <w:rPr>
                <w:rFonts w:hint="eastAsia" w:cs="等线"/>
                <w:color w:val="auto"/>
                <w:szCs w:val="21"/>
                <w:highlight w:val="none"/>
                <w:lang w:val="en-US" w:eastAsia="zh-CN"/>
              </w:rPr>
              <w:t>重要技术参数响应情况</w:t>
            </w:r>
          </w:p>
        </w:tc>
        <w:tc>
          <w:tcPr>
            <w:tcW w:w="7010" w:type="dxa"/>
            <w:vAlign w:val="center"/>
          </w:tcPr>
          <w:p w14:paraId="5FEED43F">
            <w:pPr>
              <w:spacing w:line="360" w:lineRule="auto"/>
              <w:jc w:val="both"/>
              <w:rPr>
                <w:rFonts w:hint="eastAsia" w:cs="等线"/>
                <w:color w:val="auto"/>
                <w:szCs w:val="21"/>
                <w:highlight w:val="none"/>
                <w:lang w:val="en-US" w:eastAsia="zh-CN"/>
              </w:rPr>
            </w:pPr>
            <w:r>
              <w:rPr>
                <w:rFonts w:hint="eastAsia" w:cs="等线"/>
                <w:color w:val="auto"/>
                <w:szCs w:val="21"/>
                <w:highlight w:val="none"/>
                <w:lang w:val="en-US" w:eastAsia="zh-CN"/>
              </w:rPr>
              <w:t>根据</w:t>
            </w:r>
            <w:r>
              <w:rPr>
                <w:rFonts w:hint="eastAsia" w:cs="等线"/>
                <w:color w:val="auto"/>
                <w:szCs w:val="21"/>
                <w:highlight w:val="none"/>
                <w:lang w:eastAsia="zh-CN"/>
              </w:rPr>
              <w:t>供应商</w:t>
            </w:r>
            <w:r>
              <w:rPr>
                <w:rFonts w:hint="eastAsia" w:cs="等线"/>
                <w:color w:val="auto"/>
                <w:szCs w:val="21"/>
                <w:highlight w:val="none"/>
                <w:lang w:val="en-US" w:eastAsia="zh-CN"/>
              </w:rPr>
              <w:t>对磋商文件采购需求的</w:t>
            </w:r>
            <w:r>
              <w:rPr>
                <w:rFonts w:hint="eastAsia"/>
                <w:color w:val="auto"/>
                <w:szCs w:val="21"/>
                <w:highlight w:val="none"/>
                <w:lang w:eastAsia="zh-CN"/>
              </w:rPr>
              <w:t>重要技术参数</w:t>
            </w:r>
            <w:r>
              <w:rPr>
                <w:rFonts w:hint="eastAsia" w:ascii="宋体" w:hAnsi="宋体" w:cs="宋体"/>
                <w:color w:val="auto"/>
                <w:szCs w:val="21"/>
                <w:highlight w:val="none"/>
              </w:rPr>
              <w:t>“▲”条款参数（共</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项）的响应程度进行评分：全部无偏离或正偏离的，得</w:t>
            </w:r>
            <w:r>
              <w:rPr>
                <w:rFonts w:hint="eastAsia" w:ascii="宋体" w:hAnsi="宋体" w:cs="宋体"/>
                <w:color w:val="auto"/>
                <w:kern w:val="0"/>
                <w:szCs w:val="21"/>
                <w:highlight w:val="none"/>
                <w:lang w:val="en-US" w:eastAsia="zh-CN"/>
              </w:rPr>
              <w:t>8</w:t>
            </w:r>
            <w:r>
              <w:rPr>
                <w:rFonts w:hint="eastAsia" w:ascii="宋体" w:hAnsi="宋体" w:cs="宋体"/>
                <w:color w:val="auto"/>
                <w:szCs w:val="21"/>
                <w:highlight w:val="none"/>
              </w:rPr>
              <w:t>分。每有一项参数不响应或负偏离的，扣2分，扣完为止。</w:t>
            </w:r>
          </w:p>
          <w:p w14:paraId="31D0BDB5">
            <w:pPr>
              <w:spacing w:line="360" w:lineRule="auto"/>
              <w:jc w:val="left"/>
              <w:rPr>
                <w:rFonts w:hint="eastAsia" w:cs="等线"/>
                <w:color w:val="auto"/>
                <w:szCs w:val="21"/>
                <w:highlight w:val="none"/>
                <w:lang w:val="en-US" w:eastAsia="zh-CN"/>
              </w:rPr>
            </w:pPr>
            <w:r>
              <w:rPr>
                <w:rFonts w:hint="eastAsia"/>
                <w:b/>
                <w:bCs/>
                <w:color w:val="auto"/>
                <w:szCs w:val="21"/>
                <w:highlight w:val="none"/>
                <w:lang w:eastAsia="zh-CN"/>
              </w:rPr>
              <w:t>注：①如采购需求中有明确要求提供证明资料的，需提供相关证明材料；不提供不得分。②如采购需求中无明确要求提供证明材料的，则以投标人投标文件中的《技术</w:t>
            </w:r>
            <w:r>
              <w:rPr>
                <w:rFonts w:hint="eastAsia"/>
                <w:b/>
                <w:bCs/>
                <w:color w:val="auto"/>
                <w:szCs w:val="21"/>
                <w:highlight w:val="none"/>
                <w:lang w:val="en-US" w:eastAsia="zh-CN"/>
              </w:rPr>
              <w:t>条款</w:t>
            </w:r>
            <w:r>
              <w:rPr>
                <w:rFonts w:hint="eastAsia"/>
                <w:b/>
                <w:bCs/>
                <w:color w:val="auto"/>
                <w:szCs w:val="21"/>
                <w:highlight w:val="none"/>
                <w:lang w:eastAsia="zh-CN"/>
              </w:rPr>
              <w:t>响应表》中的响应情况填写内容为准，未填写的或参数不满足的都视为负偏离</w:t>
            </w:r>
            <w:r>
              <w:rPr>
                <w:rFonts w:hint="eastAsia" w:cs="等线"/>
                <w:color w:val="auto"/>
                <w:szCs w:val="21"/>
                <w:highlight w:val="none"/>
                <w:lang w:val="en-US" w:eastAsia="zh-CN"/>
              </w:rPr>
              <w:t>。</w:t>
            </w:r>
          </w:p>
        </w:tc>
        <w:tc>
          <w:tcPr>
            <w:tcW w:w="855" w:type="dxa"/>
            <w:vAlign w:val="center"/>
          </w:tcPr>
          <w:p w14:paraId="087DBF01">
            <w:pPr>
              <w:spacing w:before="120" w:beforeLines="50" w:after="120" w:afterLines="50" w:line="360" w:lineRule="auto"/>
              <w:jc w:val="center"/>
              <w:rPr>
                <w:rFonts w:hint="default" w:cs="宋体"/>
                <w:color w:val="auto"/>
                <w:szCs w:val="21"/>
                <w:highlight w:val="none"/>
                <w:lang w:val="en-US" w:eastAsia="zh-CN"/>
              </w:rPr>
            </w:pPr>
            <w:r>
              <w:rPr>
                <w:rFonts w:hint="eastAsia" w:cs="宋体"/>
                <w:color w:val="auto"/>
                <w:szCs w:val="21"/>
                <w:highlight w:val="none"/>
                <w:lang w:val="en-US" w:eastAsia="zh-CN"/>
              </w:rPr>
              <w:t>8</w:t>
            </w:r>
          </w:p>
        </w:tc>
      </w:tr>
      <w:tr w14:paraId="0C48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833" w:type="dxa"/>
            <w:vAlign w:val="center"/>
          </w:tcPr>
          <w:p w14:paraId="6B75F91E">
            <w:pPr>
              <w:spacing w:line="360" w:lineRule="auto"/>
              <w:jc w:val="center"/>
              <w:rPr>
                <w:rFonts w:hint="eastAsia" w:cs="等线"/>
                <w:color w:val="auto"/>
                <w:szCs w:val="21"/>
                <w:highlight w:val="none"/>
                <w:lang w:val="en-US" w:eastAsia="zh-CN"/>
              </w:rPr>
            </w:pPr>
            <w:r>
              <w:rPr>
                <w:rFonts w:hint="eastAsia" w:cs="等线"/>
                <w:color w:val="auto"/>
                <w:szCs w:val="21"/>
                <w:highlight w:val="none"/>
                <w:lang w:val="en-US" w:eastAsia="zh-CN"/>
              </w:rPr>
              <w:t>2</w:t>
            </w:r>
          </w:p>
        </w:tc>
        <w:tc>
          <w:tcPr>
            <w:tcW w:w="1124" w:type="dxa"/>
            <w:vAlign w:val="center"/>
          </w:tcPr>
          <w:p w14:paraId="393967B0">
            <w:pPr>
              <w:spacing w:line="360" w:lineRule="auto"/>
              <w:jc w:val="center"/>
              <w:rPr>
                <w:rFonts w:hint="eastAsia" w:cs="等线"/>
                <w:color w:val="auto"/>
                <w:szCs w:val="21"/>
                <w:highlight w:val="none"/>
                <w:lang w:val="en-US" w:eastAsia="zh-CN"/>
              </w:rPr>
            </w:pPr>
            <w:r>
              <w:rPr>
                <w:rFonts w:hint="eastAsia" w:cs="等线"/>
                <w:color w:val="auto"/>
                <w:szCs w:val="21"/>
                <w:highlight w:val="none"/>
              </w:rPr>
              <w:t>对需求的把握和理解</w:t>
            </w:r>
          </w:p>
        </w:tc>
        <w:tc>
          <w:tcPr>
            <w:tcW w:w="7010" w:type="dxa"/>
            <w:vAlign w:val="top"/>
          </w:tcPr>
          <w:p w14:paraId="57DCE64D">
            <w:pPr>
              <w:jc w:val="both"/>
              <w:rPr>
                <w:rFonts w:hint="eastAsia" w:cs="等线"/>
                <w:color w:val="auto"/>
                <w:szCs w:val="21"/>
                <w:highlight w:val="none"/>
              </w:rPr>
            </w:pPr>
            <w:r>
              <w:rPr>
                <w:rFonts w:hint="eastAsia" w:cs="等线"/>
                <w:color w:val="auto"/>
                <w:szCs w:val="21"/>
                <w:highlight w:val="none"/>
              </w:rPr>
              <w:t>根据</w:t>
            </w:r>
            <w:r>
              <w:rPr>
                <w:rFonts w:hint="eastAsia" w:cs="等线"/>
                <w:color w:val="auto"/>
                <w:szCs w:val="21"/>
                <w:highlight w:val="none"/>
                <w:lang w:val="en-US" w:eastAsia="zh-CN"/>
              </w:rPr>
              <w:t>响应</w:t>
            </w:r>
            <w:r>
              <w:rPr>
                <w:rFonts w:hint="eastAsia" w:cs="等线"/>
                <w:color w:val="auto"/>
                <w:szCs w:val="21"/>
                <w:highlight w:val="none"/>
              </w:rPr>
              <w:t>供应商对</w:t>
            </w:r>
            <w:r>
              <w:rPr>
                <w:rFonts w:hint="eastAsia" w:cs="等线"/>
                <w:color w:val="auto"/>
                <w:szCs w:val="21"/>
                <w:highlight w:val="none"/>
                <w:lang w:val="en-US" w:eastAsia="zh-CN"/>
              </w:rPr>
              <w:t>本项目</w:t>
            </w:r>
            <w:r>
              <w:rPr>
                <w:rFonts w:hint="eastAsia" w:cs="等线"/>
                <w:color w:val="auto"/>
                <w:szCs w:val="21"/>
                <w:highlight w:val="none"/>
              </w:rPr>
              <w:t>需求的把握和理解程度进行评审：</w:t>
            </w:r>
          </w:p>
          <w:p w14:paraId="4F098B69">
            <w:pPr>
              <w:jc w:val="both"/>
              <w:rPr>
                <w:rFonts w:hint="eastAsia" w:ascii="宋体" w:hAnsi="宋体" w:eastAsia="宋体" w:cs="宋体"/>
                <w:color w:val="auto"/>
                <w:highlight w:val="none"/>
              </w:rPr>
            </w:pPr>
            <w:r>
              <w:rPr>
                <w:rFonts w:hint="eastAsia" w:ascii="宋体" w:hAnsi="宋体" w:eastAsia="宋体" w:cs="宋体"/>
                <w:color w:val="auto"/>
                <w:highlight w:val="none"/>
              </w:rPr>
              <w:t>方案应包括但不限于以下内容：</w:t>
            </w:r>
          </w:p>
          <w:p w14:paraId="6D19AF58">
            <w:pPr>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①</w:t>
            </w:r>
            <w:r>
              <w:rPr>
                <w:rFonts w:hint="eastAsia" w:ascii="宋体" w:hAnsi="宋体" w:eastAsia="宋体" w:cs="宋体"/>
                <w:color w:val="auto"/>
                <w:highlight w:val="none"/>
              </w:rPr>
              <w:t>对用户需求的理解</w:t>
            </w:r>
            <w:r>
              <w:rPr>
                <w:rFonts w:hint="eastAsia" w:ascii="宋体" w:hAnsi="宋体" w:eastAsia="宋体" w:cs="宋体"/>
                <w:color w:val="auto"/>
                <w:highlight w:val="none"/>
                <w:lang w:eastAsia="zh-CN"/>
              </w:rPr>
              <w:t>；</w:t>
            </w:r>
          </w:p>
          <w:p w14:paraId="16BCD5CD">
            <w:pPr>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②对用户单位性质的了解；</w:t>
            </w:r>
          </w:p>
          <w:p w14:paraId="162E51AC">
            <w:pPr>
              <w:jc w:val="both"/>
              <w:rPr>
                <w:rFonts w:hint="eastAsia" w:cs="宋体"/>
                <w:color w:val="auto"/>
                <w:highlight w:val="none"/>
                <w:lang w:val="en-US" w:eastAsia="zh-CN"/>
              </w:rPr>
            </w:pPr>
            <w:r>
              <w:rPr>
                <w:rFonts w:hint="eastAsia" w:ascii="宋体" w:hAnsi="宋体" w:eastAsia="宋体" w:cs="宋体"/>
                <w:color w:val="auto"/>
                <w:highlight w:val="none"/>
                <w:lang w:val="en-US" w:eastAsia="zh-CN"/>
              </w:rPr>
              <w:t>③对项目</w:t>
            </w:r>
            <w:r>
              <w:rPr>
                <w:rFonts w:hint="eastAsia" w:cs="宋体"/>
                <w:color w:val="auto"/>
                <w:highlight w:val="none"/>
                <w:lang w:val="en-US" w:eastAsia="zh-CN"/>
              </w:rPr>
              <w:t>目标的理解；</w:t>
            </w:r>
          </w:p>
          <w:p w14:paraId="3ED0F4FD">
            <w:pPr>
              <w:spacing w:line="360" w:lineRule="auto"/>
              <w:jc w:val="left"/>
              <w:rPr>
                <w:rFonts w:hint="eastAsia" w:cs="等线"/>
                <w:color w:val="auto"/>
                <w:szCs w:val="21"/>
                <w:highlight w:val="none"/>
              </w:rPr>
            </w:pPr>
            <w:r>
              <w:rPr>
                <w:rFonts w:hint="eastAsia" w:cs="宋体"/>
                <w:color w:val="auto"/>
                <w:highlight w:val="none"/>
                <w:lang w:val="en-US" w:eastAsia="zh-CN"/>
              </w:rPr>
              <w:t>④对</w:t>
            </w:r>
            <w:r>
              <w:rPr>
                <w:rFonts w:hint="eastAsia" w:ascii="宋体" w:hAnsi="宋体" w:eastAsia="宋体" w:cs="宋体"/>
                <w:color w:val="auto"/>
                <w:highlight w:val="none"/>
                <w:lang w:val="en-US" w:eastAsia="zh-CN"/>
              </w:rPr>
              <w:t>可能涉及的政策和标准的了解。</w:t>
            </w:r>
          </w:p>
          <w:p w14:paraId="422A619A">
            <w:pPr>
              <w:spacing w:line="360" w:lineRule="auto"/>
              <w:jc w:val="both"/>
              <w:rPr>
                <w:rFonts w:hint="eastAsia" w:eastAsia="宋体" w:cs="等线"/>
                <w:color w:val="auto"/>
                <w:szCs w:val="21"/>
                <w:highlight w:val="none"/>
                <w:lang w:eastAsia="zh-CN"/>
              </w:rPr>
            </w:pPr>
            <w:r>
              <w:rPr>
                <w:rFonts w:hint="eastAsia" w:cs="等线"/>
                <w:color w:val="auto"/>
                <w:szCs w:val="21"/>
                <w:highlight w:val="none"/>
              </w:rPr>
              <w:t>1</w:t>
            </w:r>
            <w:r>
              <w:rPr>
                <w:rFonts w:hint="eastAsia" w:cs="等线"/>
                <w:color w:val="auto"/>
                <w:szCs w:val="21"/>
                <w:highlight w:val="none"/>
                <w:lang w:eastAsia="zh-CN"/>
              </w:rPr>
              <w:t>、</w:t>
            </w:r>
            <w:r>
              <w:rPr>
                <w:rFonts w:hint="eastAsia" w:cs="等线"/>
                <w:color w:val="auto"/>
                <w:szCs w:val="21"/>
                <w:highlight w:val="none"/>
              </w:rPr>
              <w:t>对</w:t>
            </w:r>
            <w:r>
              <w:rPr>
                <w:rFonts w:hint="eastAsia" w:cs="等线"/>
                <w:color w:val="auto"/>
                <w:szCs w:val="21"/>
                <w:highlight w:val="none"/>
                <w:lang w:val="en-US" w:eastAsia="zh-CN"/>
              </w:rPr>
              <w:t>本项目</w:t>
            </w:r>
            <w:r>
              <w:rPr>
                <w:rFonts w:hint="eastAsia" w:cs="等线"/>
                <w:color w:val="auto"/>
                <w:szCs w:val="21"/>
                <w:highlight w:val="none"/>
              </w:rPr>
              <w:t>视频监控系统、会议系统、UPS供配电系统、精密空调及弱电智能化系统</w:t>
            </w:r>
            <w:r>
              <w:rPr>
                <w:rFonts w:hint="eastAsia" w:cs="等线"/>
                <w:color w:val="auto"/>
                <w:szCs w:val="21"/>
                <w:highlight w:val="none"/>
                <w:lang w:eastAsia="zh-CN"/>
              </w:rPr>
              <w:t>、</w:t>
            </w:r>
            <w:r>
              <w:rPr>
                <w:rFonts w:hint="eastAsia" w:cs="等线"/>
                <w:color w:val="auto"/>
                <w:szCs w:val="21"/>
                <w:highlight w:val="none"/>
                <w:lang w:val="en-US" w:eastAsia="zh-CN"/>
              </w:rPr>
              <w:t>查验系统等情况具有丰富经验并充分</w:t>
            </w:r>
            <w:r>
              <w:rPr>
                <w:rFonts w:hint="eastAsia" w:cs="等线"/>
                <w:color w:val="auto"/>
                <w:szCs w:val="21"/>
                <w:highlight w:val="none"/>
              </w:rPr>
              <w:t>了解，</w:t>
            </w:r>
            <w:r>
              <w:rPr>
                <w:rFonts w:hint="eastAsia" w:ascii="宋体" w:hAnsi="宋体" w:eastAsia="宋体" w:cs="宋体"/>
                <w:color w:val="auto"/>
                <w:highlight w:val="none"/>
              </w:rPr>
              <w:t>对项目的整体目标、</w:t>
            </w:r>
            <w:r>
              <w:rPr>
                <w:rFonts w:hint="eastAsia" w:ascii="宋体" w:hAnsi="宋体" w:eastAsia="宋体" w:cs="宋体"/>
                <w:color w:val="auto"/>
                <w:highlight w:val="none"/>
                <w:lang w:val="en-US" w:eastAsia="zh-CN"/>
              </w:rPr>
              <w:t>需求</w:t>
            </w:r>
            <w:r>
              <w:rPr>
                <w:rFonts w:hint="eastAsia" w:ascii="宋体" w:hAnsi="宋体" w:eastAsia="宋体" w:cs="宋体"/>
                <w:color w:val="auto"/>
                <w:highlight w:val="none"/>
              </w:rPr>
              <w:t>内容</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性质和</w:t>
            </w:r>
            <w:r>
              <w:rPr>
                <w:rFonts w:hint="eastAsia" w:ascii="宋体" w:hAnsi="宋体" w:eastAsia="宋体" w:cs="宋体"/>
                <w:color w:val="auto"/>
                <w:highlight w:val="none"/>
              </w:rPr>
              <w:t>要求理解全面</w:t>
            </w:r>
            <w:r>
              <w:rPr>
                <w:rFonts w:hint="eastAsia" w:ascii="宋体" w:hAnsi="宋体" w:eastAsia="宋体" w:cs="宋体"/>
                <w:color w:val="auto"/>
                <w:highlight w:val="none"/>
                <w:lang w:val="en-US" w:eastAsia="zh-CN"/>
              </w:rPr>
              <w:t>完善、</w:t>
            </w:r>
            <w:r>
              <w:rPr>
                <w:rFonts w:hint="eastAsia" w:cs="宋体"/>
                <w:color w:val="auto"/>
                <w:highlight w:val="none"/>
                <w:lang w:val="en-US" w:eastAsia="zh-CN"/>
              </w:rPr>
              <w:t>准确合理</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对涉及的标准和政策</w:t>
            </w:r>
            <w:r>
              <w:rPr>
                <w:rFonts w:hint="eastAsia" w:ascii="宋体" w:hAnsi="宋体" w:eastAsia="宋体" w:cs="宋体"/>
                <w:color w:val="auto"/>
                <w:highlight w:val="none"/>
              </w:rPr>
              <w:t>阐述清晰详实</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所有内容能够切实</w:t>
            </w:r>
            <w:r>
              <w:rPr>
                <w:rFonts w:hint="eastAsia" w:cs="宋体"/>
                <w:color w:val="auto"/>
                <w:highlight w:val="none"/>
                <w:lang w:val="en-US" w:eastAsia="zh-CN"/>
              </w:rPr>
              <w:t>与本项目相匹配、相关联</w:t>
            </w:r>
            <w:r>
              <w:rPr>
                <w:rFonts w:hint="eastAsia" w:cs="等线"/>
                <w:color w:val="auto"/>
                <w:szCs w:val="21"/>
                <w:highlight w:val="none"/>
                <w:lang w:val="en-US" w:eastAsia="zh-CN"/>
              </w:rPr>
              <w:t>，</w:t>
            </w:r>
            <w:r>
              <w:rPr>
                <w:rFonts w:hint="eastAsia" w:cs="等线"/>
                <w:color w:val="auto"/>
                <w:szCs w:val="21"/>
                <w:highlight w:val="none"/>
              </w:rPr>
              <w:t>得</w:t>
            </w:r>
            <w:r>
              <w:rPr>
                <w:rFonts w:hint="eastAsia" w:cs="等线"/>
                <w:color w:val="auto"/>
                <w:szCs w:val="21"/>
                <w:highlight w:val="none"/>
                <w:lang w:val="en-US" w:eastAsia="zh-CN"/>
              </w:rPr>
              <w:t>10</w:t>
            </w:r>
            <w:r>
              <w:rPr>
                <w:rFonts w:hint="eastAsia" w:cs="等线"/>
                <w:color w:val="auto"/>
                <w:szCs w:val="21"/>
                <w:highlight w:val="none"/>
              </w:rPr>
              <w:t>分</w:t>
            </w:r>
            <w:r>
              <w:rPr>
                <w:rFonts w:hint="eastAsia" w:cs="等线"/>
                <w:color w:val="auto"/>
                <w:szCs w:val="21"/>
                <w:highlight w:val="none"/>
                <w:lang w:eastAsia="zh-CN"/>
              </w:rPr>
              <w:t>；</w:t>
            </w:r>
          </w:p>
          <w:p w14:paraId="3EFAF8D6">
            <w:pPr>
              <w:spacing w:line="360" w:lineRule="auto"/>
              <w:jc w:val="both"/>
              <w:rPr>
                <w:rFonts w:hint="eastAsia" w:eastAsia="宋体" w:cs="等线"/>
                <w:color w:val="auto"/>
                <w:szCs w:val="21"/>
                <w:highlight w:val="none"/>
                <w:lang w:eastAsia="zh-CN"/>
              </w:rPr>
            </w:pPr>
            <w:r>
              <w:rPr>
                <w:rFonts w:hint="eastAsia" w:cs="等线"/>
                <w:color w:val="auto"/>
                <w:szCs w:val="21"/>
                <w:highlight w:val="none"/>
              </w:rPr>
              <w:t>2</w:t>
            </w:r>
            <w:r>
              <w:rPr>
                <w:rFonts w:hint="eastAsia" w:cs="等线"/>
                <w:color w:val="auto"/>
                <w:szCs w:val="21"/>
                <w:highlight w:val="none"/>
                <w:lang w:eastAsia="zh-CN"/>
              </w:rPr>
              <w:t>、</w:t>
            </w:r>
            <w:r>
              <w:rPr>
                <w:rFonts w:hint="eastAsia" w:cs="等线"/>
                <w:color w:val="auto"/>
                <w:szCs w:val="21"/>
                <w:highlight w:val="none"/>
              </w:rPr>
              <w:t>对</w:t>
            </w:r>
            <w:r>
              <w:rPr>
                <w:rFonts w:hint="eastAsia" w:cs="等线"/>
                <w:color w:val="auto"/>
                <w:szCs w:val="21"/>
                <w:highlight w:val="none"/>
                <w:lang w:val="en-US" w:eastAsia="zh-CN"/>
              </w:rPr>
              <w:t>本项目</w:t>
            </w:r>
            <w:r>
              <w:rPr>
                <w:rFonts w:hint="eastAsia" w:cs="等线"/>
                <w:color w:val="auto"/>
                <w:szCs w:val="21"/>
                <w:highlight w:val="none"/>
              </w:rPr>
              <w:t>视频监控系统、会议系统、UPS供配电系统、精密空调及弱电智能化系统</w:t>
            </w:r>
            <w:r>
              <w:rPr>
                <w:rFonts w:hint="eastAsia" w:cs="等线"/>
                <w:color w:val="auto"/>
                <w:szCs w:val="21"/>
                <w:highlight w:val="none"/>
                <w:lang w:eastAsia="zh-CN"/>
              </w:rPr>
              <w:t>、</w:t>
            </w:r>
            <w:r>
              <w:rPr>
                <w:rFonts w:hint="eastAsia" w:cs="等线"/>
                <w:color w:val="auto"/>
                <w:szCs w:val="21"/>
                <w:highlight w:val="none"/>
                <w:lang w:val="en-US" w:eastAsia="zh-CN"/>
              </w:rPr>
              <w:t>查验系统等情况</w:t>
            </w:r>
            <w:r>
              <w:rPr>
                <w:rFonts w:hint="eastAsia" w:cs="等线"/>
                <w:color w:val="auto"/>
                <w:szCs w:val="21"/>
                <w:highlight w:val="none"/>
              </w:rPr>
              <w:t>了解程度较高，</w:t>
            </w:r>
            <w:r>
              <w:rPr>
                <w:rFonts w:hint="eastAsia" w:ascii="宋体" w:hAnsi="宋体" w:eastAsia="宋体" w:cs="宋体"/>
                <w:color w:val="auto"/>
                <w:highlight w:val="none"/>
              </w:rPr>
              <w:t>对项目的整体目标、</w:t>
            </w:r>
            <w:r>
              <w:rPr>
                <w:rFonts w:hint="eastAsia" w:ascii="宋体" w:hAnsi="宋体" w:eastAsia="宋体" w:cs="宋体"/>
                <w:color w:val="auto"/>
                <w:highlight w:val="none"/>
                <w:lang w:val="en-US" w:eastAsia="zh-CN"/>
              </w:rPr>
              <w:t>需求</w:t>
            </w:r>
            <w:r>
              <w:rPr>
                <w:rFonts w:hint="eastAsia" w:ascii="宋体" w:hAnsi="宋体" w:eastAsia="宋体" w:cs="宋体"/>
                <w:color w:val="auto"/>
                <w:highlight w:val="none"/>
              </w:rPr>
              <w:t>内容</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性质</w:t>
            </w:r>
            <w:r>
              <w:rPr>
                <w:rFonts w:hint="eastAsia" w:ascii="宋体" w:hAnsi="宋体" w:eastAsia="宋体" w:cs="宋体"/>
                <w:color w:val="auto"/>
                <w:highlight w:val="none"/>
              </w:rPr>
              <w:t>和要求理解</w:t>
            </w:r>
            <w:r>
              <w:rPr>
                <w:rFonts w:hint="eastAsia" w:ascii="宋体" w:hAnsi="宋体" w:eastAsia="宋体" w:cs="宋体"/>
                <w:color w:val="auto"/>
                <w:highlight w:val="none"/>
                <w:lang w:val="en-US" w:eastAsia="zh-CN"/>
              </w:rPr>
              <w:t>基本</w:t>
            </w:r>
            <w:r>
              <w:rPr>
                <w:rFonts w:hint="eastAsia" w:cs="宋体"/>
                <w:color w:val="auto"/>
                <w:highlight w:val="none"/>
                <w:lang w:val="en-US" w:eastAsia="zh-CN"/>
              </w:rPr>
              <w:t>准确</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对涉及的基础标准和政策有清晰</w:t>
            </w:r>
            <w:r>
              <w:rPr>
                <w:rFonts w:hint="eastAsia" w:ascii="宋体" w:hAnsi="宋体" w:eastAsia="宋体" w:cs="宋体"/>
                <w:color w:val="auto"/>
                <w:highlight w:val="none"/>
              </w:rPr>
              <w:t>阐述，</w:t>
            </w:r>
            <w:r>
              <w:rPr>
                <w:rFonts w:hint="eastAsia" w:ascii="宋体" w:hAnsi="宋体" w:eastAsia="宋体" w:cs="宋体"/>
                <w:color w:val="auto"/>
                <w:highlight w:val="none"/>
                <w:lang w:val="en-US" w:eastAsia="zh-CN"/>
              </w:rPr>
              <w:t>基本内容能够切实</w:t>
            </w:r>
            <w:r>
              <w:rPr>
                <w:rFonts w:hint="eastAsia" w:cs="宋体"/>
                <w:color w:val="auto"/>
                <w:highlight w:val="none"/>
                <w:lang w:val="en-US" w:eastAsia="zh-CN"/>
              </w:rPr>
              <w:t>与本项目相匹配、相关联</w:t>
            </w:r>
            <w:r>
              <w:rPr>
                <w:rFonts w:hint="eastAsia" w:cs="等线"/>
                <w:color w:val="auto"/>
                <w:szCs w:val="21"/>
                <w:highlight w:val="none"/>
                <w:lang w:val="en-US" w:eastAsia="zh-CN"/>
              </w:rPr>
              <w:t>，</w:t>
            </w:r>
            <w:r>
              <w:rPr>
                <w:rFonts w:hint="eastAsia" w:cs="等线"/>
                <w:color w:val="auto"/>
                <w:szCs w:val="21"/>
                <w:highlight w:val="none"/>
              </w:rPr>
              <w:t>得</w:t>
            </w:r>
            <w:r>
              <w:rPr>
                <w:rFonts w:hint="eastAsia" w:cs="等线"/>
                <w:color w:val="auto"/>
                <w:szCs w:val="21"/>
                <w:highlight w:val="none"/>
                <w:lang w:val="en-US" w:eastAsia="zh-CN"/>
              </w:rPr>
              <w:t>7</w:t>
            </w:r>
            <w:r>
              <w:rPr>
                <w:rFonts w:hint="eastAsia" w:cs="等线"/>
                <w:color w:val="auto"/>
                <w:szCs w:val="21"/>
                <w:highlight w:val="none"/>
              </w:rPr>
              <w:t>分</w:t>
            </w:r>
            <w:r>
              <w:rPr>
                <w:rFonts w:hint="eastAsia" w:cs="等线"/>
                <w:color w:val="auto"/>
                <w:szCs w:val="21"/>
                <w:highlight w:val="none"/>
                <w:lang w:eastAsia="zh-CN"/>
              </w:rPr>
              <w:t>；</w:t>
            </w:r>
          </w:p>
          <w:p w14:paraId="037029F7">
            <w:pPr>
              <w:spacing w:line="360" w:lineRule="auto"/>
              <w:jc w:val="left"/>
              <w:rPr>
                <w:rFonts w:hint="eastAsia" w:eastAsia="宋体" w:cs="等线"/>
                <w:color w:val="auto"/>
                <w:szCs w:val="21"/>
                <w:highlight w:val="none"/>
                <w:lang w:eastAsia="zh-CN"/>
              </w:rPr>
            </w:pPr>
            <w:r>
              <w:rPr>
                <w:rFonts w:hint="eastAsia" w:cs="等线"/>
                <w:color w:val="auto"/>
                <w:szCs w:val="21"/>
                <w:highlight w:val="none"/>
              </w:rPr>
              <w:t>3</w:t>
            </w:r>
            <w:r>
              <w:rPr>
                <w:rFonts w:hint="eastAsia" w:cs="等线"/>
                <w:color w:val="auto"/>
                <w:szCs w:val="21"/>
                <w:highlight w:val="none"/>
                <w:lang w:eastAsia="zh-CN"/>
              </w:rPr>
              <w:t>、</w:t>
            </w:r>
            <w:r>
              <w:rPr>
                <w:rFonts w:hint="eastAsia" w:cs="等线"/>
                <w:color w:val="auto"/>
                <w:szCs w:val="21"/>
                <w:highlight w:val="none"/>
              </w:rPr>
              <w:t>对</w:t>
            </w:r>
            <w:r>
              <w:rPr>
                <w:rFonts w:hint="eastAsia" w:cs="等线"/>
                <w:color w:val="auto"/>
                <w:szCs w:val="21"/>
                <w:highlight w:val="none"/>
                <w:lang w:val="en-US" w:eastAsia="zh-CN"/>
              </w:rPr>
              <w:t>本项目</w:t>
            </w:r>
            <w:r>
              <w:rPr>
                <w:rFonts w:hint="eastAsia" w:cs="等线"/>
                <w:color w:val="auto"/>
                <w:szCs w:val="21"/>
                <w:highlight w:val="none"/>
              </w:rPr>
              <w:t>视频监控系统、会议系统、UPS供配电系统、精密空调及弱电智能化系统</w:t>
            </w:r>
            <w:r>
              <w:rPr>
                <w:rFonts w:hint="eastAsia" w:cs="等线"/>
                <w:color w:val="auto"/>
                <w:szCs w:val="21"/>
                <w:highlight w:val="none"/>
                <w:lang w:eastAsia="zh-CN"/>
              </w:rPr>
              <w:t>、</w:t>
            </w:r>
            <w:r>
              <w:rPr>
                <w:rFonts w:hint="eastAsia" w:cs="等线"/>
                <w:color w:val="auto"/>
                <w:szCs w:val="21"/>
                <w:highlight w:val="none"/>
                <w:lang w:val="en-US" w:eastAsia="zh-CN"/>
              </w:rPr>
              <w:t>查验系统等情况具备经验并基本</w:t>
            </w:r>
            <w:r>
              <w:rPr>
                <w:rFonts w:hint="eastAsia" w:cs="等线"/>
                <w:color w:val="auto"/>
                <w:szCs w:val="21"/>
                <w:highlight w:val="none"/>
              </w:rPr>
              <w:t>了解</w:t>
            </w:r>
            <w:r>
              <w:rPr>
                <w:rFonts w:hint="eastAsia" w:cs="等线"/>
                <w:color w:val="auto"/>
                <w:szCs w:val="21"/>
                <w:highlight w:val="none"/>
                <w:lang w:val="en-US" w:eastAsia="zh-CN"/>
              </w:rPr>
              <w:t>，</w:t>
            </w:r>
            <w:r>
              <w:rPr>
                <w:rFonts w:hint="eastAsia" w:ascii="宋体" w:hAnsi="宋体" w:eastAsia="宋体" w:cs="宋体"/>
                <w:color w:val="auto"/>
                <w:highlight w:val="none"/>
              </w:rPr>
              <w:t>对项目的整体目标、</w:t>
            </w:r>
            <w:r>
              <w:rPr>
                <w:rFonts w:hint="eastAsia" w:ascii="宋体" w:hAnsi="宋体" w:eastAsia="宋体" w:cs="宋体"/>
                <w:color w:val="auto"/>
                <w:highlight w:val="none"/>
                <w:lang w:val="en-US" w:eastAsia="zh-CN"/>
              </w:rPr>
              <w:t>需求</w:t>
            </w:r>
            <w:r>
              <w:rPr>
                <w:rFonts w:hint="eastAsia" w:ascii="宋体" w:hAnsi="宋体" w:eastAsia="宋体" w:cs="宋体"/>
                <w:color w:val="auto"/>
                <w:highlight w:val="none"/>
              </w:rPr>
              <w:t>内容</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性质</w:t>
            </w:r>
            <w:r>
              <w:rPr>
                <w:rFonts w:hint="eastAsia" w:ascii="宋体" w:hAnsi="宋体" w:eastAsia="宋体" w:cs="宋体"/>
                <w:color w:val="auto"/>
                <w:highlight w:val="none"/>
              </w:rPr>
              <w:t>和要求理解</w:t>
            </w:r>
            <w:r>
              <w:rPr>
                <w:rFonts w:hint="eastAsia" w:cs="宋体"/>
                <w:color w:val="auto"/>
                <w:highlight w:val="none"/>
                <w:lang w:val="en-US" w:eastAsia="zh-CN"/>
              </w:rPr>
              <w:t>有细微偏差</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对涉及的基础标准和政策</w:t>
            </w:r>
            <w:r>
              <w:rPr>
                <w:rFonts w:hint="eastAsia" w:ascii="宋体" w:hAnsi="宋体" w:eastAsia="宋体" w:cs="宋体"/>
                <w:color w:val="auto"/>
                <w:highlight w:val="none"/>
              </w:rPr>
              <w:t>阐述</w:t>
            </w:r>
            <w:r>
              <w:rPr>
                <w:rFonts w:hint="eastAsia" w:cs="宋体"/>
                <w:color w:val="auto"/>
                <w:highlight w:val="none"/>
                <w:lang w:val="en-US" w:eastAsia="zh-CN"/>
              </w:rPr>
              <w:t>不足</w:t>
            </w:r>
            <w:r>
              <w:rPr>
                <w:rFonts w:hint="eastAsia" w:ascii="宋体" w:hAnsi="宋体" w:eastAsia="宋体" w:cs="宋体"/>
                <w:color w:val="auto"/>
                <w:highlight w:val="none"/>
              </w:rPr>
              <w:t>，部分</w:t>
            </w:r>
            <w:r>
              <w:rPr>
                <w:rFonts w:hint="eastAsia" w:cs="宋体"/>
                <w:color w:val="auto"/>
                <w:highlight w:val="none"/>
                <w:lang w:val="en-US" w:eastAsia="zh-CN"/>
              </w:rPr>
              <w:t>内容能</w:t>
            </w:r>
            <w:r>
              <w:rPr>
                <w:rFonts w:hint="eastAsia" w:ascii="宋体" w:hAnsi="宋体" w:eastAsia="宋体" w:cs="宋体"/>
                <w:color w:val="auto"/>
                <w:highlight w:val="none"/>
                <w:lang w:val="en-US" w:eastAsia="zh-CN"/>
              </w:rPr>
              <w:t>够与</w:t>
            </w:r>
            <w:r>
              <w:rPr>
                <w:rFonts w:hint="eastAsia" w:cs="宋体"/>
                <w:color w:val="auto"/>
                <w:highlight w:val="none"/>
                <w:lang w:val="en-US" w:eastAsia="zh-CN"/>
              </w:rPr>
              <w:t>本项目相匹配、相关联</w:t>
            </w:r>
            <w:r>
              <w:rPr>
                <w:rFonts w:hint="eastAsia" w:cs="等线"/>
                <w:color w:val="auto"/>
                <w:szCs w:val="21"/>
                <w:highlight w:val="none"/>
              </w:rPr>
              <w:t>；得</w:t>
            </w:r>
            <w:r>
              <w:rPr>
                <w:rFonts w:hint="eastAsia" w:cs="等线"/>
                <w:color w:val="auto"/>
                <w:szCs w:val="21"/>
                <w:highlight w:val="none"/>
                <w:lang w:val="en-US" w:eastAsia="zh-CN"/>
              </w:rPr>
              <w:t>4</w:t>
            </w:r>
            <w:r>
              <w:rPr>
                <w:rFonts w:hint="eastAsia" w:cs="等线"/>
                <w:color w:val="auto"/>
                <w:szCs w:val="21"/>
                <w:highlight w:val="none"/>
              </w:rPr>
              <w:t>分</w:t>
            </w:r>
            <w:r>
              <w:rPr>
                <w:rFonts w:hint="eastAsia" w:cs="等线"/>
                <w:color w:val="auto"/>
                <w:szCs w:val="21"/>
                <w:highlight w:val="none"/>
                <w:lang w:eastAsia="zh-CN"/>
              </w:rPr>
              <w:t>；</w:t>
            </w:r>
          </w:p>
          <w:p w14:paraId="5EA78BB6">
            <w:pPr>
              <w:spacing w:line="360" w:lineRule="auto"/>
              <w:jc w:val="left"/>
              <w:rPr>
                <w:rFonts w:hint="eastAsia" w:eastAsia="宋体" w:cs="等线"/>
                <w:color w:val="auto"/>
                <w:szCs w:val="21"/>
                <w:highlight w:val="none"/>
                <w:lang w:eastAsia="zh-CN"/>
              </w:rPr>
            </w:pPr>
            <w:r>
              <w:rPr>
                <w:rFonts w:hint="eastAsia" w:cs="等线"/>
                <w:color w:val="auto"/>
                <w:szCs w:val="21"/>
                <w:highlight w:val="none"/>
              </w:rPr>
              <w:t>4</w:t>
            </w:r>
            <w:r>
              <w:rPr>
                <w:rFonts w:hint="eastAsia" w:cs="等线"/>
                <w:color w:val="auto"/>
                <w:szCs w:val="21"/>
                <w:highlight w:val="none"/>
                <w:lang w:eastAsia="zh-CN"/>
              </w:rPr>
              <w:t>、</w:t>
            </w:r>
            <w:r>
              <w:rPr>
                <w:rFonts w:hint="eastAsia" w:cs="等线"/>
                <w:color w:val="auto"/>
                <w:szCs w:val="21"/>
                <w:highlight w:val="none"/>
              </w:rPr>
              <w:t>对</w:t>
            </w:r>
            <w:r>
              <w:rPr>
                <w:rFonts w:hint="eastAsia" w:cs="等线"/>
                <w:color w:val="auto"/>
                <w:szCs w:val="21"/>
                <w:highlight w:val="none"/>
                <w:lang w:val="en-US" w:eastAsia="zh-CN"/>
              </w:rPr>
              <w:t>本项目</w:t>
            </w:r>
            <w:r>
              <w:rPr>
                <w:rFonts w:hint="eastAsia" w:cs="等线"/>
                <w:color w:val="auto"/>
                <w:szCs w:val="21"/>
                <w:highlight w:val="none"/>
              </w:rPr>
              <w:t>视频监控系统、会议系统、UPS供配电系统、精密空调及弱电智能化系统</w:t>
            </w:r>
            <w:r>
              <w:rPr>
                <w:rFonts w:hint="eastAsia" w:cs="等线"/>
                <w:color w:val="auto"/>
                <w:szCs w:val="21"/>
                <w:highlight w:val="none"/>
                <w:lang w:eastAsia="zh-CN"/>
              </w:rPr>
              <w:t>、</w:t>
            </w:r>
            <w:r>
              <w:rPr>
                <w:rFonts w:hint="eastAsia" w:cs="等线"/>
                <w:color w:val="auto"/>
                <w:szCs w:val="21"/>
                <w:highlight w:val="none"/>
                <w:lang w:val="en-US" w:eastAsia="zh-CN"/>
              </w:rPr>
              <w:t>查验系统等情况</w:t>
            </w:r>
            <w:r>
              <w:rPr>
                <w:rFonts w:hint="eastAsia" w:cs="等线"/>
                <w:color w:val="auto"/>
                <w:szCs w:val="21"/>
                <w:highlight w:val="none"/>
              </w:rPr>
              <w:t>了解</w:t>
            </w:r>
            <w:r>
              <w:rPr>
                <w:rFonts w:hint="eastAsia" w:cs="等线"/>
                <w:color w:val="auto"/>
                <w:szCs w:val="21"/>
                <w:highlight w:val="none"/>
                <w:lang w:val="en-US" w:eastAsia="zh-CN"/>
              </w:rPr>
              <w:t>不透彻</w:t>
            </w:r>
            <w:r>
              <w:rPr>
                <w:rFonts w:hint="eastAsia" w:cs="等线"/>
                <w:color w:val="auto"/>
                <w:szCs w:val="21"/>
                <w:highlight w:val="none"/>
              </w:rPr>
              <w:t>，</w:t>
            </w:r>
            <w:r>
              <w:rPr>
                <w:rFonts w:hint="eastAsia" w:cs="等线"/>
                <w:color w:val="auto"/>
                <w:szCs w:val="21"/>
                <w:highlight w:val="none"/>
                <w:lang w:val="en-US" w:eastAsia="zh-CN"/>
              </w:rPr>
              <w:t>或</w:t>
            </w:r>
            <w:r>
              <w:rPr>
                <w:rFonts w:hint="eastAsia" w:ascii="宋体" w:hAnsi="宋体" w:eastAsia="宋体" w:cs="宋体"/>
                <w:color w:val="auto"/>
                <w:highlight w:val="none"/>
              </w:rPr>
              <w:t>对项目理解</w:t>
            </w:r>
            <w:r>
              <w:rPr>
                <w:rFonts w:hint="eastAsia" w:cs="宋体"/>
                <w:color w:val="auto"/>
                <w:highlight w:val="none"/>
                <w:lang w:val="en-US" w:eastAsia="zh-CN"/>
              </w:rPr>
              <w:t>内容不够完整</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或阐述标准和政策与项目不匹配</w:t>
            </w:r>
            <w:r>
              <w:rPr>
                <w:rFonts w:hint="eastAsia" w:ascii="宋体" w:hAnsi="宋体" w:eastAsia="宋体" w:cs="宋体"/>
                <w:color w:val="auto"/>
                <w:highlight w:val="none"/>
              </w:rPr>
              <w:t>，</w:t>
            </w:r>
            <w:r>
              <w:rPr>
                <w:rFonts w:hint="eastAsia" w:cs="宋体"/>
                <w:color w:val="auto"/>
                <w:highlight w:val="none"/>
                <w:lang w:val="en-US" w:eastAsia="zh-CN"/>
              </w:rPr>
              <w:t>或大部分内容与本项目无关</w:t>
            </w:r>
            <w:r>
              <w:rPr>
                <w:rFonts w:hint="eastAsia" w:cs="等线"/>
                <w:color w:val="auto"/>
                <w:szCs w:val="21"/>
                <w:highlight w:val="none"/>
                <w:lang w:val="en-US" w:eastAsia="zh-CN"/>
              </w:rPr>
              <w:t>，</w:t>
            </w:r>
            <w:r>
              <w:rPr>
                <w:rFonts w:hint="eastAsia" w:cs="等线"/>
                <w:color w:val="auto"/>
                <w:szCs w:val="21"/>
                <w:highlight w:val="none"/>
              </w:rPr>
              <w:t>得</w:t>
            </w:r>
            <w:r>
              <w:rPr>
                <w:rFonts w:hint="eastAsia" w:cs="等线"/>
                <w:color w:val="auto"/>
                <w:szCs w:val="21"/>
                <w:highlight w:val="none"/>
                <w:lang w:val="en-US" w:eastAsia="zh-CN"/>
              </w:rPr>
              <w:t>1</w:t>
            </w:r>
            <w:r>
              <w:rPr>
                <w:rFonts w:hint="eastAsia" w:cs="等线"/>
                <w:color w:val="auto"/>
                <w:szCs w:val="21"/>
                <w:highlight w:val="none"/>
              </w:rPr>
              <w:t>分</w:t>
            </w:r>
            <w:r>
              <w:rPr>
                <w:rFonts w:hint="eastAsia" w:cs="等线"/>
                <w:color w:val="auto"/>
                <w:szCs w:val="21"/>
                <w:highlight w:val="none"/>
                <w:lang w:eastAsia="zh-CN"/>
              </w:rPr>
              <w:t>；</w:t>
            </w:r>
          </w:p>
          <w:p w14:paraId="348CE9F6">
            <w:pPr>
              <w:spacing w:line="360" w:lineRule="auto"/>
              <w:jc w:val="left"/>
              <w:rPr>
                <w:rFonts w:hint="eastAsia" w:cs="等线"/>
                <w:color w:val="auto"/>
                <w:szCs w:val="21"/>
                <w:highlight w:val="none"/>
                <w:lang w:val="en-US" w:eastAsia="zh-CN"/>
              </w:rPr>
            </w:pPr>
            <w:r>
              <w:rPr>
                <w:rFonts w:hint="eastAsia" w:cs="等线"/>
                <w:color w:val="auto"/>
                <w:szCs w:val="21"/>
                <w:highlight w:val="none"/>
                <w:lang w:val="en-US" w:eastAsia="zh-CN"/>
              </w:rPr>
              <w:t>5、</w:t>
            </w:r>
            <w:r>
              <w:rPr>
                <w:rFonts w:hint="eastAsia" w:ascii="宋体" w:hAnsi="宋体" w:eastAsia="宋体" w:cs="宋体"/>
                <w:color w:val="auto"/>
                <w:highlight w:val="none"/>
              </w:rPr>
              <w:t>没有提供相关内容</w:t>
            </w:r>
            <w:r>
              <w:rPr>
                <w:rFonts w:hint="eastAsia" w:cs="宋体"/>
                <w:color w:val="auto"/>
                <w:highlight w:val="none"/>
                <w:lang w:eastAsia="zh-CN"/>
              </w:rPr>
              <w:t>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得</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分</w:t>
            </w:r>
            <w:r>
              <w:rPr>
                <w:rFonts w:hint="eastAsia" w:cs="等线"/>
                <w:color w:val="auto"/>
                <w:szCs w:val="21"/>
                <w:highlight w:val="none"/>
              </w:rPr>
              <w:t>。</w:t>
            </w:r>
          </w:p>
        </w:tc>
        <w:tc>
          <w:tcPr>
            <w:tcW w:w="855" w:type="dxa"/>
            <w:vAlign w:val="center"/>
          </w:tcPr>
          <w:p w14:paraId="530B183F">
            <w:pPr>
              <w:spacing w:before="120" w:beforeLines="50" w:after="120" w:afterLines="50" w:line="360" w:lineRule="auto"/>
              <w:jc w:val="center"/>
              <w:rPr>
                <w:rFonts w:hint="default" w:ascii="宋体" w:hAnsi="宋体" w:eastAsia="宋体" w:cs="宋体"/>
                <w:color w:val="auto"/>
                <w:szCs w:val="21"/>
                <w:highlight w:val="none"/>
                <w:lang w:val="en-US" w:eastAsia="zh-CN"/>
              </w:rPr>
            </w:pPr>
            <w:r>
              <w:rPr>
                <w:rFonts w:hint="eastAsia" w:cs="宋体"/>
                <w:color w:val="auto"/>
                <w:szCs w:val="21"/>
                <w:highlight w:val="none"/>
                <w:lang w:val="en-US" w:eastAsia="zh-CN"/>
              </w:rPr>
              <w:t>10</w:t>
            </w:r>
          </w:p>
        </w:tc>
      </w:tr>
      <w:tr w14:paraId="39605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833" w:type="dxa"/>
            <w:vAlign w:val="center"/>
          </w:tcPr>
          <w:p w14:paraId="2D958474">
            <w:pPr>
              <w:spacing w:line="360" w:lineRule="auto"/>
              <w:jc w:val="center"/>
              <w:rPr>
                <w:rFonts w:hint="eastAsia" w:cs="等线"/>
                <w:color w:val="auto"/>
                <w:szCs w:val="21"/>
                <w:highlight w:val="none"/>
                <w:lang w:val="en-US" w:eastAsia="zh-CN"/>
              </w:rPr>
            </w:pPr>
            <w:r>
              <w:rPr>
                <w:rFonts w:hint="eastAsia" w:cs="等线"/>
                <w:color w:val="auto"/>
                <w:szCs w:val="21"/>
                <w:highlight w:val="none"/>
                <w:lang w:val="en-US" w:eastAsia="zh-CN"/>
              </w:rPr>
              <w:t>4</w:t>
            </w:r>
          </w:p>
        </w:tc>
        <w:tc>
          <w:tcPr>
            <w:tcW w:w="1124" w:type="dxa"/>
            <w:vAlign w:val="center"/>
          </w:tcPr>
          <w:p w14:paraId="2C0CB5A7">
            <w:pPr>
              <w:spacing w:line="360" w:lineRule="auto"/>
              <w:jc w:val="center"/>
              <w:rPr>
                <w:rFonts w:hint="eastAsia" w:cs="等线"/>
                <w:color w:val="auto"/>
                <w:szCs w:val="21"/>
                <w:highlight w:val="none"/>
                <w:lang w:val="en-US" w:eastAsia="zh-CN"/>
              </w:rPr>
            </w:pPr>
            <w:r>
              <w:rPr>
                <w:rFonts w:hint="eastAsia" w:cs="等线"/>
                <w:color w:val="auto"/>
                <w:szCs w:val="21"/>
                <w:highlight w:val="none"/>
              </w:rPr>
              <w:t>维保服务方案</w:t>
            </w:r>
          </w:p>
        </w:tc>
        <w:tc>
          <w:tcPr>
            <w:tcW w:w="7010" w:type="dxa"/>
            <w:vAlign w:val="top"/>
          </w:tcPr>
          <w:p w14:paraId="74560B71">
            <w:pPr>
              <w:spacing w:line="360" w:lineRule="auto"/>
              <w:jc w:val="left"/>
              <w:rPr>
                <w:rFonts w:hint="eastAsia" w:cs="等线"/>
                <w:color w:val="auto"/>
                <w:szCs w:val="21"/>
                <w:highlight w:val="none"/>
              </w:rPr>
            </w:pPr>
            <w:r>
              <w:rPr>
                <w:rFonts w:hint="eastAsia" w:cs="等线"/>
                <w:color w:val="auto"/>
                <w:szCs w:val="21"/>
                <w:highlight w:val="none"/>
              </w:rPr>
              <w:t>根据</w:t>
            </w:r>
            <w:r>
              <w:rPr>
                <w:rFonts w:hint="eastAsia" w:cs="等线"/>
                <w:color w:val="auto"/>
                <w:szCs w:val="21"/>
                <w:highlight w:val="none"/>
                <w:lang w:val="en-US" w:eastAsia="zh-CN"/>
              </w:rPr>
              <w:t>响应</w:t>
            </w:r>
            <w:r>
              <w:rPr>
                <w:rFonts w:hint="eastAsia" w:cs="等线"/>
                <w:color w:val="auto"/>
                <w:szCs w:val="21"/>
                <w:highlight w:val="none"/>
                <w:lang w:eastAsia="zh-CN"/>
              </w:rPr>
              <w:t>供应商</w:t>
            </w:r>
            <w:r>
              <w:rPr>
                <w:rFonts w:hint="eastAsia" w:cs="等线"/>
                <w:color w:val="auto"/>
                <w:szCs w:val="21"/>
                <w:highlight w:val="none"/>
                <w:lang w:val="en-US" w:eastAsia="zh-CN"/>
              </w:rPr>
              <w:t>针对本项目提供的</w:t>
            </w:r>
            <w:r>
              <w:rPr>
                <w:rFonts w:hint="eastAsia" w:cs="等线"/>
                <w:color w:val="auto"/>
                <w:szCs w:val="21"/>
                <w:highlight w:val="none"/>
              </w:rPr>
              <w:t>维护方案进行评审：</w:t>
            </w:r>
          </w:p>
          <w:p w14:paraId="55E782AF">
            <w:pPr>
              <w:jc w:val="both"/>
              <w:rPr>
                <w:rFonts w:hint="eastAsia" w:ascii="宋体" w:hAnsi="宋体" w:eastAsia="宋体" w:cs="宋体"/>
                <w:color w:val="auto"/>
                <w:highlight w:val="none"/>
              </w:rPr>
            </w:pPr>
            <w:r>
              <w:rPr>
                <w:rFonts w:hint="eastAsia" w:ascii="宋体" w:hAnsi="宋体" w:eastAsia="宋体" w:cs="宋体"/>
                <w:color w:val="auto"/>
                <w:highlight w:val="none"/>
              </w:rPr>
              <w:t>方案应包括但不限于以下内容：</w:t>
            </w:r>
          </w:p>
          <w:p w14:paraId="11713AD9">
            <w:pPr>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①</w:t>
            </w:r>
            <w:r>
              <w:rPr>
                <w:rFonts w:hint="eastAsia" w:cs="等线"/>
                <w:color w:val="auto"/>
                <w:szCs w:val="21"/>
                <w:highlight w:val="none"/>
              </w:rPr>
              <w:t>概括所有设备的日常维护需求</w:t>
            </w:r>
            <w:r>
              <w:rPr>
                <w:rFonts w:hint="eastAsia" w:ascii="宋体" w:hAnsi="宋体" w:eastAsia="宋体" w:cs="宋体"/>
                <w:color w:val="auto"/>
                <w:highlight w:val="none"/>
                <w:lang w:eastAsia="zh-CN"/>
              </w:rPr>
              <w:t>；</w:t>
            </w:r>
          </w:p>
          <w:p w14:paraId="46C3185F">
            <w:pPr>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②</w:t>
            </w:r>
            <w:r>
              <w:rPr>
                <w:rFonts w:hint="eastAsia" w:cs="等线"/>
                <w:color w:val="auto"/>
                <w:szCs w:val="21"/>
                <w:highlight w:val="none"/>
              </w:rPr>
              <w:t>开展设备维护保养</w:t>
            </w:r>
            <w:r>
              <w:rPr>
                <w:rFonts w:hint="eastAsia" w:cs="等线"/>
                <w:color w:val="auto"/>
                <w:szCs w:val="21"/>
                <w:highlight w:val="none"/>
                <w:lang w:val="en-US" w:eastAsia="zh-CN"/>
              </w:rPr>
              <w:t>的</w:t>
            </w:r>
            <w:r>
              <w:rPr>
                <w:rFonts w:hint="eastAsia" w:cs="等线"/>
                <w:color w:val="auto"/>
                <w:szCs w:val="21"/>
                <w:highlight w:val="none"/>
              </w:rPr>
              <w:t>技术</w:t>
            </w:r>
            <w:r>
              <w:rPr>
                <w:rFonts w:hint="eastAsia" w:cs="等线"/>
                <w:color w:val="auto"/>
                <w:szCs w:val="21"/>
                <w:highlight w:val="none"/>
                <w:lang w:val="en-US" w:eastAsia="zh-CN"/>
              </w:rPr>
              <w:t>和</w:t>
            </w:r>
            <w:r>
              <w:rPr>
                <w:rFonts w:hint="eastAsia" w:cs="等线"/>
                <w:color w:val="auto"/>
                <w:szCs w:val="21"/>
                <w:highlight w:val="none"/>
              </w:rPr>
              <w:t>方法</w:t>
            </w:r>
            <w:r>
              <w:rPr>
                <w:rFonts w:hint="eastAsia" w:ascii="宋体" w:hAnsi="宋体" w:eastAsia="宋体" w:cs="宋体"/>
                <w:color w:val="auto"/>
                <w:highlight w:val="none"/>
                <w:lang w:val="en-US" w:eastAsia="zh-CN"/>
              </w:rPr>
              <w:t>；</w:t>
            </w:r>
          </w:p>
          <w:p w14:paraId="00DC8462">
            <w:pPr>
              <w:spacing w:line="360" w:lineRule="auto"/>
              <w:jc w:val="left"/>
              <w:rPr>
                <w:rFonts w:hint="eastAsia" w:cs="等线"/>
                <w:color w:val="auto"/>
                <w:szCs w:val="21"/>
                <w:highlight w:val="none"/>
              </w:rPr>
            </w:pPr>
            <w:r>
              <w:rPr>
                <w:rFonts w:hint="eastAsia" w:ascii="宋体" w:hAnsi="宋体" w:eastAsia="宋体" w:cs="宋体"/>
                <w:color w:val="auto"/>
                <w:highlight w:val="none"/>
                <w:lang w:val="en-US" w:eastAsia="zh-CN"/>
              </w:rPr>
              <w:t>③</w:t>
            </w:r>
            <w:r>
              <w:rPr>
                <w:rFonts w:hint="eastAsia" w:ascii="宋体" w:hAnsi="宋体" w:eastAsia="宋体" w:cs="宋体"/>
                <w:color w:val="auto"/>
                <w:highlight w:val="none"/>
              </w:rPr>
              <w:t>实施</w:t>
            </w:r>
            <w:r>
              <w:rPr>
                <w:rFonts w:hint="eastAsia" w:cs="宋体"/>
                <w:color w:val="auto"/>
                <w:highlight w:val="none"/>
                <w:lang w:val="en-US" w:eastAsia="zh-CN"/>
              </w:rPr>
              <w:t>团队</w:t>
            </w:r>
            <w:r>
              <w:rPr>
                <w:rFonts w:hint="eastAsia" w:ascii="宋体" w:hAnsi="宋体" w:eastAsia="宋体" w:cs="宋体"/>
                <w:color w:val="auto"/>
                <w:highlight w:val="none"/>
              </w:rPr>
              <w:t>管理</w:t>
            </w:r>
            <w:r>
              <w:rPr>
                <w:rFonts w:hint="eastAsia" w:ascii="宋体" w:hAnsi="宋体" w:eastAsia="宋体" w:cs="宋体"/>
                <w:color w:val="auto"/>
                <w:highlight w:val="none"/>
                <w:lang w:val="en-US" w:eastAsia="zh-CN"/>
              </w:rPr>
              <w:t>和服务计划。</w:t>
            </w:r>
          </w:p>
          <w:p w14:paraId="055E58D1">
            <w:pPr>
              <w:spacing w:line="360" w:lineRule="auto"/>
              <w:jc w:val="both"/>
              <w:rPr>
                <w:rFonts w:hint="eastAsia" w:cs="等线"/>
                <w:color w:val="auto"/>
                <w:szCs w:val="21"/>
                <w:highlight w:val="none"/>
              </w:rPr>
            </w:pPr>
            <w:r>
              <w:rPr>
                <w:rFonts w:hint="eastAsia" w:cs="等线"/>
                <w:color w:val="auto"/>
                <w:szCs w:val="21"/>
                <w:highlight w:val="none"/>
                <w:lang w:val="en-US" w:eastAsia="zh-CN"/>
              </w:rPr>
              <w:t>1、</w:t>
            </w:r>
            <w:r>
              <w:rPr>
                <w:rFonts w:hint="eastAsia" w:ascii="宋体" w:hAnsi="宋体" w:eastAsia="宋体" w:cs="宋体"/>
                <w:color w:val="auto"/>
                <w:highlight w:val="none"/>
                <w:lang w:val="en-US" w:eastAsia="zh-CN"/>
              </w:rPr>
              <w:t>维护服务</w:t>
            </w:r>
            <w:r>
              <w:rPr>
                <w:rFonts w:hint="eastAsia" w:ascii="宋体" w:hAnsi="宋体" w:eastAsia="宋体" w:cs="宋体"/>
                <w:color w:val="auto"/>
                <w:highlight w:val="none"/>
              </w:rPr>
              <w:t>方案</w:t>
            </w:r>
            <w:r>
              <w:rPr>
                <w:rFonts w:hint="eastAsia" w:ascii="宋体" w:hAnsi="宋体" w:eastAsia="宋体" w:cs="宋体"/>
                <w:color w:val="auto"/>
                <w:highlight w:val="none"/>
                <w:lang w:val="en-US" w:eastAsia="zh-CN"/>
              </w:rPr>
              <w:t>有完善详尽的日常维护需求概括</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保养技术和方法先进科学，团队管理制度和服务</w:t>
            </w:r>
            <w:r>
              <w:rPr>
                <w:rFonts w:hint="eastAsia" w:ascii="宋体" w:hAnsi="宋体" w:eastAsia="宋体" w:cs="宋体"/>
                <w:color w:val="auto"/>
                <w:highlight w:val="none"/>
              </w:rPr>
              <w:t>安排</w:t>
            </w:r>
            <w:r>
              <w:rPr>
                <w:rFonts w:hint="eastAsia" w:ascii="宋体" w:hAnsi="宋体" w:eastAsia="宋体" w:cs="宋体"/>
                <w:color w:val="auto"/>
                <w:highlight w:val="none"/>
                <w:lang w:val="en-US" w:eastAsia="zh-CN"/>
              </w:rPr>
              <w:t>清晰</w:t>
            </w:r>
            <w:r>
              <w:rPr>
                <w:rFonts w:hint="eastAsia" w:ascii="宋体" w:hAnsi="宋体" w:eastAsia="宋体" w:cs="宋体"/>
                <w:color w:val="auto"/>
                <w:highlight w:val="none"/>
              </w:rPr>
              <w:t>合理，完全满足且优于项目需求的</w:t>
            </w:r>
            <w:r>
              <w:rPr>
                <w:rFonts w:hint="eastAsia" w:cs="等线"/>
                <w:color w:val="auto"/>
                <w:szCs w:val="21"/>
                <w:highlight w:val="none"/>
                <w:lang w:eastAsia="zh-CN"/>
              </w:rPr>
              <w:t>，</w:t>
            </w:r>
            <w:r>
              <w:rPr>
                <w:rFonts w:hint="eastAsia" w:cs="等线"/>
                <w:color w:val="auto"/>
                <w:szCs w:val="21"/>
                <w:highlight w:val="none"/>
                <w:lang w:val="en-US" w:eastAsia="zh-CN"/>
              </w:rPr>
              <w:t>得5分；</w:t>
            </w:r>
          </w:p>
          <w:p w14:paraId="20D00FB4">
            <w:pPr>
              <w:spacing w:line="360" w:lineRule="auto"/>
              <w:jc w:val="both"/>
              <w:rPr>
                <w:rFonts w:hint="eastAsia" w:cs="等线"/>
                <w:color w:val="auto"/>
                <w:szCs w:val="21"/>
                <w:highlight w:val="none"/>
              </w:rPr>
            </w:pPr>
            <w:r>
              <w:rPr>
                <w:rFonts w:hint="eastAsia" w:cs="等线"/>
                <w:color w:val="auto"/>
                <w:szCs w:val="21"/>
                <w:highlight w:val="none"/>
                <w:lang w:val="en-US" w:eastAsia="zh-CN"/>
              </w:rPr>
              <w:t>2、</w:t>
            </w:r>
            <w:r>
              <w:rPr>
                <w:rFonts w:hint="eastAsia" w:ascii="宋体" w:hAnsi="宋体" w:eastAsia="宋体" w:cs="宋体"/>
                <w:color w:val="auto"/>
                <w:highlight w:val="none"/>
                <w:lang w:val="en-US" w:eastAsia="zh-CN"/>
              </w:rPr>
              <w:t>维护服务</w:t>
            </w:r>
            <w:r>
              <w:rPr>
                <w:rFonts w:hint="eastAsia" w:cs="等线"/>
                <w:color w:val="auto"/>
                <w:szCs w:val="21"/>
                <w:highlight w:val="none"/>
              </w:rPr>
              <w:t>方案</w:t>
            </w:r>
            <w:r>
              <w:rPr>
                <w:rFonts w:hint="eastAsia" w:cs="等线"/>
                <w:color w:val="auto"/>
                <w:szCs w:val="21"/>
                <w:highlight w:val="none"/>
                <w:lang w:val="en-US" w:eastAsia="zh-CN"/>
              </w:rPr>
              <w:t>有基础</w:t>
            </w:r>
            <w:r>
              <w:rPr>
                <w:rFonts w:hint="eastAsia" w:cs="等线"/>
                <w:color w:val="auto"/>
                <w:szCs w:val="21"/>
                <w:highlight w:val="none"/>
                <w:lang w:eastAsia="zh-CN"/>
              </w:rPr>
              <w:t>的</w:t>
            </w:r>
            <w:r>
              <w:rPr>
                <w:rFonts w:hint="eastAsia" w:ascii="宋体" w:hAnsi="宋体" w:eastAsia="宋体" w:cs="宋体"/>
                <w:color w:val="auto"/>
                <w:highlight w:val="none"/>
                <w:lang w:val="en-US" w:eastAsia="zh-CN"/>
              </w:rPr>
              <w:t>日常维护需求概括</w:t>
            </w:r>
            <w:r>
              <w:rPr>
                <w:rFonts w:hint="eastAsia" w:cs="等线"/>
                <w:color w:val="auto"/>
                <w:szCs w:val="21"/>
                <w:highlight w:val="none"/>
              </w:rPr>
              <w:t>，</w:t>
            </w:r>
            <w:r>
              <w:rPr>
                <w:rFonts w:hint="eastAsia" w:ascii="宋体" w:hAnsi="宋体" w:eastAsia="宋体" w:cs="宋体"/>
                <w:color w:val="auto"/>
                <w:highlight w:val="none"/>
                <w:lang w:val="en-US" w:eastAsia="zh-CN"/>
              </w:rPr>
              <w:t>保养技术和方法能匹配本项目实施，团队管理制度和服务</w:t>
            </w:r>
            <w:r>
              <w:rPr>
                <w:rFonts w:hint="eastAsia" w:ascii="宋体" w:hAnsi="宋体" w:eastAsia="宋体" w:cs="宋体"/>
                <w:color w:val="auto"/>
                <w:highlight w:val="none"/>
              </w:rPr>
              <w:t>安排</w:t>
            </w:r>
            <w:r>
              <w:rPr>
                <w:rFonts w:hint="eastAsia" w:ascii="宋体" w:hAnsi="宋体" w:eastAsia="宋体" w:cs="宋体"/>
                <w:color w:val="auto"/>
                <w:highlight w:val="none"/>
                <w:lang w:val="en-US" w:eastAsia="zh-CN"/>
              </w:rPr>
              <w:t>有条理</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基本符合</w:t>
            </w:r>
            <w:r>
              <w:rPr>
                <w:rFonts w:hint="eastAsia" w:ascii="宋体" w:hAnsi="宋体" w:eastAsia="宋体" w:cs="宋体"/>
                <w:color w:val="auto"/>
                <w:highlight w:val="none"/>
              </w:rPr>
              <w:t>项目需求的</w:t>
            </w:r>
            <w:r>
              <w:rPr>
                <w:rFonts w:hint="eastAsia" w:cs="等线"/>
                <w:color w:val="auto"/>
                <w:szCs w:val="21"/>
                <w:highlight w:val="none"/>
                <w:lang w:eastAsia="zh-CN"/>
              </w:rPr>
              <w:t>，</w:t>
            </w:r>
            <w:r>
              <w:rPr>
                <w:rFonts w:hint="eastAsia" w:cs="等线"/>
                <w:color w:val="auto"/>
                <w:szCs w:val="21"/>
                <w:highlight w:val="none"/>
                <w:lang w:val="en-US" w:eastAsia="zh-CN"/>
              </w:rPr>
              <w:t>得3分；</w:t>
            </w:r>
          </w:p>
          <w:p w14:paraId="5ADC0B99">
            <w:pPr>
              <w:spacing w:line="360" w:lineRule="auto"/>
              <w:jc w:val="left"/>
              <w:rPr>
                <w:rFonts w:hint="eastAsia" w:cs="等线"/>
                <w:color w:val="auto"/>
                <w:szCs w:val="21"/>
                <w:highlight w:val="none"/>
              </w:rPr>
            </w:pPr>
            <w:r>
              <w:rPr>
                <w:rFonts w:hint="eastAsia" w:cs="等线"/>
                <w:color w:val="auto"/>
                <w:szCs w:val="21"/>
                <w:highlight w:val="none"/>
                <w:lang w:val="en-US" w:eastAsia="zh-CN"/>
              </w:rPr>
              <w:t>3、</w:t>
            </w:r>
            <w:r>
              <w:rPr>
                <w:rFonts w:hint="eastAsia" w:ascii="宋体" w:hAnsi="宋体" w:eastAsia="宋体" w:cs="宋体"/>
                <w:color w:val="auto"/>
                <w:highlight w:val="none"/>
                <w:lang w:val="en-US" w:eastAsia="zh-CN"/>
              </w:rPr>
              <w:t>维护服务</w:t>
            </w:r>
            <w:r>
              <w:rPr>
                <w:rFonts w:hint="eastAsia" w:cs="等线"/>
                <w:color w:val="auto"/>
                <w:szCs w:val="21"/>
                <w:highlight w:val="none"/>
              </w:rPr>
              <w:t>方案</w:t>
            </w:r>
            <w:r>
              <w:rPr>
                <w:rFonts w:hint="eastAsia" w:cs="等线"/>
                <w:color w:val="auto"/>
                <w:szCs w:val="21"/>
                <w:highlight w:val="none"/>
                <w:lang w:val="en-US" w:eastAsia="zh-CN"/>
              </w:rPr>
              <w:t>对日常维护需求概括有遗漏，或</w:t>
            </w:r>
            <w:r>
              <w:rPr>
                <w:rFonts w:hint="eastAsia" w:ascii="宋体" w:hAnsi="宋体" w:eastAsia="宋体" w:cs="宋体"/>
                <w:color w:val="auto"/>
                <w:highlight w:val="none"/>
                <w:lang w:val="en-US" w:eastAsia="zh-CN"/>
              </w:rPr>
              <w:t>保养技术和方法不能满足本项目实施，或团队管理制度和服务</w:t>
            </w:r>
            <w:r>
              <w:rPr>
                <w:rFonts w:hint="eastAsia" w:ascii="宋体" w:hAnsi="宋体" w:eastAsia="宋体" w:cs="宋体"/>
                <w:color w:val="auto"/>
                <w:highlight w:val="none"/>
              </w:rPr>
              <w:t>安排</w:t>
            </w:r>
            <w:r>
              <w:rPr>
                <w:rFonts w:hint="eastAsia" w:ascii="宋体" w:hAnsi="宋体" w:eastAsia="宋体" w:cs="宋体"/>
                <w:color w:val="auto"/>
                <w:highlight w:val="none"/>
                <w:lang w:val="en-US" w:eastAsia="zh-CN"/>
              </w:rPr>
              <w:t>混乱</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或只有部分内容符合</w:t>
            </w:r>
            <w:r>
              <w:rPr>
                <w:rFonts w:hint="eastAsia" w:ascii="宋体" w:hAnsi="宋体" w:eastAsia="宋体" w:cs="宋体"/>
                <w:color w:val="auto"/>
                <w:highlight w:val="none"/>
              </w:rPr>
              <w:t>项目需求的</w:t>
            </w:r>
            <w:r>
              <w:rPr>
                <w:rFonts w:hint="eastAsia" w:cs="等线"/>
                <w:color w:val="auto"/>
                <w:szCs w:val="21"/>
                <w:highlight w:val="none"/>
                <w:lang w:eastAsia="zh-CN"/>
              </w:rPr>
              <w:t>，</w:t>
            </w:r>
            <w:r>
              <w:rPr>
                <w:rFonts w:hint="eastAsia" w:cs="等线"/>
                <w:color w:val="auto"/>
                <w:szCs w:val="21"/>
                <w:highlight w:val="none"/>
                <w:lang w:val="en-US" w:eastAsia="zh-CN"/>
              </w:rPr>
              <w:t>得1分；</w:t>
            </w:r>
          </w:p>
          <w:p w14:paraId="5ED11A59">
            <w:pPr>
              <w:spacing w:line="360" w:lineRule="auto"/>
              <w:jc w:val="left"/>
              <w:rPr>
                <w:rFonts w:hint="eastAsia" w:eastAsia="宋体" w:cs="等线"/>
                <w:color w:val="auto"/>
                <w:szCs w:val="21"/>
                <w:highlight w:val="none"/>
                <w:lang w:val="en-US" w:eastAsia="zh-CN"/>
              </w:rPr>
            </w:pPr>
            <w:r>
              <w:rPr>
                <w:rFonts w:hint="eastAsia" w:cs="等线"/>
                <w:color w:val="auto"/>
                <w:szCs w:val="21"/>
                <w:highlight w:val="none"/>
                <w:lang w:val="en-US" w:eastAsia="zh-CN"/>
              </w:rPr>
              <w:t>4、</w:t>
            </w:r>
            <w:r>
              <w:rPr>
                <w:rFonts w:hint="eastAsia" w:ascii="宋体" w:hAnsi="宋体" w:eastAsia="宋体" w:cs="宋体"/>
                <w:color w:val="auto"/>
                <w:highlight w:val="none"/>
              </w:rPr>
              <w:t>没有提供相关内容</w:t>
            </w:r>
            <w:r>
              <w:rPr>
                <w:rFonts w:hint="eastAsia" w:cs="宋体"/>
                <w:color w:val="auto"/>
                <w:highlight w:val="none"/>
                <w:lang w:eastAsia="zh-CN"/>
              </w:rPr>
              <w:t>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得</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分</w:t>
            </w:r>
            <w:r>
              <w:rPr>
                <w:rFonts w:hint="eastAsia" w:cs="等线"/>
                <w:color w:val="auto"/>
                <w:szCs w:val="21"/>
                <w:highlight w:val="none"/>
              </w:rPr>
              <w:t>。</w:t>
            </w:r>
          </w:p>
        </w:tc>
        <w:tc>
          <w:tcPr>
            <w:tcW w:w="855" w:type="dxa"/>
            <w:vAlign w:val="center"/>
          </w:tcPr>
          <w:p w14:paraId="07FB2E99">
            <w:pPr>
              <w:spacing w:before="120" w:beforeLines="50" w:after="120" w:afterLines="50" w:line="360" w:lineRule="auto"/>
              <w:jc w:val="center"/>
              <w:rPr>
                <w:rFonts w:hint="default" w:cs="宋体"/>
                <w:color w:val="auto"/>
                <w:szCs w:val="21"/>
                <w:highlight w:val="none"/>
                <w:lang w:val="en-US" w:eastAsia="zh-CN"/>
              </w:rPr>
            </w:pPr>
            <w:r>
              <w:rPr>
                <w:rFonts w:hint="eastAsia" w:cs="宋体"/>
                <w:color w:val="auto"/>
                <w:szCs w:val="21"/>
                <w:highlight w:val="none"/>
                <w:lang w:val="en-US" w:eastAsia="zh-CN"/>
              </w:rPr>
              <w:t>5</w:t>
            </w:r>
          </w:p>
        </w:tc>
      </w:tr>
      <w:tr w14:paraId="62B92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3" w:type="dxa"/>
            <w:vAlign w:val="center"/>
          </w:tcPr>
          <w:p w14:paraId="078DF830">
            <w:pPr>
              <w:spacing w:line="360" w:lineRule="auto"/>
              <w:jc w:val="center"/>
              <w:rPr>
                <w:rFonts w:hint="eastAsia" w:cs="等线"/>
                <w:color w:val="auto"/>
                <w:szCs w:val="21"/>
                <w:highlight w:val="none"/>
                <w:lang w:val="en-US" w:eastAsia="zh-CN"/>
              </w:rPr>
            </w:pPr>
            <w:r>
              <w:rPr>
                <w:rFonts w:hint="eastAsia" w:cs="等线"/>
                <w:color w:val="auto"/>
                <w:szCs w:val="21"/>
                <w:highlight w:val="none"/>
                <w:lang w:val="en-US" w:eastAsia="zh-CN"/>
              </w:rPr>
              <w:t>5</w:t>
            </w:r>
          </w:p>
        </w:tc>
        <w:tc>
          <w:tcPr>
            <w:tcW w:w="1124" w:type="dxa"/>
            <w:vAlign w:val="center"/>
          </w:tcPr>
          <w:p w14:paraId="6EB4837E">
            <w:pPr>
              <w:spacing w:line="360" w:lineRule="auto"/>
              <w:jc w:val="left"/>
              <w:rPr>
                <w:rFonts w:hint="default" w:cs="等线"/>
                <w:color w:val="auto"/>
                <w:szCs w:val="21"/>
                <w:highlight w:val="none"/>
                <w:lang w:val="en-US" w:eastAsia="zh-CN"/>
              </w:rPr>
            </w:pPr>
            <w:r>
              <w:rPr>
                <w:rFonts w:hint="eastAsia" w:cs="等线"/>
                <w:color w:val="auto"/>
                <w:szCs w:val="21"/>
                <w:highlight w:val="none"/>
              </w:rPr>
              <w:t>应急方案</w:t>
            </w:r>
          </w:p>
        </w:tc>
        <w:tc>
          <w:tcPr>
            <w:tcW w:w="7010" w:type="dxa"/>
            <w:vAlign w:val="center"/>
          </w:tcPr>
          <w:p w14:paraId="6123A280">
            <w:pPr>
              <w:jc w:val="both"/>
              <w:rPr>
                <w:rFonts w:hint="eastAsia" w:ascii="宋体" w:hAnsi="宋体" w:eastAsia="宋体" w:cs="宋体"/>
                <w:color w:val="auto"/>
                <w:highlight w:val="none"/>
              </w:rPr>
            </w:pPr>
            <w:r>
              <w:rPr>
                <w:rFonts w:hint="eastAsia" w:ascii="宋体" w:hAnsi="宋体" w:eastAsia="宋体" w:cs="宋体"/>
                <w:color w:val="auto"/>
                <w:highlight w:val="none"/>
              </w:rPr>
              <w:t>根据响应供应商</w:t>
            </w:r>
            <w:r>
              <w:rPr>
                <w:rFonts w:hint="eastAsia" w:ascii="宋体" w:hAnsi="宋体" w:eastAsia="宋体" w:cs="宋体"/>
                <w:color w:val="auto"/>
                <w:highlight w:val="none"/>
                <w:lang w:val="en-US" w:eastAsia="zh-CN"/>
              </w:rPr>
              <w:t>提供的</w:t>
            </w:r>
            <w:r>
              <w:rPr>
                <w:rFonts w:hint="eastAsia"/>
                <w:color w:val="auto"/>
                <w:szCs w:val="21"/>
                <w:highlight w:val="none"/>
              </w:rPr>
              <w:t>紧急突发事件应对措施及预案</w:t>
            </w:r>
            <w:r>
              <w:rPr>
                <w:rFonts w:hint="eastAsia" w:ascii="宋体" w:hAnsi="宋体" w:eastAsia="宋体" w:cs="宋体"/>
                <w:color w:val="auto"/>
                <w:highlight w:val="none"/>
              </w:rPr>
              <w:t>进行评分：</w:t>
            </w:r>
          </w:p>
          <w:p w14:paraId="387D8E15">
            <w:pPr>
              <w:adjustRightInd w:val="0"/>
              <w:snapToGrid w:val="0"/>
              <w:rPr>
                <w:rFonts w:hint="eastAsia" w:ascii="宋体" w:hAnsi="宋体" w:eastAsia="宋体" w:cs="宋体"/>
                <w:color w:val="auto"/>
                <w:highlight w:val="none"/>
              </w:rPr>
            </w:pPr>
            <w:r>
              <w:rPr>
                <w:rFonts w:hint="eastAsia" w:ascii="宋体" w:hAnsi="宋体" w:eastAsia="宋体" w:cs="宋体"/>
                <w:color w:val="auto"/>
                <w:highlight w:val="none"/>
              </w:rPr>
              <w:t>方案应包括但不限于以下内容：</w:t>
            </w:r>
          </w:p>
          <w:p w14:paraId="35DE4A2F">
            <w:pPr>
              <w:adjustRightInd w:val="0"/>
              <w:snapToGrid w:val="0"/>
              <w:rPr>
                <w:rFonts w:hint="eastAsia" w:cs="Calibri Light"/>
                <w:color w:val="auto"/>
                <w:szCs w:val="21"/>
                <w:highlight w:val="none"/>
                <w:lang w:val="en-US" w:eastAsia="zh-CN"/>
              </w:rPr>
            </w:pPr>
            <w:r>
              <w:rPr>
                <w:rFonts w:hint="eastAsia" w:ascii="宋体" w:hAnsi="宋体" w:eastAsia="宋体" w:cs="宋体"/>
                <w:color w:val="auto"/>
                <w:highlight w:val="none"/>
                <w:lang w:val="en-US" w:eastAsia="zh-CN"/>
              </w:rPr>
              <w:t>①</w:t>
            </w:r>
            <w:r>
              <w:rPr>
                <w:rFonts w:hint="eastAsia" w:cs="Calibri Light"/>
                <w:color w:val="auto"/>
                <w:szCs w:val="21"/>
                <w:highlight w:val="none"/>
                <w:lang w:val="en-US" w:eastAsia="zh-CN"/>
              </w:rPr>
              <w:t>列举项目实施过程中可能出现的各类紧急情况；</w:t>
            </w:r>
          </w:p>
          <w:p w14:paraId="25048F03">
            <w:pPr>
              <w:adjustRightInd w:val="0"/>
              <w:snapToGrid w:val="0"/>
              <w:rPr>
                <w:rFonts w:hint="eastAsia" w:cs="等线"/>
                <w:color w:val="auto"/>
                <w:szCs w:val="21"/>
                <w:highlight w:val="none"/>
                <w:lang w:eastAsia="zh-CN"/>
              </w:rPr>
            </w:pPr>
            <w:r>
              <w:rPr>
                <w:rFonts w:hint="eastAsia" w:cs="Calibri Light"/>
                <w:color w:val="auto"/>
                <w:szCs w:val="21"/>
                <w:highlight w:val="none"/>
                <w:lang w:val="en-US" w:eastAsia="zh-CN"/>
              </w:rPr>
              <w:t>②</w:t>
            </w:r>
            <w:r>
              <w:rPr>
                <w:rFonts w:hint="eastAsia" w:cs="等线"/>
                <w:color w:val="auto"/>
                <w:szCs w:val="21"/>
                <w:highlight w:val="none"/>
              </w:rPr>
              <w:t>应急故障排除</w:t>
            </w:r>
            <w:r>
              <w:rPr>
                <w:rFonts w:hint="eastAsia" w:cs="等线"/>
                <w:color w:val="auto"/>
                <w:szCs w:val="21"/>
                <w:highlight w:val="none"/>
                <w:lang w:eastAsia="zh-CN"/>
              </w:rPr>
              <w:t>；</w:t>
            </w:r>
          </w:p>
          <w:p w14:paraId="5F55B676">
            <w:pPr>
              <w:adjustRightInd w:val="0"/>
              <w:snapToGrid w:val="0"/>
              <w:rPr>
                <w:rFonts w:cs="Calibri Light"/>
                <w:color w:val="auto"/>
                <w:szCs w:val="21"/>
                <w:highlight w:val="none"/>
              </w:rPr>
            </w:pPr>
            <w:r>
              <w:rPr>
                <w:rFonts w:hint="eastAsia" w:cs="等线"/>
                <w:color w:val="auto"/>
                <w:szCs w:val="21"/>
                <w:highlight w:val="none"/>
                <w:lang w:val="en-US" w:eastAsia="zh-CN"/>
              </w:rPr>
              <w:t>③</w:t>
            </w:r>
            <w:r>
              <w:rPr>
                <w:rFonts w:hint="eastAsia" w:cs="等线"/>
                <w:color w:val="auto"/>
                <w:szCs w:val="21"/>
                <w:highlight w:val="none"/>
              </w:rPr>
              <w:t>节假日设备应急维修保障</w:t>
            </w:r>
            <w:r>
              <w:rPr>
                <w:rFonts w:hint="eastAsia" w:cs="Calibri Light"/>
                <w:color w:val="auto"/>
                <w:szCs w:val="21"/>
                <w:highlight w:val="none"/>
                <w:lang w:val="en-US" w:eastAsia="zh-CN"/>
              </w:rPr>
              <w:t>。</w:t>
            </w:r>
          </w:p>
          <w:p w14:paraId="68CDB3F1">
            <w:pPr>
              <w:spacing w:line="360" w:lineRule="auto"/>
              <w:jc w:val="left"/>
              <w:rPr>
                <w:rFonts w:hint="eastAsia" w:cs="等线"/>
                <w:color w:val="auto"/>
                <w:szCs w:val="21"/>
                <w:highlight w:val="none"/>
              </w:rPr>
            </w:pPr>
            <w:r>
              <w:rPr>
                <w:rFonts w:hint="eastAsia" w:cs="等线"/>
                <w:color w:val="auto"/>
                <w:szCs w:val="21"/>
                <w:highlight w:val="none"/>
                <w:lang w:val="en-US" w:eastAsia="zh-CN"/>
              </w:rPr>
              <w:t>1、</w:t>
            </w:r>
            <w:r>
              <w:rPr>
                <w:rFonts w:cs="Calibri Light"/>
                <w:color w:val="auto"/>
                <w:szCs w:val="21"/>
                <w:highlight w:val="none"/>
              </w:rPr>
              <w:t>对各种紧急突发事件有</w:t>
            </w:r>
            <w:r>
              <w:rPr>
                <w:rFonts w:hint="eastAsia" w:cs="Calibri Light"/>
                <w:color w:val="auto"/>
                <w:szCs w:val="21"/>
                <w:highlight w:val="none"/>
                <w:lang w:val="en-US" w:eastAsia="zh-CN"/>
              </w:rPr>
              <w:t>充分的</w:t>
            </w:r>
            <w:r>
              <w:rPr>
                <w:rFonts w:cs="Calibri Light"/>
                <w:color w:val="auto"/>
                <w:szCs w:val="21"/>
                <w:highlight w:val="none"/>
              </w:rPr>
              <w:t>预判，针对</w:t>
            </w:r>
            <w:r>
              <w:rPr>
                <w:rFonts w:hint="eastAsia" w:cs="Calibri Light"/>
                <w:color w:val="auto"/>
                <w:szCs w:val="21"/>
                <w:highlight w:val="none"/>
                <w:lang w:val="en-US" w:eastAsia="zh-CN"/>
              </w:rPr>
              <w:t>各类</w:t>
            </w:r>
            <w:r>
              <w:rPr>
                <w:rFonts w:cs="Calibri Light"/>
                <w:color w:val="auto"/>
                <w:szCs w:val="21"/>
                <w:highlight w:val="none"/>
              </w:rPr>
              <w:t>紧急突发情况</w:t>
            </w:r>
            <w:r>
              <w:rPr>
                <w:rFonts w:hint="eastAsia" w:cs="Calibri Light"/>
                <w:color w:val="auto"/>
                <w:szCs w:val="21"/>
                <w:highlight w:val="none"/>
                <w:lang w:val="en-US" w:eastAsia="zh-CN"/>
              </w:rPr>
              <w:t>均能</w:t>
            </w:r>
            <w:r>
              <w:rPr>
                <w:rFonts w:cs="Calibri Light"/>
                <w:color w:val="auto"/>
                <w:szCs w:val="21"/>
                <w:highlight w:val="none"/>
              </w:rPr>
              <w:t>出具科学合理的预案和</w:t>
            </w:r>
            <w:r>
              <w:rPr>
                <w:rFonts w:hint="eastAsia" w:cs="Calibri Light"/>
                <w:color w:val="auto"/>
                <w:szCs w:val="21"/>
                <w:highlight w:val="none"/>
                <w:lang w:val="en-US" w:eastAsia="zh-CN"/>
              </w:rPr>
              <w:t>故障排除</w:t>
            </w:r>
            <w:r>
              <w:rPr>
                <w:rFonts w:cs="Calibri Light"/>
                <w:color w:val="auto"/>
                <w:szCs w:val="21"/>
                <w:highlight w:val="none"/>
              </w:rPr>
              <w:t>措施，</w:t>
            </w:r>
            <w:r>
              <w:rPr>
                <w:rFonts w:hint="eastAsia" w:cs="等线"/>
                <w:color w:val="auto"/>
                <w:szCs w:val="21"/>
                <w:highlight w:val="none"/>
              </w:rPr>
              <w:t>节假日设备应急维修保障方案</w:t>
            </w:r>
            <w:r>
              <w:rPr>
                <w:rFonts w:hint="eastAsia" w:cs="等线"/>
                <w:color w:val="auto"/>
                <w:szCs w:val="21"/>
                <w:highlight w:val="none"/>
                <w:lang w:val="en-US" w:eastAsia="zh-CN"/>
              </w:rPr>
              <w:t>完善</w:t>
            </w:r>
            <w:r>
              <w:rPr>
                <w:rFonts w:hint="eastAsia" w:cs="等线"/>
                <w:color w:val="auto"/>
                <w:szCs w:val="21"/>
                <w:highlight w:val="none"/>
              </w:rPr>
              <w:t>详尽</w:t>
            </w:r>
            <w:r>
              <w:rPr>
                <w:rFonts w:hint="eastAsia" w:cs="等线"/>
                <w:color w:val="auto"/>
                <w:szCs w:val="21"/>
                <w:highlight w:val="none"/>
                <w:lang w:eastAsia="zh-CN"/>
              </w:rPr>
              <w:t>，</w:t>
            </w:r>
            <w:r>
              <w:rPr>
                <w:rFonts w:hint="eastAsia" w:cs="等线"/>
                <w:color w:val="auto"/>
                <w:szCs w:val="21"/>
                <w:highlight w:val="none"/>
                <w:lang w:val="en-US" w:eastAsia="zh-CN"/>
              </w:rPr>
              <w:t>得3分</w:t>
            </w:r>
            <w:r>
              <w:rPr>
                <w:rFonts w:hint="eastAsia" w:cs="等线"/>
                <w:color w:val="auto"/>
                <w:szCs w:val="21"/>
                <w:highlight w:val="none"/>
              </w:rPr>
              <w:t>；</w:t>
            </w:r>
          </w:p>
          <w:p w14:paraId="705CBC5B">
            <w:pPr>
              <w:spacing w:line="360" w:lineRule="auto"/>
              <w:jc w:val="left"/>
              <w:rPr>
                <w:rFonts w:hint="eastAsia" w:cs="等线"/>
                <w:color w:val="auto"/>
                <w:szCs w:val="21"/>
                <w:highlight w:val="none"/>
              </w:rPr>
            </w:pPr>
            <w:r>
              <w:rPr>
                <w:rFonts w:hint="eastAsia" w:cs="等线"/>
                <w:color w:val="auto"/>
                <w:szCs w:val="21"/>
                <w:highlight w:val="none"/>
                <w:lang w:val="en-US" w:eastAsia="zh-CN"/>
              </w:rPr>
              <w:t>2、</w:t>
            </w:r>
            <w:r>
              <w:rPr>
                <w:rFonts w:cs="Calibri Light"/>
                <w:color w:val="auto"/>
                <w:szCs w:val="21"/>
                <w:highlight w:val="none"/>
              </w:rPr>
              <w:t>对各种紧急突发事件有</w:t>
            </w:r>
            <w:r>
              <w:rPr>
                <w:rFonts w:hint="eastAsia" w:cs="Calibri Light"/>
                <w:color w:val="auto"/>
                <w:szCs w:val="21"/>
                <w:highlight w:val="none"/>
                <w:lang w:val="en-US" w:eastAsia="zh-CN"/>
              </w:rPr>
              <w:t>基础</w:t>
            </w:r>
            <w:r>
              <w:rPr>
                <w:rFonts w:cs="Calibri Light"/>
                <w:color w:val="auto"/>
                <w:szCs w:val="21"/>
                <w:highlight w:val="none"/>
              </w:rPr>
              <w:t>预判，针对</w:t>
            </w:r>
            <w:r>
              <w:rPr>
                <w:rFonts w:hint="eastAsia" w:cs="Calibri Light"/>
                <w:color w:val="auto"/>
                <w:szCs w:val="21"/>
                <w:highlight w:val="none"/>
                <w:lang w:val="en-US" w:eastAsia="zh-CN"/>
              </w:rPr>
              <w:t>各类</w:t>
            </w:r>
            <w:r>
              <w:rPr>
                <w:rFonts w:cs="Calibri Light"/>
                <w:color w:val="auto"/>
                <w:szCs w:val="21"/>
                <w:highlight w:val="none"/>
              </w:rPr>
              <w:t>紧急突发情况</w:t>
            </w:r>
            <w:r>
              <w:rPr>
                <w:rFonts w:hint="eastAsia" w:cs="Calibri Light"/>
                <w:color w:val="auto"/>
                <w:szCs w:val="21"/>
                <w:highlight w:val="none"/>
                <w:lang w:val="en-US" w:eastAsia="zh-CN"/>
              </w:rPr>
              <w:t>能给</w:t>
            </w:r>
            <w:r>
              <w:rPr>
                <w:rFonts w:cs="Calibri Light"/>
                <w:color w:val="auto"/>
                <w:szCs w:val="21"/>
                <w:highlight w:val="none"/>
              </w:rPr>
              <w:t>出</w:t>
            </w:r>
            <w:r>
              <w:rPr>
                <w:rFonts w:hint="eastAsia" w:cs="Calibri Light"/>
                <w:color w:val="auto"/>
                <w:szCs w:val="21"/>
                <w:highlight w:val="none"/>
                <w:lang w:val="en-US" w:eastAsia="zh-CN"/>
              </w:rPr>
              <w:t>基本</w:t>
            </w:r>
            <w:r>
              <w:rPr>
                <w:rFonts w:cs="Calibri Light"/>
                <w:color w:val="auto"/>
                <w:szCs w:val="21"/>
                <w:highlight w:val="none"/>
              </w:rPr>
              <w:t>的预案和</w:t>
            </w:r>
            <w:r>
              <w:rPr>
                <w:rFonts w:hint="eastAsia" w:cs="Calibri Light"/>
                <w:color w:val="auto"/>
                <w:szCs w:val="21"/>
                <w:highlight w:val="none"/>
                <w:lang w:val="en-US" w:eastAsia="zh-CN"/>
              </w:rPr>
              <w:t>故障排除</w:t>
            </w:r>
            <w:r>
              <w:rPr>
                <w:rFonts w:cs="Calibri Light"/>
                <w:color w:val="auto"/>
                <w:szCs w:val="21"/>
                <w:highlight w:val="none"/>
              </w:rPr>
              <w:t>措施</w:t>
            </w:r>
            <w:r>
              <w:rPr>
                <w:rFonts w:hint="eastAsia" w:cs="Calibri Light"/>
                <w:color w:val="auto"/>
                <w:szCs w:val="21"/>
                <w:highlight w:val="none"/>
                <w:lang w:eastAsia="zh-CN"/>
              </w:rPr>
              <w:t>，</w:t>
            </w:r>
            <w:r>
              <w:rPr>
                <w:rFonts w:hint="eastAsia" w:cs="等线"/>
                <w:color w:val="auto"/>
                <w:szCs w:val="21"/>
                <w:highlight w:val="none"/>
              </w:rPr>
              <w:t>节假日设备应急维修保障方案全面</w:t>
            </w:r>
            <w:r>
              <w:rPr>
                <w:rFonts w:hint="eastAsia" w:cs="等线"/>
                <w:color w:val="auto"/>
                <w:szCs w:val="21"/>
                <w:highlight w:val="none"/>
                <w:lang w:eastAsia="zh-CN"/>
              </w:rPr>
              <w:t>，</w:t>
            </w:r>
            <w:r>
              <w:rPr>
                <w:rFonts w:hint="eastAsia" w:cs="等线"/>
                <w:color w:val="auto"/>
                <w:szCs w:val="21"/>
                <w:highlight w:val="none"/>
                <w:lang w:val="en-US" w:eastAsia="zh-CN"/>
              </w:rPr>
              <w:t>得2分</w:t>
            </w:r>
            <w:r>
              <w:rPr>
                <w:rFonts w:hint="eastAsia" w:cs="等线"/>
                <w:color w:val="auto"/>
                <w:szCs w:val="21"/>
                <w:highlight w:val="none"/>
              </w:rPr>
              <w:t>；</w:t>
            </w:r>
          </w:p>
          <w:p w14:paraId="0D477E5F">
            <w:pPr>
              <w:spacing w:line="360" w:lineRule="auto"/>
              <w:jc w:val="left"/>
              <w:rPr>
                <w:rFonts w:hint="eastAsia" w:cs="等线"/>
                <w:color w:val="auto"/>
                <w:szCs w:val="21"/>
                <w:highlight w:val="none"/>
              </w:rPr>
            </w:pPr>
            <w:r>
              <w:rPr>
                <w:rFonts w:hint="eastAsia" w:cs="等线"/>
                <w:color w:val="auto"/>
                <w:szCs w:val="21"/>
                <w:highlight w:val="none"/>
                <w:lang w:val="en-US" w:eastAsia="zh-CN"/>
              </w:rPr>
              <w:t>3、</w:t>
            </w:r>
            <w:r>
              <w:rPr>
                <w:rFonts w:cs="Calibri Light"/>
                <w:color w:val="auto"/>
                <w:szCs w:val="21"/>
                <w:highlight w:val="none"/>
              </w:rPr>
              <w:t>对各种紧急突发事件</w:t>
            </w:r>
            <w:r>
              <w:rPr>
                <w:rFonts w:hint="eastAsia" w:cs="Calibri Light"/>
                <w:color w:val="auto"/>
                <w:szCs w:val="21"/>
                <w:highlight w:val="none"/>
                <w:lang w:val="en-US" w:eastAsia="zh-CN"/>
              </w:rPr>
              <w:t>的</w:t>
            </w:r>
            <w:r>
              <w:rPr>
                <w:rFonts w:cs="Calibri Light"/>
                <w:color w:val="auto"/>
                <w:szCs w:val="21"/>
                <w:highlight w:val="none"/>
              </w:rPr>
              <w:t>预判</w:t>
            </w:r>
            <w:r>
              <w:rPr>
                <w:rFonts w:hint="eastAsia" w:cs="Calibri Light"/>
                <w:color w:val="auto"/>
                <w:szCs w:val="21"/>
                <w:highlight w:val="none"/>
                <w:lang w:val="en-US" w:eastAsia="zh-CN"/>
              </w:rPr>
              <w:t>不足</w:t>
            </w:r>
            <w:r>
              <w:rPr>
                <w:rFonts w:cs="Calibri Light"/>
                <w:color w:val="auto"/>
                <w:szCs w:val="21"/>
                <w:highlight w:val="none"/>
              </w:rPr>
              <w:t>，</w:t>
            </w:r>
            <w:r>
              <w:rPr>
                <w:rFonts w:hint="eastAsia" w:cs="Calibri Light"/>
                <w:color w:val="auto"/>
                <w:szCs w:val="21"/>
                <w:highlight w:val="none"/>
                <w:lang w:val="en-US" w:eastAsia="zh-CN"/>
              </w:rPr>
              <w:t>或</w:t>
            </w:r>
            <w:r>
              <w:rPr>
                <w:rFonts w:cs="Calibri Light"/>
                <w:color w:val="auto"/>
                <w:szCs w:val="21"/>
                <w:highlight w:val="none"/>
              </w:rPr>
              <w:t>针对</w:t>
            </w:r>
            <w:r>
              <w:rPr>
                <w:rFonts w:hint="eastAsia" w:cs="Calibri Light"/>
                <w:color w:val="auto"/>
                <w:szCs w:val="21"/>
                <w:highlight w:val="none"/>
                <w:lang w:val="en-US" w:eastAsia="zh-CN"/>
              </w:rPr>
              <w:t>各类</w:t>
            </w:r>
            <w:r>
              <w:rPr>
                <w:rFonts w:cs="Calibri Light"/>
                <w:color w:val="auto"/>
                <w:szCs w:val="21"/>
                <w:highlight w:val="none"/>
              </w:rPr>
              <w:t>紧急突发情况</w:t>
            </w:r>
            <w:r>
              <w:rPr>
                <w:rFonts w:hint="eastAsia" w:cs="Calibri Light"/>
                <w:color w:val="auto"/>
                <w:szCs w:val="21"/>
                <w:highlight w:val="none"/>
                <w:lang w:val="en-US" w:eastAsia="zh-CN"/>
              </w:rPr>
              <w:t>仅能给</w:t>
            </w:r>
            <w:r>
              <w:rPr>
                <w:rFonts w:cs="Calibri Light"/>
                <w:color w:val="auto"/>
                <w:szCs w:val="21"/>
                <w:highlight w:val="none"/>
              </w:rPr>
              <w:t>出</w:t>
            </w:r>
            <w:r>
              <w:rPr>
                <w:rFonts w:hint="eastAsia" w:cs="Calibri Light"/>
                <w:color w:val="auto"/>
                <w:szCs w:val="21"/>
                <w:highlight w:val="none"/>
                <w:lang w:val="en-US" w:eastAsia="zh-CN"/>
              </w:rPr>
              <w:t>简单</w:t>
            </w:r>
            <w:r>
              <w:rPr>
                <w:rFonts w:cs="Calibri Light"/>
                <w:color w:val="auto"/>
                <w:szCs w:val="21"/>
                <w:highlight w:val="none"/>
              </w:rPr>
              <w:t>预案和</w:t>
            </w:r>
            <w:r>
              <w:rPr>
                <w:rFonts w:hint="eastAsia" w:cs="Calibri Light"/>
                <w:color w:val="auto"/>
                <w:szCs w:val="21"/>
                <w:highlight w:val="none"/>
                <w:lang w:val="en-US" w:eastAsia="zh-CN"/>
              </w:rPr>
              <w:t>故障排除</w:t>
            </w:r>
            <w:r>
              <w:rPr>
                <w:rFonts w:cs="Calibri Light"/>
                <w:color w:val="auto"/>
                <w:szCs w:val="21"/>
                <w:highlight w:val="none"/>
              </w:rPr>
              <w:t>措施</w:t>
            </w:r>
            <w:r>
              <w:rPr>
                <w:rFonts w:hint="eastAsia" w:cs="Calibri Light"/>
                <w:color w:val="auto"/>
                <w:szCs w:val="21"/>
                <w:highlight w:val="none"/>
                <w:lang w:eastAsia="zh-CN"/>
              </w:rPr>
              <w:t>，</w:t>
            </w:r>
            <w:r>
              <w:rPr>
                <w:rFonts w:hint="eastAsia" w:cs="等线"/>
                <w:color w:val="auto"/>
                <w:szCs w:val="21"/>
                <w:highlight w:val="none"/>
                <w:lang w:val="en-US" w:eastAsia="zh-CN"/>
              </w:rPr>
              <w:t>或</w:t>
            </w:r>
            <w:r>
              <w:rPr>
                <w:rFonts w:hint="eastAsia" w:cs="等线"/>
                <w:color w:val="auto"/>
                <w:szCs w:val="21"/>
                <w:highlight w:val="none"/>
              </w:rPr>
              <w:t>节假日设备应急维修保障方案</w:t>
            </w:r>
            <w:r>
              <w:rPr>
                <w:rFonts w:hint="eastAsia" w:cs="等线"/>
                <w:color w:val="auto"/>
                <w:szCs w:val="21"/>
                <w:highlight w:val="none"/>
                <w:lang w:val="en-US" w:eastAsia="zh-CN"/>
              </w:rPr>
              <w:t>不全面仅部分匹配本项目</w:t>
            </w:r>
            <w:r>
              <w:rPr>
                <w:rFonts w:hint="eastAsia" w:cs="等线"/>
                <w:color w:val="auto"/>
                <w:szCs w:val="21"/>
                <w:highlight w:val="none"/>
                <w:lang w:eastAsia="zh-CN"/>
              </w:rPr>
              <w:t>，</w:t>
            </w:r>
            <w:r>
              <w:rPr>
                <w:rFonts w:hint="eastAsia" w:cs="等线"/>
                <w:color w:val="auto"/>
                <w:szCs w:val="21"/>
                <w:highlight w:val="none"/>
                <w:lang w:val="en-US" w:eastAsia="zh-CN"/>
              </w:rPr>
              <w:t>得1分</w:t>
            </w:r>
            <w:r>
              <w:rPr>
                <w:rFonts w:hint="eastAsia" w:cs="等线"/>
                <w:color w:val="auto"/>
                <w:szCs w:val="21"/>
                <w:highlight w:val="none"/>
              </w:rPr>
              <w:t>；</w:t>
            </w:r>
          </w:p>
          <w:p w14:paraId="359F97FD">
            <w:pPr>
              <w:spacing w:line="360" w:lineRule="auto"/>
              <w:jc w:val="left"/>
              <w:rPr>
                <w:rFonts w:hint="eastAsia" w:cs="等线"/>
                <w:color w:val="auto"/>
                <w:szCs w:val="21"/>
                <w:highlight w:val="none"/>
                <w:lang w:val="en-US" w:eastAsia="zh-CN"/>
              </w:rPr>
            </w:pPr>
            <w:r>
              <w:rPr>
                <w:rFonts w:hint="eastAsia" w:cs="等线"/>
                <w:color w:val="auto"/>
                <w:szCs w:val="21"/>
                <w:highlight w:val="none"/>
                <w:lang w:val="en-US" w:eastAsia="zh-CN"/>
              </w:rPr>
              <w:t>4、</w:t>
            </w:r>
            <w:r>
              <w:rPr>
                <w:rFonts w:hint="eastAsia" w:ascii="宋体" w:hAnsi="宋体" w:eastAsia="宋体" w:cs="宋体"/>
                <w:color w:val="auto"/>
                <w:highlight w:val="none"/>
              </w:rPr>
              <w:t>没有提供相关内容</w:t>
            </w:r>
            <w:r>
              <w:rPr>
                <w:rFonts w:hint="eastAsia" w:cs="宋体"/>
                <w:color w:val="auto"/>
                <w:highlight w:val="none"/>
                <w:lang w:eastAsia="zh-CN"/>
              </w:rPr>
              <w:t>的，</w:t>
            </w:r>
            <w:r>
              <w:rPr>
                <w:rFonts w:hint="eastAsia" w:cs="等线"/>
                <w:color w:val="auto"/>
                <w:szCs w:val="21"/>
                <w:highlight w:val="none"/>
                <w:lang w:val="en-US" w:eastAsia="zh-CN"/>
              </w:rPr>
              <w:t>得0分。</w:t>
            </w:r>
          </w:p>
        </w:tc>
        <w:tc>
          <w:tcPr>
            <w:tcW w:w="855" w:type="dxa"/>
            <w:vAlign w:val="center"/>
          </w:tcPr>
          <w:p w14:paraId="648BC927">
            <w:pPr>
              <w:spacing w:before="120" w:beforeLines="50" w:after="120" w:afterLines="50" w:line="360" w:lineRule="auto"/>
              <w:jc w:val="center"/>
              <w:rPr>
                <w:rFonts w:hint="default" w:cs="宋体"/>
                <w:color w:val="auto"/>
                <w:szCs w:val="21"/>
                <w:highlight w:val="none"/>
                <w:lang w:val="en-US" w:eastAsia="zh-CN"/>
              </w:rPr>
            </w:pPr>
            <w:r>
              <w:rPr>
                <w:rFonts w:hint="eastAsia" w:cs="宋体"/>
                <w:color w:val="auto"/>
                <w:szCs w:val="21"/>
                <w:highlight w:val="none"/>
                <w:lang w:val="en-US" w:eastAsia="zh-CN"/>
              </w:rPr>
              <w:t>3</w:t>
            </w:r>
          </w:p>
        </w:tc>
      </w:tr>
      <w:tr w14:paraId="69408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3" w:type="dxa"/>
            <w:vAlign w:val="center"/>
          </w:tcPr>
          <w:p w14:paraId="45DBE6BB">
            <w:pPr>
              <w:spacing w:line="360" w:lineRule="auto"/>
              <w:jc w:val="center"/>
              <w:rPr>
                <w:rFonts w:hint="eastAsia" w:cs="等线"/>
                <w:color w:val="auto"/>
                <w:szCs w:val="21"/>
                <w:highlight w:val="none"/>
                <w:lang w:val="en-US" w:eastAsia="zh-CN"/>
              </w:rPr>
            </w:pPr>
            <w:r>
              <w:rPr>
                <w:rFonts w:hint="eastAsia" w:cs="等线"/>
                <w:color w:val="auto"/>
                <w:szCs w:val="21"/>
                <w:highlight w:val="none"/>
                <w:lang w:val="en-US" w:eastAsia="zh-CN"/>
              </w:rPr>
              <w:t>7</w:t>
            </w:r>
          </w:p>
        </w:tc>
        <w:tc>
          <w:tcPr>
            <w:tcW w:w="1124" w:type="dxa"/>
            <w:vAlign w:val="center"/>
          </w:tcPr>
          <w:p w14:paraId="052A48DF">
            <w:pPr>
              <w:spacing w:line="360" w:lineRule="auto"/>
              <w:jc w:val="center"/>
              <w:rPr>
                <w:rFonts w:hint="eastAsia" w:eastAsia="宋体" w:cs="等线"/>
                <w:color w:val="auto"/>
                <w:szCs w:val="21"/>
                <w:highlight w:val="none"/>
                <w:lang w:val="en-US" w:eastAsia="zh-CN"/>
              </w:rPr>
            </w:pPr>
            <w:r>
              <w:rPr>
                <w:rFonts w:hint="eastAsia" w:cs="等线"/>
                <w:color w:val="auto"/>
                <w:szCs w:val="21"/>
                <w:highlight w:val="none"/>
                <w:lang w:val="en-US" w:eastAsia="zh-CN"/>
              </w:rPr>
              <w:t>服务车辆</w:t>
            </w:r>
          </w:p>
        </w:tc>
        <w:tc>
          <w:tcPr>
            <w:tcW w:w="7010" w:type="dxa"/>
            <w:vAlign w:val="top"/>
          </w:tcPr>
          <w:p w14:paraId="16473983">
            <w:pPr>
              <w:spacing w:line="360" w:lineRule="auto"/>
              <w:jc w:val="left"/>
              <w:rPr>
                <w:rFonts w:hint="eastAsia" w:cs="等线"/>
                <w:color w:val="auto"/>
                <w:szCs w:val="21"/>
                <w:highlight w:val="none"/>
                <w:lang w:val="en-US" w:eastAsia="zh-CN"/>
              </w:rPr>
            </w:pPr>
            <w:r>
              <w:rPr>
                <w:rFonts w:hint="eastAsia" w:cs="等线"/>
                <w:color w:val="auto"/>
                <w:szCs w:val="21"/>
                <w:highlight w:val="none"/>
                <w:lang w:val="en-US" w:eastAsia="zh-CN"/>
              </w:rPr>
              <w:t>响应供应商拟投入自有或租赁的高空作业车，得2分；</w:t>
            </w:r>
          </w:p>
          <w:p w14:paraId="5BFEF899">
            <w:pPr>
              <w:spacing w:line="360" w:lineRule="auto"/>
              <w:jc w:val="left"/>
              <w:rPr>
                <w:rFonts w:hint="eastAsia" w:cs="等线"/>
                <w:color w:val="auto"/>
                <w:szCs w:val="21"/>
                <w:highlight w:val="none"/>
                <w:lang w:val="en-US" w:eastAsia="zh-CN"/>
              </w:rPr>
            </w:pPr>
            <w:r>
              <w:rPr>
                <w:rFonts w:hint="eastAsia" w:ascii="宋体" w:hAnsi="宋体" w:eastAsia="宋体" w:cs="宋体"/>
                <w:b/>
                <w:color w:val="auto"/>
                <w:szCs w:val="21"/>
                <w:highlight w:val="none"/>
                <w:lang w:eastAsia="zh-CN"/>
              </w:rPr>
              <w:t>注：（1）自有车辆：提供年审有效期内的《机动车行驶证》、车辆照片、车辆购置发票复印件，</w:t>
            </w:r>
            <w:r>
              <w:rPr>
                <w:rFonts w:hint="eastAsia" w:cs="宋体"/>
                <w:b/>
                <w:color w:val="auto"/>
                <w:szCs w:val="21"/>
                <w:highlight w:val="none"/>
                <w:lang w:eastAsia="zh-CN"/>
              </w:rPr>
              <w:t>加盖供应商</w:t>
            </w:r>
            <w:r>
              <w:rPr>
                <w:rFonts w:hint="eastAsia" w:ascii="宋体" w:hAnsi="宋体" w:eastAsia="宋体" w:cs="宋体"/>
                <w:b/>
                <w:color w:val="auto"/>
                <w:szCs w:val="21"/>
                <w:highlight w:val="none"/>
                <w:lang w:eastAsia="zh-CN"/>
              </w:rPr>
              <w:t>公章；车辆注册用户须和</w:t>
            </w:r>
            <w:r>
              <w:rPr>
                <w:rFonts w:hint="eastAsia" w:cs="宋体"/>
                <w:b/>
                <w:color w:val="auto"/>
                <w:szCs w:val="21"/>
                <w:highlight w:val="none"/>
                <w:lang w:eastAsia="zh-CN"/>
              </w:rPr>
              <w:t>响应供应商</w:t>
            </w:r>
            <w:r>
              <w:rPr>
                <w:rFonts w:hint="eastAsia" w:ascii="宋体" w:hAnsi="宋体" w:eastAsia="宋体" w:cs="宋体"/>
                <w:b/>
                <w:color w:val="auto"/>
                <w:szCs w:val="21"/>
                <w:highlight w:val="none"/>
                <w:lang w:eastAsia="zh-CN"/>
              </w:rPr>
              <w:t>名称一致。（2）租赁车辆：提供有效的车辆租赁合同、租赁期内近三个月费用的银行转账凭证或发票、《机动车行驶证》、车辆照片、车辆购置发票复印件，</w:t>
            </w:r>
            <w:r>
              <w:rPr>
                <w:rFonts w:hint="eastAsia" w:cs="宋体"/>
                <w:b/>
                <w:color w:val="auto"/>
                <w:szCs w:val="21"/>
                <w:highlight w:val="none"/>
                <w:lang w:eastAsia="zh-CN"/>
              </w:rPr>
              <w:t>加盖供应商</w:t>
            </w:r>
            <w:r>
              <w:rPr>
                <w:rFonts w:hint="eastAsia" w:ascii="宋体" w:hAnsi="宋体" w:eastAsia="宋体" w:cs="宋体"/>
                <w:b/>
                <w:color w:val="auto"/>
                <w:szCs w:val="21"/>
                <w:highlight w:val="none"/>
                <w:lang w:eastAsia="zh-CN"/>
              </w:rPr>
              <w:t>公章；承租方须与</w:t>
            </w:r>
            <w:r>
              <w:rPr>
                <w:rFonts w:hint="eastAsia" w:cs="宋体"/>
                <w:b/>
                <w:color w:val="auto"/>
                <w:szCs w:val="21"/>
                <w:highlight w:val="none"/>
                <w:lang w:eastAsia="zh-CN"/>
              </w:rPr>
              <w:t>响应供应商</w:t>
            </w:r>
            <w:r>
              <w:rPr>
                <w:rFonts w:hint="eastAsia" w:ascii="宋体" w:hAnsi="宋体" w:eastAsia="宋体" w:cs="宋体"/>
                <w:b/>
                <w:color w:val="auto"/>
                <w:szCs w:val="21"/>
                <w:highlight w:val="none"/>
                <w:lang w:eastAsia="zh-CN"/>
              </w:rPr>
              <w:t>名称一致；（3）车辆类型以行驶证或车辆购置发票或出厂合格证书所载车辆类型为准。（4）</w:t>
            </w:r>
            <w:r>
              <w:rPr>
                <w:rFonts w:hint="eastAsia" w:ascii="宋体" w:hAnsi="宋体" w:eastAsia="宋体" w:cs="宋体"/>
                <w:b/>
                <w:color w:val="auto"/>
                <w:szCs w:val="21"/>
                <w:highlight w:val="none"/>
              </w:rPr>
              <w:t>未按要求提供</w:t>
            </w:r>
            <w:r>
              <w:rPr>
                <w:rFonts w:hint="eastAsia" w:ascii="宋体" w:hAnsi="宋体" w:eastAsia="宋体" w:cs="宋体"/>
                <w:b/>
                <w:color w:val="auto"/>
                <w:szCs w:val="21"/>
                <w:highlight w:val="none"/>
                <w:lang w:eastAsia="zh-CN"/>
              </w:rPr>
              <w:t>或未提供</w:t>
            </w:r>
            <w:r>
              <w:rPr>
                <w:rFonts w:hint="eastAsia" w:ascii="宋体" w:hAnsi="宋体" w:eastAsia="宋体" w:cs="宋体"/>
                <w:b/>
                <w:color w:val="auto"/>
                <w:szCs w:val="21"/>
                <w:highlight w:val="none"/>
              </w:rPr>
              <w:t>的</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不得分。</w:t>
            </w:r>
          </w:p>
        </w:tc>
        <w:tc>
          <w:tcPr>
            <w:tcW w:w="855" w:type="dxa"/>
            <w:vAlign w:val="center"/>
          </w:tcPr>
          <w:p w14:paraId="366D5972">
            <w:pPr>
              <w:spacing w:before="120" w:beforeLines="50" w:after="120" w:afterLines="50" w:line="360" w:lineRule="auto"/>
              <w:jc w:val="center"/>
              <w:rPr>
                <w:rFonts w:hint="default" w:ascii="宋体" w:hAnsi="宋体" w:eastAsia="宋体" w:cs="宋体"/>
                <w:color w:val="auto"/>
                <w:szCs w:val="21"/>
                <w:highlight w:val="none"/>
                <w:lang w:val="en-US" w:eastAsia="zh-CN"/>
              </w:rPr>
            </w:pPr>
            <w:r>
              <w:rPr>
                <w:rFonts w:hint="eastAsia" w:cs="宋体"/>
                <w:color w:val="auto"/>
                <w:szCs w:val="21"/>
                <w:highlight w:val="none"/>
                <w:lang w:val="en-US" w:eastAsia="zh-CN"/>
              </w:rPr>
              <w:t>2</w:t>
            </w:r>
          </w:p>
        </w:tc>
      </w:tr>
      <w:tr w14:paraId="169AD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3" w:type="dxa"/>
            <w:vAlign w:val="center"/>
          </w:tcPr>
          <w:p w14:paraId="7E0B398D">
            <w:pPr>
              <w:spacing w:line="360" w:lineRule="auto"/>
              <w:jc w:val="center"/>
              <w:rPr>
                <w:rFonts w:hint="eastAsia" w:cs="等线"/>
                <w:color w:val="auto"/>
                <w:szCs w:val="21"/>
                <w:highlight w:val="none"/>
                <w:lang w:val="en-US" w:eastAsia="zh-CN"/>
              </w:rPr>
            </w:pPr>
            <w:r>
              <w:rPr>
                <w:rFonts w:hint="eastAsia" w:cs="等线"/>
                <w:color w:val="auto"/>
                <w:szCs w:val="21"/>
                <w:highlight w:val="none"/>
                <w:lang w:val="en-US" w:eastAsia="zh-CN"/>
              </w:rPr>
              <w:t>8</w:t>
            </w:r>
          </w:p>
        </w:tc>
        <w:tc>
          <w:tcPr>
            <w:tcW w:w="1124" w:type="dxa"/>
            <w:shd w:val="clear" w:color="auto" w:fill="auto"/>
            <w:vAlign w:val="center"/>
          </w:tcPr>
          <w:p w14:paraId="4F48675A">
            <w:pPr>
              <w:spacing w:line="360" w:lineRule="auto"/>
              <w:jc w:val="center"/>
              <w:rPr>
                <w:rFonts w:hint="eastAsia" w:cs="等线"/>
                <w:color w:val="auto"/>
                <w:szCs w:val="21"/>
                <w:highlight w:val="none"/>
                <w:lang w:val="en-US" w:eastAsia="zh-CN"/>
              </w:rPr>
            </w:pPr>
            <w:r>
              <w:rPr>
                <w:rFonts w:hint="eastAsia" w:cs="等线"/>
                <w:color w:val="auto"/>
                <w:szCs w:val="21"/>
                <w:highlight w:val="none"/>
              </w:rPr>
              <w:t>项目负责人能力</w:t>
            </w:r>
          </w:p>
        </w:tc>
        <w:tc>
          <w:tcPr>
            <w:tcW w:w="7010" w:type="dxa"/>
            <w:shd w:val="clear" w:color="auto" w:fill="auto"/>
            <w:vAlign w:val="top"/>
          </w:tcPr>
          <w:p w14:paraId="66C346C3">
            <w:pPr>
              <w:spacing w:line="360" w:lineRule="auto"/>
              <w:jc w:val="left"/>
              <w:rPr>
                <w:rFonts w:hint="eastAsia" w:cs="等线"/>
                <w:color w:val="auto"/>
                <w:szCs w:val="21"/>
                <w:highlight w:val="none"/>
              </w:rPr>
            </w:pPr>
            <w:r>
              <w:rPr>
                <w:rFonts w:hint="eastAsia" w:cs="等线"/>
                <w:color w:val="auto"/>
                <w:szCs w:val="21"/>
                <w:highlight w:val="none"/>
              </w:rPr>
              <w:t>根据</w:t>
            </w:r>
            <w:r>
              <w:rPr>
                <w:rFonts w:hint="eastAsia" w:cs="等线"/>
                <w:color w:val="auto"/>
                <w:szCs w:val="21"/>
                <w:highlight w:val="none"/>
                <w:lang w:eastAsia="zh-CN"/>
              </w:rPr>
              <w:t>供应商</w:t>
            </w:r>
            <w:r>
              <w:rPr>
                <w:rFonts w:hint="eastAsia" w:cs="等线"/>
                <w:color w:val="auto"/>
                <w:szCs w:val="21"/>
                <w:highlight w:val="none"/>
              </w:rPr>
              <w:t>拟投入本项目的项目负责人</w:t>
            </w:r>
            <w:r>
              <w:rPr>
                <w:rFonts w:hint="eastAsia" w:cs="等线"/>
                <w:color w:val="auto"/>
                <w:szCs w:val="21"/>
                <w:highlight w:val="none"/>
                <w:lang w:eastAsia="zh-CN"/>
              </w:rPr>
              <w:t>（</w:t>
            </w:r>
            <w:r>
              <w:rPr>
                <w:rFonts w:hint="eastAsia" w:cs="等线"/>
                <w:color w:val="auto"/>
                <w:szCs w:val="21"/>
                <w:highlight w:val="none"/>
                <w:lang w:val="en-US" w:eastAsia="zh-CN"/>
              </w:rPr>
              <w:t>只计1人</w:t>
            </w:r>
            <w:r>
              <w:rPr>
                <w:rFonts w:hint="eastAsia" w:cs="等线"/>
                <w:color w:val="auto"/>
                <w:szCs w:val="21"/>
                <w:highlight w:val="none"/>
                <w:lang w:eastAsia="zh-CN"/>
              </w:rPr>
              <w:t>）</w:t>
            </w:r>
            <w:r>
              <w:rPr>
                <w:rFonts w:hint="eastAsia" w:cs="等线"/>
                <w:color w:val="auto"/>
                <w:szCs w:val="21"/>
                <w:highlight w:val="none"/>
              </w:rPr>
              <w:t>情况评分：</w:t>
            </w:r>
          </w:p>
          <w:p w14:paraId="47ACF4BC">
            <w:pPr>
              <w:spacing w:line="360" w:lineRule="auto"/>
              <w:jc w:val="both"/>
              <w:rPr>
                <w:color w:val="auto"/>
                <w:highlight w:val="none"/>
              </w:rPr>
            </w:pPr>
            <w:r>
              <w:rPr>
                <w:rFonts w:hint="eastAsia" w:cs="等线"/>
                <w:color w:val="auto"/>
                <w:szCs w:val="21"/>
                <w:highlight w:val="none"/>
                <w:lang w:val="en-US" w:eastAsia="zh-CN"/>
              </w:rPr>
              <w:t>1、</w:t>
            </w:r>
            <w:r>
              <w:rPr>
                <w:rFonts w:hint="eastAsia" w:cs="等线"/>
                <w:color w:val="auto"/>
                <w:szCs w:val="21"/>
                <w:highlight w:val="none"/>
              </w:rPr>
              <w:t>具有工业和信息化部及人力资源和社会保障部颁发的信息系统项目管理师</w:t>
            </w:r>
            <w:r>
              <w:rPr>
                <w:rFonts w:hint="eastAsia" w:cs="等线"/>
                <w:color w:val="auto"/>
                <w:szCs w:val="21"/>
                <w:highlight w:val="none"/>
                <w:lang w:val="en-US" w:eastAsia="zh-CN"/>
              </w:rPr>
              <w:t>证书，得4分；</w:t>
            </w:r>
          </w:p>
          <w:p w14:paraId="11C587D9">
            <w:pPr>
              <w:spacing w:line="360" w:lineRule="auto"/>
              <w:jc w:val="both"/>
              <w:rPr>
                <w:rFonts w:hint="eastAsia" w:eastAsia="宋体" w:cs="等线"/>
                <w:color w:val="auto"/>
                <w:szCs w:val="21"/>
                <w:highlight w:val="none"/>
                <w:lang w:eastAsia="zh-CN"/>
              </w:rPr>
            </w:pPr>
            <w:r>
              <w:rPr>
                <w:rFonts w:hint="eastAsia"/>
                <w:color w:val="auto"/>
                <w:highlight w:val="none"/>
                <w:lang w:val="en-US" w:eastAsia="zh-CN"/>
              </w:rPr>
              <w:t>2、具有</w:t>
            </w:r>
            <w:r>
              <w:rPr>
                <w:rFonts w:hint="eastAsia" w:cs="等线"/>
                <w:color w:val="auto"/>
                <w:szCs w:val="21"/>
                <w:highlight w:val="none"/>
              </w:rPr>
              <w:t>工业和信息化部教育与考试中心颁发的智能建筑弱电工程师</w:t>
            </w:r>
            <w:r>
              <w:rPr>
                <w:rFonts w:hint="eastAsia" w:cs="等线"/>
                <w:color w:val="auto"/>
                <w:szCs w:val="21"/>
                <w:highlight w:val="none"/>
                <w:lang w:val="en-US" w:eastAsia="zh-CN"/>
              </w:rPr>
              <w:t>证书</w:t>
            </w:r>
            <w:r>
              <w:rPr>
                <w:rFonts w:hint="eastAsia" w:cs="等线"/>
                <w:color w:val="auto"/>
                <w:szCs w:val="21"/>
                <w:highlight w:val="none"/>
              </w:rPr>
              <w:t>，</w:t>
            </w:r>
            <w:r>
              <w:rPr>
                <w:rFonts w:hint="eastAsia" w:cs="等线"/>
                <w:color w:val="auto"/>
                <w:szCs w:val="21"/>
                <w:highlight w:val="none"/>
                <w:lang w:val="en-US" w:eastAsia="zh-CN"/>
              </w:rPr>
              <w:t>得4分</w:t>
            </w:r>
            <w:r>
              <w:rPr>
                <w:rFonts w:hint="eastAsia" w:cs="等线"/>
                <w:color w:val="auto"/>
                <w:szCs w:val="21"/>
                <w:highlight w:val="none"/>
                <w:lang w:eastAsia="zh-CN"/>
              </w:rPr>
              <w:t>。</w:t>
            </w:r>
          </w:p>
          <w:p w14:paraId="61BC761F">
            <w:pPr>
              <w:spacing w:line="360" w:lineRule="auto"/>
              <w:jc w:val="left"/>
              <w:rPr>
                <w:rFonts w:hint="eastAsia" w:cs="等线"/>
                <w:color w:val="auto"/>
                <w:szCs w:val="21"/>
                <w:highlight w:val="none"/>
                <w:lang w:val="en-US" w:eastAsia="zh-CN"/>
              </w:rPr>
            </w:pPr>
            <w:r>
              <w:rPr>
                <w:rFonts w:hint="eastAsia" w:cs="宋体"/>
                <w:b/>
                <w:bCs/>
                <w:color w:val="auto"/>
                <w:szCs w:val="21"/>
                <w:highlight w:val="none"/>
              </w:rPr>
              <w:t>注：响应文件须提供</w:t>
            </w:r>
            <w:r>
              <w:rPr>
                <w:rFonts w:hint="eastAsia" w:cs="宋体"/>
                <w:b/>
                <w:bCs/>
                <w:color w:val="auto"/>
                <w:szCs w:val="21"/>
                <w:highlight w:val="none"/>
                <w:lang w:val="en-US" w:eastAsia="zh-CN"/>
              </w:rPr>
              <w:t>证书复印件</w:t>
            </w:r>
            <w:r>
              <w:rPr>
                <w:rFonts w:hint="eastAsia" w:cs="宋体"/>
                <w:b/>
                <w:bCs/>
                <w:color w:val="auto"/>
                <w:szCs w:val="21"/>
                <w:highlight w:val="none"/>
                <w:lang w:eastAsia="zh-CN"/>
              </w:rPr>
              <w:t>，</w:t>
            </w:r>
            <w:r>
              <w:rPr>
                <w:rFonts w:hint="eastAsia" w:ascii="宋体" w:hAnsi="宋体" w:eastAsia="宋体" w:cs="宋体"/>
                <w:b/>
                <w:bCs/>
                <w:color w:val="auto"/>
                <w:highlight w:val="none"/>
              </w:rPr>
              <w:t>以及202</w:t>
            </w:r>
            <w:r>
              <w:rPr>
                <w:rFonts w:hint="eastAsia" w:ascii="宋体" w:hAnsi="宋体" w:eastAsia="宋体" w:cs="宋体"/>
                <w:b/>
                <w:bCs/>
                <w:color w:val="auto"/>
                <w:highlight w:val="none"/>
                <w:lang w:val="en-US" w:eastAsia="zh-CN"/>
              </w:rPr>
              <w:t>5</w:t>
            </w:r>
            <w:r>
              <w:rPr>
                <w:rFonts w:hint="eastAsia" w:ascii="宋体" w:hAnsi="宋体" w:eastAsia="宋体" w:cs="宋体"/>
                <w:b/>
                <w:bCs/>
                <w:color w:val="auto"/>
                <w:highlight w:val="none"/>
              </w:rPr>
              <w:t>年</w:t>
            </w:r>
            <w:r>
              <w:rPr>
                <w:rFonts w:hint="eastAsia" w:ascii="宋体" w:hAnsi="宋体" w:eastAsia="宋体" w:cs="宋体"/>
                <w:b/>
                <w:bCs/>
                <w:color w:val="auto"/>
                <w:highlight w:val="none"/>
                <w:lang w:val="en-US" w:eastAsia="zh-CN"/>
              </w:rPr>
              <w:t>03</w:t>
            </w:r>
            <w:r>
              <w:rPr>
                <w:rFonts w:hint="eastAsia" w:ascii="宋体" w:hAnsi="宋体" w:eastAsia="宋体" w:cs="宋体"/>
                <w:b/>
                <w:bCs/>
                <w:color w:val="auto"/>
                <w:highlight w:val="none"/>
              </w:rPr>
              <w:t>月</w:t>
            </w:r>
            <w:r>
              <w:rPr>
                <w:rFonts w:hint="eastAsia" w:ascii="宋体" w:hAnsi="宋体" w:cs="宋体"/>
                <w:b/>
                <w:bCs/>
                <w:color w:val="auto"/>
                <w:highlight w:val="none"/>
                <w:lang w:val="en-US" w:eastAsia="zh-CN"/>
              </w:rPr>
              <w:t>至</w:t>
            </w:r>
            <w:r>
              <w:rPr>
                <w:rFonts w:hint="eastAsia" w:ascii="宋体" w:hAnsi="宋体" w:eastAsia="宋体" w:cs="宋体"/>
                <w:b/>
                <w:bCs/>
                <w:color w:val="auto"/>
                <w:highlight w:val="none"/>
              </w:rPr>
              <w:t>开标当月任意一个月供应商为</w:t>
            </w:r>
            <w:r>
              <w:rPr>
                <w:rFonts w:hint="eastAsia" w:ascii="宋体" w:hAnsi="宋体" w:eastAsia="宋体" w:cs="宋体"/>
                <w:b/>
                <w:bCs/>
                <w:color w:val="auto"/>
                <w:highlight w:val="none"/>
                <w:lang w:val="en-US" w:eastAsia="zh-CN"/>
              </w:rPr>
              <w:t>对应人员</w:t>
            </w:r>
            <w:r>
              <w:rPr>
                <w:rFonts w:hint="eastAsia" w:ascii="宋体" w:hAnsi="宋体" w:eastAsia="宋体" w:cs="宋体"/>
                <w:b/>
                <w:bCs/>
                <w:color w:val="auto"/>
                <w:highlight w:val="none"/>
              </w:rPr>
              <w:t>购买社保的凭证</w:t>
            </w:r>
            <w:r>
              <w:rPr>
                <w:rFonts w:hint="eastAsia" w:cs="宋体"/>
                <w:b/>
                <w:bCs/>
                <w:color w:val="auto"/>
                <w:szCs w:val="21"/>
                <w:highlight w:val="none"/>
                <w:lang w:eastAsia="zh-CN"/>
              </w:rPr>
              <w:t>；</w:t>
            </w:r>
            <w:r>
              <w:rPr>
                <w:rFonts w:hint="eastAsia" w:cs="宋体"/>
                <w:b/>
                <w:bCs/>
                <w:color w:val="auto"/>
                <w:szCs w:val="21"/>
                <w:highlight w:val="none"/>
              </w:rPr>
              <w:t>未提供不得分</w:t>
            </w:r>
            <w:r>
              <w:rPr>
                <w:rFonts w:hint="eastAsia" w:cs="宋体"/>
                <w:b/>
                <w:bCs/>
                <w:color w:val="auto"/>
                <w:szCs w:val="21"/>
                <w:highlight w:val="none"/>
                <w:lang w:eastAsia="zh-CN"/>
              </w:rPr>
              <w:t>。</w:t>
            </w:r>
          </w:p>
        </w:tc>
        <w:tc>
          <w:tcPr>
            <w:tcW w:w="855" w:type="dxa"/>
            <w:shd w:val="clear" w:color="auto" w:fill="auto"/>
            <w:vAlign w:val="center"/>
          </w:tcPr>
          <w:p w14:paraId="0329776E">
            <w:pPr>
              <w:spacing w:before="120" w:beforeLines="50" w:after="120" w:afterLines="50" w:line="360" w:lineRule="auto"/>
              <w:jc w:val="center"/>
              <w:rPr>
                <w:rFonts w:hint="eastAsia" w:ascii="宋体" w:hAnsi="宋体" w:eastAsia="宋体" w:cs="宋体"/>
                <w:color w:val="auto"/>
                <w:kern w:val="2"/>
                <w:sz w:val="21"/>
                <w:szCs w:val="21"/>
                <w:highlight w:val="none"/>
                <w:lang w:val="en-US" w:eastAsia="zh-CN" w:bidi="ar-SA"/>
              </w:rPr>
            </w:pPr>
            <w:r>
              <w:rPr>
                <w:rFonts w:hint="eastAsia" w:cs="宋体"/>
                <w:color w:val="auto"/>
                <w:szCs w:val="21"/>
                <w:highlight w:val="none"/>
                <w:lang w:val="en-US" w:eastAsia="zh-CN"/>
              </w:rPr>
              <w:t>8</w:t>
            </w:r>
          </w:p>
        </w:tc>
      </w:tr>
      <w:tr w14:paraId="4597C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3" w:type="dxa"/>
            <w:vAlign w:val="center"/>
          </w:tcPr>
          <w:p w14:paraId="20D9A4C6">
            <w:pPr>
              <w:spacing w:line="360" w:lineRule="auto"/>
              <w:jc w:val="center"/>
              <w:rPr>
                <w:rFonts w:hint="eastAsia" w:cs="等线"/>
                <w:color w:val="auto"/>
                <w:szCs w:val="21"/>
                <w:highlight w:val="none"/>
                <w:lang w:val="en-US" w:eastAsia="zh-CN"/>
              </w:rPr>
            </w:pPr>
            <w:r>
              <w:rPr>
                <w:rFonts w:hint="eastAsia" w:cs="等线"/>
                <w:color w:val="auto"/>
                <w:szCs w:val="21"/>
                <w:highlight w:val="none"/>
                <w:lang w:val="en-US" w:eastAsia="zh-CN"/>
              </w:rPr>
              <w:t>9</w:t>
            </w:r>
          </w:p>
        </w:tc>
        <w:tc>
          <w:tcPr>
            <w:tcW w:w="1124" w:type="dxa"/>
            <w:vAlign w:val="center"/>
          </w:tcPr>
          <w:p w14:paraId="789107B4">
            <w:pPr>
              <w:spacing w:line="360" w:lineRule="auto"/>
              <w:jc w:val="center"/>
              <w:rPr>
                <w:rFonts w:hint="eastAsia" w:eastAsia="宋体" w:cs="等线"/>
                <w:color w:val="auto"/>
                <w:szCs w:val="21"/>
                <w:highlight w:val="none"/>
                <w:lang w:val="en-US" w:eastAsia="zh-CN"/>
              </w:rPr>
            </w:pPr>
            <w:r>
              <w:rPr>
                <w:rFonts w:hint="eastAsia" w:cs="等线"/>
                <w:color w:val="auto"/>
                <w:szCs w:val="21"/>
                <w:highlight w:val="none"/>
                <w:lang w:val="en-US" w:eastAsia="zh-CN"/>
              </w:rPr>
              <w:t>技术负责人</w:t>
            </w:r>
          </w:p>
        </w:tc>
        <w:tc>
          <w:tcPr>
            <w:tcW w:w="7010" w:type="dxa"/>
            <w:vAlign w:val="top"/>
          </w:tcPr>
          <w:p w14:paraId="25643C49">
            <w:pPr>
              <w:spacing w:line="360" w:lineRule="auto"/>
              <w:jc w:val="left"/>
              <w:rPr>
                <w:rFonts w:hint="eastAsia" w:cs="等线"/>
                <w:color w:val="auto"/>
                <w:szCs w:val="21"/>
                <w:highlight w:val="none"/>
              </w:rPr>
            </w:pPr>
            <w:r>
              <w:rPr>
                <w:rFonts w:hint="eastAsia" w:cs="等线"/>
                <w:color w:val="auto"/>
                <w:szCs w:val="21"/>
                <w:highlight w:val="none"/>
              </w:rPr>
              <w:t>根据</w:t>
            </w:r>
            <w:r>
              <w:rPr>
                <w:rFonts w:hint="eastAsia" w:cs="等线"/>
                <w:color w:val="auto"/>
                <w:szCs w:val="21"/>
                <w:highlight w:val="none"/>
                <w:lang w:val="en-US" w:eastAsia="zh-CN"/>
              </w:rPr>
              <w:t>响应</w:t>
            </w:r>
            <w:r>
              <w:rPr>
                <w:rFonts w:hint="eastAsia" w:cs="等线"/>
                <w:color w:val="auto"/>
                <w:szCs w:val="21"/>
                <w:highlight w:val="none"/>
              </w:rPr>
              <w:t>供应商拟投入本项目的技术负责人</w:t>
            </w:r>
            <w:r>
              <w:rPr>
                <w:rFonts w:hint="eastAsia" w:cs="等线"/>
                <w:color w:val="auto"/>
                <w:szCs w:val="21"/>
                <w:highlight w:val="none"/>
                <w:lang w:eastAsia="zh-CN"/>
              </w:rPr>
              <w:t>（</w:t>
            </w:r>
            <w:r>
              <w:rPr>
                <w:rFonts w:hint="eastAsia" w:cs="等线"/>
                <w:color w:val="auto"/>
                <w:szCs w:val="21"/>
                <w:highlight w:val="none"/>
                <w:lang w:val="en-US" w:eastAsia="zh-CN"/>
              </w:rPr>
              <w:t>只计1人，项目负责人除外</w:t>
            </w:r>
            <w:r>
              <w:rPr>
                <w:rFonts w:hint="eastAsia" w:cs="等线"/>
                <w:color w:val="auto"/>
                <w:szCs w:val="21"/>
                <w:highlight w:val="none"/>
                <w:lang w:eastAsia="zh-CN"/>
              </w:rPr>
              <w:t>）</w:t>
            </w:r>
            <w:r>
              <w:rPr>
                <w:rFonts w:hint="eastAsia" w:cs="等线"/>
                <w:color w:val="auto"/>
                <w:szCs w:val="21"/>
                <w:highlight w:val="none"/>
                <w:lang w:val="en-US" w:eastAsia="zh-CN"/>
              </w:rPr>
              <w:t>资质</w:t>
            </w:r>
            <w:r>
              <w:rPr>
                <w:rFonts w:hint="eastAsia" w:cs="等线"/>
                <w:color w:val="auto"/>
                <w:szCs w:val="21"/>
                <w:highlight w:val="none"/>
              </w:rPr>
              <w:t>进行</w:t>
            </w:r>
            <w:r>
              <w:rPr>
                <w:rFonts w:hint="eastAsia" w:cs="等线"/>
                <w:color w:val="auto"/>
                <w:szCs w:val="21"/>
                <w:highlight w:val="none"/>
                <w:lang w:val="en-US" w:eastAsia="zh-CN"/>
              </w:rPr>
              <w:t>评</w:t>
            </w:r>
            <w:r>
              <w:rPr>
                <w:rFonts w:hint="eastAsia" w:cs="等线"/>
                <w:color w:val="auto"/>
                <w:szCs w:val="21"/>
                <w:highlight w:val="none"/>
              </w:rPr>
              <w:t>分：</w:t>
            </w:r>
          </w:p>
          <w:p w14:paraId="5D94DB10">
            <w:pPr>
              <w:spacing w:line="360" w:lineRule="auto"/>
              <w:jc w:val="left"/>
              <w:rPr>
                <w:rFonts w:hint="eastAsia" w:eastAsia="宋体" w:cs="等线"/>
                <w:color w:val="auto"/>
                <w:szCs w:val="21"/>
                <w:highlight w:val="none"/>
                <w:lang w:val="en-US" w:eastAsia="zh-CN"/>
              </w:rPr>
            </w:pPr>
            <w:r>
              <w:rPr>
                <w:rFonts w:hint="eastAsia" w:cs="等线"/>
                <w:color w:val="auto"/>
                <w:szCs w:val="21"/>
                <w:highlight w:val="none"/>
                <w:lang w:val="en-US" w:eastAsia="zh-CN"/>
              </w:rPr>
              <w:t>1、</w:t>
            </w:r>
            <w:r>
              <w:rPr>
                <w:rFonts w:hint="eastAsia" w:cs="等线"/>
                <w:color w:val="auto"/>
                <w:szCs w:val="21"/>
                <w:highlight w:val="none"/>
              </w:rPr>
              <w:t>具有工业和信息化部及人力资源和社会保障部或人力资源和社会保障厅颁发的信息系统项目管理师</w:t>
            </w:r>
            <w:r>
              <w:rPr>
                <w:rFonts w:hint="eastAsia" w:cs="等线"/>
                <w:color w:val="auto"/>
                <w:szCs w:val="21"/>
                <w:highlight w:val="none"/>
                <w:lang w:val="en-US" w:eastAsia="zh-CN"/>
              </w:rPr>
              <w:t>或系统集成项目管理工程师证书，</w:t>
            </w:r>
            <w:r>
              <w:rPr>
                <w:rFonts w:hint="eastAsia" w:cs="等线"/>
                <w:color w:val="auto"/>
                <w:szCs w:val="21"/>
                <w:highlight w:val="none"/>
              </w:rPr>
              <w:t>得</w:t>
            </w:r>
            <w:r>
              <w:rPr>
                <w:rFonts w:hint="eastAsia" w:cs="等线"/>
                <w:color w:val="auto"/>
                <w:szCs w:val="21"/>
                <w:highlight w:val="none"/>
                <w:lang w:val="en-US" w:eastAsia="zh-CN"/>
              </w:rPr>
              <w:t>3</w:t>
            </w:r>
            <w:r>
              <w:rPr>
                <w:rFonts w:hint="eastAsia" w:cs="等线"/>
                <w:color w:val="auto"/>
                <w:szCs w:val="21"/>
                <w:highlight w:val="none"/>
              </w:rPr>
              <w:t>分</w:t>
            </w:r>
            <w:r>
              <w:rPr>
                <w:rFonts w:hint="eastAsia" w:cs="等线"/>
                <w:color w:val="auto"/>
                <w:szCs w:val="21"/>
                <w:highlight w:val="none"/>
                <w:lang w:eastAsia="zh-CN"/>
              </w:rPr>
              <w:t>；</w:t>
            </w:r>
          </w:p>
          <w:p w14:paraId="4B8D8177">
            <w:pPr>
              <w:spacing w:line="360" w:lineRule="auto"/>
              <w:jc w:val="left"/>
              <w:rPr>
                <w:rFonts w:hint="eastAsia" w:eastAsia="宋体" w:cs="等线"/>
                <w:color w:val="auto"/>
                <w:szCs w:val="21"/>
                <w:highlight w:val="none"/>
                <w:lang w:eastAsia="zh-CN"/>
              </w:rPr>
            </w:pPr>
            <w:r>
              <w:rPr>
                <w:rFonts w:hint="eastAsia" w:cs="等线"/>
                <w:color w:val="auto"/>
                <w:szCs w:val="21"/>
                <w:highlight w:val="none"/>
                <w:lang w:val="en-US" w:eastAsia="zh-CN"/>
              </w:rPr>
              <w:t>2</w:t>
            </w:r>
            <w:r>
              <w:rPr>
                <w:rFonts w:hint="eastAsia" w:cs="等线"/>
                <w:color w:val="auto"/>
                <w:szCs w:val="21"/>
                <w:highlight w:val="none"/>
              </w:rPr>
              <w:t>、</w:t>
            </w:r>
            <w:r>
              <w:rPr>
                <w:rFonts w:hint="eastAsia" w:cs="等线"/>
                <w:color w:val="auto"/>
                <w:szCs w:val="21"/>
                <w:highlight w:val="none"/>
                <w:lang w:val="en-US" w:eastAsia="zh-CN"/>
              </w:rPr>
              <w:t>具有</w:t>
            </w:r>
            <w:r>
              <w:rPr>
                <w:rFonts w:hint="eastAsia" w:cs="等线"/>
                <w:color w:val="auto"/>
                <w:szCs w:val="21"/>
                <w:highlight w:val="none"/>
              </w:rPr>
              <w:t>中国信息安全测评中心颁发的有效期内的注册信息安全工程师证书</w:t>
            </w:r>
            <w:r>
              <w:rPr>
                <w:rFonts w:hint="eastAsia" w:cs="等线"/>
                <w:color w:val="auto"/>
                <w:szCs w:val="21"/>
                <w:highlight w:val="none"/>
                <w:lang w:eastAsia="zh-CN"/>
              </w:rPr>
              <w:t>，</w:t>
            </w:r>
            <w:r>
              <w:rPr>
                <w:rFonts w:hint="eastAsia" w:cs="等线"/>
                <w:color w:val="auto"/>
                <w:szCs w:val="21"/>
                <w:highlight w:val="none"/>
              </w:rPr>
              <w:t>得</w:t>
            </w:r>
            <w:r>
              <w:rPr>
                <w:rFonts w:hint="eastAsia" w:cs="等线"/>
                <w:color w:val="auto"/>
                <w:szCs w:val="21"/>
                <w:highlight w:val="none"/>
                <w:lang w:val="en-US" w:eastAsia="zh-CN"/>
              </w:rPr>
              <w:t>3</w:t>
            </w:r>
            <w:r>
              <w:rPr>
                <w:rFonts w:hint="eastAsia" w:cs="等线"/>
                <w:color w:val="auto"/>
                <w:szCs w:val="21"/>
                <w:highlight w:val="none"/>
              </w:rPr>
              <w:t>分</w:t>
            </w:r>
            <w:r>
              <w:rPr>
                <w:rFonts w:hint="eastAsia" w:cs="等线"/>
                <w:color w:val="auto"/>
                <w:szCs w:val="21"/>
                <w:highlight w:val="none"/>
                <w:lang w:eastAsia="zh-CN"/>
              </w:rPr>
              <w:t>；</w:t>
            </w:r>
          </w:p>
          <w:p w14:paraId="4B8F77E8">
            <w:pPr>
              <w:spacing w:line="360" w:lineRule="auto"/>
              <w:jc w:val="left"/>
              <w:rPr>
                <w:rFonts w:hint="eastAsia" w:cs="等线"/>
                <w:color w:val="auto"/>
                <w:szCs w:val="21"/>
                <w:highlight w:val="none"/>
                <w:lang w:eastAsia="zh-CN"/>
              </w:rPr>
            </w:pPr>
            <w:r>
              <w:rPr>
                <w:rFonts w:hint="eastAsia" w:cs="等线"/>
                <w:color w:val="auto"/>
                <w:szCs w:val="21"/>
                <w:highlight w:val="none"/>
                <w:lang w:val="en-US" w:eastAsia="zh-CN"/>
              </w:rPr>
              <w:t>3</w:t>
            </w:r>
            <w:r>
              <w:rPr>
                <w:rFonts w:hint="eastAsia" w:cs="等线"/>
                <w:color w:val="auto"/>
                <w:szCs w:val="21"/>
                <w:highlight w:val="none"/>
                <w:lang w:eastAsia="zh-CN"/>
              </w:rPr>
              <w:t>、</w:t>
            </w:r>
            <w:r>
              <w:rPr>
                <w:rFonts w:hint="eastAsia" w:cs="等线"/>
                <w:color w:val="auto"/>
                <w:szCs w:val="21"/>
                <w:highlight w:val="none"/>
                <w:lang w:val="en-US" w:eastAsia="zh-CN"/>
              </w:rPr>
              <w:t>具有</w:t>
            </w:r>
            <w:r>
              <w:rPr>
                <w:rFonts w:hint="eastAsia" w:cs="等线"/>
                <w:color w:val="auto"/>
                <w:szCs w:val="21"/>
                <w:highlight w:val="none"/>
              </w:rPr>
              <w:t>工业和信息化部及人力资源和社会保障部或人力资源和社会保障厅颁发的</w:t>
            </w:r>
            <w:r>
              <w:rPr>
                <w:rFonts w:hint="eastAsia" w:cs="等线"/>
                <w:color w:val="auto"/>
                <w:szCs w:val="21"/>
                <w:highlight w:val="none"/>
                <w:lang w:eastAsia="zh-CN"/>
              </w:rPr>
              <w:t>软件设计师</w:t>
            </w:r>
            <w:r>
              <w:rPr>
                <w:rFonts w:hint="eastAsia" w:cs="等线"/>
                <w:color w:val="auto"/>
                <w:szCs w:val="21"/>
                <w:highlight w:val="none"/>
                <w:lang w:val="en-US" w:eastAsia="zh-CN"/>
              </w:rPr>
              <w:t>证书</w:t>
            </w:r>
            <w:r>
              <w:rPr>
                <w:rFonts w:hint="eastAsia" w:cs="等线"/>
                <w:color w:val="auto"/>
                <w:szCs w:val="21"/>
                <w:highlight w:val="none"/>
              </w:rPr>
              <w:t>，得</w:t>
            </w:r>
            <w:r>
              <w:rPr>
                <w:rFonts w:hint="eastAsia" w:cs="等线"/>
                <w:color w:val="auto"/>
                <w:szCs w:val="21"/>
                <w:highlight w:val="none"/>
                <w:lang w:val="en-US" w:eastAsia="zh-CN"/>
              </w:rPr>
              <w:t>3</w:t>
            </w:r>
            <w:r>
              <w:rPr>
                <w:rFonts w:hint="eastAsia" w:cs="等线"/>
                <w:color w:val="auto"/>
                <w:szCs w:val="21"/>
                <w:highlight w:val="none"/>
              </w:rPr>
              <w:t>分</w:t>
            </w:r>
            <w:r>
              <w:rPr>
                <w:rFonts w:hint="eastAsia" w:cs="等线"/>
                <w:color w:val="auto"/>
                <w:szCs w:val="21"/>
                <w:highlight w:val="none"/>
                <w:lang w:eastAsia="zh-CN"/>
              </w:rPr>
              <w:t>；</w:t>
            </w:r>
          </w:p>
          <w:p w14:paraId="085A23FA">
            <w:pPr>
              <w:spacing w:line="360" w:lineRule="auto"/>
              <w:jc w:val="left"/>
              <w:rPr>
                <w:rFonts w:hint="eastAsia" w:cs="等线"/>
                <w:color w:val="auto"/>
                <w:szCs w:val="21"/>
                <w:highlight w:val="none"/>
                <w:lang w:eastAsia="zh-CN"/>
              </w:rPr>
            </w:pPr>
            <w:r>
              <w:rPr>
                <w:rFonts w:hint="eastAsia" w:cs="等线"/>
                <w:color w:val="auto"/>
                <w:szCs w:val="21"/>
                <w:highlight w:val="none"/>
              </w:rPr>
              <w:t>满分</w:t>
            </w:r>
            <w:r>
              <w:rPr>
                <w:rFonts w:hint="eastAsia" w:cs="等线"/>
                <w:color w:val="auto"/>
                <w:szCs w:val="21"/>
                <w:highlight w:val="none"/>
                <w:lang w:val="en-US" w:eastAsia="zh-CN"/>
              </w:rPr>
              <w:t>9</w:t>
            </w:r>
            <w:r>
              <w:rPr>
                <w:rFonts w:hint="eastAsia" w:cs="等线"/>
                <w:color w:val="auto"/>
                <w:szCs w:val="21"/>
                <w:highlight w:val="none"/>
              </w:rPr>
              <w:t>分</w:t>
            </w:r>
            <w:r>
              <w:rPr>
                <w:rFonts w:hint="eastAsia" w:cs="等线"/>
                <w:color w:val="auto"/>
                <w:szCs w:val="21"/>
                <w:highlight w:val="none"/>
                <w:lang w:eastAsia="zh-CN"/>
              </w:rPr>
              <w:t>。</w:t>
            </w:r>
          </w:p>
          <w:p w14:paraId="68B0D753">
            <w:pPr>
              <w:spacing w:line="360" w:lineRule="auto"/>
              <w:jc w:val="left"/>
              <w:rPr>
                <w:rFonts w:hint="default" w:cs="等线"/>
                <w:color w:val="auto"/>
                <w:szCs w:val="21"/>
                <w:highlight w:val="none"/>
                <w:lang w:val="en-US" w:eastAsia="zh-CN"/>
              </w:rPr>
            </w:pPr>
            <w:r>
              <w:rPr>
                <w:rFonts w:hint="eastAsia" w:cs="宋体"/>
                <w:b/>
                <w:bCs/>
                <w:color w:val="auto"/>
                <w:szCs w:val="21"/>
                <w:highlight w:val="none"/>
              </w:rPr>
              <w:t>注：响应文件须提供</w:t>
            </w:r>
            <w:r>
              <w:rPr>
                <w:rFonts w:hint="eastAsia" w:cs="宋体"/>
                <w:b/>
                <w:bCs/>
                <w:color w:val="auto"/>
                <w:szCs w:val="21"/>
                <w:highlight w:val="none"/>
                <w:lang w:val="en-US" w:eastAsia="zh-CN"/>
              </w:rPr>
              <w:t>证书复印件</w:t>
            </w:r>
            <w:r>
              <w:rPr>
                <w:rFonts w:hint="eastAsia" w:cs="宋体"/>
                <w:b/>
                <w:bCs/>
                <w:color w:val="auto"/>
                <w:szCs w:val="21"/>
                <w:highlight w:val="none"/>
                <w:lang w:eastAsia="zh-CN"/>
              </w:rPr>
              <w:t>，</w:t>
            </w:r>
            <w:r>
              <w:rPr>
                <w:rFonts w:hint="eastAsia" w:ascii="宋体" w:hAnsi="宋体" w:eastAsia="宋体" w:cs="宋体"/>
                <w:b/>
                <w:bCs/>
                <w:color w:val="auto"/>
                <w:highlight w:val="none"/>
              </w:rPr>
              <w:t>以及202</w:t>
            </w:r>
            <w:r>
              <w:rPr>
                <w:rFonts w:hint="eastAsia" w:ascii="宋体" w:hAnsi="宋体" w:eastAsia="宋体" w:cs="宋体"/>
                <w:b/>
                <w:bCs/>
                <w:color w:val="auto"/>
                <w:highlight w:val="none"/>
                <w:lang w:val="en-US" w:eastAsia="zh-CN"/>
              </w:rPr>
              <w:t>5</w:t>
            </w:r>
            <w:r>
              <w:rPr>
                <w:rFonts w:hint="eastAsia" w:ascii="宋体" w:hAnsi="宋体" w:eastAsia="宋体" w:cs="宋体"/>
                <w:b/>
                <w:bCs/>
                <w:color w:val="auto"/>
                <w:highlight w:val="none"/>
              </w:rPr>
              <w:t>年</w:t>
            </w:r>
            <w:r>
              <w:rPr>
                <w:rFonts w:hint="eastAsia" w:ascii="宋体" w:hAnsi="宋体" w:eastAsia="宋体" w:cs="宋体"/>
                <w:b/>
                <w:bCs/>
                <w:color w:val="auto"/>
                <w:highlight w:val="none"/>
                <w:lang w:val="en-US" w:eastAsia="zh-CN"/>
              </w:rPr>
              <w:t>03</w:t>
            </w:r>
            <w:r>
              <w:rPr>
                <w:rFonts w:hint="eastAsia" w:ascii="宋体" w:hAnsi="宋体" w:eastAsia="宋体" w:cs="宋体"/>
                <w:b/>
                <w:bCs/>
                <w:color w:val="auto"/>
                <w:highlight w:val="none"/>
              </w:rPr>
              <w:t>月</w:t>
            </w:r>
            <w:r>
              <w:rPr>
                <w:rFonts w:hint="eastAsia" w:ascii="宋体" w:hAnsi="宋体" w:cs="宋体"/>
                <w:b/>
                <w:bCs/>
                <w:color w:val="auto"/>
                <w:highlight w:val="none"/>
                <w:lang w:val="en-US" w:eastAsia="zh-CN"/>
              </w:rPr>
              <w:t>至</w:t>
            </w:r>
            <w:r>
              <w:rPr>
                <w:rFonts w:hint="eastAsia" w:ascii="宋体" w:hAnsi="宋体" w:eastAsia="宋体" w:cs="宋体"/>
                <w:b/>
                <w:bCs/>
                <w:color w:val="auto"/>
                <w:highlight w:val="none"/>
              </w:rPr>
              <w:t>开标当月任意一个月供应商为</w:t>
            </w:r>
            <w:r>
              <w:rPr>
                <w:rFonts w:hint="eastAsia" w:ascii="宋体" w:hAnsi="宋体" w:eastAsia="宋体" w:cs="宋体"/>
                <w:b/>
                <w:bCs/>
                <w:color w:val="auto"/>
                <w:highlight w:val="none"/>
                <w:lang w:val="en-US" w:eastAsia="zh-CN"/>
              </w:rPr>
              <w:t>对应人员</w:t>
            </w:r>
            <w:r>
              <w:rPr>
                <w:rFonts w:hint="eastAsia" w:ascii="宋体" w:hAnsi="宋体" w:eastAsia="宋体" w:cs="宋体"/>
                <w:b/>
                <w:bCs/>
                <w:color w:val="auto"/>
                <w:highlight w:val="none"/>
              </w:rPr>
              <w:t>购买社保的凭证</w:t>
            </w:r>
            <w:r>
              <w:rPr>
                <w:rFonts w:hint="eastAsia" w:cs="宋体"/>
                <w:b/>
                <w:bCs/>
                <w:color w:val="auto"/>
                <w:szCs w:val="21"/>
                <w:highlight w:val="none"/>
                <w:lang w:eastAsia="zh-CN"/>
              </w:rPr>
              <w:t>；</w:t>
            </w:r>
            <w:r>
              <w:rPr>
                <w:rFonts w:hint="eastAsia" w:cs="宋体"/>
                <w:b/>
                <w:bCs/>
                <w:color w:val="auto"/>
                <w:szCs w:val="21"/>
                <w:highlight w:val="none"/>
              </w:rPr>
              <w:t>未提供不得分</w:t>
            </w:r>
            <w:r>
              <w:rPr>
                <w:rFonts w:hint="eastAsia" w:cs="宋体"/>
                <w:b/>
                <w:bCs/>
                <w:color w:val="auto"/>
                <w:szCs w:val="21"/>
                <w:highlight w:val="none"/>
                <w:lang w:eastAsia="zh-CN"/>
              </w:rPr>
              <w:t>。</w:t>
            </w:r>
          </w:p>
        </w:tc>
        <w:tc>
          <w:tcPr>
            <w:tcW w:w="855" w:type="dxa"/>
            <w:vAlign w:val="center"/>
          </w:tcPr>
          <w:p w14:paraId="55D83566">
            <w:pPr>
              <w:spacing w:before="120" w:beforeLines="50" w:after="120" w:afterLines="50" w:line="360" w:lineRule="auto"/>
              <w:jc w:val="center"/>
              <w:rPr>
                <w:rFonts w:hint="default" w:ascii="宋体" w:hAnsi="宋体" w:eastAsia="宋体" w:cs="宋体"/>
                <w:color w:val="auto"/>
                <w:szCs w:val="21"/>
                <w:highlight w:val="none"/>
                <w:lang w:val="en-US" w:eastAsia="zh-CN"/>
              </w:rPr>
            </w:pPr>
            <w:r>
              <w:rPr>
                <w:rFonts w:hint="eastAsia" w:cs="宋体"/>
                <w:color w:val="auto"/>
                <w:szCs w:val="21"/>
                <w:highlight w:val="none"/>
                <w:lang w:val="en-US" w:eastAsia="zh-CN"/>
              </w:rPr>
              <w:t>9</w:t>
            </w:r>
          </w:p>
        </w:tc>
      </w:tr>
      <w:tr w14:paraId="4CAC1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3" w:type="dxa"/>
            <w:vAlign w:val="center"/>
          </w:tcPr>
          <w:p w14:paraId="110FFA56">
            <w:pPr>
              <w:spacing w:line="360" w:lineRule="auto"/>
              <w:jc w:val="center"/>
              <w:rPr>
                <w:rFonts w:hint="eastAsia" w:cs="等线"/>
                <w:color w:val="auto"/>
                <w:szCs w:val="21"/>
                <w:highlight w:val="none"/>
                <w:lang w:val="en-US" w:eastAsia="zh-CN"/>
              </w:rPr>
            </w:pPr>
            <w:r>
              <w:rPr>
                <w:rFonts w:hint="eastAsia" w:cs="等线"/>
                <w:color w:val="auto"/>
                <w:szCs w:val="21"/>
                <w:highlight w:val="none"/>
                <w:lang w:val="en-US" w:eastAsia="zh-CN"/>
              </w:rPr>
              <w:t>10</w:t>
            </w:r>
          </w:p>
        </w:tc>
        <w:tc>
          <w:tcPr>
            <w:tcW w:w="1124" w:type="dxa"/>
            <w:vAlign w:val="center"/>
          </w:tcPr>
          <w:p w14:paraId="6F2FEF25">
            <w:pPr>
              <w:spacing w:line="360" w:lineRule="auto"/>
              <w:jc w:val="center"/>
              <w:rPr>
                <w:rFonts w:hint="eastAsia" w:eastAsia="宋体" w:cs="等线"/>
                <w:color w:val="auto"/>
                <w:szCs w:val="21"/>
                <w:highlight w:val="none"/>
                <w:lang w:eastAsia="zh-CN"/>
              </w:rPr>
            </w:pPr>
            <w:r>
              <w:rPr>
                <w:rFonts w:hint="eastAsia" w:cs="等线"/>
                <w:color w:val="auto"/>
                <w:szCs w:val="21"/>
                <w:highlight w:val="none"/>
              </w:rPr>
              <w:t>服务团队</w:t>
            </w:r>
            <w:r>
              <w:rPr>
                <w:rFonts w:hint="eastAsia" w:cs="等线"/>
                <w:color w:val="auto"/>
                <w:szCs w:val="21"/>
                <w:highlight w:val="none"/>
                <w:lang w:val="en-US" w:eastAsia="zh-CN"/>
              </w:rPr>
              <w:t>资质</w:t>
            </w:r>
          </w:p>
        </w:tc>
        <w:tc>
          <w:tcPr>
            <w:tcW w:w="7010" w:type="dxa"/>
            <w:vAlign w:val="top"/>
          </w:tcPr>
          <w:p w14:paraId="7C91D12B">
            <w:pPr>
              <w:spacing w:line="360" w:lineRule="auto"/>
              <w:jc w:val="both"/>
              <w:rPr>
                <w:rFonts w:hint="eastAsia" w:cs="等线"/>
                <w:color w:val="auto"/>
                <w:szCs w:val="21"/>
                <w:highlight w:val="none"/>
              </w:rPr>
            </w:pPr>
            <w:r>
              <w:rPr>
                <w:rFonts w:hint="eastAsia" w:cs="等线"/>
                <w:color w:val="auto"/>
                <w:szCs w:val="21"/>
                <w:highlight w:val="none"/>
              </w:rPr>
              <w:t>根据</w:t>
            </w:r>
            <w:r>
              <w:rPr>
                <w:rFonts w:hint="eastAsia" w:cs="等线"/>
                <w:color w:val="auto"/>
                <w:szCs w:val="21"/>
                <w:highlight w:val="none"/>
                <w:lang w:val="en-US" w:eastAsia="zh-CN"/>
              </w:rPr>
              <w:t>响应</w:t>
            </w:r>
            <w:r>
              <w:rPr>
                <w:rFonts w:hint="eastAsia" w:cs="等线"/>
                <w:color w:val="auto"/>
                <w:szCs w:val="21"/>
                <w:highlight w:val="none"/>
              </w:rPr>
              <w:t>供应商拟投入本项目的</w:t>
            </w:r>
            <w:r>
              <w:rPr>
                <w:rFonts w:hint="eastAsia" w:cs="等线"/>
                <w:color w:val="auto"/>
                <w:szCs w:val="21"/>
                <w:highlight w:val="none"/>
                <w:lang w:val="en-US" w:eastAsia="zh-CN"/>
              </w:rPr>
              <w:t>服务团队成员</w:t>
            </w:r>
            <w:r>
              <w:rPr>
                <w:rFonts w:hint="eastAsia" w:cs="等线"/>
                <w:color w:val="auto"/>
                <w:szCs w:val="21"/>
                <w:highlight w:val="none"/>
              </w:rPr>
              <w:t>（项目负责人、技术负责人外）</w:t>
            </w:r>
            <w:r>
              <w:rPr>
                <w:rFonts w:hint="eastAsia" w:cs="等线"/>
                <w:color w:val="auto"/>
                <w:szCs w:val="21"/>
                <w:highlight w:val="none"/>
                <w:lang w:val="en-US" w:eastAsia="zh-CN"/>
              </w:rPr>
              <w:t>资质</w:t>
            </w:r>
            <w:r>
              <w:rPr>
                <w:rFonts w:hint="eastAsia" w:cs="等线"/>
                <w:color w:val="auto"/>
                <w:szCs w:val="21"/>
                <w:highlight w:val="none"/>
              </w:rPr>
              <w:t>进行</w:t>
            </w:r>
            <w:r>
              <w:rPr>
                <w:rFonts w:hint="eastAsia" w:cs="等线"/>
                <w:color w:val="auto"/>
                <w:szCs w:val="21"/>
                <w:highlight w:val="none"/>
                <w:lang w:val="en-US" w:eastAsia="zh-CN"/>
              </w:rPr>
              <w:t>评</w:t>
            </w:r>
            <w:r>
              <w:rPr>
                <w:rFonts w:hint="eastAsia" w:cs="等线"/>
                <w:color w:val="auto"/>
                <w:szCs w:val="21"/>
                <w:highlight w:val="none"/>
              </w:rPr>
              <w:t>分：</w:t>
            </w:r>
          </w:p>
          <w:p w14:paraId="70E61081">
            <w:pPr>
              <w:spacing w:line="360" w:lineRule="auto"/>
              <w:jc w:val="both"/>
              <w:rPr>
                <w:rFonts w:hint="eastAsia" w:cs="等线"/>
                <w:color w:val="auto"/>
                <w:szCs w:val="21"/>
                <w:highlight w:val="none"/>
              </w:rPr>
            </w:pPr>
            <w:r>
              <w:rPr>
                <w:rFonts w:hint="eastAsia" w:cs="等线"/>
                <w:color w:val="auto"/>
                <w:szCs w:val="21"/>
                <w:highlight w:val="none"/>
                <w:lang w:val="en-US" w:eastAsia="zh-CN"/>
              </w:rPr>
              <w:t>1、</w:t>
            </w:r>
            <w:r>
              <w:rPr>
                <w:rFonts w:hint="eastAsia" w:cs="等线"/>
                <w:color w:val="auto"/>
                <w:szCs w:val="21"/>
                <w:highlight w:val="none"/>
              </w:rPr>
              <w:t>具有工业和信息化部及人力资源和社会保障部颁发的信息系统项目管理师证书，</w:t>
            </w:r>
            <w:r>
              <w:rPr>
                <w:rFonts w:hint="eastAsia" w:cs="等线"/>
                <w:color w:val="auto"/>
                <w:szCs w:val="21"/>
                <w:highlight w:val="none"/>
                <w:lang w:val="en-US" w:eastAsia="zh-CN"/>
              </w:rPr>
              <w:t>只计1人</w:t>
            </w:r>
            <w:r>
              <w:rPr>
                <w:rFonts w:hint="eastAsia" w:cs="等线"/>
                <w:color w:val="auto"/>
                <w:szCs w:val="21"/>
                <w:highlight w:val="none"/>
              </w:rPr>
              <w:t>，得</w:t>
            </w:r>
            <w:r>
              <w:rPr>
                <w:rFonts w:hint="eastAsia" w:cs="等线"/>
                <w:color w:val="auto"/>
                <w:szCs w:val="21"/>
                <w:highlight w:val="none"/>
                <w:lang w:val="en-US" w:eastAsia="zh-CN"/>
              </w:rPr>
              <w:t>2</w:t>
            </w:r>
            <w:r>
              <w:rPr>
                <w:rFonts w:hint="eastAsia" w:cs="等线"/>
                <w:color w:val="auto"/>
                <w:szCs w:val="21"/>
                <w:highlight w:val="none"/>
              </w:rPr>
              <w:t>分；</w:t>
            </w:r>
          </w:p>
          <w:p w14:paraId="3AB191F2">
            <w:pPr>
              <w:spacing w:line="360" w:lineRule="auto"/>
              <w:jc w:val="both"/>
              <w:rPr>
                <w:rFonts w:hint="eastAsia" w:cs="等线"/>
                <w:color w:val="auto"/>
                <w:szCs w:val="21"/>
                <w:highlight w:val="none"/>
              </w:rPr>
            </w:pPr>
            <w:r>
              <w:rPr>
                <w:rFonts w:hint="eastAsia" w:cs="等线"/>
                <w:color w:val="auto"/>
                <w:szCs w:val="21"/>
                <w:highlight w:val="none"/>
                <w:lang w:val="en-US" w:eastAsia="zh-CN"/>
              </w:rPr>
              <w:t>2、</w:t>
            </w:r>
            <w:r>
              <w:rPr>
                <w:rFonts w:hint="eastAsia" w:cs="等线"/>
                <w:color w:val="auto"/>
                <w:szCs w:val="21"/>
                <w:highlight w:val="none"/>
              </w:rPr>
              <w:t>具有工业和信息化部及人力资源和社会保障部颁发的网络工程师证书，</w:t>
            </w:r>
            <w:r>
              <w:rPr>
                <w:rFonts w:hint="eastAsia" w:cs="等线"/>
                <w:color w:val="auto"/>
                <w:szCs w:val="21"/>
                <w:highlight w:val="none"/>
                <w:lang w:val="en-US" w:eastAsia="zh-CN"/>
              </w:rPr>
              <w:t>每人每证得3分，最多计2人，本小项满分6分</w:t>
            </w:r>
            <w:r>
              <w:rPr>
                <w:rFonts w:hint="eastAsia" w:cs="等线"/>
                <w:color w:val="auto"/>
                <w:szCs w:val="21"/>
                <w:highlight w:val="none"/>
              </w:rPr>
              <w:t>；</w:t>
            </w:r>
          </w:p>
          <w:p w14:paraId="4246D75F">
            <w:pPr>
              <w:spacing w:line="360" w:lineRule="auto"/>
              <w:jc w:val="both"/>
              <w:rPr>
                <w:rFonts w:hint="eastAsia" w:cs="等线"/>
                <w:color w:val="auto"/>
                <w:szCs w:val="21"/>
                <w:highlight w:val="none"/>
              </w:rPr>
            </w:pPr>
            <w:r>
              <w:rPr>
                <w:rFonts w:hint="eastAsia" w:cs="等线"/>
                <w:color w:val="auto"/>
                <w:szCs w:val="21"/>
                <w:highlight w:val="none"/>
                <w:lang w:val="en-US" w:eastAsia="zh-CN"/>
              </w:rPr>
              <w:t>3、</w:t>
            </w:r>
            <w:r>
              <w:rPr>
                <w:rFonts w:hint="eastAsia" w:cs="等线"/>
                <w:color w:val="auto"/>
                <w:szCs w:val="21"/>
                <w:highlight w:val="none"/>
              </w:rPr>
              <w:t>具有工业和信息化部教育与考试中心颁发的有效期内的操作系统（系统运维</w:t>
            </w:r>
            <w:r>
              <w:rPr>
                <w:rFonts w:hint="eastAsia" w:cs="等线"/>
                <w:color w:val="auto"/>
                <w:szCs w:val="21"/>
                <w:highlight w:val="none"/>
                <w:lang w:val="en-US" w:eastAsia="zh-CN"/>
              </w:rPr>
              <w:t>或</w:t>
            </w:r>
            <w:r>
              <w:rPr>
                <w:rFonts w:hint="eastAsia" w:cs="等线"/>
                <w:color w:val="auto"/>
                <w:szCs w:val="21"/>
                <w:highlight w:val="none"/>
                <w:lang w:eastAsia="zh-CN"/>
              </w:rPr>
              <w:t>桌面应用</w:t>
            </w:r>
            <w:r>
              <w:rPr>
                <w:rFonts w:hint="eastAsia" w:cs="等线"/>
                <w:color w:val="auto"/>
                <w:szCs w:val="21"/>
                <w:highlight w:val="none"/>
              </w:rPr>
              <w:t>）技术认证证书</w:t>
            </w:r>
            <w:r>
              <w:rPr>
                <w:rFonts w:hint="eastAsia" w:cs="等线"/>
                <w:color w:val="auto"/>
                <w:szCs w:val="21"/>
                <w:highlight w:val="none"/>
                <w:lang w:val="en-US" w:eastAsia="zh-CN"/>
              </w:rPr>
              <w:t>，</w:t>
            </w:r>
            <w:r>
              <w:rPr>
                <w:rFonts w:hint="eastAsia" w:cs="等线"/>
                <w:color w:val="auto"/>
                <w:szCs w:val="21"/>
                <w:highlight w:val="none"/>
                <w:shd w:val="clear"/>
                <w:lang w:val="en-US" w:eastAsia="zh-CN"/>
              </w:rPr>
              <w:t>只计1人</w:t>
            </w:r>
            <w:r>
              <w:rPr>
                <w:rFonts w:hint="eastAsia" w:cs="等线"/>
                <w:color w:val="auto"/>
                <w:szCs w:val="21"/>
                <w:highlight w:val="none"/>
                <w:lang w:eastAsia="zh-CN"/>
              </w:rPr>
              <w:t>，</w:t>
            </w:r>
            <w:r>
              <w:rPr>
                <w:rFonts w:hint="eastAsia" w:cs="等线"/>
                <w:color w:val="auto"/>
                <w:szCs w:val="21"/>
                <w:highlight w:val="none"/>
                <w:lang w:val="en-US" w:eastAsia="zh-CN"/>
              </w:rPr>
              <w:t>得2分</w:t>
            </w:r>
            <w:r>
              <w:rPr>
                <w:rFonts w:hint="eastAsia" w:cs="等线"/>
                <w:color w:val="auto"/>
                <w:szCs w:val="21"/>
                <w:highlight w:val="none"/>
                <w:lang w:eastAsia="zh-CN"/>
              </w:rPr>
              <w:t>；</w:t>
            </w:r>
          </w:p>
          <w:p w14:paraId="640EB56C">
            <w:pPr>
              <w:spacing w:line="360" w:lineRule="auto"/>
              <w:jc w:val="both"/>
              <w:rPr>
                <w:rFonts w:hint="eastAsia" w:cs="等线"/>
                <w:color w:val="auto"/>
                <w:szCs w:val="21"/>
                <w:highlight w:val="none"/>
              </w:rPr>
            </w:pPr>
            <w:r>
              <w:rPr>
                <w:rFonts w:hint="eastAsia" w:cs="等线"/>
                <w:color w:val="auto"/>
                <w:szCs w:val="21"/>
                <w:highlight w:val="none"/>
                <w:lang w:val="en-US" w:eastAsia="zh-CN"/>
              </w:rPr>
              <w:t>4、</w:t>
            </w:r>
            <w:r>
              <w:rPr>
                <w:rFonts w:hint="eastAsia" w:cs="等线"/>
                <w:color w:val="auto"/>
                <w:szCs w:val="21"/>
                <w:highlight w:val="none"/>
              </w:rPr>
              <w:t>具有有效期内的中国信息安全测评中心颁发的有效期内的注册信息安全工程师证书，</w:t>
            </w:r>
            <w:r>
              <w:rPr>
                <w:rFonts w:hint="eastAsia" w:cs="等线"/>
                <w:color w:val="auto"/>
                <w:szCs w:val="21"/>
                <w:highlight w:val="none"/>
                <w:lang w:val="en-US" w:eastAsia="zh-CN"/>
              </w:rPr>
              <w:t>只计1人</w:t>
            </w:r>
            <w:r>
              <w:rPr>
                <w:rFonts w:hint="eastAsia" w:cs="等线"/>
                <w:color w:val="auto"/>
                <w:szCs w:val="21"/>
                <w:highlight w:val="none"/>
              </w:rPr>
              <w:t>，得</w:t>
            </w:r>
            <w:r>
              <w:rPr>
                <w:rFonts w:hint="eastAsia" w:cs="等线"/>
                <w:color w:val="auto"/>
                <w:szCs w:val="21"/>
                <w:highlight w:val="none"/>
                <w:lang w:val="en-US" w:eastAsia="zh-CN"/>
              </w:rPr>
              <w:t>2</w:t>
            </w:r>
            <w:r>
              <w:rPr>
                <w:rFonts w:hint="eastAsia" w:cs="等线"/>
                <w:color w:val="auto"/>
                <w:szCs w:val="21"/>
                <w:highlight w:val="none"/>
              </w:rPr>
              <w:t>分；</w:t>
            </w:r>
          </w:p>
          <w:p w14:paraId="29D6BC5B">
            <w:pPr>
              <w:spacing w:line="360" w:lineRule="auto"/>
              <w:jc w:val="both"/>
              <w:rPr>
                <w:rFonts w:hint="eastAsia" w:cs="等线"/>
                <w:color w:val="auto"/>
                <w:szCs w:val="21"/>
                <w:highlight w:val="none"/>
              </w:rPr>
            </w:pPr>
            <w:r>
              <w:rPr>
                <w:rFonts w:hint="eastAsia" w:cs="等线"/>
                <w:color w:val="auto"/>
                <w:szCs w:val="21"/>
                <w:highlight w:val="none"/>
                <w:lang w:val="en-US" w:eastAsia="zh-CN"/>
              </w:rPr>
              <w:t>5、</w:t>
            </w:r>
            <w:r>
              <w:rPr>
                <w:rFonts w:hint="eastAsia" w:cs="等线"/>
                <w:color w:val="auto"/>
                <w:szCs w:val="21"/>
                <w:highlight w:val="none"/>
              </w:rPr>
              <w:t>具有工业和信息化部及人力资源和社会保障部或人力资源和社会保障厅颁发的软件设计师证书，</w:t>
            </w:r>
            <w:r>
              <w:rPr>
                <w:rFonts w:hint="eastAsia" w:cs="等线"/>
                <w:color w:val="auto"/>
                <w:szCs w:val="21"/>
                <w:highlight w:val="none"/>
                <w:lang w:val="en-US" w:eastAsia="zh-CN"/>
              </w:rPr>
              <w:t>只计1人</w:t>
            </w:r>
            <w:r>
              <w:rPr>
                <w:rFonts w:hint="eastAsia" w:cs="等线"/>
                <w:color w:val="auto"/>
                <w:szCs w:val="21"/>
                <w:highlight w:val="none"/>
              </w:rPr>
              <w:t>，得</w:t>
            </w:r>
            <w:r>
              <w:rPr>
                <w:rFonts w:hint="eastAsia" w:cs="等线"/>
                <w:color w:val="auto"/>
                <w:szCs w:val="21"/>
                <w:highlight w:val="none"/>
                <w:lang w:val="en-US" w:eastAsia="zh-CN"/>
              </w:rPr>
              <w:t>2</w:t>
            </w:r>
            <w:r>
              <w:rPr>
                <w:rFonts w:hint="eastAsia" w:cs="等线"/>
                <w:color w:val="auto"/>
                <w:szCs w:val="21"/>
                <w:highlight w:val="none"/>
              </w:rPr>
              <w:t>分；</w:t>
            </w:r>
          </w:p>
          <w:p w14:paraId="448EC216">
            <w:pPr>
              <w:spacing w:line="360" w:lineRule="auto"/>
              <w:jc w:val="both"/>
              <w:rPr>
                <w:rFonts w:hint="eastAsia" w:cs="等线"/>
                <w:color w:val="auto"/>
                <w:szCs w:val="21"/>
                <w:highlight w:val="none"/>
              </w:rPr>
            </w:pPr>
            <w:r>
              <w:rPr>
                <w:rFonts w:hint="eastAsia" w:cs="等线"/>
                <w:color w:val="auto"/>
                <w:szCs w:val="21"/>
                <w:highlight w:val="none"/>
                <w:lang w:val="en-US" w:eastAsia="zh-CN"/>
              </w:rPr>
              <w:t>6、</w:t>
            </w:r>
            <w:r>
              <w:rPr>
                <w:rFonts w:hint="eastAsia" w:cs="等线"/>
                <w:color w:val="auto"/>
                <w:szCs w:val="21"/>
                <w:highlight w:val="none"/>
              </w:rPr>
              <w:t>具有人力资源和社会保障局或劳动和社会保障部颁发的维修电工职业资格证书三级/高级技能</w:t>
            </w:r>
            <w:r>
              <w:rPr>
                <w:rFonts w:hint="eastAsia" w:cs="等线"/>
                <w:color w:val="auto"/>
                <w:szCs w:val="21"/>
                <w:highlight w:val="none"/>
                <w:lang w:val="en-US" w:eastAsia="zh-CN"/>
              </w:rPr>
              <w:t>，只计1人</w:t>
            </w:r>
            <w:r>
              <w:rPr>
                <w:rFonts w:hint="eastAsia" w:cs="等线"/>
                <w:color w:val="auto"/>
                <w:szCs w:val="21"/>
                <w:highlight w:val="none"/>
                <w:lang w:eastAsia="zh-CN"/>
              </w:rPr>
              <w:t>，</w:t>
            </w:r>
            <w:r>
              <w:rPr>
                <w:rFonts w:hint="eastAsia" w:cs="等线"/>
                <w:color w:val="auto"/>
                <w:szCs w:val="21"/>
                <w:highlight w:val="none"/>
                <w:lang w:val="en-US" w:eastAsia="zh-CN"/>
              </w:rPr>
              <w:t>得2分</w:t>
            </w:r>
            <w:r>
              <w:rPr>
                <w:rFonts w:hint="eastAsia" w:cs="等线"/>
                <w:color w:val="auto"/>
                <w:szCs w:val="21"/>
                <w:highlight w:val="none"/>
                <w:lang w:eastAsia="zh-CN"/>
              </w:rPr>
              <w:t>。</w:t>
            </w:r>
          </w:p>
          <w:p w14:paraId="0C86B054">
            <w:pPr>
              <w:spacing w:line="360" w:lineRule="auto"/>
              <w:jc w:val="left"/>
              <w:rPr>
                <w:rFonts w:hint="eastAsia" w:cs="等线"/>
                <w:color w:val="auto"/>
                <w:szCs w:val="21"/>
                <w:highlight w:val="none"/>
              </w:rPr>
            </w:pPr>
            <w:r>
              <w:rPr>
                <w:rFonts w:hint="eastAsia" w:cs="宋体"/>
                <w:b/>
                <w:bCs/>
                <w:color w:val="auto"/>
                <w:szCs w:val="21"/>
                <w:highlight w:val="none"/>
              </w:rPr>
              <w:t>注：</w:t>
            </w:r>
            <w:r>
              <w:rPr>
                <w:rFonts w:hint="eastAsia" w:cs="宋体"/>
                <w:b/>
                <w:bCs/>
                <w:color w:val="auto"/>
                <w:szCs w:val="21"/>
                <w:highlight w:val="none"/>
                <w:lang w:val="en-US" w:eastAsia="zh-CN"/>
              </w:rPr>
              <w:t>同一人获得多个证书的不重复计分。</w:t>
            </w:r>
            <w:r>
              <w:rPr>
                <w:rFonts w:hint="eastAsia" w:cs="宋体"/>
                <w:b/>
                <w:bCs/>
                <w:color w:val="auto"/>
                <w:szCs w:val="21"/>
                <w:highlight w:val="none"/>
              </w:rPr>
              <w:t>响应文件须提供上述</w:t>
            </w:r>
            <w:r>
              <w:rPr>
                <w:rFonts w:hint="eastAsia" w:cs="宋体"/>
                <w:b/>
                <w:bCs/>
                <w:color w:val="auto"/>
                <w:szCs w:val="21"/>
                <w:highlight w:val="none"/>
                <w:lang w:val="en-US" w:eastAsia="zh-CN"/>
              </w:rPr>
              <w:t>人员名单、证书复印件</w:t>
            </w:r>
            <w:r>
              <w:rPr>
                <w:rFonts w:hint="eastAsia" w:cs="宋体"/>
                <w:b/>
                <w:bCs/>
                <w:color w:val="auto"/>
                <w:szCs w:val="21"/>
                <w:highlight w:val="none"/>
                <w:lang w:eastAsia="zh-CN"/>
              </w:rPr>
              <w:t>，</w:t>
            </w:r>
            <w:r>
              <w:rPr>
                <w:rFonts w:hint="eastAsia" w:ascii="宋体" w:hAnsi="宋体" w:eastAsia="宋体" w:cs="宋体"/>
                <w:b/>
                <w:bCs/>
                <w:color w:val="auto"/>
                <w:highlight w:val="none"/>
              </w:rPr>
              <w:t>以及202</w:t>
            </w:r>
            <w:r>
              <w:rPr>
                <w:rFonts w:hint="eastAsia" w:ascii="宋体" w:hAnsi="宋体" w:eastAsia="宋体" w:cs="宋体"/>
                <w:b/>
                <w:bCs/>
                <w:color w:val="auto"/>
                <w:highlight w:val="none"/>
                <w:lang w:val="en-US" w:eastAsia="zh-CN"/>
              </w:rPr>
              <w:t>5</w:t>
            </w:r>
            <w:r>
              <w:rPr>
                <w:rFonts w:hint="eastAsia" w:ascii="宋体" w:hAnsi="宋体" w:eastAsia="宋体" w:cs="宋体"/>
                <w:b/>
                <w:bCs/>
                <w:color w:val="auto"/>
                <w:highlight w:val="none"/>
              </w:rPr>
              <w:t>年</w:t>
            </w:r>
            <w:r>
              <w:rPr>
                <w:rFonts w:hint="eastAsia" w:ascii="宋体" w:hAnsi="宋体" w:eastAsia="宋体" w:cs="宋体"/>
                <w:b/>
                <w:bCs/>
                <w:color w:val="auto"/>
                <w:highlight w:val="none"/>
                <w:lang w:val="en-US" w:eastAsia="zh-CN"/>
              </w:rPr>
              <w:t>03</w:t>
            </w:r>
            <w:r>
              <w:rPr>
                <w:rFonts w:hint="eastAsia" w:ascii="宋体" w:hAnsi="宋体" w:eastAsia="宋体" w:cs="宋体"/>
                <w:b/>
                <w:bCs/>
                <w:color w:val="auto"/>
                <w:highlight w:val="none"/>
              </w:rPr>
              <w:t>月</w:t>
            </w:r>
            <w:r>
              <w:rPr>
                <w:rFonts w:hint="eastAsia" w:ascii="宋体" w:hAnsi="宋体" w:cs="宋体"/>
                <w:b/>
                <w:bCs/>
                <w:color w:val="auto"/>
                <w:highlight w:val="none"/>
                <w:lang w:val="en-US" w:eastAsia="zh-CN"/>
              </w:rPr>
              <w:t>至</w:t>
            </w:r>
            <w:r>
              <w:rPr>
                <w:rFonts w:hint="eastAsia" w:ascii="宋体" w:hAnsi="宋体" w:eastAsia="宋体" w:cs="宋体"/>
                <w:b/>
                <w:bCs/>
                <w:color w:val="auto"/>
                <w:highlight w:val="none"/>
              </w:rPr>
              <w:t>开标当月任意一个月供应商为</w:t>
            </w:r>
            <w:r>
              <w:rPr>
                <w:rFonts w:hint="eastAsia" w:ascii="宋体" w:hAnsi="宋体" w:eastAsia="宋体" w:cs="宋体"/>
                <w:b/>
                <w:bCs/>
                <w:color w:val="auto"/>
                <w:highlight w:val="none"/>
                <w:lang w:val="en-US" w:eastAsia="zh-CN"/>
              </w:rPr>
              <w:t>对应人员</w:t>
            </w:r>
            <w:r>
              <w:rPr>
                <w:rFonts w:hint="eastAsia" w:ascii="宋体" w:hAnsi="宋体" w:eastAsia="宋体" w:cs="宋体"/>
                <w:b/>
                <w:bCs/>
                <w:color w:val="auto"/>
                <w:highlight w:val="none"/>
              </w:rPr>
              <w:t>购买社保的凭证</w:t>
            </w:r>
            <w:r>
              <w:rPr>
                <w:rFonts w:hint="eastAsia" w:cs="宋体"/>
                <w:b/>
                <w:bCs/>
                <w:color w:val="auto"/>
                <w:szCs w:val="21"/>
                <w:highlight w:val="none"/>
                <w:lang w:eastAsia="zh-CN"/>
              </w:rPr>
              <w:t>；</w:t>
            </w:r>
            <w:r>
              <w:rPr>
                <w:rFonts w:hint="eastAsia" w:cs="宋体"/>
                <w:b/>
                <w:bCs/>
                <w:color w:val="auto"/>
                <w:szCs w:val="21"/>
                <w:highlight w:val="none"/>
              </w:rPr>
              <w:t>未提供不得分</w:t>
            </w:r>
          </w:p>
        </w:tc>
        <w:tc>
          <w:tcPr>
            <w:tcW w:w="855" w:type="dxa"/>
            <w:vAlign w:val="center"/>
          </w:tcPr>
          <w:p w14:paraId="51D43937">
            <w:pPr>
              <w:spacing w:before="120" w:beforeLines="50" w:after="120" w:afterLines="50" w:line="360" w:lineRule="auto"/>
              <w:jc w:val="center"/>
              <w:rPr>
                <w:rFonts w:hint="default" w:cs="宋体"/>
                <w:color w:val="auto"/>
                <w:szCs w:val="21"/>
                <w:highlight w:val="none"/>
                <w:lang w:val="en-US" w:eastAsia="zh-CN"/>
              </w:rPr>
            </w:pPr>
            <w:r>
              <w:rPr>
                <w:rFonts w:hint="eastAsia" w:cs="宋体"/>
                <w:color w:val="auto"/>
                <w:szCs w:val="21"/>
                <w:highlight w:val="none"/>
                <w:lang w:val="en-US" w:eastAsia="zh-CN"/>
              </w:rPr>
              <w:t>16</w:t>
            </w:r>
          </w:p>
        </w:tc>
      </w:tr>
    </w:tbl>
    <w:p w14:paraId="240D712E">
      <w:pPr>
        <w:pStyle w:val="45"/>
        <w:spacing w:line="360" w:lineRule="auto"/>
        <w:ind w:left="0" w:leftChars="0" w:firstLine="0" w:firstLineChars="0"/>
        <w:rPr>
          <w:color w:val="auto"/>
          <w:highlight w:val="none"/>
        </w:rPr>
      </w:pPr>
    </w:p>
    <w:p w14:paraId="79D8F6FD">
      <w:pPr>
        <w:spacing w:line="360" w:lineRule="auto"/>
        <w:ind w:firstLine="422" w:firstLineChars="200"/>
        <w:jc w:val="left"/>
        <w:outlineLvl w:val="3"/>
        <w:rPr>
          <w:rFonts w:cs="Futura-Heavy"/>
          <w:b/>
          <w:bCs/>
          <w:color w:val="auto"/>
          <w:kern w:val="0"/>
          <w:szCs w:val="21"/>
          <w:highlight w:val="none"/>
        </w:rPr>
      </w:pPr>
      <w:r>
        <w:rPr>
          <w:rFonts w:hint="eastAsia" w:cs="Futura-Heavy"/>
          <w:b/>
          <w:bCs/>
          <w:color w:val="auto"/>
          <w:kern w:val="0"/>
          <w:szCs w:val="21"/>
          <w:highlight w:val="none"/>
        </w:rPr>
        <w:t>表五：价格</w:t>
      </w:r>
      <w:r>
        <w:rPr>
          <w:rFonts w:cs="Futura-Heavy"/>
          <w:b/>
          <w:bCs/>
          <w:color w:val="auto"/>
          <w:kern w:val="0"/>
          <w:szCs w:val="21"/>
          <w:highlight w:val="none"/>
        </w:rPr>
        <w:t>评分细则</w:t>
      </w:r>
      <w:r>
        <w:rPr>
          <w:rFonts w:hint="eastAsia" w:cs="Futura-Heavy"/>
          <w:b/>
          <w:bCs/>
          <w:color w:val="auto"/>
          <w:kern w:val="0"/>
          <w:szCs w:val="21"/>
          <w:highlight w:val="none"/>
        </w:rPr>
        <w:t>表（</w:t>
      </w:r>
      <w:r>
        <w:rPr>
          <w:rFonts w:hint="eastAsia" w:cs="Futura-Heavy"/>
          <w:b/>
          <w:bCs/>
          <w:color w:val="auto"/>
          <w:kern w:val="0"/>
          <w:szCs w:val="21"/>
          <w:highlight w:val="none"/>
          <w:lang w:val="en-US" w:eastAsia="zh-CN"/>
        </w:rPr>
        <w:t>20</w:t>
      </w:r>
      <w:r>
        <w:rPr>
          <w:rFonts w:hint="eastAsia" w:cs="Futura-Heavy"/>
          <w:b/>
          <w:bCs/>
          <w:color w:val="auto"/>
          <w:kern w:val="0"/>
          <w:szCs w:val="21"/>
          <w:highlight w:val="none"/>
        </w:rPr>
        <w:t>分）</w:t>
      </w:r>
    </w:p>
    <w:tbl>
      <w:tblPr>
        <w:tblStyle w:val="4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1139"/>
        <w:gridCol w:w="7020"/>
        <w:gridCol w:w="859"/>
      </w:tblGrid>
      <w:tr w14:paraId="637DD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36" w:type="dxa"/>
            <w:vAlign w:val="center"/>
          </w:tcPr>
          <w:p w14:paraId="224A7D95">
            <w:pPr>
              <w:spacing w:before="120" w:beforeLines="50" w:after="120" w:afterLines="50" w:line="360" w:lineRule="auto"/>
              <w:jc w:val="center"/>
              <w:rPr>
                <w:rFonts w:cs="@文鼎CS中黑"/>
                <w:b/>
                <w:bCs/>
                <w:color w:val="auto"/>
                <w:szCs w:val="21"/>
                <w:highlight w:val="none"/>
              </w:rPr>
            </w:pPr>
            <w:r>
              <w:rPr>
                <w:rFonts w:hint="eastAsia" w:cs="@文鼎CS中黑"/>
                <w:b/>
                <w:bCs/>
                <w:color w:val="auto"/>
                <w:szCs w:val="21"/>
                <w:highlight w:val="none"/>
              </w:rPr>
              <w:t>序号</w:t>
            </w:r>
          </w:p>
        </w:tc>
        <w:tc>
          <w:tcPr>
            <w:tcW w:w="1139" w:type="dxa"/>
            <w:vAlign w:val="center"/>
          </w:tcPr>
          <w:p w14:paraId="445CC8F7">
            <w:pPr>
              <w:spacing w:before="120" w:beforeLines="50" w:after="120" w:afterLines="50" w:line="360" w:lineRule="auto"/>
              <w:jc w:val="center"/>
              <w:rPr>
                <w:rFonts w:cs="等线"/>
                <w:b/>
                <w:color w:val="auto"/>
                <w:highlight w:val="none"/>
              </w:rPr>
            </w:pPr>
            <w:r>
              <w:rPr>
                <w:rFonts w:hint="eastAsia" w:cs="等线"/>
                <w:b/>
                <w:color w:val="auto"/>
                <w:highlight w:val="none"/>
              </w:rPr>
              <w:t>评审因素</w:t>
            </w:r>
          </w:p>
        </w:tc>
        <w:tc>
          <w:tcPr>
            <w:tcW w:w="7020" w:type="dxa"/>
            <w:vAlign w:val="center"/>
          </w:tcPr>
          <w:p w14:paraId="23CDE5FD">
            <w:pPr>
              <w:spacing w:before="120" w:beforeLines="50" w:after="120" w:afterLines="50" w:line="360" w:lineRule="auto"/>
              <w:jc w:val="center"/>
              <w:rPr>
                <w:rFonts w:cs="等线"/>
                <w:b/>
                <w:color w:val="auto"/>
                <w:highlight w:val="none"/>
              </w:rPr>
            </w:pPr>
            <w:r>
              <w:rPr>
                <w:rFonts w:hint="eastAsia" w:cs="等线"/>
                <w:b/>
                <w:color w:val="auto"/>
                <w:highlight w:val="none"/>
              </w:rPr>
              <w:t>评审标准</w:t>
            </w:r>
          </w:p>
        </w:tc>
        <w:tc>
          <w:tcPr>
            <w:tcW w:w="859" w:type="dxa"/>
            <w:vAlign w:val="center"/>
          </w:tcPr>
          <w:p w14:paraId="2ADAC4A3">
            <w:pPr>
              <w:spacing w:before="120" w:beforeLines="50" w:after="120" w:afterLines="50" w:line="360" w:lineRule="auto"/>
              <w:jc w:val="center"/>
              <w:rPr>
                <w:color w:val="auto"/>
                <w:szCs w:val="21"/>
                <w:highlight w:val="none"/>
              </w:rPr>
            </w:pPr>
            <w:r>
              <w:rPr>
                <w:rFonts w:hint="eastAsia" w:cs="@文鼎CS中黑"/>
                <w:b/>
                <w:bCs/>
                <w:color w:val="auto"/>
                <w:szCs w:val="21"/>
                <w:highlight w:val="none"/>
              </w:rPr>
              <w:t>分值（分）</w:t>
            </w:r>
          </w:p>
        </w:tc>
      </w:tr>
      <w:tr w14:paraId="1C222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836" w:type="dxa"/>
            <w:tcBorders>
              <w:bottom w:val="single" w:color="auto" w:sz="4" w:space="0"/>
            </w:tcBorders>
            <w:vAlign w:val="center"/>
          </w:tcPr>
          <w:p w14:paraId="038EF971">
            <w:pPr>
              <w:spacing w:before="120" w:beforeLines="50" w:after="120" w:afterLines="50" w:line="360" w:lineRule="auto"/>
              <w:jc w:val="center"/>
              <w:rPr>
                <w:rFonts w:cs="Courier New"/>
                <w:color w:val="auto"/>
                <w:szCs w:val="21"/>
                <w:highlight w:val="none"/>
              </w:rPr>
            </w:pPr>
            <w:r>
              <w:rPr>
                <w:rFonts w:hint="eastAsia" w:cs="Courier New"/>
                <w:color w:val="auto"/>
                <w:szCs w:val="21"/>
                <w:highlight w:val="none"/>
              </w:rPr>
              <w:t>1</w:t>
            </w:r>
          </w:p>
        </w:tc>
        <w:tc>
          <w:tcPr>
            <w:tcW w:w="1139" w:type="dxa"/>
            <w:tcBorders>
              <w:bottom w:val="single" w:color="auto" w:sz="4" w:space="0"/>
            </w:tcBorders>
            <w:vAlign w:val="center"/>
          </w:tcPr>
          <w:p w14:paraId="192BE946">
            <w:pPr>
              <w:spacing w:before="120" w:beforeLines="50" w:after="120" w:afterLines="50" w:line="360" w:lineRule="auto"/>
              <w:jc w:val="center"/>
              <w:rPr>
                <w:rFonts w:cs="Courier New"/>
                <w:color w:val="auto"/>
                <w:szCs w:val="21"/>
                <w:highlight w:val="none"/>
              </w:rPr>
            </w:pPr>
            <w:r>
              <w:rPr>
                <w:rFonts w:hint="eastAsia" w:cs="Courier New"/>
                <w:color w:val="auto"/>
                <w:szCs w:val="21"/>
                <w:highlight w:val="none"/>
              </w:rPr>
              <w:t>价格</w:t>
            </w:r>
          </w:p>
        </w:tc>
        <w:tc>
          <w:tcPr>
            <w:tcW w:w="7020" w:type="dxa"/>
            <w:tcBorders>
              <w:bottom w:val="single" w:color="auto" w:sz="4" w:space="0"/>
            </w:tcBorders>
            <w:vAlign w:val="center"/>
          </w:tcPr>
          <w:p w14:paraId="70AFFC44">
            <w:pPr>
              <w:spacing w:before="120" w:beforeLines="50" w:after="120" w:afterLines="50" w:line="360" w:lineRule="auto"/>
              <w:jc w:val="both"/>
              <w:rPr>
                <w:rFonts w:cs="Wingdings"/>
                <w:color w:val="auto"/>
                <w:kern w:val="0"/>
                <w:szCs w:val="21"/>
                <w:highlight w:val="none"/>
              </w:rPr>
            </w:pPr>
            <w:r>
              <w:rPr>
                <w:rFonts w:hint="eastAsia"/>
                <w:bCs/>
                <w:color w:val="auto"/>
                <w:szCs w:val="21"/>
                <w:highlight w:val="none"/>
              </w:rPr>
              <w:t>投标（响应）报价得分＝（评审基准价</w:t>
            </w:r>
            <w:r>
              <w:rPr>
                <w:bCs/>
                <w:color w:val="auto"/>
                <w:szCs w:val="21"/>
                <w:highlight w:val="none"/>
              </w:rPr>
              <w:t>/</w:t>
            </w:r>
            <w:r>
              <w:rPr>
                <w:rFonts w:hint="eastAsia"/>
                <w:bCs/>
                <w:color w:val="auto"/>
                <w:szCs w:val="21"/>
                <w:highlight w:val="none"/>
              </w:rPr>
              <w:t>最终响应</w:t>
            </w:r>
            <w:r>
              <w:rPr>
                <w:bCs/>
                <w:color w:val="auto"/>
                <w:szCs w:val="21"/>
                <w:highlight w:val="none"/>
              </w:rPr>
              <w:t>报价）×价格分值【注：满足</w:t>
            </w:r>
            <w:r>
              <w:rPr>
                <w:rFonts w:hint="eastAsia"/>
                <w:bCs/>
                <w:color w:val="auto"/>
                <w:szCs w:val="21"/>
                <w:highlight w:val="none"/>
              </w:rPr>
              <w:t>采购</w:t>
            </w:r>
            <w:r>
              <w:rPr>
                <w:bCs/>
                <w:color w:val="auto"/>
                <w:szCs w:val="21"/>
                <w:highlight w:val="none"/>
              </w:rPr>
              <w:t>文件要求且</w:t>
            </w:r>
            <w:r>
              <w:rPr>
                <w:rFonts w:hint="eastAsia"/>
                <w:bCs/>
                <w:color w:val="auto"/>
                <w:szCs w:val="21"/>
                <w:highlight w:val="none"/>
              </w:rPr>
              <w:t>最终响应</w:t>
            </w:r>
            <w:r>
              <w:rPr>
                <w:bCs/>
                <w:color w:val="auto"/>
                <w:szCs w:val="21"/>
                <w:highlight w:val="none"/>
              </w:rPr>
              <w:t>价格最低的</w:t>
            </w:r>
            <w:r>
              <w:rPr>
                <w:rFonts w:hint="eastAsia"/>
                <w:bCs/>
                <w:color w:val="auto"/>
                <w:szCs w:val="21"/>
                <w:highlight w:val="none"/>
              </w:rPr>
              <w:t>响应</w:t>
            </w:r>
            <w:r>
              <w:rPr>
                <w:bCs/>
                <w:color w:val="auto"/>
                <w:szCs w:val="21"/>
                <w:highlight w:val="none"/>
              </w:rPr>
              <w:t>报价为评</w:t>
            </w:r>
            <w:r>
              <w:rPr>
                <w:rFonts w:hint="eastAsia"/>
                <w:bCs/>
                <w:color w:val="auto"/>
                <w:szCs w:val="21"/>
                <w:highlight w:val="none"/>
              </w:rPr>
              <w:t>审</w:t>
            </w:r>
            <w:r>
              <w:rPr>
                <w:bCs/>
                <w:color w:val="auto"/>
                <w:szCs w:val="21"/>
                <w:highlight w:val="none"/>
              </w:rPr>
              <w:t>基准价。】最低报价不是</w:t>
            </w:r>
            <w:r>
              <w:rPr>
                <w:rFonts w:hint="eastAsia"/>
                <w:bCs/>
                <w:color w:val="auto"/>
                <w:szCs w:val="21"/>
                <w:highlight w:val="none"/>
              </w:rPr>
              <w:t>成交</w:t>
            </w:r>
            <w:r>
              <w:rPr>
                <w:bCs/>
                <w:color w:val="auto"/>
                <w:szCs w:val="21"/>
                <w:highlight w:val="none"/>
              </w:rPr>
              <w:t>的唯一依据。因落实政府采购政策进行价格调整的，以调整后的价格计算评</w:t>
            </w:r>
            <w:r>
              <w:rPr>
                <w:rFonts w:hint="eastAsia"/>
                <w:bCs/>
                <w:color w:val="auto"/>
                <w:szCs w:val="21"/>
                <w:highlight w:val="none"/>
              </w:rPr>
              <w:t>审</w:t>
            </w:r>
            <w:r>
              <w:rPr>
                <w:bCs/>
                <w:color w:val="auto"/>
                <w:szCs w:val="21"/>
                <w:highlight w:val="none"/>
              </w:rPr>
              <w:t>基准价和</w:t>
            </w:r>
            <w:r>
              <w:rPr>
                <w:rFonts w:hint="eastAsia"/>
                <w:bCs/>
                <w:color w:val="auto"/>
                <w:szCs w:val="21"/>
                <w:highlight w:val="none"/>
              </w:rPr>
              <w:t>最终响应</w:t>
            </w:r>
            <w:r>
              <w:rPr>
                <w:bCs/>
                <w:color w:val="auto"/>
                <w:szCs w:val="21"/>
                <w:highlight w:val="none"/>
              </w:rPr>
              <w:t>报价</w:t>
            </w:r>
            <w:r>
              <w:rPr>
                <w:rFonts w:hint="eastAsia"/>
                <w:bCs/>
                <w:color w:val="auto"/>
                <w:szCs w:val="21"/>
                <w:highlight w:val="none"/>
              </w:rPr>
              <w:t>。</w:t>
            </w:r>
          </w:p>
        </w:tc>
        <w:tc>
          <w:tcPr>
            <w:tcW w:w="859" w:type="dxa"/>
            <w:tcBorders>
              <w:bottom w:val="single" w:color="auto" w:sz="4" w:space="0"/>
            </w:tcBorders>
            <w:vAlign w:val="center"/>
          </w:tcPr>
          <w:p w14:paraId="434D11C1">
            <w:pPr>
              <w:spacing w:before="120" w:beforeLines="50" w:after="120" w:afterLines="50" w:line="360" w:lineRule="auto"/>
              <w:jc w:val="center"/>
              <w:rPr>
                <w:rFonts w:hint="default" w:eastAsia="宋体"/>
                <w:color w:val="auto"/>
                <w:szCs w:val="21"/>
                <w:highlight w:val="none"/>
                <w:lang w:val="en-US" w:eastAsia="zh-CN"/>
              </w:rPr>
            </w:pPr>
            <w:r>
              <w:rPr>
                <w:rFonts w:hint="eastAsia"/>
                <w:color w:val="auto"/>
                <w:szCs w:val="21"/>
                <w:highlight w:val="none"/>
                <w:lang w:val="en-US" w:eastAsia="zh-CN"/>
              </w:rPr>
              <w:t>20</w:t>
            </w:r>
          </w:p>
        </w:tc>
      </w:tr>
    </w:tbl>
    <w:p w14:paraId="05E95A02">
      <w:pPr>
        <w:spacing w:line="360" w:lineRule="auto"/>
        <w:rPr>
          <w:rFonts w:hint="eastAsia"/>
          <w:color w:val="auto"/>
          <w:highlight w:val="none"/>
        </w:rPr>
      </w:pPr>
    </w:p>
    <w:p w14:paraId="5F62875B">
      <w:pPr>
        <w:pStyle w:val="126"/>
        <w:keepNext w:val="0"/>
        <w:keepLines w:val="0"/>
        <w:pageBreakBefore w:val="0"/>
        <w:widowControl w:val="0"/>
        <w:numPr>
          <w:ilvl w:val="0"/>
          <w:numId w:val="18"/>
        </w:numPr>
        <w:kinsoku/>
        <w:wordWrap/>
        <w:overflowPunct/>
        <w:topLinePunct w:val="0"/>
        <w:bidi w:val="0"/>
        <w:spacing w:line="360" w:lineRule="auto"/>
        <w:jc w:val="left"/>
        <w:outlineLvl w:val="2"/>
        <w:rPr>
          <w:rFonts w:hint="eastAsia" w:ascii="宋体" w:hAnsi="宋体"/>
          <w:b/>
          <w:color w:val="auto"/>
          <w:szCs w:val="21"/>
          <w:highlight w:val="none"/>
        </w:rPr>
      </w:pPr>
      <w:r>
        <w:rPr>
          <w:rFonts w:hint="eastAsia" w:ascii="宋体" w:hAnsi="宋体"/>
          <w:b/>
          <w:color w:val="auto"/>
          <w:szCs w:val="21"/>
          <w:highlight w:val="none"/>
        </w:rPr>
        <w:t>汇总、排序</w:t>
      </w:r>
    </w:p>
    <w:p w14:paraId="26F1CE04">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评审结果按评审后总得分由高到低顺序排列。评审得分相同的，按最终报价由低到高顺序排列。得分且最终报价相同的，由磋商小组采取随机抽取的方式确定。排名第一的磋商供应商为第一成交候选人，排名第二的磋商供应商为第二成交候选人，以此类推。提供相同品牌产品（非单一产品采购，以核心产品为准。多个核心产品的，有一种产品品牌相同，即视为提供相同品牌产品），评审后得分最高的同品牌磋商供应商获得成交候选人推荐资格；评审得分相同的，由采购人或者采购人委托磋商小组采取随机抽取方式确定，其他同品牌磋商供应商不作为成交候选人。</w:t>
      </w:r>
    </w:p>
    <w:p w14:paraId="69DF5A10">
      <w:pPr>
        <w:pStyle w:val="126"/>
        <w:keepNext w:val="0"/>
        <w:keepLines w:val="0"/>
        <w:pageBreakBefore w:val="0"/>
        <w:widowControl w:val="0"/>
        <w:numPr>
          <w:ilvl w:val="0"/>
          <w:numId w:val="18"/>
        </w:numPr>
        <w:kinsoku/>
        <w:wordWrap/>
        <w:overflowPunct/>
        <w:topLinePunct w:val="0"/>
        <w:bidi w:val="0"/>
        <w:spacing w:line="360" w:lineRule="auto"/>
        <w:jc w:val="left"/>
        <w:outlineLvl w:val="2"/>
        <w:rPr>
          <w:rFonts w:hint="eastAsia" w:ascii="宋体" w:hAnsi="宋体"/>
          <w:b/>
          <w:color w:val="auto"/>
          <w:szCs w:val="21"/>
          <w:highlight w:val="none"/>
        </w:rPr>
      </w:pPr>
      <w:r>
        <w:rPr>
          <w:rFonts w:hint="eastAsia" w:ascii="宋体" w:hAnsi="宋体"/>
          <w:b/>
          <w:color w:val="auto"/>
          <w:szCs w:val="21"/>
          <w:highlight w:val="none"/>
        </w:rPr>
        <w:t>编写评审报告</w:t>
      </w:r>
    </w:p>
    <w:p w14:paraId="5ED0BA25">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highlight w:val="none"/>
        </w:rPr>
        <w:t>7</w:t>
      </w:r>
      <w:r>
        <w:rPr>
          <w:color w:val="auto"/>
          <w:szCs w:val="21"/>
          <w:highlight w:val="none"/>
        </w:rPr>
        <w:t>.1</w:t>
      </w:r>
      <w:r>
        <w:rPr>
          <w:rFonts w:hint="eastAsia"/>
          <w:color w:val="auto"/>
          <w:szCs w:val="21"/>
          <w:highlight w:val="none"/>
        </w:rPr>
        <w:t>磋商小组</w:t>
      </w:r>
      <w:r>
        <w:rPr>
          <w:color w:val="auto"/>
          <w:szCs w:val="21"/>
          <w:highlight w:val="none"/>
        </w:rPr>
        <w:t>根据全体评</w:t>
      </w:r>
      <w:r>
        <w:rPr>
          <w:rFonts w:hint="eastAsia"/>
          <w:color w:val="auto"/>
          <w:highlight w:val="none"/>
        </w:rPr>
        <w:t>审</w:t>
      </w:r>
      <w:r>
        <w:rPr>
          <w:color w:val="auto"/>
          <w:szCs w:val="21"/>
          <w:highlight w:val="none"/>
        </w:rPr>
        <w:t>成员签字的原始评标记录和评</w:t>
      </w:r>
      <w:r>
        <w:rPr>
          <w:rFonts w:hint="eastAsia"/>
          <w:color w:val="auto"/>
          <w:szCs w:val="21"/>
          <w:highlight w:val="none"/>
        </w:rPr>
        <w:t>审</w:t>
      </w:r>
      <w:r>
        <w:rPr>
          <w:color w:val="auto"/>
          <w:szCs w:val="21"/>
          <w:highlight w:val="none"/>
        </w:rPr>
        <w:t>结果编写评</w:t>
      </w:r>
      <w:r>
        <w:rPr>
          <w:rFonts w:hint="eastAsia"/>
          <w:color w:val="auto"/>
          <w:szCs w:val="21"/>
          <w:highlight w:val="none"/>
        </w:rPr>
        <w:t>审</w:t>
      </w:r>
      <w:r>
        <w:rPr>
          <w:color w:val="auto"/>
          <w:szCs w:val="21"/>
          <w:highlight w:val="none"/>
        </w:rPr>
        <w:t>报告。</w:t>
      </w:r>
    </w:p>
    <w:p w14:paraId="22C750E8">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highlight w:val="none"/>
        </w:rPr>
        <w:t>7</w:t>
      </w:r>
      <w:r>
        <w:rPr>
          <w:color w:val="auto"/>
          <w:szCs w:val="21"/>
          <w:highlight w:val="none"/>
        </w:rPr>
        <w:t>.2</w:t>
      </w:r>
      <w:r>
        <w:rPr>
          <w:rFonts w:hint="eastAsia"/>
          <w:color w:val="auto"/>
          <w:highlight w:val="none"/>
        </w:rPr>
        <w:t>磋商</w:t>
      </w:r>
      <w:r>
        <w:rPr>
          <w:rFonts w:hint="eastAsia"/>
          <w:color w:val="auto"/>
          <w:szCs w:val="21"/>
          <w:highlight w:val="none"/>
        </w:rPr>
        <w:t>小组</w:t>
      </w:r>
      <w:r>
        <w:rPr>
          <w:color w:val="auto"/>
          <w:szCs w:val="21"/>
          <w:highlight w:val="none"/>
        </w:rPr>
        <w:t>成员对需要共同认定的事项存在争议的，应当按照少数服从多数的原则</w:t>
      </w:r>
      <w:r>
        <w:rPr>
          <w:rFonts w:hint="eastAsia"/>
          <w:color w:val="auto"/>
          <w:szCs w:val="21"/>
          <w:highlight w:val="none"/>
        </w:rPr>
        <w:t>作出</w:t>
      </w:r>
      <w:r>
        <w:rPr>
          <w:color w:val="auto"/>
          <w:szCs w:val="21"/>
          <w:highlight w:val="none"/>
        </w:rPr>
        <w:t>结论。持不同意见的</w:t>
      </w:r>
      <w:r>
        <w:rPr>
          <w:rFonts w:hint="eastAsia"/>
          <w:color w:val="auto"/>
          <w:highlight w:val="none"/>
        </w:rPr>
        <w:t>协商</w:t>
      </w:r>
      <w:r>
        <w:rPr>
          <w:rFonts w:hint="eastAsia"/>
          <w:color w:val="auto"/>
          <w:szCs w:val="21"/>
          <w:highlight w:val="none"/>
        </w:rPr>
        <w:t>小组</w:t>
      </w:r>
      <w:r>
        <w:rPr>
          <w:color w:val="auto"/>
          <w:szCs w:val="21"/>
          <w:highlight w:val="none"/>
        </w:rPr>
        <w:t>成员应当在评</w:t>
      </w:r>
      <w:r>
        <w:rPr>
          <w:rFonts w:hint="eastAsia"/>
          <w:color w:val="auto"/>
          <w:szCs w:val="21"/>
          <w:highlight w:val="none"/>
        </w:rPr>
        <w:t>审</w:t>
      </w:r>
      <w:r>
        <w:rPr>
          <w:color w:val="auto"/>
          <w:szCs w:val="21"/>
          <w:highlight w:val="none"/>
        </w:rPr>
        <w:t>报告上签署不同意见及理由，否则视为同意评</w:t>
      </w:r>
      <w:r>
        <w:rPr>
          <w:rFonts w:hint="eastAsia"/>
          <w:color w:val="auto"/>
          <w:szCs w:val="21"/>
          <w:highlight w:val="none"/>
        </w:rPr>
        <w:t>审</w:t>
      </w:r>
      <w:r>
        <w:rPr>
          <w:color w:val="auto"/>
          <w:szCs w:val="21"/>
          <w:highlight w:val="none"/>
        </w:rPr>
        <w:t>报告。</w:t>
      </w:r>
    </w:p>
    <w:p w14:paraId="02F5054A">
      <w:pPr>
        <w:pStyle w:val="126"/>
        <w:keepNext w:val="0"/>
        <w:keepLines w:val="0"/>
        <w:pageBreakBefore w:val="0"/>
        <w:widowControl w:val="0"/>
        <w:numPr>
          <w:ilvl w:val="0"/>
          <w:numId w:val="18"/>
        </w:numPr>
        <w:kinsoku/>
        <w:wordWrap/>
        <w:overflowPunct/>
        <w:topLinePunct w:val="0"/>
        <w:bidi w:val="0"/>
        <w:spacing w:line="360" w:lineRule="auto"/>
        <w:jc w:val="left"/>
        <w:outlineLvl w:val="2"/>
        <w:rPr>
          <w:rFonts w:hint="eastAsia" w:ascii="宋体" w:hAnsi="宋体"/>
          <w:b/>
          <w:color w:val="auto"/>
          <w:szCs w:val="21"/>
          <w:highlight w:val="none"/>
          <w:lang w:eastAsia="zh-CN"/>
        </w:rPr>
      </w:pPr>
      <w:r>
        <w:rPr>
          <w:rFonts w:hint="eastAsia" w:ascii="宋体" w:hAnsi="宋体"/>
          <w:b/>
          <w:color w:val="auto"/>
          <w:szCs w:val="21"/>
          <w:highlight w:val="none"/>
          <w:lang w:eastAsia="zh-CN"/>
        </w:rPr>
        <w:t>其他无效响应的情形</w:t>
      </w:r>
    </w:p>
    <w:p w14:paraId="08921C7C">
      <w:pPr>
        <w:keepNext w:val="0"/>
        <w:keepLines w:val="0"/>
        <w:pageBreakBefore w:val="0"/>
        <w:widowControl w:val="0"/>
        <w:kinsoku/>
        <w:wordWrap/>
        <w:overflowPunct/>
        <w:topLinePunct w:val="0"/>
        <w:bidi w:val="0"/>
        <w:spacing w:line="360" w:lineRule="auto"/>
        <w:ind w:firstLine="420" w:firstLineChars="200"/>
        <w:jc w:val="left"/>
        <w:rPr>
          <w:rFonts w:hint="eastAsia"/>
          <w:color w:val="auto"/>
          <w:highlight w:val="none"/>
        </w:rPr>
      </w:pPr>
      <w:r>
        <w:rPr>
          <w:rFonts w:hint="eastAsia"/>
          <w:color w:val="auto"/>
          <w:highlight w:val="none"/>
        </w:rPr>
        <w:t>8.1评审期间，供应商没有按磋商小组的要求提交法定代表人或其委托代理人签字的澄清、说明、补正或改变了响应文件的实质性内容的。</w:t>
      </w:r>
    </w:p>
    <w:p w14:paraId="26C44AF8">
      <w:pPr>
        <w:keepNext w:val="0"/>
        <w:keepLines w:val="0"/>
        <w:pageBreakBefore w:val="0"/>
        <w:widowControl w:val="0"/>
        <w:kinsoku/>
        <w:wordWrap/>
        <w:overflowPunct/>
        <w:topLinePunct w:val="0"/>
        <w:bidi w:val="0"/>
        <w:spacing w:line="360" w:lineRule="auto"/>
        <w:ind w:firstLine="420" w:firstLineChars="200"/>
        <w:jc w:val="left"/>
        <w:rPr>
          <w:rFonts w:hint="eastAsia"/>
          <w:color w:val="auto"/>
          <w:highlight w:val="none"/>
        </w:rPr>
      </w:pPr>
      <w:r>
        <w:rPr>
          <w:rFonts w:hint="eastAsia"/>
          <w:color w:val="auto"/>
          <w:highlight w:val="none"/>
        </w:rPr>
        <w:t>8.2响应文件提供虚假材料的。</w:t>
      </w:r>
    </w:p>
    <w:p w14:paraId="734FF380">
      <w:pPr>
        <w:keepNext w:val="0"/>
        <w:keepLines w:val="0"/>
        <w:pageBreakBefore w:val="0"/>
        <w:widowControl w:val="0"/>
        <w:kinsoku/>
        <w:wordWrap/>
        <w:overflowPunct/>
        <w:topLinePunct w:val="0"/>
        <w:bidi w:val="0"/>
        <w:spacing w:line="360" w:lineRule="auto"/>
        <w:ind w:firstLine="420" w:firstLineChars="200"/>
        <w:jc w:val="left"/>
        <w:rPr>
          <w:rFonts w:hint="eastAsia"/>
          <w:color w:val="auto"/>
          <w:highlight w:val="none"/>
        </w:rPr>
      </w:pPr>
      <w:r>
        <w:rPr>
          <w:rFonts w:hint="eastAsia"/>
          <w:color w:val="auto"/>
          <w:highlight w:val="none"/>
        </w:rPr>
        <w:t>8.3供应商以他人名义响应、串通响应、以行贿手段谋取成交或者以其他弄虚作假方式响应的。</w:t>
      </w:r>
    </w:p>
    <w:p w14:paraId="488149E2">
      <w:pPr>
        <w:keepNext w:val="0"/>
        <w:keepLines w:val="0"/>
        <w:pageBreakBefore w:val="0"/>
        <w:widowControl w:val="0"/>
        <w:kinsoku/>
        <w:wordWrap/>
        <w:overflowPunct/>
        <w:topLinePunct w:val="0"/>
        <w:bidi w:val="0"/>
        <w:spacing w:line="360" w:lineRule="auto"/>
        <w:ind w:firstLine="420" w:firstLineChars="200"/>
        <w:jc w:val="left"/>
        <w:rPr>
          <w:rFonts w:hint="eastAsia"/>
          <w:color w:val="auto"/>
          <w:highlight w:val="none"/>
        </w:rPr>
      </w:pPr>
      <w:r>
        <w:rPr>
          <w:rFonts w:hint="eastAsia"/>
          <w:color w:val="auto"/>
          <w:highlight w:val="none"/>
        </w:rPr>
        <w:t>8.4供应商对采购人、采购代理机构、磋商小组及其工作人员施加影响，有碍招标公平、公正的。</w:t>
      </w:r>
    </w:p>
    <w:p w14:paraId="32388356">
      <w:pPr>
        <w:keepNext w:val="0"/>
        <w:keepLines w:val="0"/>
        <w:pageBreakBefore w:val="0"/>
        <w:widowControl w:val="0"/>
        <w:kinsoku/>
        <w:wordWrap/>
        <w:overflowPunct/>
        <w:topLinePunct w:val="0"/>
        <w:bidi w:val="0"/>
        <w:spacing w:line="360" w:lineRule="auto"/>
        <w:ind w:firstLine="420" w:firstLineChars="200"/>
        <w:jc w:val="left"/>
        <w:rPr>
          <w:rFonts w:hint="eastAsia"/>
          <w:color w:val="auto"/>
          <w:highlight w:val="none"/>
        </w:rPr>
      </w:pPr>
      <w:r>
        <w:rPr>
          <w:rFonts w:hint="eastAsia"/>
          <w:color w:val="auto"/>
          <w:highlight w:val="none"/>
        </w:rPr>
        <w:t>8.5响应文件含有采购人不能接受的附加条件的。</w:t>
      </w:r>
    </w:p>
    <w:p w14:paraId="6DDC1B01">
      <w:pPr>
        <w:keepNext w:val="0"/>
        <w:keepLines w:val="0"/>
        <w:pageBreakBefore w:val="0"/>
        <w:widowControl w:val="0"/>
        <w:kinsoku/>
        <w:wordWrap/>
        <w:overflowPunct/>
        <w:topLinePunct w:val="0"/>
        <w:bidi w:val="0"/>
        <w:spacing w:line="360" w:lineRule="auto"/>
        <w:ind w:firstLine="420" w:firstLineChars="200"/>
        <w:jc w:val="left"/>
        <w:rPr>
          <w:rFonts w:hint="eastAsia"/>
          <w:color w:val="auto"/>
          <w:highlight w:val="none"/>
        </w:rPr>
      </w:pPr>
      <w:r>
        <w:rPr>
          <w:rFonts w:hint="eastAsia"/>
          <w:color w:val="auto"/>
          <w:highlight w:val="none"/>
        </w:rPr>
        <w:t>8.6法律、法规和磋商文件规定的其他无效情形。</w:t>
      </w:r>
    </w:p>
    <w:p w14:paraId="39C151EB">
      <w:pPr>
        <w:keepNext w:val="0"/>
        <w:keepLines w:val="0"/>
        <w:pageBreakBefore w:val="0"/>
        <w:widowControl w:val="0"/>
        <w:kinsoku/>
        <w:wordWrap/>
        <w:overflowPunct/>
        <w:topLinePunct w:val="0"/>
        <w:bidi w:val="0"/>
        <w:spacing w:line="360" w:lineRule="auto"/>
        <w:jc w:val="left"/>
        <w:rPr>
          <w:rFonts w:hint="eastAsia"/>
          <w:color w:val="auto"/>
          <w:highlight w:val="none"/>
        </w:rPr>
      </w:pPr>
    </w:p>
    <w:p w14:paraId="290F84DD">
      <w:pPr>
        <w:keepNext w:val="0"/>
        <w:keepLines w:val="0"/>
        <w:pageBreakBefore w:val="0"/>
        <w:widowControl w:val="0"/>
        <w:kinsoku/>
        <w:wordWrap/>
        <w:overflowPunct/>
        <w:topLinePunct w:val="0"/>
        <w:bidi w:val="0"/>
        <w:spacing w:line="360" w:lineRule="auto"/>
        <w:jc w:val="left"/>
        <w:rPr>
          <w:rFonts w:hint="eastAsia"/>
          <w:color w:val="auto"/>
          <w:sz w:val="28"/>
          <w:highlight w:val="none"/>
        </w:rPr>
      </w:pPr>
      <w:r>
        <w:rPr>
          <w:color w:val="auto"/>
          <w:highlight w:val="none"/>
        </w:rPr>
        <w:br w:type="page"/>
      </w:r>
    </w:p>
    <w:p w14:paraId="373D5C08">
      <w:pPr>
        <w:pStyle w:val="2"/>
        <w:keepNext w:val="0"/>
        <w:keepLines w:val="0"/>
        <w:pageBreakBefore w:val="0"/>
        <w:widowControl w:val="0"/>
        <w:kinsoku/>
        <w:wordWrap/>
        <w:overflowPunct/>
        <w:topLinePunct w:val="0"/>
        <w:bidi w:val="0"/>
        <w:spacing w:before="0" w:after="0" w:line="360" w:lineRule="auto"/>
        <w:rPr>
          <w:rFonts w:hint="eastAsia" w:eastAsia="宋体"/>
          <w:color w:val="auto"/>
          <w:sz w:val="24"/>
          <w:szCs w:val="24"/>
          <w:highlight w:val="none"/>
        </w:rPr>
      </w:pPr>
      <w:bookmarkStart w:id="129" w:name="_Toc103216637"/>
      <w:bookmarkStart w:id="130" w:name="_Toc20661"/>
      <w:bookmarkStart w:id="131" w:name="_Toc103033216"/>
      <w:bookmarkStart w:id="132" w:name="_Toc102936915"/>
      <w:bookmarkStart w:id="133" w:name="_Toc104040700"/>
      <w:bookmarkStart w:id="134" w:name="_Toc104040754"/>
      <w:r>
        <w:rPr>
          <w:rFonts w:hint="eastAsia" w:eastAsia="宋体"/>
          <w:color w:val="auto"/>
          <w:sz w:val="24"/>
          <w:szCs w:val="24"/>
          <w:highlight w:val="none"/>
        </w:rPr>
        <w:t>第五章 合同文本</w:t>
      </w:r>
      <w:bookmarkEnd w:id="118"/>
      <w:bookmarkEnd w:id="119"/>
      <w:bookmarkEnd w:id="120"/>
      <w:bookmarkEnd w:id="129"/>
      <w:bookmarkEnd w:id="130"/>
      <w:bookmarkEnd w:id="131"/>
      <w:bookmarkEnd w:id="132"/>
      <w:bookmarkEnd w:id="133"/>
      <w:bookmarkEnd w:id="134"/>
      <w:bookmarkStart w:id="135" w:name="_Toc3387032"/>
      <w:bookmarkStart w:id="136" w:name="_Toc432067248"/>
      <w:bookmarkStart w:id="137" w:name="_Toc37919883"/>
      <w:bookmarkStart w:id="138" w:name="_Toc20383"/>
      <w:bookmarkStart w:id="139" w:name="_Toc454979452"/>
      <w:bookmarkStart w:id="140" w:name="_Toc22308"/>
      <w:bookmarkStart w:id="141" w:name="_Toc531617908"/>
      <w:bookmarkStart w:id="142" w:name="_Toc481009509"/>
      <w:bookmarkStart w:id="143" w:name="_Toc453663167"/>
      <w:bookmarkStart w:id="144" w:name="_Toc496780387"/>
      <w:bookmarkStart w:id="145" w:name="_Toc76397758"/>
      <w:bookmarkStart w:id="146" w:name="_Toc70528447"/>
      <w:bookmarkStart w:id="147" w:name="_Toc68789522"/>
      <w:bookmarkStart w:id="148" w:name="_Toc70528477"/>
      <w:bookmarkStart w:id="149" w:name="_Toc49508359"/>
      <w:bookmarkStart w:id="150" w:name="_Toc67046890"/>
      <w:bookmarkStart w:id="151" w:name="_Toc314746649"/>
      <w:bookmarkStart w:id="152" w:name="_Toc42923379"/>
    </w:p>
    <w:p w14:paraId="111FA987">
      <w:pPr>
        <w:pStyle w:val="23"/>
        <w:keepNext w:val="0"/>
        <w:keepLines w:val="0"/>
        <w:pageBreakBefore w:val="0"/>
        <w:widowControl w:val="0"/>
        <w:kinsoku/>
        <w:wordWrap/>
        <w:overflowPunct/>
        <w:topLinePunct w:val="0"/>
        <w:bidi w:val="0"/>
        <w:spacing w:line="360" w:lineRule="auto"/>
        <w:rPr>
          <w:rFonts w:hint="eastAsia" w:hAnsi="宋体" w:eastAsia="宋体" w:cs="仿宋"/>
          <w:color w:val="auto"/>
          <w:sz w:val="24"/>
          <w:szCs w:val="24"/>
          <w:highlight w:val="none"/>
        </w:rPr>
      </w:pPr>
    </w:p>
    <w:bookmarkEnd w:id="135"/>
    <w:bookmarkEnd w:id="136"/>
    <w:bookmarkEnd w:id="137"/>
    <w:bookmarkEnd w:id="138"/>
    <w:bookmarkEnd w:id="139"/>
    <w:bookmarkEnd w:id="140"/>
    <w:bookmarkEnd w:id="141"/>
    <w:bookmarkEnd w:id="142"/>
    <w:bookmarkEnd w:id="143"/>
    <w:bookmarkEnd w:id="144"/>
    <w:p w14:paraId="5FD83BED">
      <w:pPr>
        <w:keepNext w:val="0"/>
        <w:keepLines w:val="0"/>
        <w:pageBreakBefore w:val="0"/>
        <w:widowControl w:val="0"/>
        <w:kinsoku/>
        <w:wordWrap/>
        <w:overflowPunct/>
        <w:topLinePunct w:val="0"/>
        <w:bidi w:val="0"/>
        <w:spacing w:line="360" w:lineRule="auto"/>
        <w:jc w:val="left"/>
        <w:rPr>
          <w:rFonts w:hint="eastAsia" w:cs="仿宋"/>
          <w:color w:val="auto"/>
          <w:highlight w:val="none"/>
        </w:rPr>
      </w:pPr>
    </w:p>
    <w:p w14:paraId="118C098C">
      <w:pPr>
        <w:pStyle w:val="41"/>
        <w:widowControl w:val="0"/>
        <w:shd w:val="clear" w:color="auto" w:fill="FFFFFF"/>
        <w:spacing w:before="0" w:beforeAutospacing="0" w:after="0" w:afterAutospacing="0" w:line="360" w:lineRule="auto"/>
        <w:jc w:val="both"/>
        <w:rPr>
          <w:color w:val="auto"/>
          <w:sz w:val="52"/>
          <w:szCs w:val="52"/>
          <w:highlight w:val="none"/>
        </w:rPr>
      </w:pPr>
    </w:p>
    <w:p w14:paraId="6A3830F3">
      <w:pPr>
        <w:pStyle w:val="41"/>
        <w:widowControl w:val="0"/>
        <w:shd w:val="clear" w:color="auto" w:fill="FFFFFF"/>
        <w:spacing w:before="0" w:beforeAutospacing="0" w:after="0" w:afterAutospacing="0" w:line="360" w:lineRule="auto"/>
        <w:jc w:val="center"/>
        <w:rPr>
          <w:rFonts w:hint="eastAsia"/>
          <w:b/>
          <w:bCs/>
          <w:color w:val="auto"/>
          <w:sz w:val="52"/>
          <w:szCs w:val="52"/>
          <w:highlight w:val="none"/>
        </w:rPr>
      </w:pPr>
      <w:r>
        <w:rPr>
          <w:rFonts w:hint="eastAsia"/>
          <w:b/>
          <w:bCs/>
          <w:color w:val="auto"/>
          <w:sz w:val="52"/>
          <w:szCs w:val="52"/>
          <w:highlight w:val="none"/>
        </w:rPr>
        <w:t>合　同　书</w:t>
      </w:r>
    </w:p>
    <w:p w14:paraId="77711B39">
      <w:pPr>
        <w:pStyle w:val="41"/>
        <w:widowControl w:val="0"/>
        <w:shd w:val="clear" w:color="auto" w:fill="FFFFFF"/>
        <w:spacing w:before="0" w:beforeAutospacing="0" w:after="0" w:afterAutospacing="0" w:line="360" w:lineRule="auto"/>
        <w:jc w:val="center"/>
        <w:rPr>
          <w:color w:val="auto"/>
          <w:sz w:val="52"/>
          <w:szCs w:val="52"/>
          <w:highlight w:val="none"/>
        </w:rPr>
      </w:pPr>
    </w:p>
    <w:p w14:paraId="70382256">
      <w:pPr>
        <w:pStyle w:val="41"/>
        <w:widowControl w:val="0"/>
        <w:shd w:val="clear" w:color="auto" w:fill="FFFFFF"/>
        <w:spacing w:before="0" w:beforeAutospacing="0" w:after="0" w:afterAutospacing="0" w:line="360" w:lineRule="auto"/>
        <w:jc w:val="center"/>
        <w:rPr>
          <w:color w:val="auto"/>
          <w:sz w:val="52"/>
          <w:szCs w:val="52"/>
          <w:highlight w:val="none"/>
        </w:rPr>
      </w:pPr>
    </w:p>
    <w:p w14:paraId="41D03D39">
      <w:pPr>
        <w:pStyle w:val="41"/>
        <w:widowControl w:val="0"/>
        <w:shd w:val="clear" w:color="auto" w:fill="FFFFFF"/>
        <w:spacing w:before="0" w:beforeAutospacing="0" w:after="0" w:afterAutospacing="0" w:line="360" w:lineRule="auto"/>
        <w:jc w:val="center"/>
        <w:rPr>
          <w:color w:val="auto"/>
          <w:sz w:val="52"/>
          <w:szCs w:val="52"/>
          <w:highlight w:val="none"/>
        </w:rPr>
      </w:pPr>
    </w:p>
    <w:p w14:paraId="43E36ECC">
      <w:pPr>
        <w:pStyle w:val="41"/>
        <w:widowControl w:val="0"/>
        <w:shd w:val="clear" w:color="auto" w:fill="FFFFFF"/>
        <w:spacing w:before="0" w:beforeAutospacing="0" w:after="0" w:afterAutospacing="0" w:line="360" w:lineRule="auto"/>
        <w:jc w:val="both"/>
        <w:rPr>
          <w:color w:val="auto"/>
          <w:sz w:val="36"/>
          <w:szCs w:val="36"/>
          <w:highlight w:val="none"/>
        </w:rPr>
      </w:pPr>
      <w:r>
        <w:rPr>
          <w:rFonts w:cs="Helvetica"/>
          <w:color w:val="auto"/>
          <w:sz w:val="36"/>
          <w:szCs w:val="36"/>
          <w:highlight w:val="none"/>
        </w:rPr>
        <w:t> </w:t>
      </w:r>
    </w:p>
    <w:p w14:paraId="20B076F9">
      <w:pPr>
        <w:pStyle w:val="41"/>
        <w:widowControl w:val="0"/>
        <w:shd w:val="clear" w:color="auto" w:fill="FFFFFF"/>
        <w:spacing w:before="0" w:beforeAutospacing="0" w:after="0" w:afterAutospacing="0" w:line="360" w:lineRule="auto"/>
        <w:jc w:val="center"/>
        <w:rPr>
          <w:color w:val="auto"/>
          <w:sz w:val="36"/>
          <w:szCs w:val="36"/>
          <w:highlight w:val="none"/>
        </w:rPr>
      </w:pPr>
      <w:r>
        <w:rPr>
          <w:rFonts w:hint="eastAsia"/>
          <w:color w:val="auto"/>
          <w:sz w:val="36"/>
          <w:szCs w:val="36"/>
          <w:highlight w:val="none"/>
        </w:rPr>
        <w:t>项目编号：</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p>
    <w:p w14:paraId="4D263C82">
      <w:pPr>
        <w:pStyle w:val="41"/>
        <w:widowControl w:val="0"/>
        <w:shd w:val="clear" w:color="auto" w:fill="FFFFFF"/>
        <w:spacing w:before="0" w:beforeAutospacing="0" w:after="0" w:afterAutospacing="0" w:line="360" w:lineRule="auto"/>
        <w:jc w:val="both"/>
        <w:rPr>
          <w:color w:val="auto"/>
          <w:sz w:val="36"/>
          <w:szCs w:val="36"/>
          <w:highlight w:val="none"/>
        </w:rPr>
      </w:pPr>
      <w:r>
        <w:rPr>
          <w:rFonts w:cs="Helvetica"/>
          <w:color w:val="auto"/>
          <w:sz w:val="36"/>
          <w:szCs w:val="36"/>
          <w:highlight w:val="none"/>
        </w:rPr>
        <w:t> </w:t>
      </w:r>
    </w:p>
    <w:p w14:paraId="4EA14483">
      <w:pPr>
        <w:pStyle w:val="41"/>
        <w:widowControl w:val="0"/>
        <w:shd w:val="clear" w:color="auto" w:fill="FFFFFF"/>
        <w:spacing w:before="0" w:beforeAutospacing="0" w:after="0" w:afterAutospacing="0" w:line="360" w:lineRule="auto"/>
        <w:jc w:val="center"/>
        <w:rPr>
          <w:rFonts w:cs="Helvetica"/>
          <w:color w:val="auto"/>
          <w:sz w:val="36"/>
          <w:szCs w:val="36"/>
          <w:highlight w:val="none"/>
          <w:u w:val="single"/>
        </w:rPr>
      </w:pPr>
      <w:r>
        <w:rPr>
          <w:rFonts w:hint="eastAsia"/>
          <w:color w:val="auto"/>
          <w:sz w:val="36"/>
          <w:szCs w:val="36"/>
          <w:highlight w:val="none"/>
        </w:rPr>
        <w:t>项目名称：</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p>
    <w:p w14:paraId="6CE2D926">
      <w:pPr>
        <w:pStyle w:val="41"/>
        <w:widowControl w:val="0"/>
        <w:shd w:val="clear" w:color="auto" w:fill="FFFFFF"/>
        <w:spacing w:before="0" w:beforeAutospacing="0" w:after="0" w:afterAutospacing="0" w:line="360" w:lineRule="auto"/>
        <w:jc w:val="center"/>
        <w:rPr>
          <w:rFonts w:cs="Helvetica"/>
          <w:color w:val="auto"/>
          <w:sz w:val="36"/>
          <w:szCs w:val="36"/>
          <w:highlight w:val="none"/>
          <w:u w:val="single"/>
        </w:rPr>
      </w:pPr>
    </w:p>
    <w:p w14:paraId="0809A213">
      <w:pPr>
        <w:pStyle w:val="41"/>
        <w:widowControl w:val="0"/>
        <w:shd w:val="clear" w:color="auto" w:fill="FFFFFF"/>
        <w:spacing w:before="0" w:beforeAutospacing="0" w:after="0" w:afterAutospacing="0" w:line="360" w:lineRule="auto"/>
        <w:jc w:val="center"/>
        <w:rPr>
          <w:color w:val="auto"/>
          <w:sz w:val="36"/>
          <w:szCs w:val="36"/>
          <w:highlight w:val="none"/>
        </w:rPr>
      </w:pPr>
      <w:r>
        <w:rPr>
          <w:rFonts w:hint="eastAsia"/>
          <w:color w:val="auto"/>
          <w:sz w:val="36"/>
          <w:szCs w:val="36"/>
          <w:highlight w:val="none"/>
          <w:lang w:val="en-US" w:eastAsia="zh-CN"/>
        </w:rPr>
        <w:t>采 购 包</w:t>
      </w:r>
      <w:r>
        <w:rPr>
          <w:rFonts w:hint="eastAsia"/>
          <w:color w:val="auto"/>
          <w:sz w:val="36"/>
          <w:szCs w:val="36"/>
          <w:highlight w:val="none"/>
        </w:rPr>
        <w:t>：</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r>
        <w:rPr>
          <w:rStyle w:val="99"/>
          <w:rFonts w:hint="eastAsia"/>
          <w:color w:val="auto"/>
          <w:sz w:val="36"/>
          <w:szCs w:val="36"/>
          <w:highlight w:val="none"/>
          <w:u w:val="single"/>
        </w:rPr>
        <w:t> </w:t>
      </w:r>
      <w:r>
        <w:rPr>
          <w:rFonts w:cs="Helvetica"/>
          <w:color w:val="auto"/>
          <w:sz w:val="36"/>
          <w:szCs w:val="36"/>
          <w:highlight w:val="none"/>
          <w:u w:val="single"/>
        </w:rPr>
        <w:t> </w:t>
      </w:r>
    </w:p>
    <w:p w14:paraId="01050A52">
      <w:pPr>
        <w:widowControl/>
        <w:spacing w:line="360" w:lineRule="auto"/>
        <w:jc w:val="left"/>
        <w:rPr>
          <w:rFonts w:ascii="宋体" w:hAnsi="宋体" w:cs="宋体"/>
          <w:b/>
          <w:bCs/>
          <w:color w:val="auto"/>
          <w:kern w:val="0"/>
          <w:sz w:val="21"/>
          <w:szCs w:val="21"/>
          <w:highlight w:val="none"/>
        </w:rPr>
      </w:pPr>
      <w:r>
        <w:rPr>
          <w:b/>
          <w:bCs/>
          <w:color w:val="auto"/>
          <w:sz w:val="21"/>
          <w:szCs w:val="21"/>
          <w:highlight w:val="none"/>
        </w:rPr>
        <w:br w:type="page"/>
      </w:r>
    </w:p>
    <w:p w14:paraId="4FA1AFE3">
      <w:pPr>
        <w:pStyle w:val="41"/>
        <w:widowControl w:val="0"/>
        <w:shd w:val="clear" w:color="auto" w:fill="FFFFFF"/>
        <w:spacing w:before="0" w:beforeAutospacing="0" w:after="0" w:afterAutospacing="0" w:line="360" w:lineRule="auto"/>
        <w:jc w:val="both"/>
        <w:rPr>
          <w:color w:val="auto"/>
          <w:sz w:val="21"/>
          <w:szCs w:val="21"/>
          <w:highlight w:val="none"/>
        </w:rPr>
      </w:pPr>
      <w:r>
        <w:rPr>
          <w:rFonts w:hint="eastAsia"/>
          <w:b/>
          <w:bCs/>
          <w:color w:val="auto"/>
          <w:sz w:val="21"/>
          <w:szCs w:val="21"/>
          <w:highlight w:val="none"/>
        </w:rPr>
        <w:t>甲方： </w:t>
      </w:r>
      <w:r>
        <w:rPr>
          <w:rFonts w:hint="eastAsia"/>
          <w:b/>
          <w:bCs/>
          <w:color w:val="auto"/>
          <w:sz w:val="21"/>
          <w:szCs w:val="21"/>
          <w:highlight w:val="none"/>
          <w:u w:val="single"/>
        </w:rPr>
        <w:t>　　　　　 </w:t>
      </w:r>
      <w:r>
        <w:rPr>
          <w:rStyle w:val="99"/>
          <w:rFonts w:hint="eastAsia"/>
          <w:b/>
          <w:bCs/>
          <w:color w:val="auto"/>
          <w:sz w:val="21"/>
          <w:szCs w:val="21"/>
          <w:highlight w:val="none"/>
          <w:u w:val="single"/>
        </w:rPr>
        <w:t> </w:t>
      </w:r>
      <w:r>
        <w:rPr>
          <w:rFonts w:hint="eastAsia"/>
          <w:b/>
          <w:bCs/>
          <w:color w:val="auto"/>
          <w:sz w:val="21"/>
          <w:szCs w:val="21"/>
          <w:highlight w:val="none"/>
          <w:u w:val="single"/>
        </w:rPr>
        <w:t> </w:t>
      </w:r>
    </w:p>
    <w:p w14:paraId="40DDE34C">
      <w:pPr>
        <w:pStyle w:val="41"/>
        <w:widowControl w:val="0"/>
        <w:shd w:val="clear" w:color="auto" w:fill="FFFFFF"/>
        <w:spacing w:before="0" w:beforeAutospacing="0" w:after="0" w:afterAutospacing="0" w:line="360" w:lineRule="auto"/>
        <w:jc w:val="both"/>
        <w:rPr>
          <w:color w:val="auto"/>
          <w:sz w:val="21"/>
          <w:szCs w:val="21"/>
          <w:highlight w:val="none"/>
        </w:rPr>
      </w:pPr>
      <w:r>
        <w:rPr>
          <w:rFonts w:hint="eastAsia"/>
          <w:color w:val="auto"/>
          <w:sz w:val="21"/>
          <w:szCs w:val="21"/>
          <w:highlight w:val="none"/>
        </w:rPr>
        <w:t>电话： </w:t>
      </w:r>
      <w:r>
        <w:rPr>
          <w:rFonts w:hint="eastAsia"/>
          <w:b/>
          <w:bCs/>
          <w:color w:val="auto"/>
          <w:sz w:val="21"/>
          <w:szCs w:val="21"/>
          <w:highlight w:val="none"/>
          <w:u w:val="single"/>
        </w:rPr>
        <w:t>　　　　 </w:t>
      </w:r>
      <w:r>
        <w:rPr>
          <w:rStyle w:val="99"/>
          <w:rFonts w:hint="eastAsia"/>
          <w:b/>
          <w:bCs/>
          <w:color w:val="auto"/>
          <w:sz w:val="21"/>
          <w:szCs w:val="21"/>
          <w:highlight w:val="none"/>
          <w:u w:val="single"/>
        </w:rPr>
        <w:t> </w:t>
      </w:r>
      <w:r>
        <w:rPr>
          <w:rStyle w:val="99"/>
          <w:b/>
          <w:bCs/>
          <w:color w:val="auto"/>
          <w:sz w:val="21"/>
          <w:szCs w:val="21"/>
          <w:highlight w:val="none"/>
          <w:u w:val="single"/>
        </w:rPr>
        <w:t xml:space="preserve">  </w:t>
      </w:r>
      <w:r>
        <w:rPr>
          <w:rFonts w:hint="eastAsia"/>
          <w:b/>
          <w:bCs/>
          <w:color w:val="auto"/>
          <w:sz w:val="21"/>
          <w:szCs w:val="21"/>
          <w:highlight w:val="none"/>
          <w:u w:val="single"/>
        </w:rPr>
        <w:t> </w:t>
      </w:r>
      <w:r>
        <w:rPr>
          <w:rFonts w:hint="eastAsia"/>
          <w:color w:val="auto"/>
          <w:sz w:val="21"/>
          <w:szCs w:val="21"/>
          <w:highlight w:val="none"/>
        </w:rPr>
        <w:t>地址：</w:t>
      </w:r>
      <w:r>
        <w:rPr>
          <w:rFonts w:hint="eastAsia"/>
          <w:b/>
          <w:bCs/>
          <w:color w:val="auto"/>
          <w:sz w:val="21"/>
          <w:szCs w:val="21"/>
          <w:highlight w:val="none"/>
          <w:u w:val="single"/>
        </w:rPr>
        <w:t>　　　 </w:t>
      </w:r>
      <w:r>
        <w:rPr>
          <w:rStyle w:val="99"/>
          <w:rFonts w:hint="eastAsia"/>
          <w:b/>
          <w:bCs/>
          <w:color w:val="auto"/>
          <w:sz w:val="21"/>
          <w:szCs w:val="21"/>
          <w:highlight w:val="none"/>
          <w:u w:val="single"/>
        </w:rPr>
        <w:t> </w:t>
      </w:r>
      <w:r>
        <w:rPr>
          <w:rFonts w:hint="eastAsia"/>
          <w:b/>
          <w:bCs/>
          <w:color w:val="auto"/>
          <w:sz w:val="21"/>
          <w:szCs w:val="21"/>
          <w:highlight w:val="none"/>
          <w:u w:val="single"/>
        </w:rPr>
        <w:t> </w:t>
      </w:r>
      <w:r>
        <w:rPr>
          <w:rStyle w:val="99"/>
          <w:rFonts w:hint="eastAsia"/>
          <w:b/>
          <w:bCs/>
          <w:color w:val="auto"/>
          <w:sz w:val="21"/>
          <w:szCs w:val="21"/>
          <w:highlight w:val="none"/>
          <w:u w:val="single"/>
        </w:rPr>
        <w:t> </w:t>
      </w:r>
      <w:r>
        <w:rPr>
          <w:rFonts w:hint="eastAsia"/>
          <w:b/>
          <w:bCs/>
          <w:color w:val="auto"/>
          <w:sz w:val="21"/>
          <w:szCs w:val="21"/>
          <w:highlight w:val="none"/>
          <w:u w:val="single"/>
        </w:rPr>
        <w:t> </w:t>
      </w:r>
    </w:p>
    <w:p w14:paraId="20CAEA9C">
      <w:pPr>
        <w:pStyle w:val="41"/>
        <w:widowControl w:val="0"/>
        <w:shd w:val="clear" w:color="auto" w:fill="FFFFFF"/>
        <w:spacing w:before="0" w:beforeAutospacing="0" w:after="0" w:afterAutospacing="0" w:line="360" w:lineRule="auto"/>
        <w:jc w:val="both"/>
        <w:rPr>
          <w:color w:val="auto"/>
          <w:sz w:val="21"/>
          <w:szCs w:val="21"/>
          <w:highlight w:val="none"/>
        </w:rPr>
      </w:pPr>
      <w:r>
        <w:rPr>
          <w:rFonts w:hint="eastAsia"/>
          <w:b/>
          <w:bCs/>
          <w:color w:val="auto"/>
          <w:sz w:val="21"/>
          <w:szCs w:val="21"/>
          <w:highlight w:val="none"/>
        </w:rPr>
        <w:t>乙方： </w:t>
      </w:r>
      <w:r>
        <w:rPr>
          <w:rFonts w:hint="eastAsia"/>
          <w:b/>
          <w:bCs/>
          <w:color w:val="auto"/>
          <w:sz w:val="21"/>
          <w:szCs w:val="21"/>
          <w:highlight w:val="none"/>
          <w:u w:val="single"/>
        </w:rPr>
        <w:t>　　　　　 </w:t>
      </w:r>
      <w:r>
        <w:rPr>
          <w:rStyle w:val="99"/>
          <w:rFonts w:hint="eastAsia"/>
          <w:b/>
          <w:bCs/>
          <w:color w:val="auto"/>
          <w:sz w:val="21"/>
          <w:szCs w:val="21"/>
          <w:highlight w:val="none"/>
          <w:u w:val="single"/>
        </w:rPr>
        <w:t> </w:t>
      </w:r>
      <w:r>
        <w:rPr>
          <w:rFonts w:hint="eastAsia"/>
          <w:b/>
          <w:bCs/>
          <w:color w:val="auto"/>
          <w:sz w:val="21"/>
          <w:szCs w:val="21"/>
          <w:highlight w:val="none"/>
          <w:u w:val="single"/>
        </w:rPr>
        <w:t> </w:t>
      </w:r>
    </w:p>
    <w:p w14:paraId="6E1A1D5A">
      <w:pPr>
        <w:pStyle w:val="41"/>
        <w:widowControl w:val="0"/>
        <w:shd w:val="clear" w:color="auto" w:fill="FFFFFF"/>
        <w:spacing w:before="0" w:beforeAutospacing="0" w:after="0" w:afterAutospacing="0" w:line="360" w:lineRule="auto"/>
        <w:jc w:val="both"/>
        <w:rPr>
          <w:color w:val="auto"/>
          <w:sz w:val="21"/>
          <w:szCs w:val="21"/>
          <w:highlight w:val="none"/>
        </w:rPr>
      </w:pPr>
      <w:r>
        <w:rPr>
          <w:rFonts w:hint="eastAsia"/>
          <w:color w:val="auto"/>
          <w:sz w:val="21"/>
          <w:szCs w:val="21"/>
          <w:highlight w:val="none"/>
        </w:rPr>
        <w:t>电话： </w:t>
      </w:r>
      <w:r>
        <w:rPr>
          <w:rFonts w:hint="eastAsia"/>
          <w:b/>
          <w:bCs/>
          <w:color w:val="auto"/>
          <w:sz w:val="21"/>
          <w:szCs w:val="21"/>
          <w:highlight w:val="none"/>
          <w:u w:val="single"/>
        </w:rPr>
        <w:t>　　　　 </w:t>
      </w:r>
      <w:r>
        <w:rPr>
          <w:rStyle w:val="99"/>
          <w:rFonts w:hint="eastAsia"/>
          <w:b/>
          <w:bCs/>
          <w:color w:val="auto"/>
          <w:sz w:val="21"/>
          <w:szCs w:val="21"/>
          <w:highlight w:val="none"/>
          <w:u w:val="single"/>
        </w:rPr>
        <w:t> </w:t>
      </w:r>
      <w:r>
        <w:rPr>
          <w:rFonts w:hint="eastAsia"/>
          <w:b/>
          <w:bCs/>
          <w:color w:val="auto"/>
          <w:sz w:val="21"/>
          <w:szCs w:val="21"/>
          <w:highlight w:val="none"/>
          <w:u w:val="single"/>
        </w:rPr>
        <w:t>  </w:t>
      </w:r>
      <w:r>
        <w:rPr>
          <w:rFonts w:hint="eastAsia"/>
          <w:color w:val="auto"/>
          <w:sz w:val="21"/>
          <w:szCs w:val="21"/>
          <w:highlight w:val="none"/>
        </w:rPr>
        <w:t>地址：</w:t>
      </w:r>
      <w:r>
        <w:rPr>
          <w:rFonts w:hint="eastAsia"/>
          <w:b/>
          <w:bCs/>
          <w:color w:val="auto"/>
          <w:sz w:val="21"/>
          <w:szCs w:val="21"/>
          <w:highlight w:val="none"/>
          <w:u w:val="single"/>
        </w:rPr>
        <w:t>　　　 </w:t>
      </w:r>
      <w:r>
        <w:rPr>
          <w:b/>
          <w:bCs/>
          <w:color w:val="auto"/>
          <w:sz w:val="21"/>
          <w:szCs w:val="21"/>
          <w:highlight w:val="none"/>
          <w:u w:val="single"/>
        </w:rPr>
        <w:t xml:space="preserve">  </w:t>
      </w:r>
      <w:r>
        <w:rPr>
          <w:rStyle w:val="99"/>
          <w:rFonts w:hint="eastAsia"/>
          <w:b/>
          <w:bCs/>
          <w:color w:val="auto"/>
          <w:sz w:val="21"/>
          <w:szCs w:val="21"/>
          <w:highlight w:val="none"/>
          <w:u w:val="single"/>
        </w:rPr>
        <w:t> </w:t>
      </w:r>
      <w:r>
        <w:rPr>
          <w:rFonts w:hint="eastAsia"/>
          <w:b/>
          <w:bCs/>
          <w:color w:val="auto"/>
          <w:sz w:val="21"/>
          <w:szCs w:val="21"/>
          <w:highlight w:val="none"/>
          <w:u w:val="single"/>
        </w:rPr>
        <w:t>  </w:t>
      </w:r>
    </w:p>
    <w:p w14:paraId="1A679ADC">
      <w:pPr>
        <w:pStyle w:val="41"/>
        <w:widowControl w:val="0"/>
        <w:shd w:val="clear" w:color="auto" w:fill="FFFFFF"/>
        <w:spacing w:before="0" w:beforeAutospacing="0" w:after="0" w:afterAutospacing="0" w:line="360" w:lineRule="auto"/>
        <w:jc w:val="both"/>
        <w:rPr>
          <w:color w:val="auto"/>
          <w:sz w:val="21"/>
          <w:szCs w:val="21"/>
          <w:highlight w:val="none"/>
        </w:rPr>
      </w:pPr>
      <w:r>
        <w:rPr>
          <w:rFonts w:cs="Helvetica"/>
          <w:color w:val="auto"/>
          <w:sz w:val="21"/>
          <w:szCs w:val="21"/>
          <w:highlight w:val="none"/>
        </w:rPr>
        <w:t> </w:t>
      </w:r>
    </w:p>
    <w:p w14:paraId="2D34911E">
      <w:pPr>
        <w:pStyle w:val="41"/>
        <w:widowControl w:val="0"/>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根据</w:t>
      </w:r>
      <w:r>
        <w:rPr>
          <w:rFonts w:hint="eastAsia"/>
          <w:color w:val="auto"/>
          <w:sz w:val="21"/>
          <w:szCs w:val="21"/>
          <w:highlight w:val="none"/>
          <w:u w:val="single"/>
        </w:rPr>
        <w:t xml:space="preserve">         项目 </w:t>
      </w:r>
      <w:r>
        <w:rPr>
          <w:rFonts w:hint="eastAsia"/>
          <w:color w:val="auto"/>
          <w:sz w:val="21"/>
          <w:szCs w:val="21"/>
          <w:highlight w:val="none"/>
        </w:rPr>
        <w:t>的采购结果，按照《中华人民共和国政府采购法》，《中华人民共和国民法典(合同编)》的规定，经双方协商，本着平等互利和诚实信用的原则，一致同意遵守本合同如下。</w:t>
      </w:r>
    </w:p>
    <w:p w14:paraId="6FB62947">
      <w:pPr>
        <w:pStyle w:val="41"/>
        <w:widowControl w:val="0"/>
        <w:shd w:val="clear" w:color="auto" w:fill="FFFFFF"/>
        <w:spacing w:before="0" w:beforeAutospacing="0" w:after="0" w:afterAutospacing="0" w:line="360" w:lineRule="auto"/>
        <w:jc w:val="both"/>
        <w:outlineLvl w:val="1"/>
        <w:rPr>
          <w:color w:val="auto"/>
          <w:sz w:val="21"/>
          <w:szCs w:val="21"/>
          <w:highlight w:val="none"/>
        </w:rPr>
      </w:pPr>
      <w:bookmarkStart w:id="153" w:name="_Toc27021"/>
      <w:r>
        <w:rPr>
          <w:rFonts w:hint="eastAsia"/>
          <w:b/>
          <w:bCs/>
          <w:color w:val="auto"/>
          <w:sz w:val="21"/>
          <w:szCs w:val="21"/>
          <w:highlight w:val="none"/>
        </w:rPr>
        <w:t>一、合同金额</w:t>
      </w:r>
      <w:bookmarkEnd w:id="153"/>
    </w:p>
    <w:p w14:paraId="4B2DEA93">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rPr>
        <w:t>合同金额为（大写）：_____________元（￥_________元）人民币。</w:t>
      </w:r>
    </w:p>
    <w:p w14:paraId="5A1AEA83">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p>
    <w:p w14:paraId="6BBDB141">
      <w:pPr>
        <w:pStyle w:val="41"/>
        <w:widowControl w:val="0"/>
        <w:shd w:val="clear" w:color="auto" w:fill="FFFFFF"/>
        <w:spacing w:before="0" w:beforeAutospacing="0" w:after="0" w:afterAutospacing="0" w:line="360" w:lineRule="auto"/>
        <w:jc w:val="both"/>
        <w:outlineLvl w:val="1"/>
        <w:rPr>
          <w:b/>
          <w:bCs/>
          <w:color w:val="auto"/>
          <w:sz w:val="21"/>
          <w:szCs w:val="21"/>
          <w:highlight w:val="none"/>
        </w:rPr>
      </w:pPr>
      <w:bookmarkStart w:id="154" w:name="_Toc5071"/>
      <w:r>
        <w:rPr>
          <w:rFonts w:hint="eastAsia"/>
          <w:b/>
          <w:bCs/>
          <w:color w:val="auto"/>
          <w:sz w:val="21"/>
          <w:szCs w:val="21"/>
          <w:highlight w:val="none"/>
        </w:rPr>
        <w:t>二、服务范围</w:t>
      </w:r>
      <w:bookmarkEnd w:id="154"/>
    </w:p>
    <w:p w14:paraId="6E9C9234">
      <w:pPr>
        <w:pStyle w:val="41"/>
        <w:widowControl w:val="0"/>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甲方聘请乙方提供以下服务：</w:t>
      </w:r>
    </w:p>
    <w:p w14:paraId="560B2806">
      <w:pPr>
        <w:pStyle w:val="41"/>
        <w:widowControl w:val="0"/>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w:t>
      </w:r>
      <w:r>
        <w:rPr>
          <w:rFonts w:hint="eastAsia"/>
          <w:color w:val="auto"/>
          <w:sz w:val="21"/>
          <w:szCs w:val="21"/>
          <w:highlight w:val="none"/>
          <w:u w:val="single"/>
        </w:rPr>
        <w:t>　　　　　　　　　　　</w:t>
      </w:r>
      <w:r>
        <w:rPr>
          <w:rFonts w:hint="eastAsia"/>
          <w:color w:val="auto"/>
          <w:sz w:val="21"/>
          <w:szCs w:val="21"/>
          <w:highlight w:val="none"/>
        </w:rPr>
        <w:t>。</w:t>
      </w:r>
    </w:p>
    <w:p w14:paraId="5A8B71C6">
      <w:pPr>
        <w:pStyle w:val="41"/>
        <w:widowControl w:val="0"/>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2．</w:t>
      </w:r>
      <w:r>
        <w:rPr>
          <w:rFonts w:hint="eastAsia"/>
          <w:color w:val="auto"/>
          <w:sz w:val="21"/>
          <w:szCs w:val="21"/>
          <w:highlight w:val="none"/>
          <w:u w:val="single"/>
        </w:rPr>
        <w:t>　　　　　　　　　　　</w:t>
      </w:r>
    </w:p>
    <w:p w14:paraId="118118C5">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rPr>
        <w:t>……</w:t>
      </w:r>
    </w:p>
    <w:p w14:paraId="33C38133">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p>
    <w:p w14:paraId="07EDA065">
      <w:pPr>
        <w:pStyle w:val="41"/>
        <w:widowControl w:val="0"/>
        <w:shd w:val="clear" w:color="auto" w:fill="FFFFFF"/>
        <w:spacing w:before="0" w:beforeAutospacing="0" w:after="0" w:afterAutospacing="0" w:line="360" w:lineRule="auto"/>
        <w:jc w:val="both"/>
        <w:outlineLvl w:val="1"/>
        <w:rPr>
          <w:b/>
          <w:bCs/>
          <w:color w:val="auto"/>
          <w:sz w:val="21"/>
          <w:szCs w:val="21"/>
          <w:highlight w:val="none"/>
        </w:rPr>
      </w:pPr>
      <w:bookmarkStart w:id="155" w:name="_Toc20248"/>
      <w:r>
        <w:rPr>
          <w:rFonts w:hint="eastAsia"/>
          <w:b/>
          <w:bCs/>
          <w:color w:val="auto"/>
          <w:sz w:val="21"/>
          <w:szCs w:val="21"/>
          <w:highlight w:val="none"/>
        </w:rPr>
        <w:t>三、</w:t>
      </w:r>
      <w:r>
        <w:rPr>
          <w:rFonts w:hint="eastAsia" w:ascii="宋体" w:hAnsi="宋体" w:eastAsia="宋体" w:cs="Times New Roman"/>
          <w:b/>
          <w:bCs/>
          <w:color w:val="auto"/>
          <w:sz w:val="21"/>
          <w:szCs w:val="21"/>
          <w:highlight w:val="none"/>
        </w:rPr>
        <w:t>甲方</w:t>
      </w:r>
      <w:r>
        <w:rPr>
          <w:rFonts w:hint="eastAsia"/>
          <w:b/>
          <w:bCs/>
          <w:color w:val="auto"/>
          <w:sz w:val="21"/>
          <w:szCs w:val="21"/>
          <w:highlight w:val="none"/>
        </w:rPr>
        <w:t>乙方的权利和义务</w:t>
      </w:r>
      <w:bookmarkEnd w:id="155"/>
    </w:p>
    <w:p w14:paraId="04982195">
      <w:pPr>
        <w:pStyle w:val="41"/>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1.甲方的权利和义务</w:t>
      </w:r>
    </w:p>
    <w:p w14:paraId="397CEA0A">
      <w:pPr>
        <w:pStyle w:val="41"/>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（1）甲方和乙方制定本合同约定的条款，在条款确定后，若有任何调整，应及时向乙方说明。</w:t>
      </w:r>
    </w:p>
    <w:p w14:paraId="01E9559A">
      <w:pPr>
        <w:pStyle w:val="41"/>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（2）甲方有对乙方工作的监督权。</w:t>
      </w:r>
    </w:p>
    <w:p w14:paraId="250581B1">
      <w:pPr>
        <w:pStyle w:val="41"/>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（3）甲方有按时交付货款的义务，如甲方因未及时交付货款导致损失，由甲方承担责任。</w:t>
      </w:r>
    </w:p>
    <w:p w14:paraId="38B045B7">
      <w:pPr>
        <w:pStyle w:val="41"/>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2.乙方的权利和义务</w:t>
      </w:r>
    </w:p>
    <w:p w14:paraId="620D25E3">
      <w:pPr>
        <w:pStyle w:val="41"/>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乙方在向甲方提供合同项下的服务时，应在合理范围内尽其一切努力并始终尽其诚信和审慎义务，并保守其在提供服务的过程中获知的、有关甲方及目标企业的商业秘密；非经甲方许可或根据适用法律、法规及监管部门的要求，不得向任何第三方披露甲方的商业秘密。</w:t>
      </w:r>
    </w:p>
    <w:p w14:paraId="2A7CADFC">
      <w:pPr>
        <w:pStyle w:val="41"/>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（2）乙方提供的服务不符合采购文件、投标（响应）文件或本合同规定的，甲方有权拒收，并要求乙方在【10】日提供符合要求的服务，同时乙方须向甲方支付本合同总价5%的违约金。</w:t>
      </w:r>
    </w:p>
    <w:p w14:paraId="48A7CEC1">
      <w:pPr>
        <w:pStyle w:val="41"/>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（3）乙方未能按本合同规定的交货时间交付货物/提供服务，从逾期之日起每日按本合同总价3‰的数额向甲方支付违约金；逾期半个月以上的，甲方有权终止合同，由此造成的甲方经济损失由乙方承担。</w:t>
      </w:r>
    </w:p>
    <w:p w14:paraId="0AB45528">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）其它违约责任按《中华人民共和国民法典(合同编)》处理。</w:t>
      </w:r>
    </w:p>
    <w:p w14:paraId="2E2A5BCC">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p>
    <w:p w14:paraId="3B984068">
      <w:pPr>
        <w:pStyle w:val="41"/>
        <w:widowControl w:val="0"/>
        <w:shd w:val="clear" w:color="auto" w:fill="FFFFFF"/>
        <w:spacing w:before="0" w:beforeAutospacing="0" w:after="0" w:afterAutospacing="0" w:line="360" w:lineRule="auto"/>
        <w:jc w:val="both"/>
        <w:outlineLvl w:val="1"/>
        <w:rPr>
          <w:b/>
          <w:bCs/>
          <w:color w:val="auto"/>
          <w:sz w:val="21"/>
          <w:szCs w:val="21"/>
          <w:highlight w:val="none"/>
        </w:rPr>
      </w:pPr>
      <w:bookmarkStart w:id="156" w:name="_Toc26050"/>
      <w:r>
        <w:rPr>
          <w:rFonts w:hint="eastAsia"/>
          <w:b/>
          <w:bCs/>
          <w:color w:val="auto"/>
          <w:sz w:val="21"/>
          <w:szCs w:val="21"/>
          <w:highlight w:val="none"/>
        </w:rPr>
        <w:t>四、服务期间（项目完成期限）</w:t>
      </w:r>
      <w:bookmarkEnd w:id="156"/>
    </w:p>
    <w:p w14:paraId="52FFF2E4">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rPr>
        <w:t>委托服务期间自______年______月至______年______月止。</w:t>
      </w:r>
    </w:p>
    <w:p w14:paraId="7C21F2AE">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p>
    <w:p w14:paraId="37AAFC37">
      <w:pPr>
        <w:pStyle w:val="41"/>
        <w:widowControl w:val="0"/>
        <w:shd w:val="clear" w:color="auto" w:fill="FFFFFF"/>
        <w:spacing w:before="0" w:beforeAutospacing="0" w:after="0" w:afterAutospacing="0" w:line="360" w:lineRule="auto"/>
        <w:jc w:val="both"/>
        <w:outlineLvl w:val="1"/>
        <w:rPr>
          <w:b/>
          <w:bCs/>
          <w:color w:val="auto"/>
          <w:sz w:val="21"/>
          <w:szCs w:val="21"/>
          <w:highlight w:val="none"/>
        </w:rPr>
      </w:pPr>
      <w:bookmarkStart w:id="157" w:name="_Toc9251"/>
      <w:r>
        <w:rPr>
          <w:rFonts w:hint="eastAsia"/>
          <w:b/>
          <w:bCs/>
          <w:color w:val="auto"/>
          <w:sz w:val="21"/>
          <w:szCs w:val="21"/>
          <w:highlight w:val="none"/>
        </w:rPr>
        <w:t>五、付款方式</w:t>
      </w:r>
      <w:bookmarkEnd w:id="157"/>
    </w:p>
    <w:p w14:paraId="2A5636A7">
      <w:pPr>
        <w:pStyle w:val="41"/>
        <w:widowControl w:val="0"/>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由甲方按下列程序付款：</w:t>
      </w:r>
    </w:p>
    <w:p w14:paraId="38855182">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rPr>
        <w:t>1.合同签订生效后，经</w:t>
      </w:r>
      <w:r>
        <w:rPr>
          <w:rFonts w:hint="eastAsia"/>
          <w:color w:val="auto"/>
          <w:sz w:val="21"/>
          <w:szCs w:val="21"/>
          <w:highlight w:val="none"/>
          <w:lang w:eastAsia="zh-CN"/>
        </w:rPr>
        <w:t>乙方</w:t>
      </w:r>
      <w:r>
        <w:rPr>
          <w:rFonts w:hint="eastAsia"/>
          <w:color w:val="auto"/>
          <w:sz w:val="21"/>
          <w:szCs w:val="21"/>
          <w:highlight w:val="none"/>
        </w:rPr>
        <w:t>提出申请，</w:t>
      </w:r>
      <w:r>
        <w:rPr>
          <w:rFonts w:hint="eastAsia"/>
          <w:color w:val="auto"/>
          <w:sz w:val="21"/>
          <w:szCs w:val="21"/>
          <w:highlight w:val="none"/>
          <w:lang w:eastAsia="zh-CN"/>
        </w:rPr>
        <w:t>甲方</w:t>
      </w:r>
      <w:r>
        <w:rPr>
          <w:rFonts w:hint="eastAsia"/>
          <w:color w:val="auto"/>
          <w:sz w:val="21"/>
          <w:szCs w:val="21"/>
          <w:highlight w:val="none"/>
        </w:rPr>
        <w:t>审核通过后，</w:t>
      </w:r>
      <w:r>
        <w:rPr>
          <w:rFonts w:hint="eastAsia"/>
          <w:color w:val="auto"/>
          <w:sz w:val="21"/>
          <w:szCs w:val="21"/>
          <w:highlight w:val="none"/>
          <w:lang w:eastAsia="zh-CN"/>
        </w:rPr>
        <w:t>甲方</w:t>
      </w:r>
      <w:r>
        <w:rPr>
          <w:rFonts w:hint="eastAsia"/>
          <w:color w:val="auto"/>
          <w:sz w:val="21"/>
          <w:szCs w:val="21"/>
          <w:highlight w:val="none"/>
        </w:rPr>
        <w:t>凭</w:t>
      </w:r>
      <w:r>
        <w:rPr>
          <w:rFonts w:hint="eastAsia"/>
          <w:color w:val="auto"/>
          <w:sz w:val="21"/>
          <w:szCs w:val="21"/>
          <w:highlight w:val="none"/>
          <w:lang w:eastAsia="zh-CN"/>
        </w:rPr>
        <w:t>乙方</w:t>
      </w:r>
      <w:r>
        <w:rPr>
          <w:rFonts w:hint="eastAsia"/>
          <w:color w:val="auto"/>
          <w:sz w:val="21"/>
          <w:szCs w:val="21"/>
          <w:highlight w:val="none"/>
        </w:rPr>
        <w:t>提供的有效发票于10个工作日内以银行转账形式向</w:t>
      </w:r>
      <w:r>
        <w:rPr>
          <w:rFonts w:hint="eastAsia"/>
          <w:color w:val="auto"/>
          <w:sz w:val="21"/>
          <w:szCs w:val="21"/>
          <w:highlight w:val="none"/>
          <w:lang w:eastAsia="zh-CN"/>
        </w:rPr>
        <w:t>乙方</w:t>
      </w:r>
      <w:r>
        <w:rPr>
          <w:rFonts w:hint="eastAsia"/>
          <w:color w:val="auto"/>
          <w:sz w:val="21"/>
          <w:szCs w:val="21"/>
          <w:highlight w:val="none"/>
        </w:rPr>
        <w:t>支付合同总金额的30%。</w:t>
      </w:r>
    </w:p>
    <w:p w14:paraId="4A92F8B7">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rPr>
        <w:t>2.</w:t>
      </w:r>
      <w:r>
        <w:rPr>
          <w:rFonts w:hint="eastAsia"/>
          <w:color w:val="auto"/>
          <w:sz w:val="21"/>
          <w:szCs w:val="21"/>
          <w:highlight w:val="none"/>
          <w:lang w:eastAsia="zh-CN"/>
        </w:rPr>
        <w:t>乙方</w:t>
      </w:r>
      <w:r>
        <w:rPr>
          <w:rFonts w:hint="eastAsia"/>
          <w:color w:val="auto"/>
          <w:sz w:val="21"/>
          <w:szCs w:val="21"/>
          <w:highlight w:val="none"/>
        </w:rPr>
        <w:t>于2025年7月31日前提出申请，</w:t>
      </w:r>
      <w:r>
        <w:rPr>
          <w:rFonts w:hint="eastAsia"/>
          <w:color w:val="auto"/>
          <w:sz w:val="21"/>
          <w:szCs w:val="21"/>
          <w:highlight w:val="none"/>
          <w:lang w:eastAsia="zh-CN"/>
        </w:rPr>
        <w:t>甲方</w:t>
      </w:r>
      <w:r>
        <w:rPr>
          <w:rFonts w:hint="eastAsia"/>
          <w:color w:val="auto"/>
          <w:sz w:val="21"/>
          <w:szCs w:val="21"/>
          <w:highlight w:val="none"/>
        </w:rPr>
        <w:t>审核通过后，</w:t>
      </w:r>
      <w:r>
        <w:rPr>
          <w:rFonts w:hint="eastAsia"/>
          <w:color w:val="auto"/>
          <w:sz w:val="21"/>
          <w:szCs w:val="21"/>
          <w:highlight w:val="none"/>
          <w:lang w:eastAsia="zh-CN"/>
        </w:rPr>
        <w:t>甲方</w:t>
      </w:r>
      <w:r>
        <w:rPr>
          <w:rFonts w:hint="eastAsia"/>
          <w:color w:val="auto"/>
          <w:sz w:val="21"/>
          <w:szCs w:val="21"/>
          <w:highlight w:val="none"/>
        </w:rPr>
        <w:t>凭</w:t>
      </w:r>
      <w:r>
        <w:rPr>
          <w:rFonts w:hint="eastAsia"/>
          <w:color w:val="auto"/>
          <w:sz w:val="21"/>
          <w:szCs w:val="21"/>
          <w:highlight w:val="none"/>
          <w:lang w:eastAsia="zh-CN"/>
        </w:rPr>
        <w:t>乙方</w:t>
      </w:r>
      <w:r>
        <w:rPr>
          <w:rFonts w:hint="eastAsia"/>
          <w:color w:val="auto"/>
          <w:sz w:val="21"/>
          <w:szCs w:val="21"/>
          <w:highlight w:val="none"/>
        </w:rPr>
        <w:t>提供的有效发票于10个工作日内以银行转账形式向</w:t>
      </w:r>
      <w:r>
        <w:rPr>
          <w:rFonts w:hint="eastAsia"/>
          <w:color w:val="auto"/>
          <w:sz w:val="21"/>
          <w:szCs w:val="21"/>
          <w:highlight w:val="none"/>
          <w:lang w:eastAsia="zh-CN"/>
        </w:rPr>
        <w:t>乙方</w:t>
      </w:r>
      <w:r>
        <w:rPr>
          <w:rFonts w:hint="eastAsia"/>
          <w:color w:val="auto"/>
          <w:sz w:val="21"/>
          <w:szCs w:val="21"/>
          <w:highlight w:val="none"/>
        </w:rPr>
        <w:t>支付合同金额的40%。</w:t>
      </w:r>
    </w:p>
    <w:p w14:paraId="2879B684">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rPr>
        <w:t>3.</w:t>
      </w:r>
      <w:r>
        <w:rPr>
          <w:rFonts w:hint="eastAsia"/>
          <w:color w:val="auto"/>
          <w:sz w:val="21"/>
          <w:szCs w:val="21"/>
          <w:highlight w:val="none"/>
          <w:lang w:eastAsia="zh-CN"/>
        </w:rPr>
        <w:t>乙方</w:t>
      </w:r>
      <w:r>
        <w:rPr>
          <w:rFonts w:hint="eastAsia"/>
          <w:color w:val="auto"/>
          <w:sz w:val="21"/>
          <w:szCs w:val="21"/>
          <w:highlight w:val="none"/>
        </w:rPr>
        <w:t>于2025年9月30日前提出申请，</w:t>
      </w:r>
      <w:r>
        <w:rPr>
          <w:rFonts w:hint="eastAsia"/>
          <w:color w:val="auto"/>
          <w:sz w:val="21"/>
          <w:szCs w:val="21"/>
          <w:highlight w:val="none"/>
          <w:lang w:eastAsia="zh-CN"/>
        </w:rPr>
        <w:t>甲方</w:t>
      </w:r>
      <w:r>
        <w:rPr>
          <w:rFonts w:hint="eastAsia"/>
          <w:color w:val="auto"/>
          <w:sz w:val="21"/>
          <w:szCs w:val="21"/>
          <w:highlight w:val="none"/>
        </w:rPr>
        <w:t>审核通过后，</w:t>
      </w:r>
      <w:r>
        <w:rPr>
          <w:rFonts w:hint="eastAsia"/>
          <w:color w:val="auto"/>
          <w:sz w:val="21"/>
          <w:szCs w:val="21"/>
          <w:highlight w:val="none"/>
          <w:lang w:eastAsia="zh-CN"/>
        </w:rPr>
        <w:t>甲方</w:t>
      </w:r>
      <w:r>
        <w:rPr>
          <w:rFonts w:hint="eastAsia"/>
          <w:color w:val="auto"/>
          <w:sz w:val="21"/>
          <w:szCs w:val="21"/>
          <w:highlight w:val="none"/>
        </w:rPr>
        <w:t>凭</w:t>
      </w:r>
      <w:r>
        <w:rPr>
          <w:rFonts w:hint="eastAsia"/>
          <w:color w:val="auto"/>
          <w:sz w:val="21"/>
          <w:szCs w:val="21"/>
          <w:highlight w:val="none"/>
          <w:lang w:eastAsia="zh-CN"/>
        </w:rPr>
        <w:t>乙方</w:t>
      </w:r>
      <w:r>
        <w:rPr>
          <w:rFonts w:hint="eastAsia"/>
          <w:color w:val="auto"/>
          <w:sz w:val="21"/>
          <w:szCs w:val="21"/>
          <w:highlight w:val="none"/>
        </w:rPr>
        <w:t>提供的有效发票于10个工作日内以银行转账形式向</w:t>
      </w:r>
      <w:r>
        <w:rPr>
          <w:rFonts w:hint="eastAsia"/>
          <w:color w:val="auto"/>
          <w:sz w:val="21"/>
          <w:szCs w:val="21"/>
          <w:highlight w:val="none"/>
          <w:lang w:val="en-US" w:eastAsia="zh-CN"/>
        </w:rPr>
        <w:t>乙方</w:t>
      </w:r>
      <w:r>
        <w:rPr>
          <w:rFonts w:hint="eastAsia"/>
          <w:color w:val="auto"/>
          <w:sz w:val="21"/>
          <w:szCs w:val="21"/>
          <w:highlight w:val="none"/>
        </w:rPr>
        <w:t>支付合同金额的30%。</w:t>
      </w:r>
    </w:p>
    <w:p w14:paraId="5F628727">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p>
    <w:p w14:paraId="0A59CF0E">
      <w:pPr>
        <w:pStyle w:val="41"/>
        <w:widowControl w:val="0"/>
        <w:shd w:val="clear" w:color="auto" w:fill="FFFFFF"/>
        <w:spacing w:before="0" w:beforeAutospacing="0" w:after="0" w:afterAutospacing="0" w:line="360" w:lineRule="auto"/>
        <w:jc w:val="both"/>
        <w:outlineLvl w:val="1"/>
        <w:rPr>
          <w:rFonts w:hint="eastAsia" w:eastAsia="宋体"/>
          <w:b/>
          <w:bCs/>
          <w:color w:val="auto"/>
          <w:sz w:val="21"/>
          <w:szCs w:val="21"/>
          <w:highlight w:val="none"/>
          <w:lang w:eastAsia="zh-CN"/>
        </w:rPr>
      </w:pPr>
      <w:bookmarkStart w:id="158" w:name="_Toc3608"/>
      <w:r>
        <w:rPr>
          <w:rFonts w:hint="eastAsia"/>
          <w:b/>
          <w:bCs/>
          <w:color w:val="auto"/>
          <w:sz w:val="21"/>
          <w:szCs w:val="21"/>
          <w:highlight w:val="none"/>
        </w:rPr>
        <w:t>六、</w:t>
      </w:r>
      <w:r>
        <w:rPr>
          <w:rFonts w:hint="eastAsia"/>
          <w:b/>
          <w:bCs/>
          <w:color w:val="auto"/>
          <w:sz w:val="21"/>
          <w:szCs w:val="21"/>
          <w:highlight w:val="none"/>
          <w:lang w:val="en-US" w:eastAsia="zh-CN"/>
        </w:rPr>
        <w:t>验收</w:t>
      </w:r>
      <w:bookmarkEnd w:id="158"/>
    </w:p>
    <w:p w14:paraId="1B108B81">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lang w:val="en-US" w:eastAsia="zh-CN"/>
        </w:rPr>
        <w:t>1.</w:t>
      </w:r>
      <w:r>
        <w:rPr>
          <w:rFonts w:hint="eastAsia"/>
          <w:color w:val="auto"/>
          <w:sz w:val="21"/>
          <w:szCs w:val="21"/>
          <w:highlight w:val="none"/>
        </w:rPr>
        <w:t>验收方式：在12个月的服务周期内，甲方对乙方的履约情况进行考核检查，考核结果与支付的服务费挂钩。若乙方出现对甲方提出的正常需求不及时响应，不严格履行合同内容，在合同期内不能按要求和响应承诺响应服务，以及乙方维护不力造成甲方系统故障及利益受损等任一情形，视为乙方违约，甲方有权要求乙方赔偿损失。</w:t>
      </w:r>
    </w:p>
    <w:p w14:paraId="481B4F31">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lang w:val="en-US" w:eastAsia="zh-CN"/>
        </w:rPr>
        <w:t>2.</w:t>
      </w:r>
      <w:r>
        <w:rPr>
          <w:rFonts w:hint="eastAsia"/>
          <w:color w:val="auto"/>
          <w:sz w:val="21"/>
          <w:szCs w:val="21"/>
          <w:highlight w:val="none"/>
        </w:rPr>
        <w:t>验收标准：……（根据采购文件不同采购包的内容填写）。</w:t>
      </w:r>
    </w:p>
    <w:p w14:paraId="28F5D504">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p>
    <w:p w14:paraId="6A48ADCB">
      <w:pPr>
        <w:pStyle w:val="41"/>
        <w:widowControl w:val="0"/>
        <w:shd w:val="clear" w:color="auto" w:fill="FFFFFF"/>
        <w:spacing w:before="0" w:beforeAutospacing="0" w:after="0" w:afterAutospacing="0" w:line="360" w:lineRule="auto"/>
        <w:jc w:val="both"/>
        <w:outlineLvl w:val="1"/>
        <w:rPr>
          <w:b/>
          <w:bCs/>
          <w:color w:val="auto"/>
          <w:sz w:val="21"/>
          <w:szCs w:val="21"/>
          <w:highlight w:val="none"/>
        </w:rPr>
      </w:pPr>
      <w:bookmarkStart w:id="159" w:name="_Toc7263"/>
      <w:r>
        <w:rPr>
          <w:rFonts w:hint="eastAsia"/>
          <w:b/>
          <w:bCs/>
          <w:color w:val="auto"/>
          <w:sz w:val="21"/>
          <w:szCs w:val="21"/>
          <w:highlight w:val="none"/>
        </w:rPr>
        <w:t>七、保密</w:t>
      </w:r>
      <w:bookmarkEnd w:id="159"/>
    </w:p>
    <w:p w14:paraId="00302121">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lang w:val="en-US" w:eastAsia="zh-CN"/>
        </w:rPr>
        <w:t>……（根据采购文件不同采购包的内容填写）</w:t>
      </w:r>
      <w:r>
        <w:rPr>
          <w:rFonts w:hint="eastAsia"/>
          <w:color w:val="auto"/>
          <w:sz w:val="21"/>
          <w:szCs w:val="21"/>
          <w:highlight w:val="none"/>
        </w:rPr>
        <w:t>。</w:t>
      </w:r>
    </w:p>
    <w:p w14:paraId="1993CAC6">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p>
    <w:p w14:paraId="1EFCAC0A">
      <w:pPr>
        <w:pStyle w:val="41"/>
        <w:widowControl w:val="0"/>
        <w:shd w:val="clear" w:color="auto" w:fill="FFFFFF"/>
        <w:spacing w:before="0" w:beforeAutospacing="0" w:after="0" w:afterAutospacing="0" w:line="360" w:lineRule="auto"/>
        <w:jc w:val="both"/>
        <w:outlineLvl w:val="1"/>
        <w:rPr>
          <w:b/>
          <w:bCs/>
          <w:color w:val="auto"/>
          <w:sz w:val="21"/>
          <w:szCs w:val="21"/>
          <w:highlight w:val="none"/>
        </w:rPr>
      </w:pPr>
      <w:bookmarkStart w:id="160" w:name="_Toc6852"/>
      <w:r>
        <w:rPr>
          <w:rFonts w:hint="eastAsia"/>
          <w:b/>
          <w:bCs/>
          <w:color w:val="auto"/>
          <w:sz w:val="21"/>
          <w:szCs w:val="21"/>
          <w:highlight w:val="none"/>
        </w:rPr>
        <w:t>八、违约责任与赔偿损失</w:t>
      </w:r>
      <w:bookmarkEnd w:id="160"/>
    </w:p>
    <w:p w14:paraId="3D4918C9">
      <w:pPr>
        <w:pStyle w:val="41"/>
        <w:widowControl w:val="0"/>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……（根据采购文件不同采购包的内容填写）。</w:t>
      </w:r>
    </w:p>
    <w:p w14:paraId="67C53B03">
      <w:pPr>
        <w:pStyle w:val="41"/>
        <w:widowControl w:val="0"/>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lang w:val="en-US" w:eastAsia="zh-CN"/>
        </w:rPr>
        <w:t>1</w:t>
      </w:r>
      <w:r>
        <w:rPr>
          <w:rFonts w:hint="eastAsia"/>
          <w:color w:val="auto"/>
          <w:sz w:val="21"/>
          <w:szCs w:val="21"/>
          <w:highlight w:val="none"/>
        </w:rPr>
        <w:t>.对于因甲方原因导致变更、中止或者终止政府采购合同的，甲方应当依照以下合同约定对</w:t>
      </w:r>
      <w:r>
        <w:rPr>
          <w:rFonts w:hint="eastAsia"/>
          <w:color w:val="auto"/>
          <w:sz w:val="21"/>
          <w:szCs w:val="21"/>
          <w:highlight w:val="none"/>
          <w:lang w:eastAsia="zh-CN"/>
        </w:rPr>
        <w:t>乙方</w:t>
      </w:r>
      <w:r>
        <w:rPr>
          <w:rFonts w:hint="eastAsia"/>
          <w:color w:val="auto"/>
          <w:sz w:val="21"/>
          <w:szCs w:val="21"/>
          <w:highlight w:val="none"/>
        </w:rPr>
        <w:t>受到的损失予以赔偿或者补偿：</w:t>
      </w:r>
      <w:r>
        <w:rPr>
          <w:rFonts w:hint="eastAsia"/>
          <w:color w:val="auto"/>
          <w:sz w:val="21"/>
          <w:szCs w:val="21"/>
          <w:highlight w:val="none"/>
          <w:u w:val="single"/>
        </w:rPr>
        <w:t>根据项目未完成情况，经甲乙双方友好协商进行约定。</w:t>
      </w:r>
    </w:p>
    <w:p w14:paraId="3B999AC6">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lang w:val="en-US" w:eastAsia="zh-CN"/>
        </w:rPr>
        <w:t>2</w:t>
      </w:r>
      <w:r>
        <w:rPr>
          <w:rFonts w:hint="eastAsia"/>
          <w:color w:val="auto"/>
          <w:sz w:val="21"/>
          <w:szCs w:val="21"/>
          <w:highlight w:val="none"/>
        </w:rPr>
        <w:t>.其它违约责任按《中华人民共和国民法典(合同编)》处理。</w:t>
      </w:r>
    </w:p>
    <w:p w14:paraId="7C2BEDC2">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p>
    <w:p w14:paraId="7C733AE7">
      <w:pPr>
        <w:pStyle w:val="41"/>
        <w:widowControl w:val="0"/>
        <w:shd w:val="clear" w:color="auto" w:fill="FFFFFF"/>
        <w:spacing w:before="0" w:beforeAutospacing="0" w:after="0" w:afterAutospacing="0" w:line="360" w:lineRule="auto"/>
        <w:jc w:val="both"/>
        <w:outlineLvl w:val="1"/>
        <w:rPr>
          <w:rFonts w:hint="eastAsia" w:ascii="宋体" w:hAnsi="宋体" w:eastAsia="宋体" w:cs="Times New Roman"/>
          <w:b/>
          <w:bCs/>
          <w:color w:val="auto"/>
          <w:sz w:val="21"/>
          <w:szCs w:val="21"/>
          <w:highlight w:val="none"/>
        </w:rPr>
      </w:pPr>
      <w:bookmarkStart w:id="161" w:name="_Toc15066"/>
      <w:r>
        <w:rPr>
          <w:rFonts w:hint="eastAsia"/>
          <w:b/>
          <w:bCs/>
          <w:color w:val="auto"/>
          <w:sz w:val="21"/>
          <w:szCs w:val="21"/>
          <w:highlight w:val="none"/>
        </w:rPr>
        <w:t>九、</w:t>
      </w:r>
      <w:r>
        <w:rPr>
          <w:rFonts w:hint="eastAsia" w:ascii="宋体" w:hAnsi="宋体" w:eastAsia="宋体" w:cs="Times New Roman"/>
          <w:b/>
          <w:bCs/>
          <w:color w:val="auto"/>
          <w:sz w:val="21"/>
          <w:szCs w:val="21"/>
          <w:highlight w:val="none"/>
        </w:rPr>
        <w:t>履约保证金</w:t>
      </w:r>
      <w:bookmarkEnd w:id="161"/>
    </w:p>
    <w:p w14:paraId="41D5BE83">
      <w:pPr>
        <w:pStyle w:val="41"/>
        <w:widowControl w:val="0"/>
        <w:shd w:val="clear" w:color="auto" w:fill="FFFFFF"/>
        <w:spacing w:before="0" w:beforeAutospacing="0" w:after="0" w:afterAutospacing="0" w:line="360" w:lineRule="auto"/>
        <w:ind w:firstLine="420" w:firstLineChars="200"/>
        <w:jc w:val="both"/>
        <w:rPr>
          <w:rFonts w:hint="eastAsia"/>
          <w:b w:val="0"/>
          <w:bCs w:val="0"/>
          <w:color w:val="auto"/>
          <w:sz w:val="21"/>
          <w:szCs w:val="21"/>
          <w:highlight w:val="none"/>
          <w:lang w:val="en-US" w:eastAsia="zh-CN"/>
        </w:rPr>
      </w:pPr>
      <w:r>
        <w:rPr>
          <w:rFonts w:hint="eastAsia"/>
          <w:b w:val="0"/>
          <w:bCs w:val="0"/>
          <w:color w:val="auto"/>
          <w:sz w:val="21"/>
          <w:szCs w:val="21"/>
          <w:highlight w:val="none"/>
        </w:rPr>
        <w:t>1</w:t>
      </w:r>
      <w:r>
        <w:rPr>
          <w:rFonts w:hint="eastAsia"/>
          <w:b w:val="0"/>
          <w:bCs w:val="0"/>
          <w:color w:val="auto"/>
          <w:sz w:val="21"/>
          <w:szCs w:val="21"/>
          <w:highlight w:val="none"/>
          <w:lang w:val="en-US" w:eastAsia="zh-CN"/>
        </w:rPr>
        <w:t>.履约保证金金额：按成交金额的</w:t>
      </w:r>
      <w:r>
        <w:rPr>
          <w:rFonts w:hint="eastAsia"/>
          <w:b w:val="0"/>
          <w:bCs w:val="0"/>
          <w:color w:val="auto"/>
          <w:sz w:val="21"/>
          <w:szCs w:val="21"/>
          <w:highlight w:val="none"/>
          <w:u w:val="single"/>
          <w:lang w:val="en-US" w:eastAsia="zh-CN"/>
        </w:rPr>
        <w:t xml:space="preserve"> 10 </w:t>
      </w:r>
      <w:r>
        <w:rPr>
          <w:rFonts w:hint="eastAsia"/>
          <w:b w:val="0"/>
          <w:bCs w:val="0"/>
          <w:color w:val="auto"/>
          <w:sz w:val="21"/>
          <w:szCs w:val="21"/>
          <w:highlight w:val="none"/>
          <w:lang w:val="en-US" w:eastAsia="zh-CN"/>
        </w:rPr>
        <w:t>%，向下求整收取；即大写：人民币</w:t>
      </w:r>
      <w:r>
        <w:rPr>
          <w:rFonts w:hint="eastAsia"/>
          <w:b w:val="0"/>
          <w:bCs w:val="0"/>
          <w:color w:val="auto"/>
          <w:sz w:val="21"/>
          <w:szCs w:val="21"/>
          <w:highlight w:val="none"/>
          <w:u w:val="single"/>
          <w:lang w:val="en-US" w:eastAsia="zh-CN"/>
        </w:rPr>
        <w:t xml:space="preserve">      </w:t>
      </w:r>
      <w:r>
        <w:rPr>
          <w:rFonts w:hint="eastAsia"/>
          <w:b w:val="0"/>
          <w:bCs w:val="0"/>
          <w:color w:val="auto"/>
          <w:sz w:val="21"/>
          <w:szCs w:val="21"/>
          <w:highlight w:val="none"/>
          <w:lang w:val="en-US" w:eastAsia="zh-CN"/>
        </w:rPr>
        <w:t>（小写：</w:t>
      </w:r>
      <w:r>
        <w:rPr>
          <w:rFonts w:hint="eastAsia"/>
          <w:b w:val="0"/>
          <w:bCs w:val="0"/>
          <w:color w:val="auto"/>
          <w:sz w:val="21"/>
          <w:szCs w:val="21"/>
          <w:highlight w:val="none"/>
          <w:u w:val="single"/>
          <w:lang w:val="en-US" w:eastAsia="zh-CN"/>
        </w:rPr>
        <w:t xml:space="preserve">      </w:t>
      </w:r>
      <w:r>
        <w:rPr>
          <w:rFonts w:hint="eastAsia"/>
          <w:b w:val="0"/>
          <w:bCs w:val="0"/>
          <w:color w:val="auto"/>
          <w:sz w:val="21"/>
          <w:szCs w:val="21"/>
          <w:highlight w:val="none"/>
          <w:lang w:val="en-US" w:eastAsia="zh-CN"/>
        </w:rPr>
        <w:t>）乙方应在合同签订后七个工作日内缴纳。</w:t>
      </w:r>
    </w:p>
    <w:p w14:paraId="06D1A34D">
      <w:pPr>
        <w:pStyle w:val="41"/>
        <w:widowControl w:val="0"/>
        <w:shd w:val="clear" w:color="auto" w:fill="FFFFFF"/>
        <w:spacing w:before="0" w:beforeAutospacing="0" w:after="0" w:afterAutospacing="0" w:line="360" w:lineRule="auto"/>
        <w:ind w:firstLine="420" w:firstLineChars="200"/>
        <w:jc w:val="both"/>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2.履约保证金递交方式：银行转账、支票、汇票、本票或者金融机构、担保机构出具的保函等非现金方式。</w:t>
      </w:r>
    </w:p>
    <w:p w14:paraId="466B80CC">
      <w:pPr>
        <w:pStyle w:val="41"/>
        <w:widowControl w:val="0"/>
        <w:shd w:val="clear" w:color="auto" w:fill="FFFFFF"/>
        <w:spacing w:before="0" w:beforeAutospacing="0" w:after="0" w:afterAutospacing="0" w:line="360" w:lineRule="auto"/>
        <w:ind w:firstLine="420" w:firstLineChars="200"/>
        <w:jc w:val="both"/>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3.履约保证金退还方式、时间及条件：服务期满且无服务质量问题的情况下，由乙方向甲方提出书面申请，甲方根据合同履约情况并经审核程序后，30个日历日内无息退还。 </w:t>
      </w:r>
    </w:p>
    <w:p w14:paraId="40ED28EE">
      <w:pPr>
        <w:pStyle w:val="41"/>
        <w:widowControl w:val="0"/>
        <w:shd w:val="clear" w:color="auto" w:fill="FFFFFF"/>
        <w:spacing w:before="0" w:beforeAutospacing="0" w:after="0" w:afterAutospacing="0" w:line="360" w:lineRule="auto"/>
        <w:ind w:firstLine="420" w:firstLineChars="200"/>
        <w:jc w:val="both"/>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4.备注：</w:t>
      </w:r>
    </w:p>
    <w:p w14:paraId="1ACFAE89">
      <w:pPr>
        <w:pStyle w:val="41"/>
        <w:widowControl w:val="0"/>
        <w:shd w:val="clear" w:color="auto" w:fill="FFFFFF"/>
        <w:spacing w:before="0" w:beforeAutospacing="0" w:after="0" w:afterAutospacing="0" w:line="360" w:lineRule="auto"/>
        <w:ind w:firstLine="420" w:firstLineChars="200"/>
        <w:jc w:val="both"/>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①履约保证金不足额缴纳的（包含保函额度不足的），或者不按规定提交方式提交的，或者保函有效期低于合同履行期限（即合同中规定的当事人履行自己的义务，如交付标的物、价款或者报酬，履行劳务、完成工作的时间界限）的，不予签订合同。</w:t>
      </w:r>
    </w:p>
    <w:p w14:paraId="6178EB2E">
      <w:pPr>
        <w:pStyle w:val="41"/>
        <w:widowControl w:val="0"/>
        <w:shd w:val="clear" w:color="auto" w:fill="FFFFFF"/>
        <w:spacing w:before="0" w:beforeAutospacing="0" w:after="0" w:afterAutospacing="0" w:line="360" w:lineRule="auto"/>
        <w:ind w:firstLine="420" w:firstLineChars="200"/>
        <w:jc w:val="both"/>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②如有违约情形，甲方有权直接扣除相应金额。</w:t>
      </w:r>
    </w:p>
    <w:p w14:paraId="3C337308">
      <w:pPr>
        <w:pStyle w:val="41"/>
        <w:widowControl w:val="0"/>
        <w:shd w:val="clear" w:color="auto" w:fill="FFFFFF"/>
        <w:spacing w:before="0" w:beforeAutospacing="0" w:after="0" w:afterAutospacing="0" w:line="360" w:lineRule="auto"/>
        <w:ind w:firstLine="420" w:firstLineChars="200"/>
        <w:jc w:val="both"/>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③乙方在合同期内不能按要求和响应承诺响应服务导致履约保证金被扣除的，乙方须在五个工作日内对履约保证金进行补齐至合同金额的10%。</w:t>
      </w:r>
    </w:p>
    <w:p w14:paraId="34902375">
      <w:pPr>
        <w:pStyle w:val="41"/>
        <w:widowControl w:val="0"/>
        <w:shd w:val="clear" w:color="auto" w:fill="FFFFFF"/>
        <w:spacing w:before="0" w:beforeAutospacing="0" w:after="0" w:afterAutospacing="0" w:line="360" w:lineRule="auto"/>
        <w:ind w:firstLine="420" w:firstLineChars="200"/>
        <w:jc w:val="both"/>
        <w:rPr>
          <w:rFonts w:hint="eastAsia"/>
          <w:b w:val="0"/>
          <w:bCs w:val="0"/>
          <w:color w:val="auto"/>
          <w:sz w:val="21"/>
          <w:szCs w:val="21"/>
          <w:highlight w:val="none"/>
          <w:lang w:val="en-US" w:eastAsia="zh-CN"/>
        </w:rPr>
      </w:pPr>
    </w:p>
    <w:p w14:paraId="74B8C29C">
      <w:pPr>
        <w:pStyle w:val="41"/>
        <w:widowControl w:val="0"/>
        <w:shd w:val="clear" w:color="auto" w:fill="FFFFFF"/>
        <w:spacing w:before="0" w:beforeAutospacing="0" w:after="0" w:afterAutospacing="0" w:line="360" w:lineRule="auto"/>
        <w:jc w:val="both"/>
        <w:outlineLvl w:val="1"/>
        <w:rPr>
          <w:rFonts w:hint="default"/>
          <w:b/>
          <w:bCs/>
          <w:color w:val="auto"/>
          <w:sz w:val="21"/>
          <w:szCs w:val="21"/>
          <w:highlight w:val="none"/>
          <w:lang w:val="en-US" w:eastAsia="zh-CN"/>
        </w:rPr>
      </w:pPr>
      <w:bookmarkStart w:id="162" w:name="_Toc1017"/>
      <w:r>
        <w:rPr>
          <w:rFonts w:hint="eastAsia"/>
          <w:b/>
          <w:bCs/>
          <w:color w:val="auto"/>
          <w:sz w:val="21"/>
          <w:szCs w:val="21"/>
          <w:highlight w:val="none"/>
          <w:lang w:val="en-US" w:eastAsia="zh-CN"/>
        </w:rPr>
        <w:t>十、考核办法</w:t>
      </w:r>
    </w:p>
    <w:p w14:paraId="0DBC269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cs="宋体"/>
          <w:color w:val="auto"/>
          <w:highlight w:val="none"/>
          <w:lang w:val="en-US" w:eastAsia="zh-CN"/>
        </w:rPr>
        <w:t>1.</w:t>
      </w:r>
      <w:r>
        <w:rPr>
          <w:rFonts w:hint="eastAsia" w:ascii="宋体" w:hAnsi="宋体" w:eastAsia="宋体" w:cs="宋体"/>
          <w:color w:val="auto"/>
          <w:highlight w:val="none"/>
        </w:rPr>
        <w:t>如</w:t>
      </w:r>
      <w:r>
        <w:rPr>
          <w:rFonts w:hint="eastAsia" w:cs="宋体"/>
          <w:color w:val="auto"/>
          <w:highlight w:val="none"/>
          <w:lang w:val="en-US" w:eastAsia="zh-CN"/>
        </w:rPr>
        <w:t>乙方</w:t>
      </w:r>
      <w:r>
        <w:rPr>
          <w:rFonts w:hint="eastAsia" w:ascii="宋体" w:hAnsi="宋体" w:eastAsia="宋体" w:cs="宋体"/>
          <w:color w:val="auto"/>
          <w:highlight w:val="none"/>
        </w:rPr>
        <w:t>在合同期内不能按要求和承诺响应服务，则</w:t>
      </w:r>
      <w:r>
        <w:rPr>
          <w:rFonts w:hint="eastAsia" w:cs="宋体"/>
          <w:color w:val="auto"/>
          <w:highlight w:val="none"/>
          <w:lang w:val="en-US" w:eastAsia="zh-CN"/>
        </w:rPr>
        <w:t>甲方</w:t>
      </w:r>
      <w:r>
        <w:rPr>
          <w:rFonts w:hint="eastAsia" w:ascii="宋体" w:hAnsi="宋体" w:eastAsia="宋体" w:cs="宋体"/>
          <w:color w:val="auto"/>
          <w:highlight w:val="none"/>
        </w:rPr>
        <w:t>有权对</w:t>
      </w:r>
      <w:r>
        <w:rPr>
          <w:rFonts w:hint="eastAsia" w:cs="宋体"/>
          <w:color w:val="auto"/>
          <w:highlight w:val="none"/>
          <w:lang w:val="en-US" w:eastAsia="zh-CN"/>
        </w:rPr>
        <w:t>乙方</w:t>
      </w:r>
      <w:r>
        <w:rPr>
          <w:rFonts w:hint="eastAsia" w:ascii="宋体" w:hAnsi="宋体" w:eastAsia="宋体" w:cs="宋体"/>
          <w:color w:val="auto"/>
          <w:highlight w:val="none"/>
        </w:rPr>
        <w:t>作出相应违约处罚，具体考核标准如下：</w:t>
      </w:r>
    </w:p>
    <w:p w14:paraId="28FFBE0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cs="宋体"/>
          <w:color w:val="auto"/>
          <w:highlight w:val="none"/>
          <w:lang w:val="en-US" w:eastAsia="zh-CN"/>
        </w:rPr>
        <w:t>甲方</w:t>
      </w:r>
      <w:r>
        <w:rPr>
          <w:rFonts w:hint="eastAsia" w:ascii="宋体" w:hAnsi="宋体" w:eastAsia="宋体" w:cs="宋体"/>
          <w:color w:val="auto"/>
          <w:highlight w:val="none"/>
        </w:rPr>
        <w:t>有权随时对</w:t>
      </w:r>
      <w:r>
        <w:rPr>
          <w:rFonts w:hint="eastAsia" w:cs="宋体"/>
          <w:color w:val="auto"/>
          <w:highlight w:val="none"/>
          <w:lang w:val="en-US" w:eastAsia="zh-CN"/>
        </w:rPr>
        <w:t>乙方</w:t>
      </w:r>
      <w:r>
        <w:rPr>
          <w:rFonts w:hint="eastAsia" w:ascii="宋体" w:hAnsi="宋体" w:eastAsia="宋体" w:cs="宋体"/>
          <w:color w:val="auto"/>
          <w:highlight w:val="none"/>
        </w:rPr>
        <w:t>维护工作进行考核（考核方法见下表）。凡扣分累计超过100分或达到取消其维护资格的其它条件的，用户有权终止合同，相关责任由</w:t>
      </w:r>
      <w:r>
        <w:rPr>
          <w:rFonts w:hint="eastAsia" w:cs="宋体"/>
          <w:color w:val="auto"/>
          <w:highlight w:val="none"/>
          <w:lang w:val="en-US" w:eastAsia="zh-CN"/>
        </w:rPr>
        <w:t>乙方</w:t>
      </w:r>
      <w:r>
        <w:rPr>
          <w:rFonts w:hint="eastAsia" w:ascii="宋体" w:hAnsi="宋体" w:eastAsia="宋体" w:cs="宋体"/>
          <w:color w:val="auto"/>
          <w:highlight w:val="none"/>
        </w:rPr>
        <w:t>负责。</w:t>
      </w:r>
    </w:p>
    <w:tbl>
      <w:tblPr>
        <w:tblStyle w:val="4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3"/>
        <w:gridCol w:w="3281"/>
        <w:gridCol w:w="5260"/>
      </w:tblGrid>
      <w:tr w14:paraId="136FB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blHeader/>
          <w:jc w:val="center"/>
        </w:trPr>
        <w:tc>
          <w:tcPr>
            <w:tcW w:w="1313" w:type="dxa"/>
            <w:tcBorders>
              <w:top w:val="single" w:color="auto" w:sz="4" w:space="0"/>
              <w:left w:val="single" w:color="auto" w:sz="4" w:space="0"/>
              <w:bottom w:val="single" w:color="auto" w:sz="4" w:space="0"/>
              <w:right w:val="single" w:color="auto" w:sz="4" w:space="0"/>
            </w:tcBorders>
            <w:noWrap w:val="0"/>
            <w:vAlign w:val="center"/>
          </w:tcPr>
          <w:p w14:paraId="64EA5C2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考核项目</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1D9F176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具体考核内容</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10BE596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考核结果</w:t>
            </w:r>
          </w:p>
        </w:tc>
      </w:tr>
      <w:tr w14:paraId="0BAE2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1313" w:type="dxa"/>
            <w:vMerge w:val="restart"/>
            <w:tcBorders>
              <w:top w:val="single" w:color="auto" w:sz="4" w:space="0"/>
              <w:left w:val="single" w:color="auto" w:sz="4" w:space="0"/>
              <w:bottom w:val="single" w:color="auto" w:sz="4" w:space="0"/>
              <w:right w:val="single" w:color="auto" w:sz="4" w:space="0"/>
            </w:tcBorders>
            <w:noWrap w:val="0"/>
            <w:vAlign w:val="center"/>
          </w:tcPr>
          <w:p w14:paraId="70BAA9F9">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响应效率</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43D7E26B">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巡检</w:t>
            </w:r>
            <w:r>
              <w:rPr>
                <w:rFonts w:hint="eastAsia" w:ascii="宋体" w:hAnsi="宋体" w:eastAsia="宋体" w:cs="宋体"/>
                <w:color w:val="auto"/>
                <w:sz w:val="21"/>
                <w:szCs w:val="21"/>
                <w:highlight w:val="none"/>
              </w:rPr>
              <w:t>欠主动，无任何理由推迟维护时间。</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38032A02">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每次扣10分，造成安全事故的，除消除影响，弥补损失外，扣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0分；情节严重的，取消其维护资格。</w:t>
            </w:r>
          </w:p>
        </w:tc>
      </w:tr>
      <w:tr w14:paraId="537C7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13" w:type="dxa"/>
            <w:vMerge w:val="continue"/>
            <w:tcBorders>
              <w:top w:val="single" w:color="auto" w:sz="4" w:space="0"/>
              <w:left w:val="single" w:color="auto" w:sz="4" w:space="0"/>
              <w:bottom w:val="single" w:color="auto" w:sz="4" w:space="0"/>
              <w:right w:val="single" w:color="auto" w:sz="4" w:space="0"/>
            </w:tcBorders>
            <w:noWrap w:val="0"/>
            <w:vAlign w:val="center"/>
          </w:tcPr>
          <w:p w14:paraId="5401628E">
            <w:pPr>
              <w:keepNext w:val="0"/>
              <w:keepLines w:val="0"/>
              <w:pageBreakBefore w:val="0"/>
              <w:widowControl w:val="0"/>
              <w:kinsoku/>
              <w:wordWrap/>
              <w:overflowPunct/>
              <w:topLinePunct w:val="0"/>
              <w:autoSpaceDE/>
              <w:autoSpaceDN/>
              <w:bidi w:val="0"/>
              <w:adjustRightInd w:val="0"/>
              <w:snapToGrid/>
              <w:spacing w:line="360" w:lineRule="auto"/>
              <w:jc w:val="both"/>
              <w:textAlignment w:val="baseline"/>
              <w:rPr>
                <w:rFonts w:hint="eastAsia" w:ascii="宋体" w:hAnsi="宋体" w:eastAsia="宋体" w:cs="宋体"/>
                <w:color w:val="auto"/>
                <w:sz w:val="21"/>
                <w:szCs w:val="21"/>
                <w:highlight w:val="none"/>
              </w:rPr>
            </w:pPr>
          </w:p>
        </w:tc>
        <w:tc>
          <w:tcPr>
            <w:tcW w:w="3281" w:type="dxa"/>
            <w:tcBorders>
              <w:top w:val="single" w:color="auto" w:sz="4" w:space="0"/>
              <w:left w:val="single" w:color="auto" w:sz="4" w:space="0"/>
              <w:bottom w:val="single" w:color="auto" w:sz="4" w:space="0"/>
              <w:right w:val="single" w:color="auto" w:sz="4" w:space="0"/>
            </w:tcBorders>
            <w:noWrap w:val="0"/>
            <w:vAlign w:val="center"/>
          </w:tcPr>
          <w:p w14:paraId="232A9DC5">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因工作需要要求成交供应商提供服务，供应商故意推辞，造成业务工作被动，影响现场工作。</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3C2DA764">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0分，造成安全事故的，除消除影响，弥补损失外，扣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0分；情节严重的，取消其维护资格。</w:t>
            </w:r>
          </w:p>
        </w:tc>
      </w:tr>
      <w:tr w14:paraId="3D293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13" w:type="dxa"/>
            <w:tcBorders>
              <w:top w:val="single" w:color="auto" w:sz="4" w:space="0"/>
              <w:left w:val="single" w:color="auto" w:sz="4" w:space="0"/>
              <w:bottom w:val="single" w:color="auto" w:sz="4" w:space="0"/>
              <w:right w:val="single" w:color="auto" w:sz="4" w:space="0"/>
            </w:tcBorders>
            <w:noWrap w:val="0"/>
            <w:vAlign w:val="center"/>
          </w:tcPr>
          <w:p w14:paraId="71CD62F4">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巡检服务</w:t>
            </w:r>
            <w:r>
              <w:rPr>
                <w:rFonts w:hint="eastAsia" w:ascii="宋体" w:hAnsi="宋体" w:eastAsia="宋体" w:cs="宋体"/>
                <w:color w:val="auto"/>
                <w:sz w:val="21"/>
                <w:szCs w:val="21"/>
                <w:highlight w:val="none"/>
              </w:rPr>
              <w:t>质量</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01CCE8FD">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服务范围清单内设备巡检不全面，巡检项目没有达到客户的要求，存在漏项</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221B050A">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每次扣10分，造成安全事故的，除消除影响，弥补损失外，扣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0分；情节严重的，取消其维护资格。</w:t>
            </w:r>
          </w:p>
        </w:tc>
      </w:tr>
      <w:tr w14:paraId="78949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13" w:type="dxa"/>
            <w:tcBorders>
              <w:top w:val="single" w:color="auto" w:sz="4" w:space="0"/>
              <w:left w:val="single" w:color="auto" w:sz="4" w:space="0"/>
              <w:bottom w:val="single" w:color="auto" w:sz="4" w:space="0"/>
              <w:right w:val="single" w:color="auto" w:sz="4" w:space="0"/>
            </w:tcBorders>
            <w:noWrap w:val="0"/>
            <w:vAlign w:val="center"/>
          </w:tcPr>
          <w:p w14:paraId="5FCD90D9">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维护记录情况</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6387E4AC">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维护记录</w:t>
            </w:r>
            <w:r>
              <w:rPr>
                <w:rFonts w:hint="eastAsia" w:ascii="宋体" w:hAnsi="宋体" w:eastAsia="宋体" w:cs="宋体"/>
                <w:color w:val="auto"/>
                <w:sz w:val="21"/>
                <w:szCs w:val="21"/>
                <w:highlight w:val="none"/>
                <w:lang w:val="en-US" w:eastAsia="zh-CN"/>
              </w:rPr>
              <w:t>无法</w:t>
            </w:r>
            <w:r>
              <w:rPr>
                <w:rFonts w:hint="eastAsia" w:ascii="宋体" w:hAnsi="宋体" w:eastAsia="宋体" w:cs="宋体"/>
                <w:color w:val="auto"/>
                <w:sz w:val="21"/>
                <w:szCs w:val="21"/>
                <w:highlight w:val="none"/>
              </w:rPr>
              <w:t>做到详尽准确</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12F7840F">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根据影响情况扣5-10分</w:t>
            </w:r>
            <w:r>
              <w:rPr>
                <w:rFonts w:hint="eastAsia" w:ascii="宋体" w:hAnsi="宋体" w:eastAsia="宋体" w:cs="宋体"/>
                <w:color w:val="auto"/>
                <w:kern w:val="2"/>
                <w:sz w:val="21"/>
                <w:szCs w:val="21"/>
                <w:highlight w:val="none"/>
                <w:lang w:val="en-US" w:eastAsia="zh-CN" w:bidi="ar"/>
              </w:rPr>
              <w:t>/次。</w:t>
            </w:r>
          </w:p>
        </w:tc>
      </w:tr>
      <w:tr w14:paraId="7770E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13" w:type="dxa"/>
            <w:vMerge w:val="restart"/>
            <w:tcBorders>
              <w:top w:val="single" w:color="auto" w:sz="4" w:space="0"/>
              <w:left w:val="single" w:color="auto" w:sz="4" w:space="0"/>
              <w:bottom w:val="single" w:color="auto" w:sz="4" w:space="0"/>
              <w:right w:val="single" w:color="auto" w:sz="4" w:space="0"/>
            </w:tcBorders>
            <w:noWrap w:val="0"/>
            <w:vAlign w:val="center"/>
          </w:tcPr>
          <w:p w14:paraId="10C85509">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故障原因分析及解决情况</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5C2BA787">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故障原因分析不准确，造成故障未能得到及时解决。</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2176BD60">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0分，造成安全事故的，除消除影响，弥补损失外，扣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0分；情节严重的，取消其维护资格。</w:t>
            </w:r>
          </w:p>
        </w:tc>
      </w:tr>
      <w:tr w14:paraId="44C53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13" w:type="dxa"/>
            <w:vMerge w:val="continue"/>
            <w:tcBorders>
              <w:top w:val="single" w:color="auto" w:sz="4" w:space="0"/>
              <w:left w:val="single" w:color="auto" w:sz="4" w:space="0"/>
              <w:bottom w:val="single" w:color="auto" w:sz="4" w:space="0"/>
              <w:right w:val="single" w:color="auto" w:sz="4" w:space="0"/>
            </w:tcBorders>
            <w:noWrap w:val="0"/>
            <w:vAlign w:val="center"/>
          </w:tcPr>
          <w:p w14:paraId="5E8E6CF5">
            <w:pPr>
              <w:keepNext w:val="0"/>
              <w:keepLines w:val="0"/>
              <w:pageBreakBefore w:val="0"/>
              <w:widowControl w:val="0"/>
              <w:kinsoku/>
              <w:wordWrap/>
              <w:overflowPunct/>
              <w:topLinePunct w:val="0"/>
              <w:autoSpaceDE/>
              <w:autoSpaceDN/>
              <w:bidi w:val="0"/>
              <w:adjustRightInd w:val="0"/>
              <w:snapToGrid/>
              <w:spacing w:line="360" w:lineRule="auto"/>
              <w:jc w:val="both"/>
              <w:textAlignment w:val="baseline"/>
              <w:rPr>
                <w:rFonts w:hint="eastAsia" w:ascii="宋体" w:hAnsi="宋体" w:eastAsia="宋体" w:cs="宋体"/>
                <w:color w:val="auto"/>
                <w:sz w:val="21"/>
                <w:szCs w:val="21"/>
                <w:highlight w:val="none"/>
              </w:rPr>
            </w:pPr>
          </w:p>
        </w:tc>
        <w:tc>
          <w:tcPr>
            <w:tcW w:w="3281" w:type="dxa"/>
            <w:tcBorders>
              <w:top w:val="single" w:color="auto" w:sz="4" w:space="0"/>
              <w:left w:val="single" w:color="auto" w:sz="4" w:space="0"/>
              <w:bottom w:val="single" w:color="auto" w:sz="4" w:space="0"/>
              <w:right w:val="single" w:color="auto" w:sz="4" w:space="0"/>
            </w:tcBorders>
            <w:noWrap w:val="0"/>
            <w:vAlign w:val="center"/>
          </w:tcPr>
          <w:p w14:paraId="02E8D7B3">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由于设备更换时，操作不当造成设备损坏。</w:t>
            </w:r>
            <w:r>
              <w:rPr>
                <w:rFonts w:hint="eastAsia" w:ascii="宋体" w:hAnsi="宋体" w:eastAsia="宋体" w:cs="宋体"/>
                <w:color w:val="auto"/>
                <w:sz w:val="21"/>
                <w:szCs w:val="21"/>
                <w:highlight w:val="none"/>
              </w:rPr>
              <w:tab/>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7681E112">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0分，造成安全事故的，除消除影响，弥补损失外，扣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0分；情节严重的，取消其维护资格。</w:t>
            </w:r>
          </w:p>
        </w:tc>
      </w:tr>
      <w:tr w14:paraId="1539B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313" w:type="dxa"/>
            <w:tcBorders>
              <w:top w:val="single" w:color="auto" w:sz="4" w:space="0"/>
              <w:left w:val="single" w:color="auto" w:sz="4" w:space="0"/>
              <w:bottom w:val="single" w:color="auto" w:sz="4" w:space="0"/>
              <w:right w:val="single" w:color="auto" w:sz="4" w:space="0"/>
            </w:tcBorders>
            <w:noWrap w:val="0"/>
            <w:vAlign w:val="center"/>
          </w:tcPr>
          <w:p w14:paraId="0DA1B963">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服务态度</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6C4351A3">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在维护过程中服务态度较差。</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55F1113D">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根据影响情况扣5-10分</w:t>
            </w:r>
            <w:r>
              <w:rPr>
                <w:rFonts w:hint="eastAsia" w:ascii="宋体" w:hAnsi="宋体" w:eastAsia="宋体" w:cs="宋体"/>
                <w:color w:val="auto"/>
                <w:kern w:val="2"/>
                <w:sz w:val="21"/>
                <w:szCs w:val="21"/>
                <w:highlight w:val="none"/>
                <w:lang w:val="en-US" w:eastAsia="zh-CN" w:bidi="ar"/>
              </w:rPr>
              <w:t>/次。</w:t>
            </w:r>
          </w:p>
        </w:tc>
      </w:tr>
      <w:tr w14:paraId="5CCCC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13" w:type="dxa"/>
            <w:tcBorders>
              <w:top w:val="single" w:color="auto" w:sz="4" w:space="0"/>
              <w:left w:val="single" w:color="auto" w:sz="4" w:space="0"/>
              <w:right w:val="single" w:color="auto" w:sz="4" w:space="0"/>
            </w:tcBorders>
            <w:noWrap w:val="0"/>
            <w:vAlign w:val="center"/>
          </w:tcPr>
          <w:p w14:paraId="656B8C35">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信息安全</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7C9F2BF4">
            <w:pPr>
              <w:keepNext w:val="0"/>
              <w:keepLines w:val="0"/>
              <w:pageBreakBefore w:val="0"/>
              <w:widowControl w:val="0"/>
              <w:suppressLineNumbers w:val="0"/>
              <w:kinsoku/>
              <w:wordWrap/>
              <w:overflowPunct/>
              <w:topLinePunct w:val="0"/>
              <w:autoSpaceDE/>
              <w:autoSpaceDN/>
              <w:bidi w:val="0"/>
              <w:adjustRightInd w:val="0"/>
              <w:snapToGrid/>
              <w:spacing w:before="0" w:beforeAutospacing="0" w:afterAutospacing="0" w:line="360" w:lineRule="auto"/>
              <w:ind w:left="0" w:leftChars="0" w:right="0" w:rightChars="0" w:firstLine="0" w:firstLineChars="0"/>
              <w:jc w:val="left"/>
              <w:textAlignment w:val="baseline"/>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
              </w:rPr>
              <w:t>帐号、密码、文本文件等机密资料泄密</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6C7582B8">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0分，造成安全事故的，除消除影响，弥补损失外，扣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0分；情节严重的，取消其维护资格。</w:t>
            </w:r>
          </w:p>
        </w:tc>
      </w:tr>
      <w:tr w14:paraId="0906D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13" w:type="dxa"/>
            <w:tcBorders>
              <w:top w:val="single" w:color="auto" w:sz="4" w:space="0"/>
              <w:left w:val="single" w:color="auto" w:sz="4" w:space="0"/>
              <w:bottom w:val="single" w:color="auto" w:sz="4" w:space="0"/>
              <w:right w:val="single" w:color="auto" w:sz="4" w:space="0"/>
            </w:tcBorders>
            <w:noWrap w:val="0"/>
            <w:vAlign w:val="center"/>
          </w:tcPr>
          <w:p w14:paraId="5BE23F75">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主动优化</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47379E2F">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在工作中主动提出优化建议</w:t>
            </w:r>
            <w:r>
              <w:rPr>
                <w:rFonts w:hint="eastAsia" w:ascii="宋体" w:hAnsi="宋体" w:eastAsia="宋体" w:cs="宋体"/>
                <w:color w:val="auto"/>
                <w:sz w:val="21"/>
                <w:szCs w:val="21"/>
                <w:highlight w:val="none"/>
                <w:lang w:val="en-US" w:eastAsia="zh-CN"/>
              </w:rPr>
              <w:t>并被用户实际采纳与落实，有效提升效率</w:t>
            </w:r>
            <w:r>
              <w:rPr>
                <w:rFonts w:hint="eastAsia" w:ascii="宋体" w:hAnsi="宋体" w:eastAsia="宋体" w:cs="宋体"/>
                <w:color w:val="auto"/>
                <w:sz w:val="21"/>
                <w:szCs w:val="21"/>
                <w:highlight w:val="none"/>
              </w:rPr>
              <w:t>。</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4ECE7C0E">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根据影响情况加5-10分</w:t>
            </w:r>
            <w:r>
              <w:rPr>
                <w:rFonts w:hint="eastAsia" w:ascii="宋体" w:hAnsi="宋体" w:eastAsia="宋体" w:cs="宋体"/>
                <w:color w:val="auto"/>
                <w:kern w:val="2"/>
                <w:sz w:val="21"/>
                <w:szCs w:val="21"/>
                <w:highlight w:val="none"/>
                <w:lang w:val="en-US" w:eastAsia="zh-CN" w:bidi="ar"/>
              </w:rPr>
              <w:t>/次。</w:t>
            </w:r>
          </w:p>
        </w:tc>
      </w:tr>
      <w:tr w14:paraId="2F0CC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13" w:type="dxa"/>
            <w:tcBorders>
              <w:top w:val="single" w:color="auto" w:sz="4" w:space="0"/>
              <w:left w:val="single" w:color="auto" w:sz="4" w:space="0"/>
              <w:bottom w:val="single" w:color="auto" w:sz="4" w:space="0"/>
              <w:right w:val="single" w:color="auto" w:sz="4" w:space="0"/>
            </w:tcBorders>
            <w:noWrap w:val="0"/>
            <w:vAlign w:val="center"/>
          </w:tcPr>
          <w:p w14:paraId="14AAC256">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创新解决方案</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73D258F6">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针对复杂问题提出创新性解决方案，解决长期存在的难题</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126B696B">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根据影响情况加10-20分</w:t>
            </w:r>
            <w:r>
              <w:rPr>
                <w:rFonts w:hint="eastAsia" w:ascii="宋体" w:hAnsi="宋体" w:eastAsia="宋体" w:cs="宋体"/>
                <w:color w:val="auto"/>
                <w:kern w:val="2"/>
                <w:sz w:val="21"/>
                <w:szCs w:val="21"/>
                <w:highlight w:val="none"/>
                <w:lang w:val="en-US" w:eastAsia="zh-CN" w:bidi="ar"/>
              </w:rPr>
              <w:t>/次。</w:t>
            </w:r>
          </w:p>
        </w:tc>
      </w:tr>
      <w:tr w14:paraId="1ADD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tcBorders>
              <w:top w:val="single" w:color="auto" w:sz="4" w:space="0"/>
              <w:left w:val="single" w:color="auto" w:sz="4" w:space="0"/>
              <w:bottom w:val="single" w:color="auto" w:sz="4" w:space="0"/>
              <w:right w:val="single" w:color="auto" w:sz="4" w:space="0"/>
            </w:tcBorders>
            <w:noWrap w:val="0"/>
            <w:vAlign w:val="center"/>
          </w:tcPr>
          <w:p w14:paraId="1FB44F8F">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重大故障处理</w:t>
            </w:r>
          </w:p>
        </w:tc>
        <w:tc>
          <w:tcPr>
            <w:tcW w:w="3281" w:type="dxa"/>
            <w:tcBorders>
              <w:top w:val="single" w:color="auto" w:sz="4" w:space="0"/>
              <w:left w:val="single" w:color="auto" w:sz="4" w:space="0"/>
              <w:bottom w:val="single" w:color="auto" w:sz="4" w:space="0"/>
              <w:right w:val="single" w:color="auto" w:sz="4" w:space="0"/>
            </w:tcBorders>
            <w:noWrap w:val="0"/>
            <w:vAlign w:val="center"/>
          </w:tcPr>
          <w:p w14:paraId="4886AF60">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在处理重大故障中表现出色，快速恢复系统，减少损失。</w:t>
            </w:r>
          </w:p>
        </w:tc>
        <w:tc>
          <w:tcPr>
            <w:tcW w:w="5260" w:type="dxa"/>
            <w:tcBorders>
              <w:top w:val="single" w:color="auto" w:sz="4" w:space="0"/>
              <w:left w:val="single" w:color="auto" w:sz="4" w:space="0"/>
              <w:bottom w:val="single" w:color="auto" w:sz="4" w:space="0"/>
              <w:right w:val="single" w:color="auto" w:sz="4" w:space="0"/>
            </w:tcBorders>
            <w:noWrap w:val="0"/>
            <w:vAlign w:val="center"/>
          </w:tcPr>
          <w:p w14:paraId="1801B27A">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根据影响情况加10-20分</w:t>
            </w:r>
            <w:r>
              <w:rPr>
                <w:rFonts w:hint="eastAsia" w:ascii="宋体" w:hAnsi="宋体" w:eastAsia="宋体" w:cs="宋体"/>
                <w:color w:val="auto"/>
                <w:kern w:val="2"/>
                <w:sz w:val="21"/>
                <w:szCs w:val="21"/>
                <w:highlight w:val="none"/>
                <w:lang w:val="en-US" w:eastAsia="zh-CN" w:bidi="ar"/>
              </w:rPr>
              <w:t>/次。</w:t>
            </w:r>
          </w:p>
        </w:tc>
      </w:tr>
    </w:tbl>
    <w:p w14:paraId="330D240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cs="宋体"/>
          <w:color w:val="auto"/>
          <w:highlight w:val="none"/>
          <w:lang w:val="en-US" w:eastAsia="zh-CN"/>
        </w:rPr>
        <w:t>2.</w:t>
      </w:r>
      <w:r>
        <w:rPr>
          <w:rFonts w:hint="eastAsia" w:ascii="宋体" w:hAnsi="宋体" w:eastAsia="宋体" w:cs="宋体"/>
          <w:color w:val="auto"/>
          <w:highlight w:val="none"/>
        </w:rPr>
        <w:t>未满足本项目“服务内容”要求的，每次扣除合同结算款500元（本项扣款总额不超过合同总金额的20%，扣完为止），引起系统瘫痪等严重后果的，</w:t>
      </w:r>
      <w:r>
        <w:rPr>
          <w:rFonts w:hint="eastAsia" w:cs="宋体"/>
          <w:color w:val="auto"/>
          <w:highlight w:val="none"/>
          <w:lang w:eastAsia="zh-CN"/>
        </w:rPr>
        <w:t>甲方</w:t>
      </w:r>
      <w:r>
        <w:rPr>
          <w:rFonts w:hint="eastAsia" w:ascii="宋体" w:hAnsi="宋体" w:eastAsia="宋体" w:cs="宋体"/>
          <w:color w:val="auto"/>
          <w:highlight w:val="none"/>
        </w:rPr>
        <w:t>有权无条件终止合同，相关责任由</w:t>
      </w:r>
      <w:r>
        <w:rPr>
          <w:rFonts w:hint="eastAsia" w:cs="宋体"/>
          <w:color w:val="auto"/>
          <w:highlight w:val="none"/>
          <w:lang w:eastAsia="zh-CN"/>
        </w:rPr>
        <w:t>乙方</w:t>
      </w:r>
      <w:r>
        <w:rPr>
          <w:rFonts w:hint="eastAsia" w:ascii="宋体" w:hAnsi="宋体" w:eastAsia="宋体" w:cs="宋体"/>
          <w:color w:val="auto"/>
          <w:highlight w:val="none"/>
        </w:rPr>
        <w:t>负责。</w:t>
      </w:r>
    </w:p>
    <w:p w14:paraId="592E835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cs="宋体"/>
          <w:color w:val="auto"/>
          <w:highlight w:val="none"/>
          <w:lang w:val="en-US" w:eastAsia="zh-CN"/>
        </w:rPr>
        <w:t>3.</w:t>
      </w:r>
      <w:r>
        <w:rPr>
          <w:rFonts w:hint="eastAsia" w:ascii="宋体" w:hAnsi="宋体" w:eastAsia="宋体" w:cs="宋体"/>
          <w:color w:val="auto"/>
          <w:highlight w:val="none"/>
        </w:rPr>
        <w:t>未满足本项目“应急服务响应时间要求”，每次响应到达维修现场超过响应承诺30分钟以上的，每30分钟扣除合同结算款500元（本项扣款总额不超过合同总金额的20%，扣完为止）。因响应迟缓，延误抢修时机，造成系统事故的，</w:t>
      </w:r>
      <w:r>
        <w:rPr>
          <w:rFonts w:hint="eastAsia" w:cs="宋体"/>
          <w:color w:val="auto"/>
          <w:highlight w:val="none"/>
          <w:lang w:eastAsia="zh-CN"/>
        </w:rPr>
        <w:t>甲方</w:t>
      </w:r>
      <w:r>
        <w:rPr>
          <w:rFonts w:hint="eastAsia" w:ascii="宋体" w:hAnsi="宋体" w:eastAsia="宋体" w:cs="宋体"/>
          <w:color w:val="auto"/>
          <w:highlight w:val="none"/>
        </w:rPr>
        <w:t>有权无条件终止合同，相关责任由</w:t>
      </w:r>
      <w:r>
        <w:rPr>
          <w:rFonts w:hint="eastAsia" w:cs="宋体"/>
          <w:color w:val="auto"/>
          <w:highlight w:val="none"/>
          <w:lang w:eastAsia="zh-CN"/>
        </w:rPr>
        <w:t>乙方</w:t>
      </w:r>
      <w:r>
        <w:rPr>
          <w:rFonts w:hint="eastAsia" w:ascii="宋体" w:hAnsi="宋体" w:eastAsia="宋体" w:cs="宋体"/>
          <w:color w:val="auto"/>
          <w:highlight w:val="none"/>
        </w:rPr>
        <w:t>负责。</w:t>
      </w:r>
    </w:p>
    <w:p w14:paraId="6793CED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rPr>
      </w:pPr>
      <w:r>
        <w:rPr>
          <w:rFonts w:hint="eastAsia" w:cs="宋体"/>
          <w:color w:val="auto"/>
          <w:highlight w:val="none"/>
          <w:lang w:val="en-US" w:eastAsia="zh-CN"/>
        </w:rPr>
        <w:t>4.</w:t>
      </w:r>
      <w:r>
        <w:rPr>
          <w:rFonts w:hint="eastAsia" w:cs="宋体"/>
          <w:color w:val="auto"/>
          <w:highlight w:val="none"/>
          <w:lang w:eastAsia="zh-CN"/>
        </w:rPr>
        <w:t>乙方</w:t>
      </w:r>
      <w:r>
        <w:rPr>
          <w:rFonts w:hint="eastAsia" w:ascii="宋体" w:hAnsi="宋体" w:eastAsia="宋体" w:cs="宋体"/>
          <w:color w:val="auto"/>
          <w:highlight w:val="none"/>
        </w:rPr>
        <w:t>违反本项目“安全及保密要求”的，</w:t>
      </w:r>
      <w:r>
        <w:rPr>
          <w:rFonts w:hint="eastAsia" w:cs="宋体"/>
          <w:color w:val="auto"/>
          <w:highlight w:val="none"/>
          <w:lang w:val="en-US" w:eastAsia="zh-CN"/>
        </w:rPr>
        <w:t>甲方</w:t>
      </w:r>
      <w:r>
        <w:rPr>
          <w:rFonts w:hint="eastAsia" w:ascii="宋体" w:hAnsi="宋体" w:eastAsia="宋体" w:cs="宋体"/>
          <w:color w:val="auto"/>
          <w:highlight w:val="none"/>
        </w:rPr>
        <w:t>有权无条件终止合同，扣除所有履约保证金并依法追究</w:t>
      </w:r>
      <w:r>
        <w:rPr>
          <w:rFonts w:hint="eastAsia" w:cs="宋体"/>
          <w:color w:val="auto"/>
          <w:highlight w:val="none"/>
          <w:lang w:val="en-US" w:eastAsia="zh-CN"/>
        </w:rPr>
        <w:t>乙方</w:t>
      </w:r>
      <w:r>
        <w:rPr>
          <w:rFonts w:hint="eastAsia" w:ascii="宋体" w:hAnsi="宋体" w:eastAsia="宋体" w:cs="宋体"/>
          <w:color w:val="auto"/>
          <w:highlight w:val="none"/>
        </w:rPr>
        <w:t>责任。</w:t>
      </w:r>
    </w:p>
    <w:p w14:paraId="6CDE69C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highlight w:val="none"/>
          <w:lang w:val="en-US" w:eastAsia="zh-CN"/>
        </w:rPr>
      </w:pPr>
    </w:p>
    <w:p w14:paraId="0C3FE48E">
      <w:pPr>
        <w:pStyle w:val="41"/>
        <w:widowControl w:val="0"/>
        <w:shd w:val="clear" w:color="auto" w:fill="FFFFFF"/>
        <w:spacing w:before="0" w:beforeAutospacing="0" w:after="0" w:afterAutospacing="0" w:line="360" w:lineRule="auto"/>
        <w:jc w:val="both"/>
        <w:outlineLvl w:val="1"/>
        <w:rPr>
          <w:b/>
          <w:bCs/>
          <w:color w:val="auto"/>
          <w:sz w:val="21"/>
          <w:szCs w:val="21"/>
          <w:highlight w:val="none"/>
        </w:rPr>
      </w:pPr>
      <w:r>
        <w:rPr>
          <w:rFonts w:hint="eastAsia"/>
          <w:b/>
          <w:bCs/>
          <w:color w:val="auto"/>
          <w:sz w:val="21"/>
          <w:szCs w:val="21"/>
          <w:highlight w:val="none"/>
          <w:lang w:val="en-US" w:eastAsia="zh-CN"/>
        </w:rPr>
        <w:t>十一、</w:t>
      </w:r>
      <w:r>
        <w:rPr>
          <w:rFonts w:hint="eastAsia"/>
          <w:b/>
          <w:bCs/>
          <w:color w:val="auto"/>
          <w:sz w:val="21"/>
          <w:szCs w:val="21"/>
          <w:highlight w:val="none"/>
        </w:rPr>
        <w:t>争议的</w:t>
      </w:r>
      <w:r>
        <w:rPr>
          <w:rFonts w:hint="eastAsia" w:ascii="宋体" w:hAnsi="宋体" w:eastAsia="宋体" w:cs="Times New Roman"/>
          <w:b/>
          <w:bCs/>
          <w:color w:val="auto"/>
          <w:sz w:val="21"/>
          <w:szCs w:val="21"/>
          <w:highlight w:val="none"/>
        </w:rPr>
        <w:t>解决</w:t>
      </w:r>
      <w:bookmarkEnd w:id="162"/>
    </w:p>
    <w:p w14:paraId="3179850C">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lang w:val="en-US" w:eastAsia="zh-CN"/>
        </w:rPr>
        <w:t>1.</w:t>
      </w:r>
      <w:r>
        <w:rPr>
          <w:rFonts w:hint="eastAsia"/>
          <w:color w:val="auto"/>
          <w:sz w:val="21"/>
          <w:szCs w:val="21"/>
          <w:highlight w:val="none"/>
        </w:rPr>
        <w:t>合同执行过程中发生的任何争议，如双方不能通过友好协商解决，任一方可向甲方所在地人民法院提起诉讼。</w:t>
      </w:r>
    </w:p>
    <w:p w14:paraId="13012381">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lang w:val="en-US" w:eastAsia="zh-CN"/>
        </w:rPr>
        <w:t>2.</w:t>
      </w:r>
      <w:r>
        <w:rPr>
          <w:rFonts w:hint="eastAsia"/>
          <w:color w:val="auto"/>
          <w:sz w:val="21"/>
          <w:szCs w:val="21"/>
          <w:highlight w:val="none"/>
        </w:rPr>
        <w:t>违约方应承担守约方因此支付的律师费、鉴定费、保全费等费用。</w:t>
      </w:r>
    </w:p>
    <w:p w14:paraId="1F715177">
      <w:pPr>
        <w:pStyle w:val="41"/>
        <w:widowControl w:val="0"/>
        <w:shd w:val="clear" w:color="auto" w:fill="FFFFFF"/>
        <w:spacing w:before="0" w:beforeAutospacing="0" w:after="0" w:afterAutospacing="0" w:line="360" w:lineRule="auto"/>
        <w:ind w:firstLine="420" w:firstLineChars="200"/>
        <w:jc w:val="both"/>
        <w:rPr>
          <w:color w:val="auto"/>
          <w:sz w:val="21"/>
          <w:szCs w:val="21"/>
          <w:highlight w:val="none"/>
        </w:rPr>
      </w:pPr>
      <w:r>
        <w:rPr>
          <w:rFonts w:cs="Helvetica"/>
          <w:color w:val="auto"/>
          <w:sz w:val="21"/>
          <w:szCs w:val="21"/>
          <w:highlight w:val="none"/>
        </w:rPr>
        <w:t> </w:t>
      </w:r>
      <w:r>
        <w:rPr>
          <w:rFonts w:hint="eastAsia"/>
          <w:color w:val="auto"/>
          <w:sz w:val="21"/>
          <w:szCs w:val="21"/>
          <w:highlight w:val="none"/>
        </w:rPr>
        <w:t> </w:t>
      </w:r>
      <w:r>
        <w:rPr>
          <w:rFonts w:cs="Helvetica"/>
          <w:color w:val="auto"/>
          <w:sz w:val="21"/>
          <w:szCs w:val="21"/>
          <w:highlight w:val="none"/>
        </w:rPr>
        <w:t>  </w:t>
      </w:r>
      <w:r>
        <w:rPr>
          <w:rStyle w:val="99"/>
          <w:rFonts w:hint="eastAsia"/>
          <w:color w:val="auto"/>
          <w:sz w:val="21"/>
          <w:szCs w:val="21"/>
          <w:highlight w:val="none"/>
        </w:rPr>
        <w:t> </w:t>
      </w:r>
      <w:r>
        <w:rPr>
          <w:rFonts w:cs="Helvetica"/>
          <w:color w:val="auto"/>
          <w:sz w:val="21"/>
          <w:szCs w:val="21"/>
          <w:highlight w:val="none"/>
        </w:rPr>
        <w:t> </w:t>
      </w:r>
    </w:p>
    <w:p w14:paraId="75EC3406">
      <w:pPr>
        <w:pStyle w:val="41"/>
        <w:widowControl w:val="0"/>
        <w:shd w:val="clear" w:color="auto" w:fill="FFFFFF"/>
        <w:spacing w:before="0" w:beforeAutospacing="0" w:after="0" w:afterAutospacing="0" w:line="360" w:lineRule="auto"/>
        <w:jc w:val="both"/>
        <w:outlineLvl w:val="1"/>
        <w:rPr>
          <w:b/>
          <w:bCs/>
          <w:color w:val="auto"/>
          <w:sz w:val="21"/>
          <w:szCs w:val="21"/>
          <w:highlight w:val="none"/>
        </w:rPr>
      </w:pPr>
      <w:bookmarkStart w:id="163" w:name="_Toc31464"/>
      <w:r>
        <w:rPr>
          <w:rFonts w:hint="eastAsia"/>
          <w:b/>
          <w:bCs/>
          <w:color w:val="auto"/>
          <w:sz w:val="21"/>
          <w:szCs w:val="21"/>
          <w:highlight w:val="none"/>
        </w:rPr>
        <w:t>十</w:t>
      </w:r>
      <w:r>
        <w:rPr>
          <w:rFonts w:hint="eastAsia"/>
          <w:b/>
          <w:bCs/>
          <w:color w:val="auto"/>
          <w:sz w:val="21"/>
          <w:szCs w:val="21"/>
          <w:highlight w:val="none"/>
          <w:lang w:val="en-US" w:eastAsia="zh-CN"/>
        </w:rPr>
        <w:t>二</w:t>
      </w:r>
      <w:r>
        <w:rPr>
          <w:rFonts w:hint="eastAsia"/>
          <w:b/>
          <w:bCs/>
          <w:color w:val="auto"/>
          <w:sz w:val="21"/>
          <w:szCs w:val="21"/>
          <w:highlight w:val="none"/>
        </w:rPr>
        <w:t>、</w:t>
      </w:r>
      <w:r>
        <w:rPr>
          <w:rFonts w:hint="eastAsia" w:ascii="宋体" w:hAnsi="宋体" w:eastAsia="宋体" w:cs="Times New Roman"/>
          <w:b/>
          <w:bCs/>
          <w:color w:val="auto"/>
          <w:sz w:val="21"/>
          <w:szCs w:val="21"/>
          <w:highlight w:val="none"/>
        </w:rPr>
        <w:t>不可抗力</w:t>
      </w:r>
      <w:bookmarkEnd w:id="163"/>
    </w:p>
    <w:p w14:paraId="396CAC27">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rPr>
        <w:t>任何一方由于不可抗力原因不能履行合同时，应在不可抗力事件结束后</w:t>
      </w:r>
      <w:r>
        <w:rPr>
          <w:color w:val="auto"/>
          <w:sz w:val="21"/>
          <w:szCs w:val="21"/>
          <w:highlight w:val="none"/>
        </w:rPr>
        <w:t>1</w:t>
      </w:r>
      <w:r>
        <w:rPr>
          <w:rFonts w:hint="eastAsia"/>
          <w:color w:val="auto"/>
          <w:sz w:val="21"/>
          <w:szCs w:val="21"/>
          <w:highlight w:val="none"/>
        </w:rPr>
        <w:t>日内向对方通报，以减轻可能给对方造成的损失，在取得有关机构的不可抗力证明或双方谅解确认后，允许延期履行或修订合同，并根据情况可部分或全部免于承担违约责任。</w:t>
      </w:r>
    </w:p>
    <w:p w14:paraId="24BBA580">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p>
    <w:p w14:paraId="6112C066">
      <w:pPr>
        <w:pStyle w:val="41"/>
        <w:widowControl w:val="0"/>
        <w:shd w:val="clear" w:color="auto" w:fill="FFFFFF"/>
        <w:spacing w:before="0" w:beforeAutospacing="0" w:after="0" w:afterAutospacing="0" w:line="360" w:lineRule="auto"/>
        <w:jc w:val="both"/>
        <w:outlineLvl w:val="1"/>
        <w:rPr>
          <w:b/>
          <w:bCs/>
          <w:color w:val="auto"/>
          <w:sz w:val="21"/>
          <w:szCs w:val="21"/>
          <w:highlight w:val="none"/>
        </w:rPr>
      </w:pPr>
      <w:bookmarkStart w:id="164" w:name="_Toc29667"/>
      <w:r>
        <w:rPr>
          <w:rFonts w:hint="eastAsia"/>
          <w:b/>
          <w:bCs/>
          <w:color w:val="auto"/>
          <w:sz w:val="21"/>
          <w:szCs w:val="21"/>
          <w:highlight w:val="none"/>
        </w:rPr>
        <w:t>十</w:t>
      </w:r>
      <w:r>
        <w:rPr>
          <w:rFonts w:hint="eastAsia"/>
          <w:b/>
          <w:bCs/>
          <w:color w:val="auto"/>
          <w:sz w:val="21"/>
          <w:szCs w:val="21"/>
          <w:highlight w:val="none"/>
          <w:lang w:val="en-US" w:eastAsia="zh-CN"/>
        </w:rPr>
        <w:t>三</w:t>
      </w:r>
      <w:r>
        <w:rPr>
          <w:rFonts w:hint="eastAsia"/>
          <w:b/>
          <w:bCs/>
          <w:color w:val="auto"/>
          <w:sz w:val="21"/>
          <w:szCs w:val="21"/>
          <w:highlight w:val="none"/>
        </w:rPr>
        <w:t>、</w:t>
      </w:r>
      <w:r>
        <w:rPr>
          <w:rFonts w:hint="eastAsia" w:ascii="宋体" w:hAnsi="宋体" w:eastAsia="宋体" w:cs="Times New Roman"/>
          <w:b/>
          <w:bCs/>
          <w:color w:val="auto"/>
          <w:sz w:val="21"/>
          <w:szCs w:val="21"/>
          <w:highlight w:val="none"/>
        </w:rPr>
        <w:t>税费</w:t>
      </w:r>
      <w:bookmarkEnd w:id="164"/>
    </w:p>
    <w:p w14:paraId="1B2D4254">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rPr>
        <w:t>在中国境内、外发生的与本合同执行有关的一切税费均由乙方负担。</w:t>
      </w:r>
    </w:p>
    <w:p w14:paraId="4C091DB0">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p>
    <w:p w14:paraId="485D5CE5">
      <w:pPr>
        <w:pStyle w:val="41"/>
        <w:widowControl w:val="0"/>
        <w:shd w:val="clear" w:color="auto" w:fill="FFFFFF"/>
        <w:spacing w:before="0" w:beforeAutospacing="0" w:after="0" w:afterAutospacing="0" w:line="360" w:lineRule="auto"/>
        <w:jc w:val="both"/>
        <w:outlineLvl w:val="1"/>
        <w:rPr>
          <w:b/>
          <w:bCs/>
          <w:color w:val="auto"/>
          <w:sz w:val="21"/>
          <w:szCs w:val="21"/>
          <w:highlight w:val="none"/>
        </w:rPr>
      </w:pPr>
      <w:bookmarkStart w:id="165" w:name="_Toc12683"/>
      <w:r>
        <w:rPr>
          <w:rFonts w:hint="eastAsia"/>
          <w:b/>
          <w:bCs/>
          <w:color w:val="auto"/>
          <w:sz w:val="21"/>
          <w:szCs w:val="21"/>
          <w:highlight w:val="none"/>
        </w:rPr>
        <w:t>十</w:t>
      </w:r>
      <w:r>
        <w:rPr>
          <w:rFonts w:hint="eastAsia"/>
          <w:b/>
          <w:bCs/>
          <w:color w:val="auto"/>
          <w:sz w:val="21"/>
          <w:szCs w:val="21"/>
          <w:highlight w:val="none"/>
          <w:lang w:val="en-US" w:eastAsia="zh-CN"/>
        </w:rPr>
        <w:t>四</w:t>
      </w:r>
      <w:r>
        <w:rPr>
          <w:rFonts w:hint="eastAsia"/>
          <w:b/>
          <w:bCs/>
          <w:color w:val="auto"/>
          <w:sz w:val="21"/>
          <w:szCs w:val="21"/>
          <w:highlight w:val="none"/>
        </w:rPr>
        <w:t>、</w:t>
      </w:r>
      <w:r>
        <w:rPr>
          <w:rFonts w:hint="eastAsia" w:ascii="宋体" w:hAnsi="宋体" w:eastAsia="宋体" w:cs="Times New Roman"/>
          <w:b/>
          <w:bCs/>
          <w:color w:val="auto"/>
          <w:sz w:val="21"/>
          <w:szCs w:val="21"/>
          <w:highlight w:val="none"/>
        </w:rPr>
        <w:t>其它</w:t>
      </w:r>
      <w:bookmarkEnd w:id="165"/>
    </w:p>
    <w:p w14:paraId="0DA9867D">
      <w:pPr>
        <w:pStyle w:val="41"/>
        <w:widowControl w:val="0"/>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1.本合同所有附件、采购文件、投标（响应）文件、中标（成交）通知书均为合同的有效组成部分，与本合同具有同等法律效力。</w:t>
      </w:r>
    </w:p>
    <w:p w14:paraId="5B8C50D2">
      <w:pPr>
        <w:pStyle w:val="41"/>
        <w:widowControl w:val="0"/>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2.在执行本合同的过程中，所有经双方签署确认的文件（包括会议纪要、补充协议、往来信函）即成为本合同的有效组成部分。</w:t>
      </w:r>
    </w:p>
    <w:p w14:paraId="2E01E106">
      <w:pPr>
        <w:pStyle w:val="41"/>
        <w:widowControl w:val="0"/>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3.如一方地址、电话、传真号码有变更，应在变更当日内书面通知对方，否则，应承担相应责任。</w:t>
      </w:r>
    </w:p>
    <w:p w14:paraId="04E3101A">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rPr>
        <w:t>4.除甲方事先书面同意外，乙方不得部分或全部转让其应履行的合同项下的义务。</w:t>
      </w:r>
    </w:p>
    <w:p w14:paraId="127AA18C">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p>
    <w:p w14:paraId="038D836F">
      <w:pPr>
        <w:pStyle w:val="41"/>
        <w:widowControl w:val="0"/>
        <w:shd w:val="clear" w:color="auto" w:fill="FFFFFF"/>
        <w:spacing w:before="0" w:beforeAutospacing="0" w:after="0" w:afterAutospacing="0" w:line="360" w:lineRule="auto"/>
        <w:jc w:val="both"/>
        <w:outlineLvl w:val="1"/>
        <w:rPr>
          <w:b/>
          <w:bCs/>
          <w:color w:val="auto"/>
          <w:sz w:val="21"/>
          <w:szCs w:val="21"/>
          <w:highlight w:val="none"/>
        </w:rPr>
      </w:pPr>
      <w:bookmarkStart w:id="166" w:name="_Toc30968"/>
      <w:r>
        <w:rPr>
          <w:rFonts w:hint="eastAsia"/>
          <w:b/>
          <w:bCs/>
          <w:color w:val="auto"/>
          <w:sz w:val="21"/>
          <w:szCs w:val="21"/>
          <w:highlight w:val="none"/>
        </w:rPr>
        <w:t>十</w:t>
      </w:r>
      <w:r>
        <w:rPr>
          <w:rFonts w:hint="eastAsia"/>
          <w:b/>
          <w:bCs/>
          <w:color w:val="auto"/>
          <w:sz w:val="21"/>
          <w:szCs w:val="21"/>
          <w:highlight w:val="none"/>
          <w:lang w:val="en-US" w:eastAsia="zh-CN"/>
        </w:rPr>
        <w:t>五</w:t>
      </w:r>
      <w:r>
        <w:rPr>
          <w:rFonts w:hint="eastAsia"/>
          <w:b/>
          <w:bCs/>
          <w:color w:val="auto"/>
          <w:sz w:val="21"/>
          <w:szCs w:val="21"/>
          <w:highlight w:val="none"/>
        </w:rPr>
        <w:t>、合同</w:t>
      </w:r>
      <w:r>
        <w:rPr>
          <w:rFonts w:hint="eastAsia" w:ascii="宋体" w:hAnsi="宋体" w:eastAsia="宋体" w:cs="Times New Roman"/>
          <w:b/>
          <w:bCs/>
          <w:color w:val="auto"/>
          <w:sz w:val="21"/>
          <w:szCs w:val="21"/>
          <w:highlight w:val="none"/>
        </w:rPr>
        <w:t>生效</w:t>
      </w:r>
      <w:bookmarkEnd w:id="166"/>
    </w:p>
    <w:p w14:paraId="4569D6DA">
      <w:pPr>
        <w:pStyle w:val="41"/>
        <w:widowControl w:val="0"/>
        <w:shd w:val="clear" w:color="auto" w:fill="FFFFFF"/>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1.本合同在甲乙双方法人代表或其授权代表签字盖章后生效。</w:t>
      </w:r>
    </w:p>
    <w:p w14:paraId="591FE89F">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rPr>
        <w:t>2.合同一式</w:t>
      </w:r>
      <w:r>
        <w:rPr>
          <w:rFonts w:hint="eastAsia"/>
          <w:color w:val="auto"/>
          <w:sz w:val="21"/>
          <w:szCs w:val="21"/>
          <w:highlight w:val="none"/>
          <w:u w:val="single"/>
        </w:rPr>
        <w:t>  </w:t>
      </w:r>
      <w:r>
        <w:rPr>
          <w:rFonts w:hint="eastAsia"/>
          <w:color w:val="auto"/>
          <w:sz w:val="21"/>
          <w:szCs w:val="21"/>
          <w:highlight w:val="none"/>
        </w:rPr>
        <w:t>份</w:t>
      </w:r>
      <w:r>
        <w:rPr>
          <w:rFonts w:hint="eastAsia"/>
          <w:color w:val="auto"/>
          <w:sz w:val="21"/>
          <w:szCs w:val="21"/>
          <w:highlight w:val="none"/>
          <w:lang w:eastAsia="zh-CN"/>
        </w:rPr>
        <w:t>，</w:t>
      </w:r>
      <w:r>
        <w:rPr>
          <w:rFonts w:hint="eastAsia"/>
          <w:color w:val="auto"/>
          <w:sz w:val="21"/>
          <w:szCs w:val="21"/>
          <w:highlight w:val="none"/>
          <w:lang w:val="en-US" w:eastAsia="zh-CN"/>
        </w:rPr>
        <w:t>甲方执</w:t>
      </w:r>
      <w:r>
        <w:rPr>
          <w:rFonts w:hint="eastAsia"/>
          <w:color w:val="auto"/>
          <w:sz w:val="21"/>
          <w:szCs w:val="21"/>
          <w:highlight w:val="none"/>
          <w:u w:val="single"/>
        </w:rPr>
        <w:t>  </w:t>
      </w:r>
      <w:r>
        <w:rPr>
          <w:rFonts w:hint="eastAsia"/>
          <w:color w:val="auto"/>
          <w:sz w:val="21"/>
          <w:szCs w:val="21"/>
          <w:highlight w:val="none"/>
        </w:rPr>
        <w:t>份</w:t>
      </w:r>
      <w:r>
        <w:rPr>
          <w:rFonts w:hint="eastAsia"/>
          <w:color w:val="auto"/>
          <w:sz w:val="21"/>
          <w:szCs w:val="21"/>
          <w:highlight w:val="none"/>
          <w:lang w:eastAsia="zh-CN"/>
        </w:rPr>
        <w:t>，</w:t>
      </w:r>
      <w:r>
        <w:rPr>
          <w:rFonts w:hint="eastAsia"/>
          <w:color w:val="auto"/>
          <w:sz w:val="21"/>
          <w:szCs w:val="21"/>
          <w:highlight w:val="none"/>
          <w:lang w:val="en-US" w:eastAsia="zh-CN"/>
        </w:rPr>
        <w:t>乙方执</w:t>
      </w:r>
      <w:r>
        <w:rPr>
          <w:rFonts w:hint="eastAsia"/>
          <w:color w:val="auto"/>
          <w:sz w:val="21"/>
          <w:szCs w:val="21"/>
          <w:highlight w:val="none"/>
          <w:u w:val="single"/>
        </w:rPr>
        <w:t>  </w:t>
      </w:r>
      <w:r>
        <w:rPr>
          <w:rFonts w:hint="eastAsia"/>
          <w:color w:val="auto"/>
          <w:sz w:val="21"/>
          <w:szCs w:val="21"/>
          <w:highlight w:val="none"/>
        </w:rPr>
        <w:t>份。</w:t>
      </w:r>
    </w:p>
    <w:p w14:paraId="6360E746">
      <w:pPr>
        <w:pStyle w:val="41"/>
        <w:widowControl w:val="0"/>
        <w:shd w:val="clear" w:color="auto" w:fill="FFFFFF"/>
        <w:spacing w:before="0" w:beforeAutospacing="0" w:after="0" w:afterAutospacing="0" w:line="360" w:lineRule="auto"/>
        <w:ind w:firstLine="420" w:firstLineChars="200"/>
        <w:jc w:val="both"/>
        <w:rPr>
          <w:rFonts w:hint="eastAsia"/>
          <w:color w:val="auto"/>
          <w:sz w:val="21"/>
          <w:szCs w:val="21"/>
          <w:highlight w:val="none"/>
        </w:rPr>
      </w:pPr>
    </w:p>
    <w:p w14:paraId="3BDBE367">
      <w:pPr>
        <w:pStyle w:val="41"/>
        <w:widowControl w:val="0"/>
        <w:shd w:val="clear" w:color="auto" w:fill="FFFFFF"/>
        <w:spacing w:before="0" w:beforeAutospacing="0" w:after="0" w:afterAutospacing="0" w:line="360" w:lineRule="auto"/>
        <w:ind w:firstLine="420"/>
        <w:jc w:val="both"/>
        <w:rPr>
          <w:rFonts w:cs="Helvetica"/>
          <w:color w:val="auto"/>
          <w:sz w:val="21"/>
          <w:szCs w:val="21"/>
          <w:highlight w:val="none"/>
        </w:rPr>
      </w:pPr>
    </w:p>
    <w:tbl>
      <w:tblPr>
        <w:tblStyle w:val="47"/>
        <w:tblW w:w="98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68ACB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27" w:type="dxa"/>
          </w:tcPr>
          <w:p w14:paraId="13DA7DDE">
            <w:pPr>
              <w:pStyle w:val="41"/>
              <w:widowControl w:val="0"/>
              <w:spacing w:before="0" w:beforeAutospacing="0" w:after="0" w:afterAutospacing="0" w:line="360" w:lineRule="auto"/>
              <w:jc w:val="both"/>
              <w:rPr>
                <w:rFonts w:cs="Helvetica"/>
                <w:color w:val="auto"/>
                <w:sz w:val="21"/>
                <w:szCs w:val="21"/>
                <w:highlight w:val="none"/>
              </w:rPr>
            </w:pPr>
            <w:r>
              <w:rPr>
                <w:rFonts w:hint="eastAsia"/>
                <w:b/>
                <w:bCs/>
                <w:color w:val="auto"/>
                <w:sz w:val="21"/>
                <w:szCs w:val="21"/>
                <w:highlight w:val="none"/>
              </w:rPr>
              <w:t>甲方（盖章）：  </w:t>
            </w:r>
          </w:p>
        </w:tc>
        <w:tc>
          <w:tcPr>
            <w:tcW w:w="4927" w:type="dxa"/>
          </w:tcPr>
          <w:p w14:paraId="33873581">
            <w:pPr>
              <w:pStyle w:val="41"/>
              <w:widowControl w:val="0"/>
              <w:spacing w:before="0" w:beforeAutospacing="0" w:after="0" w:afterAutospacing="0" w:line="360" w:lineRule="auto"/>
              <w:jc w:val="both"/>
              <w:rPr>
                <w:rFonts w:cs="Helvetica"/>
                <w:color w:val="auto"/>
                <w:sz w:val="21"/>
                <w:szCs w:val="21"/>
                <w:highlight w:val="none"/>
              </w:rPr>
            </w:pPr>
            <w:r>
              <w:rPr>
                <w:rFonts w:hint="eastAsia"/>
                <w:b/>
                <w:bCs/>
                <w:color w:val="auto"/>
                <w:sz w:val="21"/>
                <w:szCs w:val="21"/>
                <w:highlight w:val="none"/>
              </w:rPr>
              <w:t>乙方（盖章）：</w:t>
            </w:r>
          </w:p>
        </w:tc>
      </w:tr>
      <w:tr w14:paraId="6534C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27" w:type="dxa"/>
          </w:tcPr>
          <w:p w14:paraId="5BCABF77">
            <w:pPr>
              <w:pStyle w:val="41"/>
              <w:widowControl w:val="0"/>
              <w:spacing w:before="0" w:beforeAutospacing="0" w:after="0" w:afterAutospacing="0" w:line="360" w:lineRule="auto"/>
              <w:jc w:val="both"/>
              <w:rPr>
                <w:rFonts w:cs="Helvetica"/>
                <w:color w:val="auto"/>
                <w:sz w:val="21"/>
                <w:szCs w:val="21"/>
                <w:highlight w:val="none"/>
              </w:rPr>
            </w:pPr>
            <w:r>
              <w:rPr>
                <w:rFonts w:hint="eastAsia"/>
                <w:b/>
                <w:bCs/>
                <w:color w:val="auto"/>
                <w:sz w:val="21"/>
                <w:szCs w:val="21"/>
                <w:highlight w:val="none"/>
              </w:rPr>
              <w:t>代表：</w:t>
            </w:r>
          </w:p>
        </w:tc>
        <w:tc>
          <w:tcPr>
            <w:tcW w:w="4927" w:type="dxa"/>
          </w:tcPr>
          <w:p w14:paraId="23832960">
            <w:pPr>
              <w:pStyle w:val="41"/>
              <w:widowControl w:val="0"/>
              <w:spacing w:before="0" w:beforeAutospacing="0" w:after="0" w:afterAutospacing="0" w:line="360" w:lineRule="auto"/>
              <w:jc w:val="both"/>
              <w:rPr>
                <w:rFonts w:cs="Helvetica"/>
                <w:color w:val="auto"/>
                <w:sz w:val="21"/>
                <w:szCs w:val="21"/>
                <w:highlight w:val="none"/>
              </w:rPr>
            </w:pPr>
            <w:r>
              <w:rPr>
                <w:rFonts w:hint="eastAsia"/>
                <w:b/>
                <w:bCs/>
                <w:color w:val="auto"/>
                <w:sz w:val="21"/>
                <w:szCs w:val="21"/>
                <w:highlight w:val="none"/>
              </w:rPr>
              <w:t>代表：</w:t>
            </w:r>
          </w:p>
        </w:tc>
      </w:tr>
      <w:tr w14:paraId="6772A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27" w:type="dxa"/>
          </w:tcPr>
          <w:p w14:paraId="162FCD9D">
            <w:pPr>
              <w:pStyle w:val="41"/>
              <w:widowControl w:val="0"/>
              <w:shd w:val="clear" w:color="auto" w:fill="FFFFFF"/>
              <w:spacing w:before="0" w:beforeAutospacing="0" w:after="0" w:afterAutospacing="0" w:line="360" w:lineRule="auto"/>
              <w:jc w:val="both"/>
              <w:rPr>
                <w:color w:val="auto"/>
                <w:sz w:val="21"/>
                <w:szCs w:val="21"/>
                <w:highlight w:val="none"/>
              </w:rPr>
            </w:pPr>
            <w:r>
              <w:rPr>
                <w:rFonts w:hint="eastAsia"/>
                <w:color w:val="auto"/>
                <w:sz w:val="21"/>
                <w:szCs w:val="21"/>
                <w:highlight w:val="none"/>
              </w:rPr>
              <w:t>签定地点：</w:t>
            </w:r>
          </w:p>
        </w:tc>
        <w:tc>
          <w:tcPr>
            <w:tcW w:w="4927" w:type="dxa"/>
          </w:tcPr>
          <w:p w14:paraId="5A7316C6">
            <w:pPr>
              <w:pStyle w:val="41"/>
              <w:widowControl w:val="0"/>
              <w:spacing w:before="0" w:beforeAutospacing="0" w:after="0" w:afterAutospacing="0" w:line="360" w:lineRule="auto"/>
              <w:jc w:val="both"/>
              <w:rPr>
                <w:rFonts w:cs="Helvetica"/>
                <w:color w:val="auto"/>
                <w:sz w:val="21"/>
                <w:szCs w:val="21"/>
                <w:highlight w:val="none"/>
              </w:rPr>
            </w:pPr>
          </w:p>
        </w:tc>
      </w:tr>
      <w:tr w14:paraId="15CA5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27" w:type="dxa"/>
          </w:tcPr>
          <w:p w14:paraId="6541E63B">
            <w:pPr>
              <w:pStyle w:val="41"/>
              <w:widowControl w:val="0"/>
              <w:spacing w:before="0" w:beforeAutospacing="0" w:after="0" w:afterAutospacing="0" w:line="360" w:lineRule="auto"/>
              <w:jc w:val="both"/>
              <w:rPr>
                <w:rFonts w:cs="Helvetica"/>
                <w:color w:val="auto"/>
                <w:sz w:val="21"/>
                <w:szCs w:val="21"/>
                <w:highlight w:val="none"/>
              </w:rPr>
            </w:pPr>
            <w:r>
              <w:rPr>
                <w:rFonts w:hint="eastAsia"/>
                <w:color w:val="auto"/>
                <w:sz w:val="21"/>
                <w:szCs w:val="21"/>
                <w:highlight w:val="none"/>
              </w:rPr>
              <w:t>签定日期：　　　年　　月　　日</w:t>
            </w:r>
          </w:p>
        </w:tc>
        <w:tc>
          <w:tcPr>
            <w:tcW w:w="4927" w:type="dxa"/>
          </w:tcPr>
          <w:p w14:paraId="30033301">
            <w:pPr>
              <w:pStyle w:val="41"/>
              <w:widowControl w:val="0"/>
              <w:spacing w:before="0" w:beforeAutospacing="0" w:after="0" w:afterAutospacing="0" w:line="360" w:lineRule="auto"/>
              <w:jc w:val="both"/>
              <w:rPr>
                <w:rFonts w:cs="Helvetica"/>
                <w:color w:val="auto"/>
                <w:sz w:val="21"/>
                <w:szCs w:val="21"/>
                <w:highlight w:val="none"/>
              </w:rPr>
            </w:pPr>
            <w:r>
              <w:rPr>
                <w:rFonts w:hint="eastAsia"/>
                <w:color w:val="auto"/>
                <w:sz w:val="21"/>
                <w:szCs w:val="21"/>
                <w:highlight w:val="none"/>
              </w:rPr>
              <w:t>签定日期：　　　年　　月　　日</w:t>
            </w:r>
          </w:p>
        </w:tc>
      </w:tr>
      <w:tr w14:paraId="4E37C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27" w:type="dxa"/>
          </w:tcPr>
          <w:p w14:paraId="1FE60DF2">
            <w:pPr>
              <w:pStyle w:val="41"/>
              <w:widowControl w:val="0"/>
              <w:spacing w:before="0" w:beforeAutospacing="0" w:after="0" w:afterAutospacing="0" w:line="360" w:lineRule="auto"/>
              <w:jc w:val="both"/>
              <w:rPr>
                <w:rFonts w:cs="Helvetica"/>
                <w:color w:val="auto"/>
                <w:sz w:val="21"/>
                <w:szCs w:val="21"/>
                <w:highlight w:val="none"/>
              </w:rPr>
            </w:pPr>
          </w:p>
        </w:tc>
        <w:tc>
          <w:tcPr>
            <w:tcW w:w="4927" w:type="dxa"/>
          </w:tcPr>
          <w:p w14:paraId="029FF147">
            <w:pPr>
              <w:pStyle w:val="41"/>
              <w:widowControl w:val="0"/>
              <w:shd w:val="clear" w:color="auto" w:fill="FFFFFF"/>
              <w:spacing w:before="0" w:beforeAutospacing="0" w:after="0" w:afterAutospacing="0" w:line="360" w:lineRule="auto"/>
              <w:jc w:val="both"/>
              <w:rPr>
                <w:rFonts w:cs="Helvetica"/>
                <w:color w:val="auto"/>
                <w:sz w:val="21"/>
                <w:szCs w:val="21"/>
                <w:highlight w:val="none"/>
              </w:rPr>
            </w:pPr>
            <w:r>
              <w:rPr>
                <w:rFonts w:hint="eastAsia"/>
                <w:color w:val="auto"/>
                <w:sz w:val="21"/>
                <w:szCs w:val="21"/>
                <w:highlight w:val="none"/>
              </w:rPr>
              <w:t>开户名称：</w:t>
            </w:r>
          </w:p>
        </w:tc>
      </w:tr>
      <w:tr w14:paraId="71E48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27" w:type="dxa"/>
          </w:tcPr>
          <w:p w14:paraId="36B53F3B">
            <w:pPr>
              <w:pStyle w:val="41"/>
              <w:widowControl w:val="0"/>
              <w:spacing w:before="0" w:beforeAutospacing="0" w:after="0" w:afterAutospacing="0" w:line="360" w:lineRule="auto"/>
              <w:jc w:val="both"/>
              <w:rPr>
                <w:rFonts w:cs="Helvetica"/>
                <w:color w:val="auto"/>
                <w:sz w:val="21"/>
                <w:szCs w:val="21"/>
                <w:highlight w:val="none"/>
              </w:rPr>
            </w:pPr>
          </w:p>
        </w:tc>
        <w:tc>
          <w:tcPr>
            <w:tcW w:w="4927" w:type="dxa"/>
          </w:tcPr>
          <w:p w14:paraId="739D23F8">
            <w:pPr>
              <w:pStyle w:val="41"/>
              <w:widowControl w:val="0"/>
              <w:shd w:val="clear" w:color="auto" w:fill="FFFFFF"/>
              <w:spacing w:before="0" w:beforeAutospacing="0" w:after="0" w:afterAutospacing="0" w:line="360" w:lineRule="auto"/>
              <w:jc w:val="both"/>
              <w:rPr>
                <w:color w:val="auto"/>
                <w:sz w:val="21"/>
                <w:szCs w:val="21"/>
                <w:highlight w:val="none"/>
              </w:rPr>
            </w:pPr>
            <w:r>
              <w:rPr>
                <w:rFonts w:hint="eastAsia"/>
                <w:color w:val="auto"/>
                <w:sz w:val="21"/>
                <w:szCs w:val="21"/>
                <w:highlight w:val="none"/>
              </w:rPr>
              <w:t>银行帐号：</w:t>
            </w:r>
          </w:p>
        </w:tc>
      </w:tr>
      <w:tr w14:paraId="1E723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27" w:type="dxa"/>
          </w:tcPr>
          <w:p w14:paraId="4E4967E1">
            <w:pPr>
              <w:pStyle w:val="41"/>
              <w:widowControl w:val="0"/>
              <w:spacing w:before="0" w:beforeAutospacing="0" w:after="0" w:afterAutospacing="0" w:line="360" w:lineRule="auto"/>
              <w:jc w:val="both"/>
              <w:rPr>
                <w:rFonts w:cs="Helvetica"/>
                <w:color w:val="auto"/>
                <w:sz w:val="21"/>
                <w:szCs w:val="21"/>
                <w:highlight w:val="none"/>
              </w:rPr>
            </w:pPr>
          </w:p>
        </w:tc>
        <w:tc>
          <w:tcPr>
            <w:tcW w:w="4927" w:type="dxa"/>
          </w:tcPr>
          <w:p w14:paraId="74CE179E">
            <w:pPr>
              <w:pStyle w:val="41"/>
              <w:widowControl w:val="0"/>
              <w:shd w:val="clear" w:color="auto" w:fill="FFFFFF"/>
              <w:spacing w:before="0" w:beforeAutospacing="0" w:after="0" w:afterAutospacing="0" w:line="360" w:lineRule="auto"/>
              <w:jc w:val="both"/>
              <w:rPr>
                <w:rFonts w:cs="Helvetica"/>
                <w:color w:val="auto"/>
                <w:sz w:val="21"/>
                <w:szCs w:val="21"/>
                <w:highlight w:val="none"/>
              </w:rPr>
            </w:pPr>
            <w:r>
              <w:rPr>
                <w:rFonts w:hint="eastAsia"/>
                <w:color w:val="auto"/>
                <w:sz w:val="21"/>
                <w:szCs w:val="21"/>
                <w:highlight w:val="none"/>
              </w:rPr>
              <w:t>开 户 行：</w:t>
            </w:r>
          </w:p>
        </w:tc>
      </w:tr>
    </w:tbl>
    <w:p w14:paraId="4438F32D">
      <w:pPr>
        <w:spacing w:line="360" w:lineRule="auto"/>
        <w:rPr>
          <w:rFonts w:ascii="宋体" w:hAnsi="宋体"/>
          <w:color w:val="auto"/>
          <w:sz w:val="21"/>
          <w:szCs w:val="21"/>
          <w:highlight w:val="none"/>
        </w:rPr>
      </w:pPr>
    </w:p>
    <w:p w14:paraId="6D6637B5">
      <w:pPr>
        <w:pStyle w:val="19"/>
        <w:keepNext w:val="0"/>
        <w:keepLines w:val="0"/>
        <w:pageBreakBefore w:val="0"/>
        <w:widowControl w:val="0"/>
        <w:kinsoku/>
        <w:wordWrap/>
        <w:overflowPunct/>
        <w:topLinePunct w:val="0"/>
        <w:bidi w:val="0"/>
        <w:spacing w:line="360" w:lineRule="auto"/>
        <w:rPr>
          <w:rFonts w:hint="eastAsia"/>
          <w:color w:val="auto"/>
          <w:highlight w:val="none"/>
        </w:rPr>
      </w:pPr>
    </w:p>
    <w:bookmarkEnd w:id="145"/>
    <w:bookmarkEnd w:id="146"/>
    <w:bookmarkEnd w:id="147"/>
    <w:bookmarkEnd w:id="148"/>
    <w:bookmarkEnd w:id="149"/>
    <w:bookmarkEnd w:id="150"/>
    <w:bookmarkEnd w:id="151"/>
    <w:bookmarkEnd w:id="152"/>
    <w:p w14:paraId="78C8B065">
      <w:pPr>
        <w:pStyle w:val="19"/>
        <w:keepNext w:val="0"/>
        <w:keepLines w:val="0"/>
        <w:pageBreakBefore w:val="0"/>
        <w:widowControl w:val="0"/>
        <w:kinsoku/>
        <w:wordWrap/>
        <w:overflowPunct/>
        <w:topLinePunct w:val="0"/>
        <w:bidi w:val="0"/>
        <w:spacing w:line="360" w:lineRule="auto"/>
        <w:rPr>
          <w:rFonts w:hint="eastAsia"/>
          <w:color w:val="auto"/>
          <w:highlight w:val="none"/>
        </w:rPr>
      </w:pPr>
      <w:bookmarkStart w:id="167" w:name="_Toc67046893"/>
      <w:bookmarkStart w:id="168" w:name="_Toc103033233"/>
      <w:bookmarkStart w:id="169" w:name="_Toc76397761"/>
      <w:bookmarkStart w:id="170" w:name="_Toc68789539"/>
      <w:bookmarkStart w:id="171" w:name="_Toc70528467"/>
      <w:bookmarkStart w:id="172" w:name="_Toc276645578"/>
      <w:bookmarkStart w:id="173" w:name="_Toc201977165"/>
      <w:bookmarkStart w:id="174" w:name="_Toc199652098"/>
    </w:p>
    <w:p w14:paraId="444E82C2">
      <w:pPr>
        <w:pStyle w:val="19"/>
        <w:keepNext w:val="0"/>
        <w:keepLines w:val="0"/>
        <w:pageBreakBefore w:val="0"/>
        <w:widowControl w:val="0"/>
        <w:kinsoku/>
        <w:wordWrap/>
        <w:overflowPunct/>
        <w:topLinePunct w:val="0"/>
        <w:bidi w:val="0"/>
        <w:spacing w:line="360" w:lineRule="auto"/>
        <w:rPr>
          <w:rFonts w:hint="eastAsia"/>
          <w:color w:val="auto"/>
          <w:highlight w:val="none"/>
        </w:rPr>
      </w:pPr>
    </w:p>
    <w:p w14:paraId="23A783F4">
      <w:pPr>
        <w:pStyle w:val="19"/>
        <w:keepNext w:val="0"/>
        <w:keepLines w:val="0"/>
        <w:pageBreakBefore w:val="0"/>
        <w:widowControl w:val="0"/>
        <w:kinsoku/>
        <w:wordWrap/>
        <w:overflowPunct/>
        <w:topLinePunct w:val="0"/>
        <w:bidi w:val="0"/>
        <w:spacing w:line="360" w:lineRule="auto"/>
        <w:rPr>
          <w:rFonts w:hint="eastAsia"/>
          <w:color w:val="auto"/>
          <w:highlight w:val="none"/>
        </w:rPr>
      </w:pPr>
    </w:p>
    <w:p w14:paraId="6CE4835F">
      <w:pPr>
        <w:pStyle w:val="19"/>
        <w:keepNext w:val="0"/>
        <w:keepLines w:val="0"/>
        <w:pageBreakBefore w:val="0"/>
        <w:widowControl w:val="0"/>
        <w:kinsoku/>
        <w:wordWrap/>
        <w:overflowPunct/>
        <w:topLinePunct w:val="0"/>
        <w:bidi w:val="0"/>
        <w:spacing w:line="360" w:lineRule="auto"/>
        <w:rPr>
          <w:rFonts w:hint="eastAsia"/>
          <w:color w:val="auto"/>
          <w:highlight w:val="none"/>
        </w:rPr>
      </w:pPr>
    </w:p>
    <w:p w14:paraId="6EDB853E">
      <w:pPr>
        <w:pStyle w:val="19"/>
        <w:keepNext w:val="0"/>
        <w:keepLines w:val="0"/>
        <w:pageBreakBefore w:val="0"/>
        <w:widowControl w:val="0"/>
        <w:kinsoku/>
        <w:wordWrap/>
        <w:overflowPunct/>
        <w:topLinePunct w:val="0"/>
        <w:bidi w:val="0"/>
        <w:spacing w:line="360" w:lineRule="auto"/>
        <w:rPr>
          <w:rFonts w:hint="eastAsia"/>
          <w:color w:val="auto"/>
          <w:highlight w:val="none"/>
        </w:rPr>
        <w:sectPr>
          <w:footerReference r:id="rId13" w:type="first"/>
          <w:footerReference r:id="rId12" w:type="default"/>
          <w:pgSz w:w="11906" w:h="16838"/>
          <w:pgMar w:top="1134" w:right="1134" w:bottom="1134" w:left="1134" w:header="426" w:footer="751" w:gutter="0"/>
          <w:paperSrc w:first="7"/>
          <w:pgNumType w:fmt="decimal"/>
          <w:cols w:space="0" w:num="1"/>
          <w:titlePg/>
          <w:rtlGutter w:val="0"/>
          <w:docGrid w:linePitch="312" w:charSpace="0"/>
        </w:sectPr>
      </w:pPr>
    </w:p>
    <w:p w14:paraId="424DD38E">
      <w:pPr>
        <w:pStyle w:val="2"/>
        <w:keepNext w:val="0"/>
        <w:keepLines w:val="0"/>
        <w:pageBreakBefore w:val="0"/>
        <w:widowControl w:val="0"/>
        <w:kinsoku/>
        <w:wordWrap/>
        <w:overflowPunct/>
        <w:topLinePunct w:val="0"/>
        <w:bidi w:val="0"/>
        <w:spacing w:before="0" w:after="0" w:line="360" w:lineRule="auto"/>
        <w:rPr>
          <w:rFonts w:hint="eastAsia" w:eastAsia="宋体"/>
          <w:color w:val="auto"/>
          <w:sz w:val="24"/>
          <w:szCs w:val="24"/>
          <w:highlight w:val="none"/>
        </w:rPr>
      </w:pPr>
      <w:bookmarkStart w:id="175" w:name="_Toc103216638"/>
      <w:bookmarkStart w:id="176" w:name="_Toc29425"/>
      <w:bookmarkStart w:id="177" w:name="_Toc104040701"/>
      <w:bookmarkStart w:id="178" w:name="_Toc104040755"/>
      <w:r>
        <w:rPr>
          <w:rFonts w:hint="eastAsia" w:eastAsia="宋体"/>
          <w:color w:val="auto"/>
          <w:sz w:val="24"/>
          <w:szCs w:val="24"/>
          <w:highlight w:val="none"/>
        </w:rPr>
        <w:t>第六章  响应文件格式</w:t>
      </w:r>
      <w:bookmarkEnd w:id="167"/>
      <w:bookmarkEnd w:id="168"/>
      <w:bookmarkEnd w:id="169"/>
      <w:bookmarkEnd w:id="170"/>
      <w:bookmarkEnd w:id="171"/>
      <w:bookmarkEnd w:id="172"/>
      <w:r>
        <w:rPr>
          <w:rFonts w:hint="eastAsia" w:eastAsia="宋体"/>
          <w:color w:val="auto"/>
          <w:sz w:val="24"/>
          <w:szCs w:val="24"/>
          <w:highlight w:val="none"/>
        </w:rPr>
        <w:t>与要求</w:t>
      </w:r>
      <w:bookmarkEnd w:id="175"/>
      <w:bookmarkEnd w:id="176"/>
      <w:bookmarkEnd w:id="177"/>
      <w:bookmarkEnd w:id="178"/>
    </w:p>
    <w:p w14:paraId="1AC54A85">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供应商应提交证明其有资格参加磋商和成交后有能力履行合同的相关文件，并作为其响应文件的一部分，所有文件必须真实可靠、不得伪造，否则将按相关规定予以处罚。</w:t>
      </w:r>
    </w:p>
    <w:p w14:paraId="0E1E74FC">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1.法人或者其他组织的营业执照等证明文件，自然人的身份证明：</w:t>
      </w:r>
    </w:p>
    <w:p w14:paraId="3655BF4A">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法人包括企业法人、机关法人、事业单位法人和社会团体法人；其他组织主要包括合伙企业、非企业专业服务机构、个体工商户、农村承包经营户；自然人是指《中华人民共和国民法典》（以下简称《民法典》）规定的具有完全民事行为能力、能够承担民事责任和义务的公民。如供应商是企业（包括合伙企业），要提供在工商部门注册的有效“企业法人营业执照”或“营业执照”；如供应商是事业单位，要提供有效的“事业单位法人证书”；供应商是非企业专业服务机构，要提供有效的“执业许可证”“登记证书”等证明文件，如律师事务所，会计师事务所要提供执业许可证等证明文件；如供应商是个体工商户，要提供有效的“个体工商户营业执照”；如供应商是自然人，要提供有效的自然人身份证明。</w:t>
      </w:r>
    </w:p>
    <w:p w14:paraId="327D229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这里所指“其他组织”不包括法人的分支机构，由于法人分支机构不能独立承担民事责任，不能以分支机构的身份参加政府采购，只能以法人身份参加。“但由于银行、保险、石油石化、电力、电信等行业具有其特殊性，如果能够提供其法人给予的相应授权证明材料，可以参加政府采购活动”。</w:t>
      </w:r>
    </w:p>
    <w:p w14:paraId="4E3D900A">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2.财务状况报告，依法缴纳税收和社会保障资金的相关材料。（详见资格性审查表要求）</w:t>
      </w:r>
    </w:p>
    <w:p w14:paraId="693400E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3.具有履行合同所必需的设备和专业技术能力的声明。</w:t>
      </w:r>
    </w:p>
    <w:p w14:paraId="2147B3E5">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4.供应商参加政府采购前三年内在经营活动中没有重大违法记录声明函。</w:t>
      </w:r>
    </w:p>
    <w:p w14:paraId="48E3715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5.信用记录查询</w:t>
      </w:r>
    </w:p>
    <w:p w14:paraId="070AEAB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（1）查询渠道：通过“信用中国”网站(www.creditchina.gov.cn)和“中国政府采购网”（www.ccgp.gov.cn）进行查询；</w:t>
      </w:r>
    </w:p>
    <w:p w14:paraId="02BAA006">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（2）查询截止时点：提交响应文件截止日当天；</w:t>
      </w:r>
    </w:p>
    <w:p w14:paraId="08B160C0">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（3）查询记录：对列入失信被执行人、重大税收违法案件当事人名单、政府采购严重违法失信行为记录名单、信用报告进行查询；</w:t>
      </w:r>
    </w:p>
    <w:p w14:paraId="327C9CF5">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采购人或采购代理机构应当按照查询渠道、查询时间节点、查询记录内容进行查询，并存档。对信用记录查询结果中显示供应商被列入失信被执行人、重大税收违法案件当事人名单、政府采购严重违法失信行为记录名单的供应商作无效响应处理。</w:t>
      </w:r>
    </w:p>
    <w:p w14:paraId="51355BE9">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在本采购文件规定的查询时间之外，网站信息发生的任何变更均不作为资格审查依据。</w:t>
      </w:r>
    </w:p>
    <w:p w14:paraId="10E9C2AF">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按照采购文件要求，供应商应当提交的资格、资信证明文件。</w:t>
      </w:r>
    </w:p>
    <w:p w14:paraId="6C93D2EF">
      <w:pPr>
        <w:pStyle w:val="19"/>
        <w:keepNext w:val="0"/>
        <w:keepLines w:val="0"/>
        <w:pageBreakBefore w:val="0"/>
        <w:widowControl w:val="0"/>
        <w:kinsoku/>
        <w:wordWrap/>
        <w:overflowPunct/>
        <w:topLinePunct w:val="0"/>
        <w:bidi w:val="0"/>
        <w:spacing w:line="360" w:lineRule="auto"/>
        <w:rPr>
          <w:rFonts w:hint="eastAsia"/>
          <w:color w:val="auto"/>
          <w:highlight w:val="none"/>
        </w:rPr>
      </w:pPr>
    </w:p>
    <w:p w14:paraId="74EF752B">
      <w:pPr>
        <w:keepNext w:val="0"/>
        <w:keepLines w:val="0"/>
        <w:pageBreakBefore w:val="0"/>
        <w:widowControl w:val="0"/>
        <w:kinsoku/>
        <w:wordWrap/>
        <w:overflowPunct/>
        <w:topLinePunct w:val="0"/>
        <w:bidi w:val="0"/>
        <w:spacing w:line="360" w:lineRule="auto"/>
        <w:rPr>
          <w:rFonts w:hint="eastAsia"/>
          <w:b/>
          <w:bCs/>
          <w:color w:val="auto"/>
          <w:sz w:val="32"/>
          <w:szCs w:val="40"/>
          <w:highlight w:val="none"/>
        </w:rPr>
      </w:pPr>
      <w:r>
        <w:rPr>
          <w:b/>
          <w:bCs/>
          <w:color w:val="auto"/>
          <w:sz w:val="32"/>
          <w:szCs w:val="40"/>
          <w:highlight w:val="none"/>
        </w:rPr>
        <w:br w:type="page"/>
      </w:r>
    </w:p>
    <w:p w14:paraId="7CC24169">
      <w:pPr>
        <w:keepNext w:val="0"/>
        <w:keepLines w:val="0"/>
        <w:pageBreakBefore w:val="0"/>
        <w:widowControl w:val="0"/>
        <w:kinsoku/>
        <w:wordWrap/>
        <w:overflowPunct/>
        <w:topLinePunct w:val="0"/>
        <w:bidi w:val="0"/>
        <w:spacing w:line="360" w:lineRule="auto"/>
        <w:jc w:val="center"/>
        <w:outlineLvl w:val="1"/>
        <w:rPr>
          <w:rFonts w:hint="eastAsia"/>
          <w:b/>
          <w:bCs/>
          <w:color w:val="auto"/>
          <w:sz w:val="32"/>
          <w:szCs w:val="40"/>
          <w:highlight w:val="none"/>
        </w:rPr>
      </w:pPr>
      <w:bookmarkStart w:id="179" w:name="_Toc24569"/>
      <w:bookmarkStart w:id="180" w:name="_Toc104160524"/>
      <w:bookmarkStart w:id="181" w:name="_Toc104040756"/>
      <w:bookmarkStart w:id="182" w:name="_Toc6322297"/>
      <w:bookmarkStart w:id="183" w:name="_Toc259090983"/>
      <w:bookmarkStart w:id="184" w:name="_Toc104040702"/>
      <w:bookmarkStart w:id="185" w:name="_Toc103033234"/>
      <w:bookmarkStart w:id="186" w:name="_Toc276645580"/>
      <w:bookmarkStart w:id="187" w:name="_Toc462677235"/>
      <w:bookmarkStart w:id="188" w:name="_Toc67046895"/>
      <w:bookmarkStart w:id="189" w:name="_Toc6397152"/>
      <w:bookmarkStart w:id="190" w:name="_Toc6727973"/>
      <w:bookmarkStart w:id="191" w:name="_Toc32977098"/>
      <w:r>
        <w:rPr>
          <w:rFonts w:hint="eastAsia"/>
          <w:b/>
          <w:bCs/>
          <w:color w:val="auto"/>
          <w:sz w:val="32"/>
          <w:szCs w:val="40"/>
          <w:highlight w:val="none"/>
        </w:rPr>
        <w:t>响应文件封面（参考）</w:t>
      </w:r>
      <w:bookmarkEnd w:id="179"/>
      <w:bookmarkEnd w:id="180"/>
    </w:p>
    <w:p w14:paraId="324ED629">
      <w:pPr>
        <w:keepNext w:val="0"/>
        <w:keepLines w:val="0"/>
        <w:pageBreakBefore w:val="0"/>
        <w:widowControl w:val="0"/>
        <w:kinsoku/>
        <w:wordWrap/>
        <w:overflowPunct/>
        <w:topLinePunct w:val="0"/>
        <w:bidi w:val="0"/>
        <w:spacing w:line="360" w:lineRule="auto"/>
        <w:rPr>
          <w:rFonts w:hint="eastAsia"/>
          <w:color w:val="auto"/>
          <w:highlight w:val="none"/>
        </w:rPr>
      </w:pPr>
      <w:r>
        <w:rPr>
          <w:color w:val="auto"/>
          <w:highlight w:val="none"/>
        </w:rPr>
        <mc:AlternateContent>
          <mc:Choice Requires="wps">
            <w:drawing>
              <wp:inline distT="0" distB="0" distL="0" distR="0">
                <wp:extent cx="6153150" cy="7799705"/>
                <wp:effectExtent l="0" t="0" r="19050" b="10795"/>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6153150" cy="7800230"/>
                        </a:xfrm>
                        <a:prstGeom prst="rect">
                          <a:avLst/>
                        </a:prstGeom>
                        <a:solidFill>
                          <a:srgbClr val="FFFFFF"/>
                        </a:solidFill>
                        <a:ln w="9525">
                          <a:solidFill>
                            <a:srgbClr val="000000"/>
                          </a:solidFill>
                          <a:miter lim="800000"/>
                        </a:ln>
                      </wps:spPr>
                      <wps:txbx>
                        <w:txbxContent>
                          <w:p w14:paraId="2D5652AF">
                            <w:pPr>
                              <w:pStyle w:val="19"/>
                              <w:rPr>
                                <w:rFonts w:hint="eastAsia"/>
                              </w:rPr>
                            </w:pPr>
                          </w:p>
                          <w:p w14:paraId="6645D6B9">
                            <w:pPr>
                              <w:pStyle w:val="19"/>
                              <w:jc w:val="right"/>
                              <w:rPr>
                                <w:rFonts w:hint="eastAsia"/>
                                <w:b/>
                                <w:bCs/>
                                <w:sz w:val="44"/>
                                <w:szCs w:val="40"/>
                              </w:rPr>
                            </w:pPr>
                            <w:r>
                              <w:rPr>
                                <w:rFonts w:hint="eastAsia"/>
                                <w:b/>
                                <w:bCs/>
                                <w:sz w:val="44"/>
                                <w:szCs w:val="40"/>
                              </w:rPr>
                              <w:t>正本/副本</w:t>
                            </w:r>
                          </w:p>
                          <w:p w14:paraId="215F130F">
                            <w:pPr>
                              <w:pStyle w:val="19"/>
                              <w:rPr>
                                <w:rFonts w:hint="eastAsia"/>
                                <w:sz w:val="40"/>
                                <w:szCs w:val="36"/>
                              </w:rPr>
                            </w:pPr>
                          </w:p>
                          <w:p w14:paraId="0E2BD44F">
                            <w:pPr>
                              <w:pStyle w:val="19"/>
                              <w:jc w:val="center"/>
                              <w:rPr>
                                <w:rFonts w:hint="eastAsia"/>
                                <w:b/>
                                <w:bCs/>
                                <w:sz w:val="84"/>
                                <w:szCs w:val="84"/>
                              </w:rPr>
                            </w:pPr>
                            <w:r>
                              <w:rPr>
                                <w:rFonts w:hint="eastAsia"/>
                                <w:b/>
                                <w:bCs/>
                                <w:sz w:val="84"/>
                                <w:szCs w:val="84"/>
                              </w:rPr>
                              <w:t>响应文件</w:t>
                            </w:r>
                          </w:p>
                          <w:p w14:paraId="7A51FA5D">
                            <w:pPr>
                              <w:pStyle w:val="19"/>
                              <w:rPr>
                                <w:rFonts w:hint="eastAsia"/>
                                <w:sz w:val="32"/>
                                <w:szCs w:val="28"/>
                              </w:rPr>
                            </w:pPr>
                          </w:p>
                          <w:p w14:paraId="780CE8A4">
                            <w:pPr>
                              <w:pStyle w:val="19"/>
                              <w:ind w:firstLine="640" w:firstLineChars="200"/>
                              <w:rPr>
                                <w:rFonts w:hint="eastAsia"/>
                                <w:sz w:val="32"/>
                                <w:szCs w:val="32"/>
                              </w:rPr>
                            </w:pPr>
                            <w:r>
                              <w:rPr>
                                <w:rFonts w:hint="eastAsia"/>
                                <w:sz w:val="32"/>
                                <w:szCs w:val="32"/>
                              </w:rPr>
                              <w:t>项目编号：</w:t>
                            </w:r>
                          </w:p>
                          <w:p w14:paraId="0457AD19">
                            <w:pPr>
                              <w:pStyle w:val="19"/>
                              <w:ind w:firstLine="640" w:firstLineChars="200"/>
                              <w:rPr>
                                <w:rFonts w:hint="eastAsia"/>
                                <w:sz w:val="32"/>
                                <w:szCs w:val="32"/>
                              </w:rPr>
                            </w:pPr>
                            <w:r>
                              <w:rPr>
                                <w:rFonts w:hint="eastAsia"/>
                                <w:sz w:val="32"/>
                                <w:szCs w:val="32"/>
                              </w:rPr>
                              <w:t>项目名称：</w:t>
                            </w:r>
                          </w:p>
                          <w:p w14:paraId="3F791A7A">
                            <w:pPr>
                              <w:pStyle w:val="19"/>
                              <w:ind w:firstLine="640" w:firstLineChars="200"/>
                              <w:rPr>
                                <w:rFonts w:hint="eastAsia"/>
                                <w:color w:val="FF0000"/>
                                <w:sz w:val="32"/>
                                <w:szCs w:val="32"/>
                              </w:rPr>
                            </w:pPr>
                            <w:r>
                              <w:rPr>
                                <w:rFonts w:hint="eastAsia"/>
                                <w:color w:val="FF0000"/>
                                <w:sz w:val="32"/>
                                <w:szCs w:val="32"/>
                              </w:rPr>
                              <w:t>所响应采购包：第   包</w:t>
                            </w:r>
                          </w:p>
                          <w:p w14:paraId="5ED72F84">
                            <w:pPr>
                              <w:pStyle w:val="19"/>
                              <w:ind w:firstLine="640" w:firstLineChars="200"/>
                              <w:rPr>
                                <w:rFonts w:hint="eastAsia"/>
                                <w:sz w:val="32"/>
                                <w:szCs w:val="32"/>
                              </w:rPr>
                            </w:pPr>
                          </w:p>
                          <w:p w14:paraId="3B059A2F">
                            <w:pPr>
                              <w:pStyle w:val="19"/>
                              <w:ind w:firstLine="640" w:firstLineChars="200"/>
                              <w:rPr>
                                <w:rFonts w:hint="eastAsia"/>
                                <w:sz w:val="32"/>
                                <w:szCs w:val="32"/>
                              </w:rPr>
                            </w:pPr>
                            <w:r>
                              <w:rPr>
                                <w:rFonts w:hint="eastAsia"/>
                                <w:sz w:val="32"/>
                                <w:szCs w:val="32"/>
                              </w:rPr>
                              <w:t>供应商名称：</w:t>
                            </w:r>
                          </w:p>
                          <w:p w14:paraId="413CA681">
                            <w:pPr>
                              <w:pStyle w:val="19"/>
                              <w:ind w:firstLine="640" w:firstLineChars="200"/>
                              <w:rPr>
                                <w:rFonts w:hint="eastAsia"/>
                                <w:sz w:val="32"/>
                                <w:szCs w:val="32"/>
                              </w:rPr>
                            </w:pPr>
                            <w:r>
                              <w:rPr>
                                <w:rFonts w:hint="eastAsia"/>
                                <w:sz w:val="32"/>
                                <w:szCs w:val="32"/>
                              </w:rPr>
                              <w:t>供应商地址：</w:t>
                            </w:r>
                          </w:p>
                          <w:p w14:paraId="1C6620BD">
                            <w:pPr>
                              <w:pStyle w:val="19"/>
                              <w:ind w:firstLine="640" w:firstLineChars="200"/>
                              <w:rPr>
                                <w:rFonts w:hint="eastAsia"/>
                                <w:sz w:val="32"/>
                                <w:szCs w:val="32"/>
                              </w:rPr>
                            </w:pPr>
                            <w:r>
                              <w:rPr>
                                <w:rFonts w:hint="eastAsia"/>
                                <w:sz w:val="32"/>
                                <w:szCs w:val="32"/>
                              </w:rPr>
                              <w:t>供应商法定代表人或其授权委托人：</w:t>
                            </w:r>
                          </w:p>
                          <w:p w14:paraId="7273087A">
                            <w:pPr>
                              <w:pStyle w:val="19"/>
                              <w:ind w:firstLine="640" w:firstLineChars="200"/>
                              <w:rPr>
                                <w:rFonts w:hint="eastAsia"/>
                                <w:sz w:val="32"/>
                                <w:szCs w:val="32"/>
                              </w:rPr>
                            </w:pPr>
                            <w:r>
                              <w:rPr>
                                <w:rFonts w:hint="eastAsia"/>
                                <w:sz w:val="32"/>
                                <w:szCs w:val="32"/>
                              </w:rPr>
                              <w:t>联系电话：</w:t>
                            </w:r>
                          </w:p>
                          <w:p w14:paraId="2A075DDC">
                            <w:pPr>
                              <w:pStyle w:val="19"/>
                              <w:rPr>
                                <w:rFonts w:hint="eastAsia"/>
                                <w:sz w:val="32"/>
                                <w:szCs w:val="32"/>
                              </w:rPr>
                            </w:pPr>
                          </w:p>
                          <w:p w14:paraId="36724296">
                            <w:pPr>
                              <w:pStyle w:val="19"/>
                              <w:jc w:val="center"/>
                              <w:rPr>
                                <w:rFonts w:hint="eastAsia"/>
                                <w:sz w:val="32"/>
                                <w:szCs w:val="32"/>
                              </w:rPr>
                            </w:pPr>
                            <w:r>
                              <w:rPr>
                                <w:rFonts w:hint="eastAsia"/>
                                <w:sz w:val="32"/>
                                <w:szCs w:val="32"/>
                              </w:rPr>
                              <w:t>---本项目开启前不准启封---</w:t>
                            </w:r>
                          </w:p>
                          <w:p w14:paraId="67C02286">
                            <w:pPr>
                              <w:pStyle w:val="19"/>
                              <w:rPr>
                                <w:rFonts w:hint="eastAsia"/>
                                <w:sz w:val="32"/>
                                <w:szCs w:val="32"/>
                              </w:rPr>
                            </w:pPr>
                          </w:p>
                          <w:p w14:paraId="19FB1A6F">
                            <w:pPr>
                              <w:pStyle w:val="19"/>
                              <w:jc w:val="center"/>
                              <w:rPr>
                                <w:rFonts w:hint="eastAsia"/>
                                <w:sz w:val="32"/>
                                <w:szCs w:val="32"/>
                                <w:u w:val="single"/>
                              </w:rPr>
                            </w:pPr>
                            <w:r>
                              <w:rPr>
                                <w:rFonts w:hint="eastAsia"/>
                                <w:sz w:val="32"/>
                                <w:szCs w:val="32"/>
                              </w:rPr>
                              <w:t>日期：</w:t>
                            </w:r>
                            <w:r>
                              <w:rPr>
                                <w:rFonts w:hint="eastAsia"/>
                                <w:sz w:val="32"/>
                                <w:szCs w:val="32"/>
                                <w:u w:val="single"/>
                              </w:rPr>
                              <w:t xml:space="preserve"> </w:t>
                            </w:r>
                            <w:r>
                              <w:rPr>
                                <w:sz w:val="32"/>
                                <w:szCs w:val="32"/>
                                <w:u w:val="single"/>
                              </w:rPr>
                              <w:t xml:space="preserve">    </w:t>
                            </w:r>
                            <w:r>
                              <w:rPr>
                                <w:rFonts w:hint="eastAsia"/>
                                <w:sz w:val="32"/>
                                <w:szCs w:val="32"/>
                              </w:rPr>
                              <w:t>年</w:t>
                            </w:r>
                            <w:r>
                              <w:rPr>
                                <w:rFonts w:hint="eastAsia"/>
                                <w:sz w:val="32"/>
                                <w:szCs w:val="32"/>
                                <w:u w:val="single"/>
                              </w:rPr>
                              <w:t xml:space="preserve"> </w:t>
                            </w:r>
                            <w:r>
                              <w:rPr>
                                <w:sz w:val="32"/>
                                <w:szCs w:val="32"/>
                                <w:u w:val="single"/>
                              </w:rPr>
                              <w:t xml:space="preserve">   </w:t>
                            </w:r>
                            <w:r>
                              <w:rPr>
                                <w:rFonts w:hint="eastAsia"/>
                                <w:sz w:val="32"/>
                                <w:szCs w:val="32"/>
                              </w:rPr>
                              <w:t>月</w:t>
                            </w:r>
                            <w:r>
                              <w:rPr>
                                <w:rFonts w:hint="eastAsia"/>
                                <w:sz w:val="32"/>
                                <w:szCs w:val="32"/>
                                <w:u w:val="single"/>
                              </w:rPr>
                              <w:t xml:space="preserve"> </w:t>
                            </w:r>
                            <w:r>
                              <w:rPr>
                                <w:sz w:val="32"/>
                                <w:szCs w:val="32"/>
                                <w:u w:val="single"/>
                              </w:rPr>
                              <w:t xml:space="preserve">   </w:t>
                            </w:r>
                            <w:r>
                              <w:rPr>
                                <w:rFonts w:hint="eastAsia"/>
                                <w:sz w:val="32"/>
                                <w:szCs w:val="32"/>
                              </w:rPr>
                              <w:t>日</w:t>
                            </w:r>
                          </w:p>
                        </w:txbxContent>
                      </wps:txbx>
                      <wps:bodyPr rot="0" vert="horz" wrap="square" lIns="91440" tIns="45720" rIns="91440" bIns="45720" anchor="t" anchorCtr="0" upright="1">
                        <a:noAutofit/>
                      </wps:bodyPr>
                    </wps:wsp>
                  </a:graphicData>
                </a:graphic>
              </wp:inline>
            </w:drawing>
          </mc:Choice>
          <mc:Fallback>
            <w:pict>
              <v:shape id="_x0000_s1026" o:spid="_x0000_s1026" o:spt="202" type="#_x0000_t202" style="height:614.15pt;width:484.5pt;" fillcolor="#FFFFFF" filled="t" stroked="t" coordsize="21600,21600" o:gfxdata="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AtrsTLVAAAABgEAAA8AAAAAAAAAAQAgAAAAIgAA&#10;AGRycy9kb3ducmV2LnhtbFBLAQIUABQAAAAIAIdO4kCe0irTRAIAAIgEAAAOAAAAAAAAAAEAIAAA&#10;ACQBAABkcnMvZTJvRG9jLnhtbFBLBQYAAAAABgAGAFkBAADaBQAAAAA=&#10;">
                <v:fill on="t" focussize="0,0"/>
                <v:stroke color="#000000" miterlimit="8" joinstyle="miter"/>
                <v:imagedata o:title=""/>
                <o:lock v:ext="edit" aspectratio="f"/>
                <v:textbox>
                  <w:txbxContent>
                    <w:p w14:paraId="2D5652AF">
                      <w:pPr>
                        <w:pStyle w:val="19"/>
                        <w:rPr>
                          <w:rFonts w:hint="eastAsia"/>
                        </w:rPr>
                      </w:pPr>
                    </w:p>
                    <w:p w14:paraId="6645D6B9">
                      <w:pPr>
                        <w:pStyle w:val="19"/>
                        <w:jc w:val="right"/>
                        <w:rPr>
                          <w:rFonts w:hint="eastAsia"/>
                          <w:b/>
                          <w:bCs/>
                          <w:sz w:val="44"/>
                          <w:szCs w:val="40"/>
                        </w:rPr>
                      </w:pPr>
                      <w:r>
                        <w:rPr>
                          <w:rFonts w:hint="eastAsia"/>
                          <w:b/>
                          <w:bCs/>
                          <w:sz w:val="44"/>
                          <w:szCs w:val="40"/>
                        </w:rPr>
                        <w:t>正本/副本</w:t>
                      </w:r>
                    </w:p>
                    <w:p w14:paraId="215F130F">
                      <w:pPr>
                        <w:pStyle w:val="19"/>
                        <w:rPr>
                          <w:rFonts w:hint="eastAsia"/>
                          <w:sz w:val="40"/>
                          <w:szCs w:val="36"/>
                        </w:rPr>
                      </w:pPr>
                    </w:p>
                    <w:p w14:paraId="0E2BD44F">
                      <w:pPr>
                        <w:pStyle w:val="19"/>
                        <w:jc w:val="center"/>
                        <w:rPr>
                          <w:rFonts w:hint="eastAsia"/>
                          <w:b/>
                          <w:bCs/>
                          <w:sz w:val="84"/>
                          <w:szCs w:val="84"/>
                        </w:rPr>
                      </w:pPr>
                      <w:r>
                        <w:rPr>
                          <w:rFonts w:hint="eastAsia"/>
                          <w:b/>
                          <w:bCs/>
                          <w:sz w:val="84"/>
                          <w:szCs w:val="84"/>
                        </w:rPr>
                        <w:t>响应文件</w:t>
                      </w:r>
                    </w:p>
                    <w:p w14:paraId="7A51FA5D">
                      <w:pPr>
                        <w:pStyle w:val="19"/>
                        <w:rPr>
                          <w:rFonts w:hint="eastAsia"/>
                          <w:sz w:val="32"/>
                          <w:szCs w:val="28"/>
                        </w:rPr>
                      </w:pPr>
                    </w:p>
                    <w:p w14:paraId="780CE8A4">
                      <w:pPr>
                        <w:pStyle w:val="19"/>
                        <w:ind w:firstLine="640" w:firstLineChars="200"/>
                        <w:rPr>
                          <w:rFonts w:hint="eastAsia"/>
                          <w:sz w:val="32"/>
                          <w:szCs w:val="32"/>
                        </w:rPr>
                      </w:pPr>
                      <w:r>
                        <w:rPr>
                          <w:rFonts w:hint="eastAsia"/>
                          <w:sz w:val="32"/>
                          <w:szCs w:val="32"/>
                        </w:rPr>
                        <w:t>项目编号：</w:t>
                      </w:r>
                    </w:p>
                    <w:p w14:paraId="0457AD19">
                      <w:pPr>
                        <w:pStyle w:val="19"/>
                        <w:ind w:firstLine="640" w:firstLineChars="200"/>
                        <w:rPr>
                          <w:rFonts w:hint="eastAsia"/>
                          <w:sz w:val="32"/>
                          <w:szCs w:val="32"/>
                        </w:rPr>
                      </w:pPr>
                      <w:r>
                        <w:rPr>
                          <w:rFonts w:hint="eastAsia"/>
                          <w:sz w:val="32"/>
                          <w:szCs w:val="32"/>
                        </w:rPr>
                        <w:t>项目名称：</w:t>
                      </w:r>
                    </w:p>
                    <w:p w14:paraId="3F791A7A">
                      <w:pPr>
                        <w:pStyle w:val="19"/>
                        <w:ind w:firstLine="640" w:firstLineChars="200"/>
                        <w:rPr>
                          <w:rFonts w:hint="eastAsia"/>
                          <w:color w:val="FF0000"/>
                          <w:sz w:val="32"/>
                          <w:szCs w:val="32"/>
                        </w:rPr>
                      </w:pPr>
                      <w:r>
                        <w:rPr>
                          <w:rFonts w:hint="eastAsia"/>
                          <w:color w:val="FF0000"/>
                          <w:sz w:val="32"/>
                          <w:szCs w:val="32"/>
                        </w:rPr>
                        <w:t>所响应采购包：第   包</w:t>
                      </w:r>
                    </w:p>
                    <w:p w14:paraId="5ED72F84">
                      <w:pPr>
                        <w:pStyle w:val="19"/>
                        <w:ind w:firstLine="640" w:firstLineChars="200"/>
                        <w:rPr>
                          <w:rFonts w:hint="eastAsia"/>
                          <w:sz w:val="32"/>
                          <w:szCs w:val="32"/>
                        </w:rPr>
                      </w:pPr>
                    </w:p>
                    <w:p w14:paraId="3B059A2F">
                      <w:pPr>
                        <w:pStyle w:val="19"/>
                        <w:ind w:firstLine="640" w:firstLineChars="200"/>
                        <w:rPr>
                          <w:rFonts w:hint="eastAsia"/>
                          <w:sz w:val="32"/>
                          <w:szCs w:val="32"/>
                        </w:rPr>
                      </w:pPr>
                      <w:r>
                        <w:rPr>
                          <w:rFonts w:hint="eastAsia"/>
                          <w:sz w:val="32"/>
                          <w:szCs w:val="32"/>
                        </w:rPr>
                        <w:t>供应商名称：</w:t>
                      </w:r>
                    </w:p>
                    <w:p w14:paraId="413CA681">
                      <w:pPr>
                        <w:pStyle w:val="19"/>
                        <w:ind w:firstLine="640" w:firstLineChars="200"/>
                        <w:rPr>
                          <w:rFonts w:hint="eastAsia"/>
                          <w:sz w:val="32"/>
                          <w:szCs w:val="32"/>
                        </w:rPr>
                      </w:pPr>
                      <w:r>
                        <w:rPr>
                          <w:rFonts w:hint="eastAsia"/>
                          <w:sz w:val="32"/>
                          <w:szCs w:val="32"/>
                        </w:rPr>
                        <w:t>供应商地址：</w:t>
                      </w:r>
                    </w:p>
                    <w:p w14:paraId="1C6620BD">
                      <w:pPr>
                        <w:pStyle w:val="19"/>
                        <w:ind w:firstLine="640" w:firstLineChars="200"/>
                        <w:rPr>
                          <w:rFonts w:hint="eastAsia"/>
                          <w:sz w:val="32"/>
                          <w:szCs w:val="32"/>
                        </w:rPr>
                      </w:pPr>
                      <w:r>
                        <w:rPr>
                          <w:rFonts w:hint="eastAsia"/>
                          <w:sz w:val="32"/>
                          <w:szCs w:val="32"/>
                        </w:rPr>
                        <w:t>供应商法定代表人或其授权委托人：</w:t>
                      </w:r>
                    </w:p>
                    <w:p w14:paraId="7273087A">
                      <w:pPr>
                        <w:pStyle w:val="19"/>
                        <w:ind w:firstLine="640" w:firstLineChars="200"/>
                        <w:rPr>
                          <w:rFonts w:hint="eastAsia"/>
                          <w:sz w:val="32"/>
                          <w:szCs w:val="32"/>
                        </w:rPr>
                      </w:pPr>
                      <w:r>
                        <w:rPr>
                          <w:rFonts w:hint="eastAsia"/>
                          <w:sz w:val="32"/>
                          <w:szCs w:val="32"/>
                        </w:rPr>
                        <w:t>联系电话：</w:t>
                      </w:r>
                    </w:p>
                    <w:p w14:paraId="2A075DDC">
                      <w:pPr>
                        <w:pStyle w:val="19"/>
                        <w:rPr>
                          <w:rFonts w:hint="eastAsia"/>
                          <w:sz w:val="32"/>
                          <w:szCs w:val="32"/>
                        </w:rPr>
                      </w:pPr>
                    </w:p>
                    <w:p w14:paraId="36724296">
                      <w:pPr>
                        <w:pStyle w:val="19"/>
                        <w:jc w:val="center"/>
                        <w:rPr>
                          <w:rFonts w:hint="eastAsia"/>
                          <w:sz w:val="32"/>
                          <w:szCs w:val="32"/>
                        </w:rPr>
                      </w:pPr>
                      <w:r>
                        <w:rPr>
                          <w:rFonts w:hint="eastAsia"/>
                          <w:sz w:val="32"/>
                          <w:szCs w:val="32"/>
                        </w:rPr>
                        <w:t>---本项目开启前不准启封---</w:t>
                      </w:r>
                    </w:p>
                    <w:p w14:paraId="67C02286">
                      <w:pPr>
                        <w:pStyle w:val="19"/>
                        <w:rPr>
                          <w:rFonts w:hint="eastAsia"/>
                          <w:sz w:val="32"/>
                          <w:szCs w:val="32"/>
                        </w:rPr>
                      </w:pPr>
                    </w:p>
                    <w:p w14:paraId="19FB1A6F">
                      <w:pPr>
                        <w:pStyle w:val="19"/>
                        <w:jc w:val="center"/>
                        <w:rPr>
                          <w:rFonts w:hint="eastAsia"/>
                          <w:sz w:val="32"/>
                          <w:szCs w:val="32"/>
                          <w:u w:val="single"/>
                        </w:rPr>
                      </w:pPr>
                      <w:r>
                        <w:rPr>
                          <w:rFonts w:hint="eastAsia"/>
                          <w:sz w:val="32"/>
                          <w:szCs w:val="32"/>
                        </w:rPr>
                        <w:t>日期：</w:t>
                      </w:r>
                      <w:r>
                        <w:rPr>
                          <w:rFonts w:hint="eastAsia"/>
                          <w:sz w:val="32"/>
                          <w:szCs w:val="32"/>
                          <w:u w:val="single"/>
                        </w:rPr>
                        <w:t xml:space="preserve"> </w:t>
                      </w:r>
                      <w:r>
                        <w:rPr>
                          <w:sz w:val="32"/>
                          <w:szCs w:val="32"/>
                          <w:u w:val="single"/>
                        </w:rPr>
                        <w:t xml:space="preserve">    </w:t>
                      </w:r>
                      <w:r>
                        <w:rPr>
                          <w:rFonts w:hint="eastAsia"/>
                          <w:sz w:val="32"/>
                          <w:szCs w:val="32"/>
                        </w:rPr>
                        <w:t>年</w:t>
                      </w:r>
                      <w:r>
                        <w:rPr>
                          <w:rFonts w:hint="eastAsia"/>
                          <w:sz w:val="32"/>
                          <w:szCs w:val="32"/>
                          <w:u w:val="single"/>
                        </w:rPr>
                        <w:t xml:space="preserve"> </w:t>
                      </w:r>
                      <w:r>
                        <w:rPr>
                          <w:sz w:val="32"/>
                          <w:szCs w:val="32"/>
                          <w:u w:val="single"/>
                        </w:rPr>
                        <w:t xml:space="preserve">   </w:t>
                      </w:r>
                      <w:r>
                        <w:rPr>
                          <w:rFonts w:hint="eastAsia"/>
                          <w:sz w:val="32"/>
                          <w:szCs w:val="32"/>
                        </w:rPr>
                        <w:t>月</w:t>
                      </w:r>
                      <w:r>
                        <w:rPr>
                          <w:rFonts w:hint="eastAsia"/>
                          <w:sz w:val="32"/>
                          <w:szCs w:val="32"/>
                          <w:u w:val="single"/>
                        </w:rPr>
                        <w:t xml:space="preserve"> </w:t>
                      </w:r>
                      <w:r>
                        <w:rPr>
                          <w:sz w:val="32"/>
                          <w:szCs w:val="32"/>
                          <w:u w:val="single"/>
                        </w:rPr>
                        <w:t xml:space="preserve">   </w:t>
                      </w:r>
                      <w:r>
                        <w:rPr>
                          <w:rFonts w:hint="eastAsia"/>
                          <w:sz w:val="32"/>
                          <w:szCs w:val="32"/>
                        </w:rPr>
                        <w:t>日</w:t>
                      </w:r>
                    </w:p>
                  </w:txbxContent>
                </v:textbox>
                <w10:wrap type="none"/>
                <w10:anchorlock/>
              </v:shape>
            </w:pict>
          </mc:Fallback>
        </mc:AlternateContent>
      </w:r>
    </w:p>
    <w:p w14:paraId="4FE86121">
      <w:pPr>
        <w:keepNext w:val="0"/>
        <w:keepLines w:val="0"/>
        <w:pageBreakBefore w:val="0"/>
        <w:widowControl w:val="0"/>
        <w:kinsoku/>
        <w:wordWrap/>
        <w:overflowPunct/>
        <w:topLinePunct w:val="0"/>
        <w:bidi w:val="0"/>
        <w:spacing w:line="360" w:lineRule="auto"/>
        <w:rPr>
          <w:rFonts w:hint="eastAsia"/>
          <w:b/>
          <w:bCs/>
          <w:color w:val="auto"/>
          <w:sz w:val="36"/>
          <w:szCs w:val="44"/>
          <w:highlight w:val="none"/>
        </w:rPr>
      </w:pPr>
      <w:r>
        <w:rPr>
          <w:rFonts w:hint="eastAsia"/>
          <w:b/>
          <w:bCs/>
          <w:color w:val="auto"/>
          <w:sz w:val="24"/>
          <w:szCs w:val="32"/>
          <w:highlight w:val="none"/>
        </w:rPr>
        <w:t>说明：请供应商自行编制响应文件目录。</w:t>
      </w:r>
      <w:r>
        <w:rPr>
          <w:b/>
          <w:bCs/>
          <w:color w:val="auto"/>
          <w:sz w:val="36"/>
          <w:szCs w:val="44"/>
          <w:highlight w:val="none"/>
        </w:rPr>
        <w:br w:type="page"/>
      </w:r>
    </w:p>
    <w:p w14:paraId="1073E2BE">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192" w:name="_Toc25849"/>
      <w:r>
        <w:rPr>
          <w:rFonts w:hint="eastAsia" w:ascii="宋体" w:hAnsi="宋体" w:eastAsia="宋体"/>
          <w:color w:val="auto"/>
          <w:sz w:val="24"/>
          <w:szCs w:val="24"/>
          <w:highlight w:val="none"/>
        </w:rPr>
        <w:t>响应承诺函</w:t>
      </w:r>
      <w:bookmarkEnd w:id="181"/>
      <w:bookmarkEnd w:id="182"/>
      <w:bookmarkEnd w:id="183"/>
      <w:bookmarkEnd w:id="184"/>
      <w:bookmarkEnd w:id="185"/>
      <w:bookmarkEnd w:id="186"/>
      <w:bookmarkEnd w:id="187"/>
      <w:bookmarkEnd w:id="188"/>
      <w:bookmarkEnd w:id="192"/>
    </w:p>
    <w:p w14:paraId="7EA20312">
      <w:pPr>
        <w:keepNext w:val="0"/>
        <w:keepLines w:val="0"/>
        <w:pageBreakBefore w:val="0"/>
        <w:widowControl w:val="0"/>
        <w:kinsoku/>
        <w:wordWrap/>
        <w:overflowPunct/>
        <w:topLinePunct w:val="0"/>
        <w:bidi w:val="0"/>
        <w:spacing w:line="360" w:lineRule="auto"/>
        <w:jc w:val="center"/>
        <w:rPr>
          <w:rFonts w:hint="eastAsia"/>
          <w:b/>
          <w:bCs/>
          <w:color w:val="auto"/>
          <w:sz w:val="28"/>
          <w:szCs w:val="28"/>
          <w:highlight w:val="none"/>
        </w:rPr>
      </w:pPr>
      <w:r>
        <w:rPr>
          <w:rFonts w:hint="eastAsia"/>
          <w:b/>
          <w:bCs/>
          <w:color w:val="auto"/>
          <w:sz w:val="28"/>
          <w:szCs w:val="28"/>
          <w:highlight w:val="none"/>
        </w:rPr>
        <w:t>响应承诺函</w:t>
      </w:r>
    </w:p>
    <w:p w14:paraId="6A139D1A">
      <w:pPr>
        <w:keepNext w:val="0"/>
        <w:keepLines w:val="0"/>
        <w:pageBreakBefore w:val="0"/>
        <w:widowControl w:val="0"/>
        <w:kinsoku/>
        <w:wordWrap/>
        <w:overflowPunct/>
        <w:topLinePunct w:val="0"/>
        <w:bidi w:val="0"/>
        <w:adjustRightInd w:val="0"/>
        <w:snapToGrid w:val="0"/>
        <w:spacing w:line="360" w:lineRule="auto"/>
        <w:rPr>
          <w:rFonts w:hint="eastAsia"/>
          <w:i/>
          <w:iCs/>
          <w:color w:val="auto"/>
          <w:sz w:val="24"/>
          <w:highlight w:val="none"/>
          <w:u w:val="single"/>
        </w:rPr>
      </w:pPr>
      <w:r>
        <w:rPr>
          <w:rFonts w:hint="eastAsia"/>
          <w:color w:val="auto"/>
          <w:sz w:val="24"/>
          <w:highlight w:val="none"/>
        </w:rPr>
        <w:t>致：公诚管理咨询有限公司</w:t>
      </w:r>
    </w:p>
    <w:p w14:paraId="54505861">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你方组织的</w:t>
      </w:r>
      <w:r>
        <w:rPr>
          <w:rFonts w:hint="eastAsia"/>
          <w:color w:val="auto"/>
          <w:highlight w:val="none"/>
          <w:u w:val="single"/>
          <w:lang w:eastAsia="zh-CN"/>
        </w:rPr>
        <w:t xml:space="preserve"> </w:t>
      </w:r>
      <w:r>
        <w:rPr>
          <w:color w:val="auto"/>
          <w:highlight w:val="none"/>
          <w:u w:val="single"/>
          <w:lang w:eastAsia="zh-CN"/>
        </w:rPr>
        <w:t xml:space="preserve">       </w:t>
      </w:r>
      <w:r>
        <w:rPr>
          <w:rFonts w:hint="eastAsia"/>
          <w:color w:val="auto"/>
          <w:highlight w:val="none"/>
          <w:u w:val="single"/>
          <w:lang w:eastAsia="zh-CN"/>
        </w:rPr>
        <w:t>（项目名称）</w:t>
      </w:r>
      <w:r>
        <w:rPr>
          <w:color w:val="auto"/>
          <w:highlight w:val="none"/>
          <w:lang w:eastAsia="zh-CN"/>
        </w:rPr>
        <w:t>[项目编号：</w:t>
      </w:r>
      <w:r>
        <w:rPr>
          <w:color w:val="auto"/>
          <w:highlight w:val="none"/>
          <w:u w:val="single"/>
          <w:lang w:eastAsia="zh-CN"/>
        </w:rPr>
        <w:t xml:space="preserve">     </w:t>
      </w:r>
      <w:r>
        <w:rPr>
          <w:color w:val="auto"/>
          <w:highlight w:val="none"/>
          <w:lang w:eastAsia="zh-CN"/>
        </w:rPr>
        <w:t>]</w:t>
      </w:r>
      <w:r>
        <w:rPr>
          <w:rFonts w:hint="eastAsia"/>
          <w:color w:val="auto"/>
          <w:highlight w:val="none"/>
          <w:lang w:eastAsia="zh-CN"/>
        </w:rPr>
        <w:t>的竞争性磋商</w:t>
      </w:r>
      <w:r>
        <w:rPr>
          <w:color w:val="auto"/>
          <w:highlight w:val="none"/>
          <w:lang w:eastAsia="zh-CN"/>
        </w:rPr>
        <w:t>，我方愿参与</w:t>
      </w:r>
      <w:r>
        <w:rPr>
          <w:rFonts w:hint="eastAsia"/>
          <w:color w:val="auto"/>
          <w:highlight w:val="none"/>
          <w:lang w:eastAsia="zh-CN"/>
        </w:rPr>
        <w:t>响应</w:t>
      </w:r>
      <w:r>
        <w:rPr>
          <w:color w:val="auto"/>
          <w:highlight w:val="none"/>
          <w:lang w:eastAsia="zh-CN"/>
        </w:rPr>
        <w:t>。</w:t>
      </w:r>
    </w:p>
    <w:p w14:paraId="72AFDF7F">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我方确认收到贵方提供的</w:t>
      </w:r>
      <w:r>
        <w:rPr>
          <w:rFonts w:hint="eastAsia"/>
          <w:color w:val="auto"/>
          <w:highlight w:val="none"/>
          <w:u w:val="single"/>
          <w:lang w:eastAsia="zh-CN"/>
        </w:rPr>
        <w:t xml:space="preserve"> </w:t>
      </w:r>
      <w:r>
        <w:rPr>
          <w:color w:val="auto"/>
          <w:highlight w:val="none"/>
          <w:u w:val="single"/>
          <w:lang w:eastAsia="zh-CN"/>
        </w:rPr>
        <w:t xml:space="preserve">       </w:t>
      </w:r>
      <w:r>
        <w:rPr>
          <w:rFonts w:hint="eastAsia"/>
          <w:color w:val="auto"/>
          <w:highlight w:val="none"/>
          <w:u w:val="single"/>
          <w:lang w:eastAsia="zh-CN"/>
        </w:rPr>
        <w:t>（项目名称）</w:t>
      </w:r>
      <w:r>
        <w:rPr>
          <w:color w:val="auto"/>
          <w:highlight w:val="none"/>
          <w:lang w:eastAsia="zh-CN"/>
        </w:rPr>
        <w:t>的</w:t>
      </w:r>
      <w:r>
        <w:rPr>
          <w:rFonts w:hint="eastAsia"/>
          <w:color w:val="auto"/>
          <w:highlight w:val="none"/>
          <w:lang w:eastAsia="zh-CN"/>
        </w:rPr>
        <w:t>磋商</w:t>
      </w:r>
      <w:r>
        <w:rPr>
          <w:color w:val="auto"/>
          <w:highlight w:val="none"/>
          <w:lang w:eastAsia="zh-CN"/>
        </w:rPr>
        <w:t>文件的全部内容。</w:t>
      </w:r>
    </w:p>
    <w:p w14:paraId="334D85A9">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我方在参与响应前已详细研究了磋商文件的所有内容，包括澄清、修改文件（如果有）和所有已提供的参考资料以及有关附件，我方完全明白并认为此磋商文件没有倾向性，也不存在排斥潜在供应商的内容，我方同意磋商文件的相关条款，放弃对磋商文件提出误解和质疑的一切权力。</w:t>
      </w:r>
    </w:p>
    <w:p w14:paraId="7599F142">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color w:val="auto"/>
          <w:highlight w:val="none"/>
          <w:u w:val="single"/>
          <w:lang w:eastAsia="zh-CN"/>
        </w:rPr>
        <w:t xml:space="preserve">       </w:t>
      </w:r>
      <w:r>
        <w:rPr>
          <w:rFonts w:hint="eastAsia"/>
          <w:color w:val="auto"/>
          <w:highlight w:val="none"/>
          <w:u w:val="single"/>
          <w:lang w:eastAsia="zh-CN"/>
        </w:rPr>
        <w:t>（供应商</w:t>
      </w:r>
      <w:r>
        <w:rPr>
          <w:color w:val="auto"/>
          <w:highlight w:val="none"/>
          <w:u w:val="single"/>
          <w:lang w:eastAsia="zh-CN"/>
        </w:rPr>
        <w:t>名称</w:t>
      </w:r>
      <w:r>
        <w:rPr>
          <w:rFonts w:hint="eastAsia"/>
          <w:color w:val="auto"/>
          <w:highlight w:val="none"/>
          <w:u w:val="single"/>
          <w:lang w:eastAsia="zh-CN"/>
        </w:rPr>
        <w:t>）</w:t>
      </w:r>
      <w:r>
        <w:rPr>
          <w:color w:val="auto"/>
          <w:highlight w:val="none"/>
          <w:lang w:eastAsia="zh-CN"/>
        </w:rPr>
        <w:t>作为</w:t>
      </w:r>
      <w:r>
        <w:rPr>
          <w:rFonts w:hint="eastAsia"/>
          <w:color w:val="auto"/>
          <w:highlight w:val="none"/>
          <w:lang w:eastAsia="zh-CN"/>
        </w:rPr>
        <w:t>供应商</w:t>
      </w:r>
      <w:r>
        <w:rPr>
          <w:color w:val="auto"/>
          <w:highlight w:val="none"/>
          <w:lang w:eastAsia="zh-CN"/>
        </w:rPr>
        <w:t>正式授权</w:t>
      </w:r>
      <w:r>
        <w:rPr>
          <w:rFonts w:hint="eastAsia"/>
          <w:color w:val="auto"/>
          <w:highlight w:val="none"/>
          <w:u w:val="single"/>
          <w:lang w:eastAsia="zh-CN"/>
        </w:rPr>
        <w:t xml:space="preserve"> </w:t>
      </w:r>
      <w:r>
        <w:rPr>
          <w:color w:val="auto"/>
          <w:highlight w:val="none"/>
          <w:u w:val="single"/>
          <w:lang w:eastAsia="zh-CN"/>
        </w:rPr>
        <w:t xml:space="preserve">      </w:t>
      </w:r>
      <w:r>
        <w:rPr>
          <w:rFonts w:hint="eastAsia"/>
          <w:color w:val="auto"/>
          <w:highlight w:val="none"/>
          <w:u w:val="single"/>
          <w:lang w:eastAsia="zh-CN"/>
        </w:rPr>
        <w:t>（</w:t>
      </w:r>
      <w:r>
        <w:rPr>
          <w:color w:val="auto"/>
          <w:highlight w:val="none"/>
          <w:u w:val="single"/>
          <w:lang w:eastAsia="zh-CN"/>
        </w:rPr>
        <w:t>授权代表全名,职务</w:t>
      </w:r>
      <w:r>
        <w:rPr>
          <w:rFonts w:hint="eastAsia"/>
          <w:color w:val="auto"/>
          <w:highlight w:val="none"/>
          <w:u w:val="single"/>
          <w:lang w:eastAsia="zh-CN"/>
        </w:rPr>
        <w:t>）</w:t>
      </w:r>
      <w:r>
        <w:rPr>
          <w:color w:val="auto"/>
          <w:highlight w:val="none"/>
          <w:lang w:eastAsia="zh-CN"/>
        </w:rPr>
        <w:t>代表</w:t>
      </w:r>
      <w:r>
        <w:rPr>
          <w:rFonts w:hint="eastAsia"/>
          <w:color w:val="auto"/>
          <w:highlight w:val="none"/>
          <w:lang w:eastAsia="zh-CN"/>
        </w:rPr>
        <w:t>我方全权处理有关本响应的一切事宜</w:t>
      </w:r>
      <w:r>
        <w:rPr>
          <w:color w:val="auto"/>
          <w:highlight w:val="none"/>
          <w:lang w:eastAsia="zh-CN"/>
        </w:rPr>
        <w:t xml:space="preserve">。   </w:t>
      </w:r>
    </w:p>
    <w:p w14:paraId="2209089E">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我方已完全明白磋商文件的所有条款要求，并申明如下：</w:t>
      </w:r>
    </w:p>
    <w:p w14:paraId="18BA5073">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（一）按磋商文件提供的全部货物（工程、服务）与相关服务的磋商总价详见《首轮报价表》。</w:t>
      </w:r>
    </w:p>
    <w:p w14:paraId="38563D86">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二）本响应文件的有效期为从提交投标（响应）文件的截止之日起90日历天。如成交，有效期将延至合同终止日为止。在此提交的资格证明文件均至响应截止日有效，如有在响应有效期内失效的，我方承诺在成交后补齐一切手续，保证所有资格证明文件能在签订采购合同时直至采购合同终止日有效。</w:t>
      </w:r>
    </w:p>
    <w:p w14:paraId="697F1676">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（三）我方明白并同意，在规定的开启日之后，响应有效期之内撤回响应或成交后不按规定与采购人签订合同或不提交履约保证金, 则贵方将不予退还响应保证金。（若不收取响应保证金，则此条不适用）</w:t>
      </w:r>
    </w:p>
    <w:p w14:paraId="643929CC">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（四）我方愿意向贵方提供任何与本项报价有关的数据、情况和技术资料。若贵方需要，我方愿意提供我方作出的一切承诺的证明材料。</w:t>
      </w:r>
    </w:p>
    <w:p w14:paraId="5193E600">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（五）我方理解贵方不一定接受最低磋商价或任何贵方可能收到的响应。</w:t>
      </w:r>
    </w:p>
    <w:p w14:paraId="14B73F12">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（六）我方如果成交，将保证履行磋商文件及其澄清、修改文件（如果有）中的全部责任和义务，按质、按量、按期完成《采购需求》及《合同书》中的全部任务。</w:t>
      </w:r>
    </w:p>
    <w:p w14:paraId="553E690E">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（七）我方作为法律、财务和运作上独立于采购人、采购代理机构的供应商，在此保证所提交的所有文件和全部说明是真实的和正确的。</w:t>
      </w:r>
    </w:p>
    <w:p w14:paraId="0EC1978E">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（八）我方磋商报价已包含应向知识产权所有权人支付的所有相关税费，并保证采购人在中国使用我方提供的货物时，如有第三方提出侵犯其知识产权主张的，责任由我方承担。</w:t>
      </w:r>
    </w:p>
    <w:p w14:paraId="0DF053C7">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（九）我方接受采购人委托向贵方支付代理服务费，项目总报价已包含代理服务费，如果被确定为成交供应商，承诺向贵方足额支付。（若采购人支付代理服务费，则此条不适用）</w:t>
      </w:r>
    </w:p>
    <w:p w14:paraId="1002A8F9">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（十）我方与其他供应商不存在单位负责人为同一人或者存在直接控股、管理关系。</w:t>
      </w:r>
    </w:p>
    <w:p w14:paraId="282D0509">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（十一）我方承诺未为本项目提供整体设计、规范编制或者项目管理、监理、检测等服务。</w:t>
      </w:r>
    </w:p>
    <w:p w14:paraId="5BC9AEA2">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（十二）我方未被列入法院失信被执行人名单中。</w:t>
      </w:r>
    </w:p>
    <w:p w14:paraId="00A1D941">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（十三）我方承诺遵守《中华人民共和国</w:t>
      </w:r>
      <w:r>
        <w:rPr>
          <w:rFonts w:hint="eastAsia"/>
          <w:color w:val="auto"/>
          <w:highlight w:val="none"/>
          <w:lang w:val="en-US" w:eastAsia="zh-CN"/>
        </w:rPr>
        <w:t>民法典</w:t>
      </w:r>
      <w:r>
        <w:rPr>
          <w:rFonts w:hint="eastAsia"/>
          <w:color w:val="auto"/>
          <w:highlight w:val="none"/>
          <w:lang w:eastAsia="zh-CN"/>
        </w:rPr>
        <w:t>》有关规定和《中华人民共和国妇女权益保障法》中关于“劳动和社会保障权益”的有关要求。</w:t>
      </w:r>
    </w:p>
    <w:p w14:paraId="337DBF24">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（十四）我方具备《中华人民共和国政府采购法》第二十二条规定的条件，承诺如下：</w:t>
      </w:r>
    </w:p>
    <w:p w14:paraId="5D15EA4A">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47C495A9">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（2）我方符合法律、行政法规规定的其他条件。</w:t>
      </w:r>
    </w:p>
    <w:p w14:paraId="436A3729">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以上内容如有虚假或与事实不符的，磋商小组可将我方做无效响应处理，我方愿意承担相应的法律责任。</w:t>
      </w:r>
    </w:p>
    <w:p w14:paraId="56EB7122">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（十五）我方对在本函及响应文件中所作的所有承诺承担法律责任。</w:t>
      </w:r>
    </w:p>
    <w:p w14:paraId="5EFA56E7">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（十六）所有与本磋商有关的函件请发往下列地址：</w:t>
      </w:r>
    </w:p>
    <w:p w14:paraId="057ACF19">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u w:val="single"/>
          <w:lang w:eastAsia="zh-CN"/>
        </w:rPr>
      </w:pPr>
      <w:r>
        <w:rPr>
          <w:rFonts w:hint="eastAsia"/>
          <w:color w:val="auto"/>
          <w:highlight w:val="none"/>
          <w:lang w:eastAsia="zh-CN"/>
        </w:rPr>
        <w:t xml:space="preserve">地 </w:t>
      </w:r>
      <w:r>
        <w:rPr>
          <w:color w:val="auto"/>
          <w:highlight w:val="none"/>
          <w:lang w:eastAsia="zh-CN"/>
        </w:rPr>
        <w:t xml:space="preserve">   址：</w:t>
      </w:r>
      <w:r>
        <w:rPr>
          <w:color w:val="auto"/>
          <w:highlight w:val="none"/>
          <w:u w:val="single"/>
          <w:lang w:eastAsia="zh-CN"/>
        </w:rPr>
        <w:t xml:space="preserve">               .</w:t>
      </w:r>
    </w:p>
    <w:p w14:paraId="719ED3C2">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u w:val="single"/>
          <w:lang w:eastAsia="zh-CN"/>
        </w:rPr>
      </w:pPr>
      <w:r>
        <w:rPr>
          <w:color w:val="auto"/>
          <w:highlight w:val="none"/>
          <w:lang w:eastAsia="zh-CN"/>
        </w:rPr>
        <w:t>电</w:t>
      </w:r>
      <w:r>
        <w:rPr>
          <w:rFonts w:hint="eastAsia"/>
          <w:color w:val="auto"/>
          <w:highlight w:val="none"/>
          <w:lang w:eastAsia="zh-CN"/>
        </w:rPr>
        <w:t xml:space="preserve"> </w:t>
      </w:r>
      <w:r>
        <w:rPr>
          <w:color w:val="auto"/>
          <w:highlight w:val="none"/>
          <w:lang w:eastAsia="zh-CN"/>
        </w:rPr>
        <w:t xml:space="preserve">   话：</w:t>
      </w:r>
      <w:r>
        <w:rPr>
          <w:color w:val="auto"/>
          <w:highlight w:val="none"/>
          <w:u w:val="single"/>
          <w:lang w:eastAsia="zh-CN"/>
        </w:rPr>
        <w:t xml:space="preserve">               .</w:t>
      </w:r>
    </w:p>
    <w:p w14:paraId="430AAE86">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r>
        <w:rPr>
          <w:rFonts w:hint="eastAsia"/>
          <w:color w:val="auto"/>
          <w:highlight w:val="none"/>
          <w:lang w:eastAsia="zh-CN"/>
        </w:rPr>
        <w:t>电子邮箱</w:t>
      </w:r>
      <w:r>
        <w:rPr>
          <w:color w:val="auto"/>
          <w:highlight w:val="none"/>
          <w:lang w:eastAsia="zh-CN"/>
        </w:rPr>
        <w:t>：</w:t>
      </w:r>
      <w:r>
        <w:rPr>
          <w:color w:val="auto"/>
          <w:highlight w:val="none"/>
          <w:u w:val="single"/>
          <w:lang w:eastAsia="zh-CN"/>
        </w:rPr>
        <w:t xml:space="preserve">               .</w:t>
      </w:r>
    </w:p>
    <w:p w14:paraId="0550DAAA">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u w:val="single"/>
          <w:lang w:eastAsia="zh-CN"/>
        </w:rPr>
      </w:pPr>
      <w:r>
        <w:rPr>
          <w:rFonts w:hint="eastAsia"/>
          <w:color w:val="auto"/>
          <w:highlight w:val="none"/>
          <w:lang w:eastAsia="zh-CN"/>
        </w:rPr>
        <w:t>代表姓名：</w:t>
      </w:r>
      <w:r>
        <w:rPr>
          <w:color w:val="auto"/>
          <w:highlight w:val="none"/>
          <w:u w:val="single"/>
          <w:lang w:eastAsia="zh-CN"/>
        </w:rPr>
        <w:t xml:space="preserve">               .</w:t>
      </w:r>
    </w:p>
    <w:p w14:paraId="37AAC80F">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u w:val="single"/>
          <w:lang w:eastAsia="zh-CN"/>
        </w:rPr>
      </w:pPr>
      <w:r>
        <w:rPr>
          <w:color w:val="auto"/>
          <w:highlight w:val="none"/>
          <w:lang w:eastAsia="zh-CN"/>
        </w:rPr>
        <w:t>职    务：</w:t>
      </w:r>
      <w:r>
        <w:rPr>
          <w:color w:val="auto"/>
          <w:highlight w:val="none"/>
          <w:u w:val="single"/>
          <w:lang w:eastAsia="zh-CN"/>
        </w:rPr>
        <w:t xml:space="preserve">               .</w:t>
      </w:r>
    </w:p>
    <w:p w14:paraId="39E1FE2C">
      <w:pPr>
        <w:pStyle w:val="356"/>
        <w:keepNext w:val="0"/>
        <w:keepLines w:val="0"/>
        <w:pageBreakBefore w:val="0"/>
        <w:widowControl w:val="0"/>
        <w:kinsoku/>
        <w:wordWrap/>
        <w:overflowPunct/>
        <w:topLinePunct w:val="0"/>
        <w:autoSpaceDE/>
        <w:autoSpaceDN/>
        <w:bidi w:val="0"/>
        <w:spacing w:line="360" w:lineRule="auto"/>
        <w:rPr>
          <w:rFonts w:hint="eastAsia"/>
          <w:color w:val="auto"/>
          <w:highlight w:val="none"/>
          <w:lang w:eastAsia="zh-CN"/>
        </w:rPr>
      </w:pPr>
    </w:p>
    <w:p w14:paraId="39D9D756">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bookmarkStart w:id="193" w:name="_Toc462677251"/>
      <w:bookmarkStart w:id="194" w:name="_Toc462677250"/>
      <w:bookmarkStart w:id="195" w:name="_Toc425161128"/>
      <w:bookmarkStart w:id="196" w:name="_Toc259090997"/>
      <w:bookmarkStart w:id="197" w:name="_Toc259090984"/>
      <w:bookmarkStart w:id="198" w:name="_Toc67046896"/>
      <w:bookmarkStart w:id="199" w:name="_Toc276645581"/>
      <w:bookmarkStart w:id="200" w:name="_Toc6322298"/>
      <w:bookmarkStart w:id="201" w:name="_Toc462677236"/>
      <w:r>
        <w:rPr>
          <w:rFonts w:hint="eastAsia"/>
          <w:color w:val="auto"/>
          <w:kern w:val="0"/>
          <w:highlight w:val="none"/>
          <w:lang w:eastAsia="zh-CN"/>
        </w:rPr>
        <w:t>供应商</w:t>
      </w:r>
      <w:r>
        <w:rPr>
          <w:rFonts w:hint="eastAsia"/>
          <w:color w:val="auto"/>
          <w:highlight w:val="none"/>
          <w:lang w:eastAsia="zh-CN"/>
        </w:rPr>
        <w:t>法定代表人或其授权委托人（签字或盖章）：</w:t>
      </w:r>
      <w:r>
        <w:rPr>
          <w:color w:val="auto"/>
          <w:highlight w:val="none"/>
          <w:u w:val="single"/>
          <w:lang w:eastAsia="zh-CN"/>
        </w:rPr>
        <w:t xml:space="preserve">                    .</w:t>
      </w:r>
    </w:p>
    <w:p w14:paraId="26B0BCCC">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r>
        <w:rPr>
          <w:rFonts w:hint="eastAsia"/>
          <w:color w:val="auto"/>
          <w:highlight w:val="none"/>
          <w:lang w:eastAsia="zh-CN"/>
        </w:rPr>
        <w:t>供应商名称（盖章）：</w:t>
      </w:r>
      <w:r>
        <w:rPr>
          <w:color w:val="auto"/>
          <w:highlight w:val="none"/>
          <w:u w:val="single"/>
          <w:lang w:eastAsia="zh-CN"/>
        </w:rPr>
        <w:t xml:space="preserve">                    .</w:t>
      </w:r>
    </w:p>
    <w:p w14:paraId="57C2F154">
      <w:pPr>
        <w:pStyle w:val="356"/>
        <w:keepNext w:val="0"/>
        <w:keepLines w:val="0"/>
        <w:pageBreakBefore w:val="0"/>
        <w:widowControl w:val="0"/>
        <w:kinsoku/>
        <w:wordWrap/>
        <w:overflowPunct/>
        <w:topLinePunct w:val="0"/>
        <w:autoSpaceDE/>
        <w:autoSpaceDN/>
        <w:bidi w:val="0"/>
        <w:spacing w:line="360" w:lineRule="auto"/>
        <w:ind w:firstLine="4960" w:firstLineChars="2067"/>
        <w:jc w:val="right"/>
        <w:rPr>
          <w:rFonts w:hint="eastAsia"/>
          <w:color w:val="auto"/>
          <w:highlight w:val="none"/>
        </w:rPr>
      </w:pPr>
      <w:r>
        <w:rPr>
          <w:rFonts w:hint="eastAsia"/>
          <w:color w:val="auto"/>
          <w:highlight w:val="none"/>
        </w:rPr>
        <w:t>日期：</w:t>
      </w:r>
      <w:r>
        <w:rPr>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日</w:t>
      </w:r>
    </w:p>
    <w:p w14:paraId="5F09F519">
      <w:pPr>
        <w:keepNext w:val="0"/>
        <w:keepLines w:val="0"/>
        <w:pageBreakBefore w:val="0"/>
        <w:widowControl w:val="0"/>
        <w:kinsoku/>
        <w:wordWrap/>
        <w:overflowPunct/>
        <w:topLinePunct w:val="0"/>
        <w:bidi w:val="0"/>
        <w:spacing w:line="360" w:lineRule="auto"/>
        <w:rPr>
          <w:rFonts w:hint="eastAsia"/>
          <w:b/>
          <w:bCs/>
          <w:color w:val="auto"/>
          <w:sz w:val="24"/>
          <w:highlight w:val="none"/>
        </w:rPr>
      </w:pPr>
      <w:r>
        <w:rPr>
          <w:color w:val="auto"/>
          <w:sz w:val="24"/>
          <w:highlight w:val="none"/>
        </w:rPr>
        <w:br w:type="page"/>
      </w:r>
    </w:p>
    <w:p w14:paraId="3E25F670">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02" w:name="_Toc6880"/>
      <w:bookmarkStart w:id="203" w:name="_Toc104040703"/>
      <w:bookmarkStart w:id="204" w:name="_Toc104040757"/>
      <w:r>
        <w:rPr>
          <w:rFonts w:hint="eastAsia" w:ascii="宋体" w:hAnsi="宋体" w:eastAsia="宋体"/>
          <w:color w:val="auto"/>
          <w:sz w:val="24"/>
          <w:szCs w:val="24"/>
          <w:highlight w:val="none"/>
        </w:rPr>
        <w:t>首轮报价表</w:t>
      </w:r>
      <w:bookmarkEnd w:id="202"/>
      <w:bookmarkEnd w:id="203"/>
      <w:bookmarkEnd w:id="204"/>
    </w:p>
    <w:bookmarkEnd w:id="193"/>
    <w:bookmarkEnd w:id="194"/>
    <w:bookmarkEnd w:id="195"/>
    <w:bookmarkEnd w:id="196"/>
    <w:p w14:paraId="02D5165B">
      <w:pPr>
        <w:keepNext w:val="0"/>
        <w:keepLines w:val="0"/>
        <w:pageBreakBefore w:val="0"/>
        <w:widowControl w:val="0"/>
        <w:kinsoku/>
        <w:wordWrap/>
        <w:overflowPunct/>
        <w:topLinePunct w:val="0"/>
        <w:bidi w:val="0"/>
        <w:spacing w:line="360" w:lineRule="auto"/>
        <w:jc w:val="center"/>
        <w:rPr>
          <w:rFonts w:hint="eastAsia" w:eastAsia="宋体"/>
          <w:b/>
          <w:bCs/>
          <w:color w:val="auto"/>
          <w:sz w:val="28"/>
          <w:szCs w:val="28"/>
          <w:highlight w:val="none"/>
          <w:lang w:eastAsia="zh-CN"/>
        </w:rPr>
      </w:pPr>
      <w:r>
        <w:rPr>
          <w:rFonts w:hint="eastAsia"/>
          <w:b/>
          <w:bCs/>
          <w:color w:val="auto"/>
          <w:sz w:val="28"/>
          <w:szCs w:val="28"/>
          <w:highlight w:val="none"/>
        </w:rPr>
        <w:t>首轮报价表</w:t>
      </w:r>
    </w:p>
    <w:p w14:paraId="6FE4E2EE">
      <w:pPr>
        <w:keepNext w:val="0"/>
        <w:keepLines w:val="0"/>
        <w:pageBreakBefore w:val="0"/>
        <w:widowControl w:val="0"/>
        <w:kinsoku/>
        <w:wordWrap/>
        <w:overflowPunct/>
        <w:topLinePunct w:val="0"/>
        <w:bidi w:val="0"/>
        <w:spacing w:line="360" w:lineRule="auto"/>
        <w:rPr>
          <w:rFonts w:hint="eastAsia"/>
          <w:bCs/>
          <w:color w:val="auto"/>
          <w:sz w:val="24"/>
          <w:highlight w:val="none"/>
        </w:rPr>
      </w:pPr>
      <w:r>
        <w:rPr>
          <w:rFonts w:hint="eastAsia"/>
          <w:bCs/>
          <w:color w:val="auto"/>
          <w:sz w:val="24"/>
          <w:highlight w:val="none"/>
        </w:rPr>
        <w:t>项目名称：</w:t>
      </w:r>
      <w:r>
        <w:rPr>
          <w:rFonts w:hint="eastAsia"/>
          <w:bCs/>
          <w:color w:val="auto"/>
          <w:sz w:val="24"/>
          <w:highlight w:val="none"/>
          <w:u w:val="single"/>
        </w:rPr>
        <w:t xml:space="preserve">          </w:t>
      </w:r>
      <w:r>
        <w:rPr>
          <w:bCs/>
          <w:color w:val="auto"/>
          <w:sz w:val="24"/>
          <w:highlight w:val="none"/>
          <w:u w:val="single"/>
        </w:rPr>
        <w:t xml:space="preserve">  </w:t>
      </w:r>
      <w:r>
        <w:rPr>
          <w:rFonts w:hint="eastAsia"/>
          <w:bCs/>
          <w:color w:val="auto"/>
          <w:sz w:val="24"/>
          <w:highlight w:val="none"/>
          <w:u w:val="single"/>
        </w:rPr>
        <w:t xml:space="preserve">     </w:t>
      </w:r>
      <w:r>
        <w:rPr>
          <w:rFonts w:hint="eastAsia"/>
          <w:bCs/>
          <w:color w:val="auto"/>
          <w:sz w:val="24"/>
          <w:highlight w:val="none"/>
        </w:rPr>
        <w:t xml:space="preserve">         </w:t>
      </w:r>
    </w:p>
    <w:p w14:paraId="397E03EC">
      <w:pPr>
        <w:keepNext w:val="0"/>
        <w:keepLines w:val="0"/>
        <w:pageBreakBefore w:val="0"/>
        <w:widowControl w:val="0"/>
        <w:kinsoku/>
        <w:wordWrap/>
        <w:overflowPunct/>
        <w:topLinePunct w:val="0"/>
        <w:bidi w:val="0"/>
        <w:spacing w:line="360" w:lineRule="auto"/>
        <w:rPr>
          <w:rFonts w:hint="eastAsia"/>
          <w:bCs/>
          <w:color w:val="auto"/>
          <w:sz w:val="24"/>
          <w:highlight w:val="none"/>
        </w:rPr>
      </w:pPr>
      <w:r>
        <w:rPr>
          <w:rFonts w:hint="eastAsia"/>
          <w:bCs/>
          <w:color w:val="auto"/>
          <w:sz w:val="24"/>
          <w:highlight w:val="none"/>
        </w:rPr>
        <w:t>项目编号：</w:t>
      </w:r>
    </w:p>
    <w:p w14:paraId="06438F83">
      <w:pPr>
        <w:keepNext w:val="0"/>
        <w:keepLines w:val="0"/>
        <w:pageBreakBefore w:val="0"/>
        <w:widowControl w:val="0"/>
        <w:kinsoku/>
        <w:wordWrap/>
        <w:overflowPunct/>
        <w:topLinePunct w:val="0"/>
        <w:bidi w:val="0"/>
        <w:spacing w:line="360" w:lineRule="auto"/>
        <w:rPr>
          <w:rFonts w:hint="eastAsia"/>
          <w:color w:val="auto"/>
          <w:sz w:val="24"/>
          <w:highlight w:val="none"/>
        </w:rPr>
      </w:pPr>
      <w:r>
        <w:rPr>
          <w:rFonts w:hint="eastAsia"/>
          <w:bCs/>
          <w:color w:val="auto"/>
          <w:sz w:val="24"/>
          <w:highlight w:val="none"/>
          <w:lang w:val="en-US" w:eastAsia="zh-CN"/>
        </w:rPr>
        <w:t>采 购 包：</w:t>
      </w:r>
      <w:r>
        <w:rPr>
          <w:rFonts w:hint="eastAsia"/>
          <w:bCs/>
          <w:color w:val="auto"/>
          <w:sz w:val="24"/>
          <w:highlight w:val="none"/>
          <w:u w:val="single"/>
        </w:rPr>
        <w:t xml:space="preserve">           </w:t>
      </w:r>
      <w:r>
        <w:rPr>
          <w:rFonts w:hint="eastAsia"/>
          <w:b/>
          <w:color w:val="auto"/>
          <w:sz w:val="24"/>
          <w:highlight w:val="none"/>
          <w:u w:val="single"/>
        </w:rPr>
        <w:t xml:space="preserve">      </w:t>
      </w:r>
    </w:p>
    <w:tbl>
      <w:tblPr>
        <w:tblStyle w:val="4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02"/>
        <w:gridCol w:w="2458"/>
        <w:gridCol w:w="2194"/>
      </w:tblGrid>
      <w:tr w14:paraId="385BF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202" w:type="dxa"/>
            <w:vAlign w:val="center"/>
          </w:tcPr>
          <w:p w14:paraId="459D61F5">
            <w:pPr>
              <w:keepNext w:val="0"/>
              <w:keepLines w:val="0"/>
              <w:pageBreakBefore w:val="0"/>
              <w:widowControl w:val="0"/>
              <w:kinsoku/>
              <w:wordWrap/>
              <w:overflowPunct/>
              <w:topLinePunct w:val="0"/>
              <w:bidi w:val="0"/>
              <w:spacing w:line="360" w:lineRule="auto"/>
              <w:jc w:val="center"/>
              <w:rPr>
                <w:rFonts w:hint="eastAsia"/>
                <w:b/>
                <w:bCs/>
                <w:color w:val="auto"/>
                <w:sz w:val="24"/>
                <w:highlight w:val="none"/>
              </w:rPr>
            </w:pPr>
            <w:r>
              <w:rPr>
                <w:rFonts w:hint="eastAsia"/>
                <w:b/>
                <w:bCs/>
                <w:color w:val="auto"/>
                <w:sz w:val="24"/>
                <w:highlight w:val="none"/>
              </w:rPr>
              <w:t>响应报价（元）</w:t>
            </w:r>
          </w:p>
        </w:tc>
        <w:tc>
          <w:tcPr>
            <w:tcW w:w="2458" w:type="dxa"/>
            <w:vAlign w:val="center"/>
          </w:tcPr>
          <w:p w14:paraId="3DF37F3F">
            <w:pPr>
              <w:keepNext w:val="0"/>
              <w:keepLines w:val="0"/>
              <w:pageBreakBefore w:val="0"/>
              <w:widowControl w:val="0"/>
              <w:kinsoku/>
              <w:wordWrap/>
              <w:overflowPunct/>
              <w:topLinePunct w:val="0"/>
              <w:bidi w:val="0"/>
              <w:spacing w:line="360" w:lineRule="auto"/>
              <w:jc w:val="center"/>
              <w:rPr>
                <w:rFonts w:hint="eastAsia"/>
                <w:b/>
                <w:bCs/>
                <w:color w:val="auto"/>
                <w:sz w:val="24"/>
                <w:highlight w:val="none"/>
              </w:rPr>
            </w:pPr>
            <w:r>
              <w:rPr>
                <w:rFonts w:hint="eastAsia"/>
                <w:b/>
                <w:bCs/>
                <w:color w:val="auto"/>
                <w:sz w:val="24"/>
                <w:highlight w:val="none"/>
              </w:rPr>
              <w:t>服务期</w:t>
            </w:r>
          </w:p>
        </w:tc>
        <w:tc>
          <w:tcPr>
            <w:tcW w:w="2194" w:type="dxa"/>
            <w:vAlign w:val="center"/>
          </w:tcPr>
          <w:p w14:paraId="0DEE943C">
            <w:pPr>
              <w:keepNext w:val="0"/>
              <w:keepLines w:val="0"/>
              <w:pageBreakBefore w:val="0"/>
              <w:widowControl w:val="0"/>
              <w:kinsoku/>
              <w:wordWrap/>
              <w:overflowPunct/>
              <w:topLinePunct w:val="0"/>
              <w:bidi w:val="0"/>
              <w:spacing w:line="360" w:lineRule="auto"/>
              <w:jc w:val="center"/>
              <w:rPr>
                <w:rFonts w:hint="eastAsia"/>
                <w:b/>
                <w:bCs/>
                <w:color w:val="auto"/>
                <w:sz w:val="24"/>
                <w:highlight w:val="none"/>
              </w:rPr>
            </w:pPr>
            <w:r>
              <w:rPr>
                <w:rFonts w:hint="eastAsia"/>
                <w:b/>
                <w:bCs/>
                <w:color w:val="auto"/>
                <w:sz w:val="24"/>
                <w:highlight w:val="none"/>
              </w:rPr>
              <w:t>备注</w:t>
            </w:r>
          </w:p>
        </w:tc>
      </w:tr>
      <w:tr w14:paraId="38693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jc w:val="center"/>
        </w:trPr>
        <w:tc>
          <w:tcPr>
            <w:tcW w:w="5202" w:type="dxa"/>
            <w:vAlign w:val="center"/>
          </w:tcPr>
          <w:p w14:paraId="131BB147">
            <w:pPr>
              <w:keepNext w:val="0"/>
              <w:keepLines w:val="0"/>
              <w:pageBreakBefore w:val="0"/>
              <w:widowControl w:val="0"/>
              <w:kinsoku/>
              <w:wordWrap/>
              <w:overflowPunct/>
              <w:topLinePunct w:val="0"/>
              <w:bidi w:val="0"/>
              <w:spacing w:line="360" w:lineRule="auto"/>
              <w:rPr>
                <w:rFonts w:hint="eastAsia"/>
                <w:color w:val="auto"/>
                <w:kern w:val="28"/>
                <w:sz w:val="24"/>
                <w:highlight w:val="none"/>
                <w:u w:val="single"/>
              </w:rPr>
            </w:pPr>
            <w:r>
              <w:rPr>
                <w:rFonts w:hint="eastAsia"/>
                <w:color w:val="auto"/>
                <w:kern w:val="28"/>
                <w:sz w:val="24"/>
                <w:highlight w:val="none"/>
              </w:rPr>
              <w:t>小写：¥</w:t>
            </w:r>
            <w:r>
              <w:rPr>
                <w:color w:val="auto"/>
                <w:kern w:val="28"/>
                <w:sz w:val="24"/>
                <w:highlight w:val="none"/>
                <w:u w:val="single"/>
              </w:rPr>
              <w:t xml:space="preserve">              .</w:t>
            </w:r>
          </w:p>
          <w:p w14:paraId="54D09CE6">
            <w:pPr>
              <w:pStyle w:val="45"/>
              <w:keepNext w:val="0"/>
              <w:keepLines w:val="0"/>
              <w:pageBreakBefore w:val="0"/>
              <w:widowControl w:val="0"/>
              <w:kinsoku/>
              <w:wordWrap/>
              <w:overflowPunct/>
              <w:topLinePunct w:val="0"/>
              <w:bidi w:val="0"/>
              <w:spacing w:line="360" w:lineRule="auto"/>
              <w:ind w:firstLine="480"/>
              <w:rPr>
                <w:rFonts w:hint="eastAsia"/>
                <w:color w:val="auto"/>
                <w:sz w:val="24"/>
                <w:highlight w:val="none"/>
              </w:rPr>
            </w:pPr>
          </w:p>
          <w:p w14:paraId="6A593535">
            <w:pPr>
              <w:keepNext w:val="0"/>
              <w:keepLines w:val="0"/>
              <w:pageBreakBefore w:val="0"/>
              <w:widowControl w:val="0"/>
              <w:kinsoku/>
              <w:wordWrap/>
              <w:overflowPunct/>
              <w:topLinePunct w:val="0"/>
              <w:bidi w:val="0"/>
              <w:spacing w:line="360" w:lineRule="auto"/>
              <w:rPr>
                <w:rFonts w:hint="eastAsia"/>
                <w:color w:val="auto"/>
                <w:kern w:val="28"/>
                <w:sz w:val="24"/>
                <w:highlight w:val="none"/>
                <w:u w:val="single"/>
              </w:rPr>
            </w:pPr>
            <w:r>
              <w:rPr>
                <w:rFonts w:hint="eastAsia"/>
                <w:color w:val="auto"/>
                <w:kern w:val="28"/>
                <w:sz w:val="24"/>
                <w:highlight w:val="none"/>
              </w:rPr>
              <w:t>大写：人民币</w:t>
            </w:r>
            <w:r>
              <w:rPr>
                <w:rFonts w:hint="eastAsia"/>
                <w:color w:val="auto"/>
                <w:kern w:val="28"/>
                <w:sz w:val="24"/>
                <w:highlight w:val="none"/>
                <w:u w:val="single"/>
              </w:rPr>
              <w:t xml:space="preserve"> </w:t>
            </w:r>
            <w:r>
              <w:rPr>
                <w:color w:val="auto"/>
                <w:kern w:val="28"/>
                <w:sz w:val="24"/>
                <w:highlight w:val="none"/>
                <w:u w:val="single"/>
              </w:rPr>
              <w:t xml:space="preserve">         .</w:t>
            </w:r>
          </w:p>
        </w:tc>
        <w:tc>
          <w:tcPr>
            <w:tcW w:w="2458" w:type="dxa"/>
            <w:vAlign w:val="center"/>
          </w:tcPr>
          <w:p w14:paraId="606FB6BA">
            <w:pPr>
              <w:keepNext w:val="0"/>
              <w:keepLines w:val="0"/>
              <w:pageBreakBefore w:val="0"/>
              <w:widowControl w:val="0"/>
              <w:kinsoku/>
              <w:wordWrap/>
              <w:overflowPunct/>
              <w:topLinePunct w:val="0"/>
              <w:bidi w:val="0"/>
              <w:spacing w:line="360" w:lineRule="auto"/>
              <w:jc w:val="center"/>
              <w:rPr>
                <w:rFonts w:hint="eastAsia"/>
                <w:color w:val="auto"/>
                <w:sz w:val="24"/>
                <w:highlight w:val="none"/>
              </w:rPr>
            </w:pPr>
            <w:r>
              <w:rPr>
                <w:rFonts w:hint="eastAsia"/>
                <w:color w:val="auto"/>
                <w:sz w:val="24"/>
                <w:highlight w:val="none"/>
              </w:rPr>
              <w:t>按照磋商文件要求执行</w:t>
            </w:r>
          </w:p>
        </w:tc>
        <w:tc>
          <w:tcPr>
            <w:tcW w:w="2194" w:type="dxa"/>
            <w:vAlign w:val="center"/>
          </w:tcPr>
          <w:p w14:paraId="456870A6">
            <w:pPr>
              <w:keepNext w:val="0"/>
              <w:keepLines w:val="0"/>
              <w:pageBreakBefore w:val="0"/>
              <w:widowControl w:val="0"/>
              <w:kinsoku/>
              <w:wordWrap/>
              <w:overflowPunct/>
              <w:topLinePunct w:val="0"/>
              <w:bidi w:val="0"/>
              <w:spacing w:line="360" w:lineRule="auto"/>
              <w:jc w:val="center"/>
              <w:rPr>
                <w:rFonts w:hint="eastAsia"/>
                <w:color w:val="auto"/>
                <w:sz w:val="24"/>
                <w:highlight w:val="none"/>
              </w:rPr>
            </w:pPr>
          </w:p>
        </w:tc>
      </w:tr>
    </w:tbl>
    <w:p w14:paraId="30E693D5">
      <w:pPr>
        <w:keepNext w:val="0"/>
        <w:keepLines w:val="0"/>
        <w:pageBreakBefore w:val="0"/>
        <w:widowControl w:val="0"/>
        <w:kinsoku/>
        <w:wordWrap/>
        <w:overflowPunct/>
        <w:topLinePunct w:val="0"/>
        <w:bidi w:val="0"/>
        <w:spacing w:line="360" w:lineRule="auto"/>
        <w:rPr>
          <w:rFonts w:hint="eastAsia"/>
          <w:color w:val="auto"/>
          <w:sz w:val="24"/>
          <w:highlight w:val="none"/>
        </w:rPr>
      </w:pPr>
    </w:p>
    <w:p w14:paraId="0D5391DA">
      <w:pPr>
        <w:keepNext w:val="0"/>
        <w:keepLines w:val="0"/>
        <w:pageBreakBefore w:val="0"/>
        <w:widowControl w:val="0"/>
        <w:kinsoku/>
        <w:wordWrap/>
        <w:overflowPunct/>
        <w:topLinePunct w:val="0"/>
        <w:bidi w:val="0"/>
        <w:spacing w:line="360" w:lineRule="auto"/>
        <w:rPr>
          <w:rFonts w:hint="eastAsia"/>
          <w:color w:val="auto"/>
          <w:sz w:val="24"/>
          <w:highlight w:val="none"/>
        </w:rPr>
      </w:pPr>
      <w:r>
        <w:rPr>
          <w:rFonts w:hint="eastAsia"/>
          <w:color w:val="auto"/>
          <w:sz w:val="24"/>
          <w:highlight w:val="none"/>
        </w:rPr>
        <w:t>注：</w:t>
      </w:r>
    </w:p>
    <w:p w14:paraId="26602A8F">
      <w:pPr>
        <w:keepNext w:val="0"/>
        <w:keepLines w:val="0"/>
        <w:pageBreakBefore w:val="0"/>
        <w:widowControl w:val="0"/>
        <w:kinsoku/>
        <w:wordWrap/>
        <w:overflowPunct/>
        <w:topLinePunct w:val="0"/>
        <w:bidi w:val="0"/>
        <w:spacing w:line="360" w:lineRule="auto"/>
        <w:rPr>
          <w:rFonts w:hint="eastAsia"/>
          <w:color w:val="auto"/>
          <w:sz w:val="24"/>
          <w:highlight w:val="none"/>
        </w:rPr>
      </w:pPr>
      <w:bookmarkStart w:id="205" w:name="_Hlk67046034"/>
      <w:r>
        <w:rPr>
          <w:rFonts w:hint="eastAsia"/>
          <w:color w:val="auto"/>
          <w:sz w:val="24"/>
          <w:highlight w:val="none"/>
        </w:rPr>
        <w:t>1.中文大写金额用汉字，如壹、贰、叁、肆、伍、陆、柒、捌、玖、拾、佰、仟、万、亿、元、角、分、零、整（正）等。</w:t>
      </w:r>
    </w:p>
    <w:p w14:paraId="75D2F433">
      <w:pPr>
        <w:keepNext w:val="0"/>
        <w:keepLines w:val="0"/>
        <w:pageBreakBefore w:val="0"/>
        <w:widowControl w:val="0"/>
        <w:kinsoku/>
        <w:wordWrap/>
        <w:overflowPunct/>
        <w:topLinePunct w:val="0"/>
        <w:bidi w:val="0"/>
        <w:spacing w:line="360" w:lineRule="auto"/>
        <w:rPr>
          <w:rFonts w:hint="eastAsia"/>
          <w:color w:val="auto"/>
          <w:sz w:val="24"/>
          <w:highlight w:val="none"/>
        </w:rPr>
      </w:pPr>
      <w:r>
        <w:rPr>
          <w:rFonts w:hint="eastAsia"/>
          <w:color w:val="auto"/>
          <w:sz w:val="24"/>
          <w:highlight w:val="none"/>
        </w:rPr>
        <w:t>2.响应报价的小数点后保留两位有效数。</w:t>
      </w:r>
    </w:p>
    <w:bookmarkEnd w:id="205"/>
    <w:p w14:paraId="6736CD44">
      <w:pPr>
        <w:keepNext w:val="0"/>
        <w:keepLines w:val="0"/>
        <w:pageBreakBefore w:val="0"/>
        <w:widowControl w:val="0"/>
        <w:kinsoku/>
        <w:wordWrap/>
        <w:overflowPunct/>
        <w:topLinePunct w:val="0"/>
        <w:bidi w:val="0"/>
        <w:spacing w:line="360" w:lineRule="auto"/>
        <w:rPr>
          <w:rFonts w:hint="eastAsia"/>
          <w:b/>
          <w:bCs/>
          <w:color w:val="auto"/>
          <w:sz w:val="24"/>
          <w:highlight w:val="none"/>
        </w:rPr>
      </w:pPr>
      <w:r>
        <w:rPr>
          <w:b/>
          <w:bCs/>
          <w:color w:val="auto"/>
          <w:sz w:val="24"/>
          <w:highlight w:val="none"/>
        </w:rPr>
        <w:t>3.</w:t>
      </w:r>
      <w:r>
        <w:rPr>
          <w:rFonts w:hint="eastAsia"/>
          <w:b/>
          <w:bCs/>
          <w:color w:val="auto"/>
          <w:sz w:val="24"/>
          <w:highlight w:val="none"/>
        </w:rPr>
        <w:t>报价超过最高限价的，将作无效响应处理。</w:t>
      </w:r>
    </w:p>
    <w:p w14:paraId="19968B9E">
      <w:pPr>
        <w:keepNext w:val="0"/>
        <w:keepLines w:val="0"/>
        <w:pageBreakBefore w:val="0"/>
        <w:widowControl w:val="0"/>
        <w:kinsoku/>
        <w:wordWrap/>
        <w:overflowPunct/>
        <w:topLinePunct w:val="0"/>
        <w:bidi w:val="0"/>
        <w:adjustRightInd w:val="0"/>
        <w:snapToGrid w:val="0"/>
        <w:spacing w:line="360" w:lineRule="auto"/>
        <w:rPr>
          <w:rFonts w:hint="eastAsia"/>
          <w:color w:val="auto"/>
          <w:sz w:val="24"/>
          <w:highlight w:val="none"/>
        </w:rPr>
      </w:pPr>
    </w:p>
    <w:p w14:paraId="300F18DE">
      <w:pPr>
        <w:pStyle w:val="19"/>
        <w:keepNext w:val="0"/>
        <w:keepLines w:val="0"/>
        <w:pageBreakBefore w:val="0"/>
        <w:widowControl w:val="0"/>
        <w:kinsoku/>
        <w:wordWrap/>
        <w:overflowPunct/>
        <w:topLinePunct w:val="0"/>
        <w:bidi w:val="0"/>
        <w:spacing w:line="360" w:lineRule="auto"/>
        <w:rPr>
          <w:rFonts w:hint="eastAsia"/>
          <w:color w:val="auto"/>
          <w:sz w:val="24"/>
          <w:highlight w:val="none"/>
        </w:rPr>
      </w:pPr>
    </w:p>
    <w:p w14:paraId="34AE8190">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r>
        <w:rPr>
          <w:rFonts w:hint="eastAsia"/>
          <w:color w:val="auto"/>
          <w:kern w:val="0"/>
          <w:highlight w:val="none"/>
          <w:lang w:eastAsia="zh-CN"/>
        </w:rPr>
        <w:t>供应商</w:t>
      </w:r>
      <w:r>
        <w:rPr>
          <w:rFonts w:hint="eastAsia"/>
          <w:color w:val="auto"/>
          <w:highlight w:val="none"/>
          <w:lang w:eastAsia="zh-CN"/>
        </w:rPr>
        <w:t>法定代表人或其授权委托人（签字或盖章）：</w:t>
      </w:r>
      <w:r>
        <w:rPr>
          <w:color w:val="auto"/>
          <w:highlight w:val="none"/>
          <w:u w:val="single"/>
          <w:lang w:eastAsia="zh-CN"/>
        </w:rPr>
        <w:t xml:space="preserve">                    .</w:t>
      </w:r>
    </w:p>
    <w:p w14:paraId="1275694E">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r>
        <w:rPr>
          <w:rFonts w:hint="eastAsia"/>
          <w:color w:val="auto"/>
          <w:highlight w:val="none"/>
          <w:lang w:eastAsia="zh-CN"/>
        </w:rPr>
        <w:t>供应商名称（盖章）：</w:t>
      </w:r>
      <w:r>
        <w:rPr>
          <w:color w:val="auto"/>
          <w:highlight w:val="none"/>
          <w:u w:val="single"/>
          <w:lang w:eastAsia="zh-CN"/>
        </w:rPr>
        <w:t xml:space="preserve">                    .</w:t>
      </w:r>
    </w:p>
    <w:p w14:paraId="52939063">
      <w:pPr>
        <w:keepNext w:val="0"/>
        <w:keepLines w:val="0"/>
        <w:pageBreakBefore w:val="0"/>
        <w:widowControl w:val="0"/>
        <w:kinsoku/>
        <w:wordWrap/>
        <w:overflowPunct/>
        <w:topLinePunct w:val="0"/>
        <w:bidi w:val="0"/>
        <w:spacing w:line="360" w:lineRule="auto"/>
        <w:jc w:val="right"/>
        <w:rPr>
          <w:rFonts w:hint="eastAsia"/>
          <w:color w:val="auto"/>
          <w:sz w:val="24"/>
          <w:highlight w:val="none"/>
        </w:rPr>
      </w:pPr>
      <w:r>
        <w:rPr>
          <w:rFonts w:hint="eastAsia"/>
          <w:color w:val="auto"/>
          <w:sz w:val="24"/>
          <w:highlight w:val="none"/>
        </w:rPr>
        <w:t>日期：</w:t>
      </w:r>
      <w:r>
        <w:rPr>
          <w:color w:val="auto"/>
          <w:sz w:val="24"/>
          <w:highlight w:val="none"/>
          <w:u w:val="single"/>
        </w:rPr>
        <w:t xml:space="preserve">     </w:t>
      </w:r>
      <w:r>
        <w:rPr>
          <w:color w:val="auto"/>
          <w:sz w:val="24"/>
          <w:highlight w:val="none"/>
        </w:rPr>
        <w:t>年</w:t>
      </w:r>
      <w:r>
        <w:rPr>
          <w:color w:val="auto"/>
          <w:sz w:val="24"/>
          <w:highlight w:val="none"/>
          <w:u w:val="single"/>
        </w:rPr>
        <w:t xml:space="preserve">     </w:t>
      </w:r>
      <w:r>
        <w:rPr>
          <w:color w:val="auto"/>
          <w:sz w:val="24"/>
          <w:highlight w:val="none"/>
        </w:rPr>
        <w:t>月</w:t>
      </w:r>
      <w:r>
        <w:rPr>
          <w:color w:val="auto"/>
          <w:sz w:val="24"/>
          <w:highlight w:val="none"/>
          <w:u w:val="single"/>
        </w:rPr>
        <w:t xml:space="preserve">     </w:t>
      </w:r>
      <w:r>
        <w:rPr>
          <w:color w:val="auto"/>
          <w:sz w:val="24"/>
          <w:highlight w:val="none"/>
        </w:rPr>
        <w:t>日</w:t>
      </w:r>
    </w:p>
    <w:p w14:paraId="3EA79D73">
      <w:pPr>
        <w:keepNext w:val="0"/>
        <w:keepLines w:val="0"/>
        <w:pageBreakBefore w:val="0"/>
        <w:widowControl w:val="0"/>
        <w:kinsoku/>
        <w:wordWrap/>
        <w:overflowPunct/>
        <w:topLinePunct w:val="0"/>
        <w:bidi w:val="0"/>
        <w:spacing w:line="360" w:lineRule="auto"/>
        <w:rPr>
          <w:rFonts w:hint="eastAsia"/>
          <w:color w:val="auto"/>
          <w:sz w:val="24"/>
          <w:highlight w:val="none"/>
        </w:rPr>
      </w:pPr>
      <w:r>
        <w:rPr>
          <w:color w:val="auto"/>
          <w:sz w:val="24"/>
          <w:highlight w:val="none"/>
        </w:rPr>
        <w:br w:type="page"/>
      </w:r>
    </w:p>
    <w:p w14:paraId="741473B8">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06" w:name="_Toc104040704"/>
      <w:bookmarkStart w:id="207" w:name="_Toc28393"/>
      <w:bookmarkStart w:id="208" w:name="_Toc104040758"/>
      <w:r>
        <w:rPr>
          <w:rFonts w:hint="eastAsia" w:ascii="宋体" w:hAnsi="宋体" w:eastAsia="宋体"/>
          <w:color w:val="auto"/>
          <w:sz w:val="24"/>
          <w:szCs w:val="24"/>
          <w:highlight w:val="none"/>
        </w:rPr>
        <w:t>政策适用性说明</w:t>
      </w:r>
      <w:bookmarkEnd w:id="206"/>
      <w:bookmarkEnd w:id="207"/>
      <w:bookmarkEnd w:id="208"/>
    </w:p>
    <w:p w14:paraId="43741439">
      <w:pPr>
        <w:keepNext w:val="0"/>
        <w:keepLines w:val="0"/>
        <w:pageBreakBefore w:val="0"/>
        <w:widowControl w:val="0"/>
        <w:kinsoku/>
        <w:wordWrap/>
        <w:overflowPunct/>
        <w:topLinePunct w:val="0"/>
        <w:bidi w:val="0"/>
        <w:spacing w:line="360" w:lineRule="auto"/>
        <w:rPr>
          <w:rFonts w:hint="eastAsia" w:cs="宋体"/>
          <w:i/>
          <w:iCs/>
          <w:color w:val="auto"/>
          <w:szCs w:val="21"/>
          <w:highlight w:val="none"/>
        </w:rPr>
      </w:pPr>
      <w:r>
        <w:rPr>
          <w:rFonts w:hint="eastAsia" w:cs="宋体"/>
          <w:i/>
          <w:iCs/>
          <w:color w:val="auto"/>
          <w:szCs w:val="21"/>
          <w:highlight w:val="none"/>
        </w:rPr>
        <w:t>（以下格式文件由供应商根据需要选用）</w:t>
      </w:r>
    </w:p>
    <w:p w14:paraId="23625D38">
      <w:pPr>
        <w:keepNext w:val="0"/>
        <w:keepLines w:val="0"/>
        <w:pageBreakBefore w:val="0"/>
        <w:widowControl w:val="0"/>
        <w:kinsoku/>
        <w:wordWrap/>
        <w:overflowPunct/>
        <w:topLinePunct w:val="0"/>
        <w:bidi w:val="0"/>
        <w:spacing w:line="360" w:lineRule="auto"/>
        <w:jc w:val="center"/>
        <w:rPr>
          <w:rFonts w:hint="eastAsia"/>
          <w:b/>
          <w:bCs/>
          <w:color w:val="auto"/>
          <w:sz w:val="28"/>
          <w:szCs w:val="28"/>
          <w:highlight w:val="none"/>
        </w:rPr>
      </w:pPr>
      <w:r>
        <w:rPr>
          <w:rFonts w:hint="eastAsia"/>
          <w:b/>
          <w:bCs/>
          <w:color w:val="auto"/>
          <w:sz w:val="28"/>
          <w:szCs w:val="28"/>
          <w:highlight w:val="none"/>
        </w:rPr>
        <w:t>政策适用性说明</w:t>
      </w:r>
    </w:p>
    <w:p w14:paraId="47401A19">
      <w:pPr>
        <w:pStyle w:val="19"/>
        <w:keepNext w:val="0"/>
        <w:keepLines w:val="0"/>
        <w:pageBreakBefore w:val="0"/>
        <w:widowControl w:val="0"/>
        <w:kinsoku/>
        <w:wordWrap/>
        <w:overflowPunct/>
        <w:topLinePunct w:val="0"/>
        <w:bidi w:val="0"/>
        <w:spacing w:line="360" w:lineRule="auto"/>
        <w:ind w:firstLine="480" w:firstLineChars="200"/>
        <w:rPr>
          <w:rFonts w:hint="eastAsia"/>
          <w:color w:val="auto"/>
          <w:sz w:val="24"/>
          <w:szCs w:val="22"/>
          <w:highlight w:val="none"/>
        </w:rPr>
      </w:pPr>
      <w:r>
        <w:rPr>
          <w:rFonts w:hint="eastAsia"/>
          <w:color w:val="auto"/>
          <w:sz w:val="24"/>
          <w:szCs w:val="22"/>
          <w:highlight w:val="none"/>
        </w:rPr>
        <w:t>按照政府采购有关政策的要求，在本次的技术方案中，采用符合政策的小型或微型企业产品、节能产品、环境标志产品，主要产品与核心技术介绍说明如下：</w:t>
      </w:r>
    </w:p>
    <w:tbl>
      <w:tblPr>
        <w:tblStyle w:val="4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780"/>
        <w:gridCol w:w="1221"/>
        <w:gridCol w:w="1221"/>
        <w:gridCol w:w="1221"/>
        <w:gridCol w:w="1221"/>
        <w:gridCol w:w="1221"/>
        <w:gridCol w:w="1221"/>
      </w:tblGrid>
      <w:tr w14:paraId="0469D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1C9DFC76">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r>
              <w:rPr>
                <w:rFonts w:hint="eastAsia"/>
                <w:color w:val="auto"/>
                <w:sz w:val="24"/>
                <w:highlight w:val="none"/>
              </w:rPr>
              <w:t>序号</w:t>
            </w:r>
          </w:p>
        </w:tc>
        <w:tc>
          <w:tcPr>
            <w:tcW w:w="1780" w:type="dxa"/>
            <w:vAlign w:val="center"/>
          </w:tcPr>
          <w:p w14:paraId="06CE6326">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r>
              <w:rPr>
                <w:color w:val="auto"/>
                <w:sz w:val="24"/>
                <w:highlight w:val="none"/>
              </w:rPr>
              <w:t>主要产品/技术名称（规格型号、注册商标）</w:t>
            </w:r>
          </w:p>
        </w:tc>
        <w:tc>
          <w:tcPr>
            <w:tcW w:w="1221" w:type="dxa"/>
            <w:vAlign w:val="center"/>
          </w:tcPr>
          <w:p w14:paraId="3CB6FDF0">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r>
              <w:rPr>
                <w:color w:val="auto"/>
                <w:sz w:val="24"/>
                <w:highlight w:val="none"/>
              </w:rPr>
              <w:t>制造商(开发商)</w:t>
            </w:r>
          </w:p>
        </w:tc>
        <w:tc>
          <w:tcPr>
            <w:tcW w:w="1221" w:type="dxa"/>
            <w:vAlign w:val="center"/>
          </w:tcPr>
          <w:p w14:paraId="1D745E3F">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r>
              <w:rPr>
                <w:color w:val="auto"/>
                <w:sz w:val="24"/>
                <w:highlight w:val="none"/>
              </w:rPr>
              <w:t>制造商企业类型</w:t>
            </w:r>
          </w:p>
        </w:tc>
        <w:tc>
          <w:tcPr>
            <w:tcW w:w="1221" w:type="dxa"/>
            <w:vAlign w:val="center"/>
          </w:tcPr>
          <w:p w14:paraId="3ABDF524">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r>
              <w:rPr>
                <w:color w:val="auto"/>
                <w:sz w:val="24"/>
                <w:highlight w:val="none"/>
              </w:rPr>
              <w:t>节能产品</w:t>
            </w:r>
          </w:p>
        </w:tc>
        <w:tc>
          <w:tcPr>
            <w:tcW w:w="1221" w:type="dxa"/>
            <w:vAlign w:val="center"/>
          </w:tcPr>
          <w:p w14:paraId="2478C19A">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r>
              <w:rPr>
                <w:color w:val="auto"/>
                <w:sz w:val="24"/>
                <w:highlight w:val="none"/>
              </w:rPr>
              <w:t>环境标志产品</w:t>
            </w:r>
          </w:p>
        </w:tc>
        <w:tc>
          <w:tcPr>
            <w:tcW w:w="1221" w:type="dxa"/>
            <w:vAlign w:val="center"/>
          </w:tcPr>
          <w:p w14:paraId="214B02FD">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r>
              <w:rPr>
                <w:color w:val="auto"/>
                <w:sz w:val="24"/>
                <w:highlight w:val="none"/>
              </w:rPr>
              <w:t>认证证书编号</w:t>
            </w:r>
          </w:p>
        </w:tc>
        <w:tc>
          <w:tcPr>
            <w:tcW w:w="1221" w:type="dxa"/>
            <w:vAlign w:val="center"/>
          </w:tcPr>
          <w:p w14:paraId="524EE929">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r>
              <w:rPr>
                <w:color w:val="auto"/>
                <w:sz w:val="24"/>
                <w:highlight w:val="none"/>
              </w:rPr>
              <w:t>该产品报价在总报价中占</w:t>
            </w:r>
            <w:r>
              <w:rPr>
                <w:color w:val="auto"/>
                <w:w w:val="115"/>
                <w:sz w:val="24"/>
                <w:highlight w:val="none"/>
              </w:rPr>
              <w:t>比（%）</w:t>
            </w:r>
          </w:p>
        </w:tc>
      </w:tr>
      <w:tr w14:paraId="63B6E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7AF28833">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r>
              <w:rPr>
                <w:rFonts w:hint="eastAsia"/>
                <w:color w:val="auto"/>
                <w:sz w:val="24"/>
                <w:highlight w:val="none"/>
              </w:rPr>
              <w:t>1</w:t>
            </w:r>
          </w:p>
        </w:tc>
        <w:tc>
          <w:tcPr>
            <w:tcW w:w="1780" w:type="dxa"/>
            <w:vAlign w:val="center"/>
          </w:tcPr>
          <w:p w14:paraId="41F19772">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641BAEE9">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2867C75E">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3F221861">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21B22395">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3BE8AE6F">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24EC5C7D">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r>
      <w:tr w14:paraId="38534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32E8FF9F">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r>
              <w:rPr>
                <w:rFonts w:hint="eastAsia"/>
                <w:color w:val="auto"/>
                <w:sz w:val="24"/>
                <w:highlight w:val="none"/>
              </w:rPr>
              <w:t>2</w:t>
            </w:r>
          </w:p>
        </w:tc>
        <w:tc>
          <w:tcPr>
            <w:tcW w:w="1780" w:type="dxa"/>
            <w:vAlign w:val="center"/>
          </w:tcPr>
          <w:p w14:paraId="1AF85A00">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5717D541">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7679B4CD">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5B22A0A2">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38642F97">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56570E2E">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4166156D">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r>
      <w:tr w14:paraId="6D58D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60E6E9EB">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r>
              <w:rPr>
                <w:rFonts w:hint="eastAsia"/>
                <w:color w:val="auto"/>
                <w:sz w:val="24"/>
                <w:highlight w:val="none"/>
              </w:rPr>
              <w:t>3</w:t>
            </w:r>
          </w:p>
        </w:tc>
        <w:tc>
          <w:tcPr>
            <w:tcW w:w="1780" w:type="dxa"/>
            <w:vAlign w:val="center"/>
          </w:tcPr>
          <w:p w14:paraId="7BC45A2D">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2C871E17">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27128D28">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7BFDAC58">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07E5921D">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32FDF9B7">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7A68B9EB">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r>
      <w:tr w14:paraId="1B7E6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1CC1335D">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r>
              <w:rPr>
                <w:color w:val="auto"/>
                <w:sz w:val="24"/>
                <w:highlight w:val="none"/>
              </w:rPr>
              <w:t>……</w:t>
            </w:r>
          </w:p>
        </w:tc>
        <w:tc>
          <w:tcPr>
            <w:tcW w:w="1780" w:type="dxa"/>
            <w:vAlign w:val="center"/>
          </w:tcPr>
          <w:p w14:paraId="5743A98F">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5C5D6A07">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69C186FE">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349293D2">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6A51EFBD">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741B98F6">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c>
          <w:tcPr>
            <w:tcW w:w="1221" w:type="dxa"/>
            <w:vAlign w:val="center"/>
          </w:tcPr>
          <w:p w14:paraId="46C17A58">
            <w:pPr>
              <w:pStyle w:val="19"/>
              <w:keepNext w:val="0"/>
              <w:keepLines w:val="0"/>
              <w:pageBreakBefore w:val="0"/>
              <w:widowControl w:val="0"/>
              <w:kinsoku/>
              <w:wordWrap/>
              <w:overflowPunct/>
              <w:topLinePunct w:val="0"/>
              <w:bidi w:val="0"/>
              <w:spacing w:before="120" w:beforeLines="50" w:after="120" w:afterLines="50" w:line="360" w:lineRule="auto"/>
              <w:jc w:val="center"/>
              <w:rPr>
                <w:rFonts w:hint="eastAsia"/>
                <w:color w:val="auto"/>
                <w:sz w:val="24"/>
                <w:highlight w:val="none"/>
              </w:rPr>
            </w:pPr>
          </w:p>
        </w:tc>
      </w:tr>
    </w:tbl>
    <w:p w14:paraId="3B14268C">
      <w:pPr>
        <w:pStyle w:val="19"/>
        <w:keepNext w:val="0"/>
        <w:keepLines w:val="0"/>
        <w:pageBreakBefore w:val="0"/>
        <w:widowControl w:val="0"/>
        <w:kinsoku/>
        <w:wordWrap/>
        <w:overflowPunct/>
        <w:topLinePunct w:val="0"/>
        <w:bidi w:val="0"/>
        <w:spacing w:line="360" w:lineRule="auto"/>
        <w:rPr>
          <w:rFonts w:hint="eastAsia"/>
          <w:color w:val="auto"/>
          <w:sz w:val="24"/>
          <w:szCs w:val="22"/>
          <w:highlight w:val="none"/>
        </w:rPr>
      </w:pPr>
      <w:r>
        <w:rPr>
          <w:rFonts w:hint="eastAsia"/>
          <w:color w:val="auto"/>
          <w:sz w:val="24"/>
          <w:szCs w:val="22"/>
          <w:highlight w:val="none"/>
        </w:rPr>
        <w:t>注：</w:t>
      </w:r>
    </w:p>
    <w:p w14:paraId="60D9B6B0">
      <w:pPr>
        <w:pStyle w:val="19"/>
        <w:keepNext w:val="0"/>
        <w:keepLines w:val="0"/>
        <w:pageBreakBefore w:val="0"/>
        <w:widowControl w:val="0"/>
        <w:kinsoku/>
        <w:wordWrap/>
        <w:overflowPunct/>
        <w:topLinePunct w:val="0"/>
        <w:bidi w:val="0"/>
        <w:spacing w:line="360" w:lineRule="auto"/>
        <w:ind w:firstLine="480" w:firstLineChars="200"/>
        <w:rPr>
          <w:rFonts w:hint="eastAsia"/>
          <w:color w:val="auto"/>
          <w:sz w:val="24"/>
          <w:szCs w:val="22"/>
          <w:highlight w:val="none"/>
        </w:rPr>
      </w:pPr>
      <w:r>
        <w:rPr>
          <w:rFonts w:hint="eastAsia"/>
          <w:color w:val="auto"/>
          <w:sz w:val="24"/>
          <w:szCs w:val="22"/>
          <w:highlight w:val="none"/>
        </w:rPr>
        <w:t>1.制造商为小型或微型企业时才需要填“制造商企业类型”栏,填写内容为“小型”或“微型”；</w:t>
      </w:r>
    </w:p>
    <w:p w14:paraId="09A33B60">
      <w:pPr>
        <w:pStyle w:val="19"/>
        <w:keepNext w:val="0"/>
        <w:keepLines w:val="0"/>
        <w:pageBreakBefore w:val="0"/>
        <w:widowControl w:val="0"/>
        <w:kinsoku/>
        <w:wordWrap/>
        <w:overflowPunct/>
        <w:topLinePunct w:val="0"/>
        <w:bidi w:val="0"/>
        <w:spacing w:line="360" w:lineRule="auto"/>
        <w:ind w:firstLine="480" w:firstLineChars="200"/>
        <w:rPr>
          <w:rFonts w:hint="eastAsia"/>
          <w:color w:val="auto"/>
          <w:sz w:val="24"/>
          <w:szCs w:val="22"/>
          <w:highlight w:val="none"/>
        </w:rPr>
      </w:pPr>
      <w:r>
        <w:rPr>
          <w:rFonts w:hint="eastAsia"/>
          <w:color w:val="auto"/>
          <w:sz w:val="24"/>
          <w:szCs w:val="22"/>
          <w:highlight w:val="none"/>
        </w:rPr>
        <w:t>2</w:t>
      </w:r>
      <w:r>
        <w:rPr>
          <w:color w:val="auto"/>
          <w:sz w:val="24"/>
          <w:szCs w:val="22"/>
          <w:highlight w:val="none"/>
        </w:rPr>
        <w:t>.</w:t>
      </w:r>
      <w:r>
        <w:rPr>
          <w:rFonts w:hint="eastAsia"/>
          <w:color w:val="auto"/>
          <w:sz w:val="24"/>
          <w:szCs w:val="22"/>
          <w:highlight w:val="none"/>
        </w:rPr>
        <w:t>“节能产品、环境标志产品”须填写认证证书编号，并在对应“节能产品”、“环境标志产品”栏中勾选，同时提供有效期内的证书复印件（加盖供应商公章）</w:t>
      </w:r>
    </w:p>
    <w:p w14:paraId="0646F7E3">
      <w:pPr>
        <w:pStyle w:val="19"/>
        <w:keepNext w:val="0"/>
        <w:keepLines w:val="0"/>
        <w:pageBreakBefore w:val="0"/>
        <w:widowControl w:val="0"/>
        <w:kinsoku/>
        <w:wordWrap/>
        <w:overflowPunct/>
        <w:topLinePunct w:val="0"/>
        <w:bidi w:val="0"/>
        <w:spacing w:line="360" w:lineRule="auto"/>
        <w:ind w:firstLine="480" w:firstLineChars="200"/>
        <w:rPr>
          <w:rFonts w:hint="eastAsia"/>
          <w:color w:val="auto"/>
          <w:sz w:val="24"/>
          <w:highlight w:val="none"/>
        </w:rPr>
      </w:pPr>
    </w:p>
    <w:p w14:paraId="3875118B">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r>
        <w:rPr>
          <w:rFonts w:hint="eastAsia"/>
          <w:color w:val="auto"/>
          <w:kern w:val="0"/>
          <w:highlight w:val="none"/>
          <w:lang w:eastAsia="zh-CN"/>
        </w:rPr>
        <w:t>供应商</w:t>
      </w:r>
      <w:r>
        <w:rPr>
          <w:rFonts w:hint="eastAsia"/>
          <w:color w:val="auto"/>
          <w:highlight w:val="none"/>
          <w:lang w:eastAsia="zh-CN"/>
        </w:rPr>
        <w:t>法定代表人或其授权委托人（签字或盖章）：</w:t>
      </w:r>
      <w:r>
        <w:rPr>
          <w:color w:val="auto"/>
          <w:highlight w:val="none"/>
          <w:u w:val="single"/>
          <w:lang w:eastAsia="zh-CN"/>
        </w:rPr>
        <w:t xml:space="preserve">                    .</w:t>
      </w:r>
    </w:p>
    <w:p w14:paraId="6178DA9C">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r>
        <w:rPr>
          <w:rFonts w:hint="eastAsia"/>
          <w:color w:val="auto"/>
          <w:highlight w:val="none"/>
          <w:lang w:eastAsia="zh-CN"/>
        </w:rPr>
        <w:t>供应商名称（盖章）：</w:t>
      </w:r>
      <w:r>
        <w:rPr>
          <w:color w:val="auto"/>
          <w:highlight w:val="none"/>
          <w:u w:val="single"/>
          <w:lang w:eastAsia="zh-CN"/>
        </w:rPr>
        <w:t xml:space="preserve">                    .</w:t>
      </w:r>
    </w:p>
    <w:p w14:paraId="3C99394D">
      <w:pPr>
        <w:keepNext w:val="0"/>
        <w:keepLines w:val="0"/>
        <w:pageBreakBefore w:val="0"/>
        <w:widowControl w:val="0"/>
        <w:kinsoku/>
        <w:wordWrap/>
        <w:overflowPunct/>
        <w:topLinePunct w:val="0"/>
        <w:bidi w:val="0"/>
        <w:spacing w:line="360" w:lineRule="auto"/>
        <w:jc w:val="right"/>
        <w:rPr>
          <w:rFonts w:hint="eastAsia"/>
          <w:color w:val="auto"/>
          <w:sz w:val="24"/>
          <w:highlight w:val="none"/>
        </w:rPr>
      </w:pPr>
      <w:r>
        <w:rPr>
          <w:rFonts w:hint="eastAsia"/>
          <w:color w:val="auto"/>
          <w:sz w:val="24"/>
          <w:highlight w:val="none"/>
        </w:rPr>
        <w:t>日期：</w:t>
      </w:r>
      <w:r>
        <w:rPr>
          <w:color w:val="auto"/>
          <w:sz w:val="24"/>
          <w:highlight w:val="none"/>
          <w:u w:val="single"/>
        </w:rPr>
        <w:t xml:space="preserve">     </w:t>
      </w:r>
      <w:r>
        <w:rPr>
          <w:color w:val="auto"/>
          <w:sz w:val="24"/>
          <w:highlight w:val="none"/>
        </w:rPr>
        <w:t>年</w:t>
      </w:r>
      <w:r>
        <w:rPr>
          <w:color w:val="auto"/>
          <w:sz w:val="24"/>
          <w:highlight w:val="none"/>
          <w:u w:val="single"/>
        </w:rPr>
        <w:t xml:space="preserve">     </w:t>
      </w:r>
      <w:r>
        <w:rPr>
          <w:color w:val="auto"/>
          <w:sz w:val="24"/>
          <w:highlight w:val="none"/>
        </w:rPr>
        <w:t>月</w:t>
      </w:r>
      <w:r>
        <w:rPr>
          <w:color w:val="auto"/>
          <w:sz w:val="24"/>
          <w:highlight w:val="none"/>
          <w:u w:val="single"/>
        </w:rPr>
        <w:t xml:space="preserve">     </w:t>
      </w:r>
      <w:r>
        <w:rPr>
          <w:color w:val="auto"/>
          <w:sz w:val="24"/>
          <w:highlight w:val="none"/>
        </w:rPr>
        <w:t>日</w:t>
      </w:r>
    </w:p>
    <w:p w14:paraId="07DA0A92">
      <w:pPr>
        <w:pStyle w:val="19"/>
        <w:keepNext w:val="0"/>
        <w:keepLines w:val="0"/>
        <w:pageBreakBefore w:val="0"/>
        <w:widowControl w:val="0"/>
        <w:kinsoku/>
        <w:wordWrap/>
        <w:overflowPunct/>
        <w:topLinePunct w:val="0"/>
        <w:bidi w:val="0"/>
        <w:spacing w:line="360" w:lineRule="auto"/>
        <w:rPr>
          <w:rFonts w:hint="eastAsia"/>
          <w:color w:val="auto"/>
          <w:highlight w:val="none"/>
        </w:rPr>
      </w:pPr>
    </w:p>
    <w:p w14:paraId="700F8836">
      <w:pPr>
        <w:pStyle w:val="19"/>
        <w:keepNext w:val="0"/>
        <w:keepLines w:val="0"/>
        <w:pageBreakBefore w:val="0"/>
        <w:widowControl w:val="0"/>
        <w:kinsoku/>
        <w:wordWrap/>
        <w:overflowPunct/>
        <w:topLinePunct w:val="0"/>
        <w:bidi w:val="0"/>
        <w:spacing w:line="360" w:lineRule="auto"/>
        <w:rPr>
          <w:rFonts w:hint="eastAsia"/>
          <w:color w:val="auto"/>
          <w:highlight w:val="none"/>
        </w:rPr>
      </w:pPr>
    </w:p>
    <w:p w14:paraId="27E8300E">
      <w:pPr>
        <w:keepNext w:val="0"/>
        <w:keepLines w:val="0"/>
        <w:pageBreakBefore w:val="0"/>
        <w:widowControl w:val="0"/>
        <w:kinsoku/>
        <w:wordWrap/>
        <w:overflowPunct/>
        <w:topLinePunct w:val="0"/>
        <w:bidi w:val="0"/>
        <w:spacing w:line="360" w:lineRule="auto"/>
        <w:rPr>
          <w:rFonts w:hint="eastAsia"/>
          <w:b/>
          <w:bCs/>
          <w:color w:val="auto"/>
          <w:sz w:val="24"/>
          <w:highlight w:val="none"/>
        </w:rPr>
      </w:pPr>
      <w:bookmarkStart w:id="209" w:name="_Toc103033236"/>
      <w:r>
        <w:rPr>
          <w:color w:val="auto"/>
          <w:sz w:val="24"/>
          <w:highlight w:val="none"/>
        </w:rPr>
        <w:br w:type="page"/>
      </w:r>
    </w:p>
    <w:p w14:paraId="55D5F5BD">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10" w:name="_Toc104040759"/>
      <w:bookmarkStart w:id="211" w:name="_Toc104040705"/>
      <w:bookmarkStart w:id="212" w:name="_Toc1094"/>
      <w:r>
        <w:rPr>
          <w:rFonts w:hint="eastAsia" w:ascii="宋体" w:hAnsi="宋体" w:eastAsia="宋体"/>
          <w:color w:val="auto"/>
          <w:sz w:val="24"/>
          <w:szCs w:val="24"/>
          <w:highlight w:val="none"/>
        </w:rPr>
        <w:t>法定代表人证明书</w:t>
      </w:r>
      <w:bookmarkEnd w:id="209"/>
      <w:bookmarkEnd w:id="210"/>
      <w:bookmarkEnd w:id="211"/>
      <w:bookmarkEnd w:id="212"/>
    </w:p>
    <w:p w14:paraId="043EC486">
      <w:pPr>
        <w:pStyle w:val="358"/>
        <w:keepNext w:val="0"/>
        <w:keepLines w:val="0"/>
        <w:pageBreakBefore w:val="0"/>
        <w:widowControl w:val="0"/>
        <w:kinsoku/>
        <w:wordWrap/>
        <w:overflowPunct/>
        <w:topLinePunct w:val="0"/>
        <w:autoSpaceDE/>
        <w:autoSpaceDN/>
        <w:bidi w:val="0"/>
        <w:spacing w:line="360" w:lineRule="auto"/>
        <w:jc w:val="left"/>
        <w:outlineLvl w:val="9"/>
        <w:rPr>
          <w:rFonts w:hint="eastAsia"/>
          <w:b w:val="0"/>
          <w:bCs w:val="0"/>
          <w:i/>
          <w:iCs/>
          <w:color w:val="auto"/>
          <w:sz w:val="21"/>
          <w:szCs w:val="20"/>
          <w:highlight w:val="none"/>
          <w:lang w:eastAsia="zh-CN"/>
        </w:rPr>
      </w:pPr>
      <w:r>
        <w:rPr>
          <w:rFonts w:hint="eastAsia"/>
          <w:b w:val="0"/>
          <w:bCs w:val="0"/>
          <w:i/>
          <w:iCs/>
          <w:color w:val="auto"/>
          <w:sz w:val="21"/>
          <w:szCs w:val="20"/>
          <w:highlight w:val="none"/>
          <w:lang w:eastAsia="zh-CN"/>
        </w:rPr>
        <w:t>（供应商可使用下述格式，也可使用广东省工商行政管理局统一印制的法定代表人证明书格式）</w:t>
      </w:r>
    </w:p>
    <w:p w14:paraId="7758002A">
      <w:pPr>
        <w:pStyle w:val="358"/>
        <w:keepNext w:val="0"/>
        <w:keepLines w:val="0"/>
        <w:pageBreakBefore w:val="0"/>
        <w:widowControl w:val="0"/>
        <w:kinsoku/>
        <w:wordWrap/>
        <w:overflowPunct/>
        <w:topLinePunct w:val="0"/>
        <w:autoSpaceDE/>
        <w:autoSpaceDN/>
        <w:bidi w:val="0"/>
        <w:spacing w:line="360" w:lineRule="auto"/>
        <w:jc w:val="center"/>
        <w:outlineLvl w:val="9"/>
        <w:rPr>
          <w:rFonts w:hint="eastAsia"/>
          <w:color w:val="auto"/>
          <w:sz w:val="28"/>
          <w:szCs w:val="28"/>
          <w:highlight w:val="none"/>
          <w:lang w:eastAsia="zh-CN"/>
        </w:rPr>
      </w:pPr>
      <w:r>
        <w:rPr>
          <w:rFonts w:hint="eastAsia"/>
          <w:color w:val="auto"/>
          <w:sz w:val="28"/>
          <w:szCs w:val="28"/>
          <w:highlight w:val="none"/>
          <w:lang w:eastAsia="zh-CN"/>
        </w:rPr>
        <w:t>法定代表人证明书</w:t>
      </w:r>
    </w:p>
    <w:p w14:paraId="5DF0047E">
      <w:pPr>
        <w:pStyle w:val="356"/>
        <w:keepNext w:val="0"/>
        <w:keepLines w:val="0"/>
        <w:pageBreakBefore w:val="0"/>
        <w:widowControl w:val="0"/>
        <w:kinsoku/>
        <w:wordWrap/>
        <w:overflowPunct/>
        <w:topLinePunct w:val="0"/>
        <w:autoSpaceDE/>
        <w:autoSpaceDN/>
        <w:bidi w:val="0"/>
        <w:spacing w:line="360" w:lineRule="auto"/>
        <w:ind w:firstLine="0" w:firstLineChars="0"/>
        <w:rPr>
          <w:rFonts w:hint="eastAsia"/>
          <w:color w:val="auto"/>
          <w:highlight w:val="none"/>
          <w:lang w:eastAsia="zh-CN"/>
        </w:rPr>
      </w:pPr>
    </w:p>
    <w:p w14:paraId="4E6DB775">
      <w:pPr>
        <w:pStyle w:val="19"/>
        <w:keepNext w:val="0"/>
        <w:keepLines w:val="0"/>
        <w:pageBreakBefore w:val="0"/>
        <w:widowControl w:val="0"/>
        <w:tabs>
          <w:tab w:val="left" w:pos="1500"/>
          <w:tab w:val="left" w:pos="3223"/>
          <w:tab w:val="left" w:pos="3947"/>
          <w:tab w:val="left" w:pos="7064"/>
        </w:tabs>
        <w:kinsoku/>
        <w:wordWrap/>
        <w:overflowPunct/>
        <w:topLinePunct w:val="0"/>
        <w:bidi w:val="0"/>
        <w:spacing w:line="360" w:lineRule="auto"/>
        <w:ind w:firstLine="480" w:firstLineChars="200"/>
        <w:rPr>
          <w:rFonts w:hint="eastAsia"/>
          <w:color w:val="auto"/>
          <w:sz w:val="24"/>
          <w:highlight w:val="none"/>
        </w:rPr>
      </w:pPr>
      <w:r>
        <w:rPr>
          <w:rFonts w:hint="eastAsia"/>
          <w:color w:val="auto"/>
          <w:sz w:val="24"/>
          <w:highlight w:val="none"/>
          <w:u w:val="single"/>
        </w:rPr>
        <w:t xml:space="preserve">      </w:t>
      </w:r>
      <w:r>
        <w:rPr>
          <w:color w:val="auto"/>
          <w:sz w:val="24"/>
          <w:highlight w:val="none"/>
          <w:u w:val="single"/>
        </w:rPr>
        <w:t xml:space="preserve">  </w:t>
      </w:r>
      <w:r>
        <w:rPr>
          <w:color w:val="auto"/>
          <w:sz w:val="24"/>
          <w:highlight w:val="none"/>
        </w:rPr>
        <w:t>现任我单位</w:t>
      </w:r>
      <w:bookmarkStart w:id="213" w:name="_Hlk104113847"/>
      <w:r>
        <w:rPr>
          <w:rFonts w:hint="eastAsia"/>
          <w:color w:val="auto"/>
          <w:sz w:val="24"/>
          <w:highlight w:val="none"/>
          <w:u w:val="single"/>
        </w:rPr>
        <w:t xml:space="preserve">      </w:t>
      </w:r>
      <w:bookmarkEnd w:id="213"/>
      <w:r>
        <w:rPr>
          <w:color w:val="auto"/>
          <w:sz w:val="24"/>
          <w:highlight w:val="none"/>
        </w:rPr>
        <w:t>职务</w:t>
      </w:r>
      <w:r>
        <w:rPr>
          <w:rFonts w:hint="eastAsia"/>
          <w:color w:val="auto"/>
          <w:sz w:val="24"/>
          <w:highlight w:val="none"/>
        </w:rPr>
        <w:t>，</w:t>
      </w:r>
      <w:r>
        <w:rPr>
          <w:color w:val="auto"/>
          <w:sz w:val="24"/>
          <w:highlight w:val="none"/>
        </w:rPr>
        <w:t>为法定代表人，特此证明。</w:t>
      </w:r>
    </w:p>
    <w:p w14:paraId="45F0BC77">
      <w:pPr>
        <w:pStyle w:val="19"/>
        <w:keepNext w:val="0"/>
        <w:keepLines w:val="0"/>
        <w:pageBreakBefore w:val="0"/>
        <w:widowControl w:val="0"/>
        <w:tabs>
          <w:tab w:val="left" w:pos="1020"/>
          <w:tab w:val="left" w:pos="3223"/>
          <w:tab w:val="left" w:pos="3947"/>
          <w:tab w:val="left" w:pos="7064"/>
        </w:tabs>
        <w:kinsoku/>
        <w:wordWrap/>
        <w:overflowPunct/>
        <w:topLinePunct w:val="0"/>
        <w:bidi w:val="0"/>
        <w:spacing w:line="360" w:lineRule="auto"/>
        <w:ind w:firstLine="480" w:firstLineChars="200"/>
        <w:rPr>
          <w:rFonts w:hint="eastAsia"/>
          <w:color w:val="auto"/>
          <w:sz w:val="24"/>
          <w:highlight w:val="none"/>
          <w:u w:val="single"/>
        </w:rPr>
      </w:pPr>
      <w:r>
        <w:rPr>
          <w:color w:val="auto"/>
          <w:sz w:val="24"/>
          <w:highlight w:val="none"/>
        </w:rPr>
        <w:t>有效期限：</w:t>
      </w:r>
      <w:bookmarkStart w:id="214" w:name="_Hlk102939377"/>
      <w:r>
        <w:rPr>
          <w:rFonts w:hint="eastAsia"/>
          <w:color w:val="auto"/>
          <w:sz w:val="24"/>
          <w:highlight w:val="none"/>
          <w:u w:val="single"/>
        </w:rPr>
        <w:t>与响应有效期一致。</w:t>
      </w:r>
      <w:bookmarkEnd w:id="214"/>
    </w:p>
    <w:p w14:paraId="5767B561">
      <w:pPr>
        <w:pStyle w:val="19"/>
        <w:keepNext w:val="0"/>
        <w:keepLines w:val="0"/>
        <w:pageBreakBefore w:val="0"/>
        <w:widowControl w:val="0"/>
        <w:tabs>
          <w:tab w:val="left" w:pos="1020"/>
          <w:tab w:val="left" w:pos="3223"/>
          <w:tab w:val="left" w:pos="3947"/>
          <w:tab w:val="left" w:pos="8505"/>
        </w:tabs>
        <w:kinsoku/>
        <w:wordWrap/>
        <w:overflowPunct/>
        <w:topLinePunct w:val="0"/>
        <w:bidi w:val="0"/>
        <w:spacing w:line="360" w:lineRule="auto"/>
        <w:ind w:firstLine="480" w:firstLineChars="200"/>
        <w:rPr>
          <w:rFonts w:hint="eastAsia"/>
          <w:color w:val="auto"/>
          <w:sz w:val="24"/>
          <w:highlight w:val="none"/>
          <w:u w:val="single"/>
        </w:rPr>
      </w:pPr>
      <w:r>
        <w:rPr>
          <w:rFonts w:hint="eastAsia"/>
          <w:color w:val="auto"/>
          <w:sz w:val="24"/>
          <w:highlight w:val="none"/>
        </w:rPr>
        <w:t>法定</w:t>
      </w:r>
      <w:r>
        <w:rPr>
          <w:color w:val="auto"/>
          <w:sz w:val="24"/>
          <w:highlight w:val="none"/>
        </w:rPr>
        <w:t>代表人性别：</w:t>
      </w:r>
      <w:r>
        <w:rPr>
          <w:color w:val="auto"/>
          <w:sz w:val="24"/>
          <w:highlight w:val="none"/>
          <w:u w:val="single"/>
        </w:rPr>
        <w:t xml:space="preserve">      </w:t>
      </w:r>
      <w:r>
        <w:rPr>
          <w:color w:val="auto"/>
          <w:sz w:val="24"/>
          <w:highlight w:val="none"/>
        </w:rPr>
        <w:t>年龄：</w:t>
      </w:r>
      <w:r>
        <w:rPr>
          <w:color w:val="auto"/>
          <w:sz w:val="24"/>
          <w:highlight w:val="none"/>
          <w:u w:val="single"/>
        </w:rPr>
        <w:t xml:space="preserve">      </w:t>
      </w:r>
      <w:r>
        <w:rPr>
          <w:color w:val="auto"/>
          <w:sz w:val="24"/>
          <w:highlight w:val="none"/>
        </w:rPr>
        <w:t>身份证号码：</w:t>
      </w:r>
      <w:r>
        <w:rPr>
          <w:color w:val="auto"/>
          <w:sz w:val="24"/>
          <w:highlight w:val="none"/>
          <w:u w:val="single"/>
        </w:rPr>
        <w:t xml:space="preserve">            .</w:t>
      </w:r>
    </w:p>
    <w:p w14:paraId="3613A38D">
      <w:pPr>
        <w:pStyle w:val="19"/>
        <w:keepNext w:val="0"/>
        <w:keepLines w:val="0"/>
        <w:pageBreakBefore w:val="0"/>
        <w:widowControl w:val="0"/>
        <w:tabs>
          <w:tab w:val="left" w:pos="1020"/>
          <w:tab w:val="left" w:pos="3223"/>
          <w:tab w:val="left" w:pos="3947"/>
          <w:tab w:val="left" w:pos="7064"/>
        </w:tabs>
        <w:kinsoku/>
        <w:wordWrap/>
        <w:overflowPunct/>
        <w:topLinePunct w:val="0"/>
        <w:bidi w:val="0"/>
        <w:spacing w:line="360" w:lineRule="auto"/>
        <w:ind w:firstLine="480" w:firstLineChars="200"/>
        <w:rPr>
          <w:rFonts w:hint="eastAsia"/>
          <w:color w:val="auto"/>
          <w:sz w:val="24"/>
          <w:highlight w:val="none"/>
          <w:u w:val="single"/>
        </w:rPr>
      </w:pPr>
      <w:r>
        <w:rPr>
          <w:color w:val="auto"/>
          <w:sz w:val="24"/>
          <w:highlight w:val="none"/>
        </w:rPr>
        <w:t>注册号码：</w:t>
      </w:r>
      <w:r>
        <w:rPr>
          <w:color w:val="auto"/>
          <w:sz w:val="24"/>
          <w:highlight w:val="none"/>
          <w:u w:val="single"/>
        </w:rPr>
        <w:t xml:space="preserve">            </w:t>
      </w:r>
      <w:r>
        <w:rPr>
          <w:color w:val="auto"/>
          <w:sz w:val="24"/>
          <w:highlight w:val="none"/>
        </w:rPr>
        <w:t>企业类型：</w:t>
      </w:r>
      <w:r>
        <w:rPr>
          <w:color w:val="auto"/>
          <w:sz w:val="24"/>
          <w:highlight w:val="none"/>
          <w:u w:val="single"/>
        </w:rPr>
        <w:t xml:space="preserve">              </w:t>
      </w:r>
      <w:r>
        <w:rPr>
          <w:rFonts w:hint="eastAsia"/>
          <w:color w:val="auto"/>
          <w:sz w:val="24"/>
          <w:highlight w:val="none"/>
          <w:u w:val="single"/>
        </w:rPr>
        <w:t>.</w:t>
      </w:r>
    </w:p>
    <w:p w14:paraId="2F669735">
      <w:pPr>
        <w:pStyle w:val="19"/>
        <w:keepNext w:val="0"/>
        <w:keepLines w:val="0"/>
        <w:pageBreakBefore w:val="0"/>
        <w:widowControl w:val="0"/>
        <w:tabs>
          <w:tab w:val="left" w:pos="1020"/>
          <w:tab w:val="left" w:pos="3223"/>
          <w:tab w:val="left" w:pos="3947"/>
          <w:tab w:val="left" w:pos="7064"/>
        </w:tabs>
        <w:kinsoku/>
        <w:wordWrap/>
        <w:overflowPunct/>
        <w:topLinePunct w:val="0"/>
        <w:bidi w:val="0"/>
        <w:spacing w:line="360" w:lineRule="auto"/>
        <w:ind w:firstLine="480" w:firstLineChars="200"/>
        <w:rPr>
          <w:rFonts w:hint="eastAsia"/>
          <w:color w:val="auto"/>
          <w:sz w:val="24"/>
          <w:highlight w:val="none"/>
          <w:u w:val="single"/>
        </w:rPr>
      </w:pPr>
      <w:r>
        <w:rPr>
          <w:color w:val="auto"/>
          <w:sz w:val="24"/>
          <w:highlight w:val="none"/>
        </w:rPr>
        <w:t>经营范围：</w:t>
      </w:r>
      <w:r>
        <w:rPr>
          <w:color w:val="auto"/>
          <w:sz w:val="24"/>
          <w:highlight w:val="none"/>
          <w:u w:val="single"/>
        </w:rPr>
        <w:t xml:space="preserve">           </w:t>
      </w:r>
      <w:r>
        <w:rPr>
          <w:rFonts w:hint="eastAsia"/>
          <w:color w:val="auto"/>
          <w:sz w:val="24"/>
          <w:highlight w:val="none"/>
          <w:u w:val="single"/>
        </w:rPr>
        <w:t>.</w:t>
      </w:r>
    </w:p>
    <w:p w14:paraId="4C776170">
      <w:pPr>
        <w:pStyle w:val="19"/>
        <w:keepNext w:val="0"/>
        <w:keepLines w:val="0"/>
        <w:pageBreakBefore w:val="0"/>
        <w:widowControl w:val="0"/>
        <w:tabs>
          <w:tab w:val="left" w:pos="1020"/>
          <w:tab w:val="left" w:pos="3223"/>
          <w:tab w:val="left" w:pos="3947"/>
          <w:tab w:val="left" w:pos="7064"/>
        </w:tabs>
        <w:kinsoku/>
        <w:wordWrap/>
        <w:overflowPunct/>
        <w:topLinePunct w:val="0"/>
        <w:bidi w:val="0"/>
        <w:spacing w:line="360" w:lineRule="auto"/>
        <w:ind w:right="-35"/>
        <w:rPr>
          <w:rFonts w:hint="eastAsia"/>
          <w:color w:val="auto"/>
          <w:sz w:val="24"/>
          <w:highlight w:val="none"/>
        </w:rPr>
      </w:pPr>
    </w:p>
    <w:p w14:paraId="54A68B5B">
      <w:pPr>
        <w:pStyle w:val="19"/>
        <w:keepNext w:val="0"/>
        <w:keepLines w:val="0"/>
        <w:pageBreakBefore w:val="0"/>
        <w:widowControl w:val="0"/>
        <w:tabs>
          <w:tab w:val="left" w:pos="10713"/>
        </w:tabs>
        <w:kinsoku/>
        <w:wordWrap/>
        <w:overflowPunct/>
        <w:topLinePunct w:val="0"/>
        <w:bidi w:val="0"/>
        <w:spacing w:line="360" w:lineRule="auto"/>
        <w:ind w:left="3223" w:leftChars="1535"/>
        <w:jc w:val="right"/>
        <w:rPr>
          <w:rFonts w:hint="eastAsia"/>
          <w:color w:val="auto"/>
          <w:sz w:val="24"/>
          <w:highlight w:val="none"/>
        </w:rPr>
      </w:pPr>
      <w:r>
        <w:rPr>
          <w:rFonts w:hint="eastAsia"/>
          <w:color w:val="auto"/>
          <w:sz w:val="24"/>
          <w:highlight w:val="none"/>
        </w:rPr>
        <w:t>供应商</w:t>
      </w:r>
      <w:r>
        <w:rPr>
          <w:color w:val="auto"/>
          <w:sz w:val="24"/>
          <w:highlight w:val="none"/>
        </w:rPr>
        <w:t>名称（盖章）：</w:t>
      </w:r>
      <w:r>
        <w:rPr>
          <w:color w:val="auto"/>
          <w:sz w:val="24"/>
          <w:highlight w:val="none"/>
          <w:u w:val="single"/>
        </w:rPr>
        <w:t xml:space="preserve">               </w:t>
      </w:r>
      <w:r>
        <w:rPr>
          <w:rFonts w:hint="eastAsia"/>
          <w:color w:val="auto"/>
          <w:sz w:val="24"/>
          <w:highlight w:val="none"/>
          <w:u w:val="single"/>
        </w:rPr>
        <w:t>.</w:t>
      </w:r>
    </w:p>
    <w:p w14:paraId="117AD265">
      <w:pPr>
        <w:pStyle w:val="19"/>
        <w:keepNext w:val="0"/>
        <w:keepLines w:val="0"/>
        <w:pageBreakBefore w:val="0"/>
        <w:widowControl w:val="0"/>
        <w:tabs>
          <w:tab w:val="left" w:pos="10713"/>
        </w:tabs>
        <w:kinsoku/>
        <w:wordWrap/>
        <w:overflowPunct/>
        <w:topLinePunct w:val="0"/>
        <w:bidi w:val="0"/>
        <w:spacing w:line="360" w:lineRule="auto"/>
        <w:jc w:val="right"/>
        <w:rPr>
          <w:rFonts w:hint="eastAsia"/>
          <w:color w:val="auto"/>
          <w:sz w:val="24"/>
          <w:highlight w:val="none"/>
          <w:u w:val="single"/>
        </w:rPr>
      </w:pPr>
      <w:r>
        <w:rPr>
          <w:color w:val="auto"/>
          <w:sz w:val="24"/>
          <w:highlight w:val="none"/>
        </w:rPr>
        <w:t>地址：</w:t>
      </w:r>
      <w:r>
        <w:rPr>
          <w:color w:val="auto"/>
          <w:sz w:val="24"/>
          <w:highlight w:val="none"/>
          <w:u w:val="single"/>
        </w:rPr>
        <w:t xml:space="preserve">               </w:t>
      </w:r>
      <w:r>
        <w:rPr>
          <w:rFonts w:hint="eastAsia"/>
          <w:color w:val="auto"/>
          <w:sz w:val="24"/>
          <w:highlight w:val="none"/>
          <w:u w:val="single"/>
        </w:rPr>
        <w:t>.</w:t>
      </w:r>
    </w:p>
    <w:p w14:paraId="16504040">
      <w:pPr>
        <w:pStyle w:val="19"/>
        <w:keepNext w:val="0"/>
        <w:keepLines w:val="0"/>
        <w:pageBreakBefore w:val="0"/>
        <w:widowControl w:val="0"/>
        <w:tabs>
          <w:tab w:val="left" w:pos="10713"/>
        </w:tabs>
        <w:kinsoku/>
        <w:wordWrap/>
        <w:overflowPunct/>
        <w:topLinePunct w:val="0"/>
        <w:bidi w:val="0"/>
        <w:spacing w:line="360" w:lineRule="auto"/>
        <w:jc w:val="right"/>
        <w:rPr>
          <w:rFonts w:hint="eastAsia"/>
          <w:color w:val="auto"/>
          <w:sz w:val="24"/>
          <w:highlight w:val="none"/>
          <w:u w:val="single"/>
        </w:rPr>
      </w:pPr>
      <w:r>
        <w:rPr>
          <w:color w:val="auto"/>
          <w:sz w:val="24"/>
          <w:highlight w:val="none"/>
        </w:rPr>
        <w:t>法定代表人（签字或盖章）：</w:t>
      </w:r>
      <w:r>
        <w:rPr>
          <w:color w:val="auto"/>
          <w:sz w:val="24"/>
          <w:highlight w:val="none"/>
          <w:u w:val="single"/>
        </w:rPr>
        <w:t xml:space="preserve">               </w:t>
      </w:r>
      <w:r>
        <w:rPr>
          <w:rFonts w:hint="eastAsia"/>
          <w:color w:val="auto"/>
          <w:sz w:val="24"/>
          <w:highlight w:val="none"/>
          <w:u w:val="single"/>
        </w:rPr>
        <w:t>.</w:t>
      </w:r>
    </w:p>
    <w:p w14:paraId="6225C5C0">
      <w:pPr>
        <w:pStyle w:val="19"/>
        <w:keepNext w:val="0"/>
        <w:keepLines w:val="0"/>
        <w:pageBreakBefore w:val="0"/>
        <w:widowControl w:val="0"/>
        <w:kinsoku/>
        <w:wordWrap/>
        <w:overflowPunct/>
        <w:topLinePunct w:val="0"/>
        <w:bidi w:val="0"/>
        <w:spacing w:line="360" w:lineRule="auto"/>
        <w:ind w:left="3223" w:leftChars="1535"/>
        <w:jc w:val="right"/>
        <w:rPr>
          <w:rFonts w:hint="eastAsia"/>
          <w:color w:val="auto"/>
          <w:sz w:val="24"/>
          <w:highlight w:val="none"/>
        </w:rPr>
      </w:pPr>
      <w:r>
        <w:rPr>
          <w:color w:val="auto"/>
          <w:sz w:val="24"/>
          <w:highlight w:val="none"/>
        </w:rPr>
        <w:t>职务：</w:t>
      </w:r>
      <w:r>
        <w:rPr>
          <w:color w:val="auto"/>
          <w:sz w:val="24"/>
          <w:highlight w:val="none"/>
          <w:u w:val="single"/>
        </w:rPr>
        <w:t xml:space="preserve">               </w:t>
      </w:r>
      <w:r>
        <w:rPr>
          <w:rFonts w:hint="eastAsia"/>
          <w:color w:val="auto"/>
          <w:sz w:val="24"/>
          <w:highlight w:val="none"/>
          <w:u w:val="single"/>
        </w:rPr>
        <w:t>.</w:t>
      </w:r>
      <w:r>
        <w:rPr>
          <w:color w:val="auto"/>
          <w:sz w:val="24"/>
          <w:highlight w:val="none"/>
          <w:u w:val="single"/>
        </w:rPr>
        <w:t xml:space="preserve"> </w:t>
      </w:r>
    </w:p>
    <w:p w14:paraId="4708D6D3">
      <w:pPr>
        <w:pStyle w:val="19"/>
        <w:keepNext w:val="0"/>
        <w:keepLines w:val="0"/>
        <w:pageBreakBefore w:val="0"/>
        <w:widowControl w:val="0"/>
        <w:kinsoku/>
        <w:wordWrap/>
        <w:overflowPunct/>
        <w:topLinePunct w:val="0"/>
        <w:bidi w:val="0"/>
        <w:spacing w:line="360" w:lineRule="auto"/>
        <w:ind w:right="-52"/>
        <w:jc w:val="right"/>
        <w:rPr>
          <w:rFonts w:hint="eastAsia"/>
          <w:color w:val="auto"/>
          <w:sz w:val="24"/>
          <w:highlight w:val="none"/>
        </w:rPr>
      </w:pPr>
      <w:r>
        <w:rPr>
          <w:color w:val="auto"/>
          <w:sz w:val="24"/>
          <w:highlight w:val="none"/>
        </w:rPr>
        <w:t>日期：</w:t>
      </w:r>
      <w:r>
        <w:rPr>
          <w:color w:val="auto"/>
          <w:sz w:val="24"/>
          <w:highlight w:val="none"/>
          <w:u w:val="single"/>
        </w:rPr>
        <w:t xml:space="preserve">    </w:t>
      </w:r>
      <w:r>
        <w:rPr>
          <w:color w:val="auto"/>
          <w:sz w:val="24"/>
          <w:highlight w:val="none"/>
        </w:rPr>
        <w:t>年</w:t>
      </w:r>
      <w:r>
        <w:rPr>
          <w:color w:val="auto"/>
          <w:sz w:val="24"/>
          <w:highlight w:val="none"/>
          <w:u w:val="single"/>
        </w:rPr>
        <w:t xml:space="preserve">   </w:t>
      </w:r>
      <w:r>
        <w:rPr>
          <w:color w:val="auto"/>
          <w:sz w:val="24"/>
          <w:highlight w:val="none"/>
        </w:rPr>
        <w:t>月</w:t>
      </w:r>
      <w:r>
        <w:rPr>
          <w:color w:val="auto"/>
          <w:sz w:val="24"/>
          <w:highlight w:val="none"/>
          <w:u w:val="single"/>
        </w:rPr>
        <w:t xml:space="preserve">   </w:t>
      </w:r>
      <w:r>
        <w:rPr>
          <w:color w:val="auto"/>
          <w:sz w:val="24"/>
          <w:highlight w:val="none"/>
        </w:rPr>
        <w:t>日</w:t>
      </w:r>
    </w:p>
    <w:p w14:paraId="2ED67870">
      <w:pPr>
        <w:keepNext w:val="0"/>
        <w:keepLines w:val="0"/>
        <w:pageBreakBefore w:val="0"/>
        <w:widowControl w:val="0"/>
        <w:kinsoku/>
        <w:wordWrap/>
        <w:overflowPunct/>
        <w:topLinePunct w:val="0"/>
        <w:bidi w:val="0"/>
        <w:spacing w:line="360" w:lineRule="auto"/>
        <w:rPr>
          <w:rFonts w:hint="eastAsia"/>
          <w:color w:val="auto"/>
          <w:sz w:val="24"/>
          <w:highlight w:val="none"/>
        </w:rPr>
      </w:pPr>
    </w:p>
    <w:tbl>
      <w:tblPr>
        <w:tblStyle w:val="4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7653C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8" w:hRule="atLeast"/>
          <w:jc w:val="center"/>
        </w:trPr>
        <w:tc>
          <w:tcPr>
            <w:tcW w:w="9854" w:type="dxa"/>
            <w:vAlign w:val="center"/>
          </w:tcPr>
          <w:p w14:paraId="6D8D2DBE">
            <w:pPr>
              <w:keepNext w:val="0"/>
              <w:keepLines w:val="0"/>
              <w:pageBreakBefore w:val="0"/>
              <w:widowControl w:val="0"/>
              <w:kinsoku/>
              <w:wordWrap/>
              <w:overflowPunct/>
              <w:topLinePunct w:val="0"/>
              <w:bidi w:val="0"/>
              <w:spacing w:line="360" w:lineRule="auto"/>
              <w:jc w:val="center"/>
              <w:rPr>
                <w:rFonts w:hint="eastAsia"/>
                <w:color w:val="auto"/>
                <w:sz w:val="24"/>
                <w:highlight w:val="none"/>
              </w:rPr>
            </w:pPr>
            <w:bookmarkStart w:id="215" w:name="_Hlk112010312"/>
            <w:r>
              <w:rPr>
                <w:rFonts w:hint="eastAsia"/>
                <w:color w:val="auto"/>
                <w:sz w:val="24"/>
                <w:highlight w:val="none"/>
              </w:rPr>
              <w:t>法定代表人身份证复印件</w:t>
            </w:r>
          </w:p>
          <w:p w14:paraId="3C0455EB">
            <w:pPr>
              <w:keepNext w:val="0"/>
              <w:keepLines w:val="0"/>
              <w:pageBreakBefore w:val="0"/>
              <w:widowControl w:val="0"/>
              <w:kinsoku/>
              <w:wordWrap/>
              <w:overflowPunct/>
              <w:topLinePunct w:val="0"/>
              <w:bidi w:val="0"/>
              <w:spacing w:line="360" w:lineRule="auto"/>
              <w:jc w:val="center"/>
              <w:rPr>
                <w:rFonts w:hint="eastAsia"/>
                <w:b/>
                <w:color w:val="auto"/>
                <w:sz w:val="24"/>
                <w:highlight w:val="none"/>
              </w:rPr>
            </w:pPr>
            <w:r>
              <w:rPr>
                <w:rFonts w:hint="eastAsia"/>
                <w:color w:val="auto"/>
                <w:sz w:val="24"/>
                <w:highlight w:val="none"/>
              </w:rPr>
              <w:t>（正、反</w:t>
            </w:r>
            <w:r>
              <w:rPr>
                <w:color w:val="auto"/>
                <w:sz w:val="24"/>
                <w:highlight w:val="none"/>
              </w:rPr>
              <w:t>两面</w:t>
            </w:r>
            <w:r>
              <w:rPr>
                <w:rFonts w:hint="eastAsia"/>
                <w:color w:val="auto"/>
                <w:sz w:val="24"/>
                <w:highlight w:val="none"/>
              </w:rPr>
              <w:t>）</w:t>
            </w:r>
          </w:p>
        </w:tc>
      </w:tr>
      <w:bookmarkEnd w:id="215"/>
    </w:tbl>
    <w:p w14:paraId="79492C0A">
      <w:pPr>
        <w:keepNext w:val="0"/>
        <w:keepLines w:val="0"/>
        <w:pageBreakBefore w:val="0"/>
        <w:widowControl w:val="0"/>
        <w:kinsoku/>
        <w:wordWrap/>
        <w:overflowPunct/>
        <w:topLinePunct w:val="0"/>
        <w:bidi w:val="0"/>
        <w:spacing w:line="360" w:lineRule="auto"/>
        <w:rPr>
          <w:rFonts w:hint="eastAsia"/>
          <w:b/>
          <w:color w:val="auto"/>
          <w:szCs w:val="21"/>
          <w:highlight w:val="none"/>
        </w:rPr>
      </w:pPr>
    </w:p>
    <w:p w14:paraId="7F0B691C">
      <w:pPr>
        <w:keepNext w:val="0"/>
        <w:keepLines w:val="0"/>
        <w:pageBreakBefore w:val="0"/>
        <w:widowControl w:val="0"/>
        <w:kinsoku/>
        <w:wordWrap/>
        <w:overflowPunct/>
        <w:topLinePunct w:val="0"/>
        <w:bidi w:val="0"/>
        <w:spacing w:line="360" w:lineRule="auto"/>
        <w:rPr>
          <w:rFonts w:hint="eastAsia"/>
          <w:b/>
          <w:color w:val="auto"/>
          <w:szCs w:val="21"/>
          <w:highlight w:val="none"/>
        </w:rPr>
      </w:pPr>
      <w:r>
        <w:rPr>
          <w:rFonts w:hint="eastAsia"/>
          <w:b/>
          <w:color w:val="auto"/>
          <w:szCs w:val="21"/>
          <w:highlight w:val="none"/>
        </w:rPr>
        <w:t>说明：供应商应须提供法定代表人身份证复印件，否则作无效响应处理。</w:t>
      </w:r>
    </w:p>
    <w:p w14:paraId="4B86F5FF">
      <w:pPr>
        <w:pStyle w:val="19"/>
        <w:keepNext w:val="0"/>
        <w:keepLines w:val="0"/>
        <w:pageBreakBefore w:val="0"/>
        <w:widowControl w:val="0"/>
        <w:kinsoku/>
        <w:wordWrap/>
        <w:overflowPunct/>
        <w:topLinePunct w:val="0"/>
        <w:bidi w:val="0"/>
        <w:spacing w:line="360" w:lineRule="auto"/>
        <w:rPr>
          <w:rFonts w:hint="eastAsia"/>
          <w:color w:val="auto"/>
          <w:sz w:val="24"/>
          <w:highlight w:val="none"/>
        </w:rPr>
      </w:pPr>
    </w:p>
    <w:p w14:paraId="7AC29730">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8"/>
          <w:szCs w:val="28"/>
          <w:highlight w:val="none"/>
        </w:rPr>
      </w:pPr>
      <w:r>
        <w:rPr>
          <w:rFonts w:ascii="宋体" w:hAnsi="宋体" w:eastAsia="宋体"/>
          <w:bCs w:val="0"/>
          <w:color w:val="auto"/>
          <w:sz w:val="28"/>
          <w:szCs w:val="28"/>
          <w:highlight w:val="none"/>
        </w:rPr>
        <w:br w:type="page"/>
      </w:r>
      <w:bookmarkStart w:id="216" w:name="_Toc104040760"/>
      <w:bookmarkStart w:id="217" w:name="_Toc104040706"/>
      <w:bookmarkStart w:id="218" w:name="_Toc30642"/>
      <w:bookmarkStart w:id="219" w:name="_Toc103033237"/>
      <w:r>
        <w:rPr>
          <w:rFonts w:hint="eastAsia" w:ascii="宋体" w:hAnsi="宋体" w:eastAsia="宋体"/>
          <w:color w:val="auto"/>
          <w:sz w:val="24"/>
          <w:szCs w:val="24"/>
          <w:highlight w:val="none"/>
        </w:rPr>
        <w:t>法定代表人授权书</w:t>
      </w:r>
      <w:bookmarkEnd w:id="197"/>
      <w:bookmarkEnd w:id="198"/>
      <w:bookmarkEnd w:id="199"/>
      <w:bookmarkEnd w:id="200"/>
      <w:bookmarkEnd w:id="201"/>
      <w:bookmarkEnd w:id="216"/>
      <w:bookmarkEnd w:id="217"/>
      <w:bookmarkEnd w:id="218"/>
      <w:bookmarkEnd w:id="219"/>
    </w:p>
    <w:p w14:paraId="360B4882">
      <w:pPr>
        <w:pStyle w:val="358"/>
        <w:keepNext w:val="0"/>
        <w:keepLines w:val="0"/>
        <w:pageBreakBefore w:val="0"/>
        <w:widowControl w:val="0"/>
        <w:kinsoku/>
        <w:wordWrap/>
        <w:overflowPunct/>
        <w:topLinePunct w:val="0"/>
        <w:autoSpaceDE/>
        <w:autoSpaceDN/>
        <w:bidi w:val="0"/>
        <w:spacing w:line="360" w:lineRule="auto"/>
        <w:jc w:val="left"/>
        <w:outlineLvl w:val="9"/>
        <w:rPr>
          <w:rFonts w:hint="eastAsia"/>
          <w:b w:val="0"/>
          <w:bCs w:val="0"/>
          <w:i/>
          <w:iCs/>
          <w:color w:val="auto"/>
          <w:sz w:val="21"/>
          <w:szCs w:val="20"/>
          <w:highlight w:val="none"/>
          <w:lang w:eastAsia="zh-CN"/>
        </w:rPr>
      </w:pPr>
      <w:r>
        <w:rPr>
          <w:rFonts w:hint="eastAsia"/>
          <w:b w:val="0"/>
          <w:bCs w:val="0"/>
          <w:i/>
          <w:iCs/>
          <w:color w:val="auto"/>
          <w:sz w:val="21"/>
          <w:szCs w:val="20"/>
          <w:highlight w:val="none"/>
          <w:lang w:eastAsia="zh-CN"/>
        </w:rPr>
        <w:t>（对于银行、保险、电信、邮政、铁路等行业以及获得总公司响应授权的分公司，可以提供响应分支机构负责人授权书）</w:t>
      </w:r>
    </w:p>
    <w:p w14:paraId="70E93B40">
      <w:pPr>
        <w:keepNext w:val="0"/>
        <w:keepLines w:val="0"/>
        <w:pageBreakBefore w:val="0"/>
        <w:widowControl w:val="0"/>
        <w:kinsoku/>
        <w:wordWrap/>
        <w:overflowPunct/>
        <w:topLinePunct w:val="0"/>
        <w:bidi w:val="0"/>
        <w:spacing w:line="360" w:lineRule="auto"/>
        <w:jc w:val="center"/>
        <w:rPr>
          <w:rFonts w:hint="eastAsia"/>
          <w:b/>
          <w:color w:val="auto"/>
          <w:sz w:val="28"/>
          <w:szCs w:val="28"/>
          <w:highlight w:val="none"/>
        </w:rPr>
      </w:pPr>
      <w:r>
        <w:rPr>
          <w:rFonts w:hint="eastAsia"/>
          <w:b/>
          <w:color w:val="auto"/>
          <w:sz w:val="28"/>
          <w:szCs w:val="28"/>
          <w:highlight w:val="none"/>
        </w:rPr>
        <w:t>法定代表人授权书</w:t>
      </w:r>
    </w:p>
    <w:p w14:paraId="6E9DA698">
      <w:pPr>
        <w:keepNext w:val="0"/>
        <w:keepLines w:val="0"/>
        <w:pageBreakBefore w:val="0"/>
        <w:widowControl w:val="0"/>
        <w:kinsoku/>
        <w:wordWrap/>
        <w:overflowPunct/>
        <w:topLinePunct w:val="0"/>
        <w:bidi w:val="0"/>
        <w:spacing w:line="360" w:lineRule="auto"/>
        <w:rPr>
          <w:rFonts w:hint="eastAsia"/>
          <w:color w:val="auto"/>
          <w:sz w:val="18"/>
          <w:highlight w:val="none"/>
        </w:rPr>
      </w:pPr>
    </w:p>
    <w:p w14:paraId="556FD364">
      <w:pPr>
        <w:pStyle w:val="19"/>
        <w:keepNext w:val="0"/>
        <w:keepLines w:val="0"/>
        <w:pageBreakBefore w:val="0"/>
        <w:widowControl w:val="0"/>
        <w:kinsoku/>
        <w:wordWrap/>
        <w:overflowPunct/>
        <w:topLinePunct w:val="0"/>
        <w:bidi w:val="0"/>
        <w:spacing w:line="360" w:lineRule="auto"/>
        <w:rPr>
          <w:rFonts w:hint="eastAsia"/>
          <w:color w:val="auto"/>
          <w:sz w:val="24"/>
          <w:highlight w:val="none"/>
        </w:rPr>
      </w:pPr>
      <w:r>
        <w:rPr>
          <w:color w:val="auto"/>
          <w:sz w:val="24"/>
          <w:highlight w:val="none"/>
        </w:rPr>
        <w:t>致：</w:t>
      </w:r>
      <w:r>
        <w:rPr>
          <w:rFonts w:hint="eastAsia"/>
          <w:color w:val="auto"/>
          <w:sz w:val="24"/>
          <w:highlight w:val="none"/>
        </w:rPr>
        <w:t>公诚管理咨询有限公司</w:t>
      </w:r>
    </w:p>
    <w:p w14:paraId="469484EA">
      <w:pPr>
        <w:pStyle w:val="19"/>
        <w:keepNext w:val="0"/>
        <w:keepLines w:val="0"/>
        <w:pageBreakBefore w:val="0"/>
        <w:widowControl w:val="0"/>
        <w:tabs>
          <w:tab w:val="left" w:pos="2026"/>
          <w:tab w:val="left" w:pos="3101"/>
          <w:tab w:val="left" w:pos="8808"/>
        </w:tabs>
        <w:kinsoku/>
        <w:wordWrap/>
        <w:overflowPunct/>
        <w:topLinePunct w:val="0"/>
        <w:bidi w:val="0"/>
        <w:spacing w:line="360" w:lineRule="auto"/>
        <w:ind w:right="221" w:firstLine="384"/>
        <w:rPr>
          <w:rFonts w:hint="eastAsia"/>
          <w:color w:val="auto"/>
          <w:sz w:val="24"/>
          <w:highlight w:val="none"/>
        </w:rPr>
      </w:pPr>
      <w:r>
        <w:rPr>
          <w:color w:val="auto"/>
          <w:w w:val="105"/>
          <w:sz w:val="24"/>
          <w:highlight w:val="none"/>
        </w:rPr>
        <w:t>本授权书声明：</w:t>
      </w:r>
      <w:r>
        <w:rPr>
          <w:color w:val="auto"/>
          <w:w w:val="105"/>
          <w:sz w:val="24"/>
          <w:highlight w:val="none"/>
          <w:u w:val="single"/>
        </w:rPr>
        <w:t xml:space="preserve"> </w:t>
      </w:r>
      <w:r>
        <w:rPr>
          <w:color w:val="auto"/>
          <w:w w:val="105"/>
          <w:sz w:val="24"/>
          <w:highlight w:val="none"/>
          <w:u w:val="single"/>
        </w:rPr>
        <w:tab/>
      </w:r>
      <w:r>
        <w:rPr>
          <w:color w:val="auto"/>
          <w:sz w:val="24"/>
          <w:highlight w:val="none"/>
        </w:rPr>
        <w:t>是注册于</w:t>
      </w:r>
      <w:r>
        <w:rPr>
          <w:color w:val="auto"/>
          <w:spacing w:val="-17"/>
          <w:sz w:val="24"/>
          <w:highlight w:val="none"/>
          <w:u w:val="single"/>
        </w:rPr>
        <w:t xml:space="preserve">   </w:t>
      </w:r>
      <w:r>
        <w:rPr>
          <w:color w:val="auto"/>
          <w:sz w:val="24"/>
          <w:highlight w:val="none"/>
          <w:u w:val="single"/>
        </w:rPr>
        <w:t>（国家或地区）</w:t>
      </w:r>
      <w:r>
        <w:rPr>
          <w:color w:val="auto"/>
          <w:sz w:val="24"/>
          <w:highlight w:val="none"/>
        </w:rPr>
        <w:t>的</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供应商</w:t>
      </w:r>
      <w:r>
        <w:rPr>
          <w:color w:val="auto"/>
          <w:sz w:val="24"/>
          <w:highlight w:val="none"/>
          <w:u w:val="single"/>
        </w:rPr>
        <w:t>名称）</w:t>
      </w:r>
      <w:r>
        <w:rPr>
          <w:color w:val="auto"/>
          <w:sz w:val="24"/>
          <w:highlight w:val="none"/>
        </w:rPr>
        <w:t>的法定代表人，现任</w:t>
      </w:r>
      <w:r>
        <w:rPr>
          <w:color w:val="auto"/>
          <w:sz w:val="24"/>
          <w:highlight w:val="none"/>
          <w:u w:val="single"/>
        </w:rPr>
        <w:t xml:space="preserve"> </w:t>
      </w:r>
      <w:r>
        <w:rPr>
          <w:color w:val="auto"/>
          <w:sz w:val="24"/>
          <w:highlight w:val="none"/>
          <w:u w:val="single"/>
        </w:rPr>
        <w:tab/>
      </w:r>
      <w:r>
        <w:rPr>
          <w:color w:val="auto"/>
          <w:w w:val="110"/>
          <w:sz w:val="24"/>
          <w:highlight w:val="none"/>
        </w:rPr>
        <w:t>职务，有效证件号码：</w:t>
      </w:r>
      <w:r>
        <w:rPr>
          <w:color w:val="auto"/>
          <w:w w:val="110"/>
          <w:sz w:val="24"/>
          <w:highlight w:val="none"/>
          <w:u w:val="single"/>
        </w:rPr>
        <w:t xml:space="preserve">        </w:t>
      </w:r>
      <w:r>
        <w:rPr>
          <w:color w:val="auto"/>
          <w:sz w:val="24"/>
          <w:highlight w:val="none"/>
        </w:rPr>
        <w:t>。现授权</w:t>
      </w:r>
      <w:r>
        <w:rPr>
          <w:color w:val="auto"/>
          <w:spacing w:val="8"/>
          <w:sz w:val="24"/>
          <w:highlight w:val="none"/>
          <w:u w:val="single"/>
        </w:rPr>
        <w:t xml:space="preserve"> </w:t>
      </w:r>
      <w:r>
        <w:rPr>
          <w:rFonts w:hint="eastAsia"/>
          <w:color w:val="auto"/>
          <w:sz w:val="24"/>
          <w:highlight w:val="none"/>
          <w:u w:val="single"/>
        </w:rPr>
        <w:t xml:space="preserve"> </w:t>
      </w:r>
      <w:r>
        <w:rPr>
          <w:color w:val="auto"/>
          <w:sz w:val="24"/>
          <w:highlight w:val="none"/>
          <w:u w:val="single"/>
        </w:rPr>
        <w:t>（姓名、职务）</w:t>
      </w:r>
      <w:r>
        <w:rPr>
          <w:color w:val="auto"/>
          <w:sz w:val="24"/>
          <w:highlight w:val="none"/>
        </w:rPr>
        <w:t>作为我公司的全权代理人，就</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 xml:space="preserve">（项目名称）[项目编号： </w:t>
      </w:r>
      <w:r>
        <w:rPr>
          <w:color w:val="auto"/>
          <w:sz w:val="24"/>
          <w:highlight w:val="none"/>
          <w:u w:val="single"/>
        </w:rPr>
        <w:t xml:space="preserve">        </w:t>
      </w:r>
      <w:r>
        <w:rPr>
          <w:rFonts w:hint="eastAsia"/>
          <w:color w:val="auto"/>
          <w:sz w:val="24"/>
          <w:highlight w:val="none"/>
          <w:u w:val="single"/>
        </w:rPr>
        <w:t>]</w:t>
      </w:r>
      <w:r>
        <w:rPr>
          <w:rFonts w:hint="eastAsia"/>
          <w:color w:val="auto"/>
          <w:sz w:val="24"/>
          <w:highlight w:val="none"/>
        </w:rPr>
        <w:t>的响应和合同执行，以我方的名义处理一切与之有关的事宜。</w:t>
      </w:r>
    </w:p>
    <w:p w14:paraId="6CA81F3A">
      <w:pPr>
        <w:pStyle w:val="19"/>
        <w:keepNext w:val="0"/>
        <w:keepLines w:val="0"/>
        <w:pageBreakBefore w:val="0"/>
        <w:widowControl w:val="0"/>
        <w:tabs>
          <w:tab w:val="left" w:pos="2026"/>
          <w:tab w:val="left" w:pos="3101"/>
          <w:tab w:val="left" w:pos="8808"/>
        </w:tabs>
        <w:kinsoku/>
        <w:wordWrap/>
        <w:overflowPunct/>
        <w:topLinePunct w:val="0"/>
        <w:bidi w:val="0"/>
        <w:spacing w:line="360" w:lineRule="auto"/>
        <w:ind w:right="221" w:firstLine="384"/>
        <w:rPr>
          <w:rFonts w:hint="eastAsia"/>
          <w:color w:val="auto"/>
          <w:sz w:val="24"/>
          <w:highlight w:val="none"/>
        </w:rPr>
      </w:pPr>
      <w:r>
        <w:rPr>
          <w:color w:val="auto"/>
          <w:sz w:val="24"/>
          <w:highlight w:val="none"/>
        </w:rPr>
        <w:t>本授权书于</w:t>
      </w:r>
      <w:r>
        <w:rPr>
          <w:color w:val="auto"/>
          <w:sz w:val="24"/>
          <w:highlight w:val="none"/>
          <w:u w:val="single"/>
        </w:rPr>
        <w:t xml:space="preserve"> </w:t>
      </w:r>
      <w:r>
        <w:rPr>
          <w:color w:val="auto"/>
          <w:sz w:val="24"/>
          <w:highlight w:val="none"/>
          <w:u w:val="single"/>
        </w:rPr>
        <w:tab/>
      </w:r>
      <w:r>
        <w:rPr>
          <w:color w:val="auto"/>
          <w:sz w:val="24"/>
          <w:highlight w:val="none"/>
        </w:rPr>
        <w:t>年</w:t>
      </w:r>
      <w:r>
        <w:rPr>
          <w:color w:val="auto"/>
          <w:sz w:val="24"/>
          <w:highlight w:val="none"/>
          <w:u w:val="single"/>
        </w:rPr>
        <w:t xml:space="preserve">    </w:t>
      </w:r>
      <w:r>
        <w:rPr>
          <w:color w:val="auto"/>
          <w:sz w:val="24"/>
          <w:highlight w:val="none"/>
        </w:rPr>
        <w:t>月</w:t>
      </w:r>
      <w:r>
        <w:rPr>
          <w:color w:val="auto"/>
          <w:sz w:val="24"/>
          <w:highlight w:val="none"/>
          <w:u w:val="single"/>
        </w:rPr>
        <w:t xml:space="preserve">    </w:t>
      </w:r>
      <w:r>
        <w:rPr>
          <w:color w:val="auto"/>
          <w:sz w:val="24"/>
          <w:highlight w:val="none"/>
        </w:rPr>
        <w:t>日签字生效，特此声明。</w:t>
      </w:r>
    </w:p>
    <w:p w14:paraId="69908DB7">
      <w:pPr>
        <w:pStyle w:val="356"/>
        <w:keepNext w:val="0"/>
        <w:keepLines w:val="0"/>
        <w:pageBreakBefore w:val="0"/>
        <w:widowControl w:val="0"/>
        <w:kinsoku/>
        <w:wordWrap/>
        <w:overflowPunct/>
        <w:topLinePunct w:val="0"/>
        <w:autoSpaceDE/>
        <w:autoSpaceDN/>
        <w:bidi w:val="0"/>
        <w:spacing w:line="360" w:lineRule="auto"/>
        <w:ind w:firstLine="0" w:firstLineChars="0"/>
        <w:rPr>
          <w:rFonts w:hint="eastAsia"/>
          <w:color w:val="auto"/>
          <w:highlight w:val="none"/>
          <w:lang w:eastAsia="zh-CN"/>
        </w:rPr>
      </w:pPr>
    </w:p>
    <w:p w14:paraId="4176B350">
      <w:pPr>
        <w:keepNext w:val="0"/>
        <w:keepLines w:val="0"/>
        <w:pageBreakBefore w:val="0"/>
        <w:widowControl w:val="0"/>
        <w:kinsoku/>
        <w:wordWrap/>
        <w:overflowPunct/>
        <w:topLinePunct w:val="0"/>
        <w:bidi w:val="0"/>
        <w:spacing w:line="360" w:lineRule="auto"/>
        <w:ind w:left="3518" w:leftChars="1675"/>
        <w:jc w:val="right"/>
        <w:rPr>
          <w:rFonts w:hint="eastAsia"/>
          <w:color w:val="auto"/>
          <w:sz w:val="24"/>
          <w:highlight w:val="none"/>
        </w:rPr>
      </w:pPr>
      <w:r>
        <w:rPr>
          <w:rFonts w:hint="eastAsia"/>
          <w:color w:val="auto"/>
          <w:sz w:val="24"/>
          <w:highlight w:val="none"/>
        </w:rPr>
        <w:t>供应商名称（盖章）：</w:t>
      </w:r>
      <w:r>
        <w:rPr>
          <w:rFonts w:hint="eastAsia"/>
          <w:color w:val="auto"/>
          <w:sz w:val="24"/>
          <w:highlight w:val="none"/>
          <w:u w:val="single"/>
        </w:rPr>
        <w:tab/>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w:t>
      </w:r>
      <w:r>
        <w:rPr>
          <w:rFonts w:hint="eastAsia"/>
          <w:color w:val="auto"/>
          <w:sz w:val="24"/>
          <w:highlight w:val="none"/>
        </w:rPr>
        <w:t xml:space="preserve"> </w:t>
      </w:r>
    </w:p>
    <w:p w14:paraId="6FA8ACDE">
      <w:pPr>
        <w:keepNext w:val="0"/>
        <w:keepLines w:val="0"/>
        <w:pageBreakBefore w:val="0"/>
        <w:widowControl w:val="0"/>
        <w:kinsoku/>
        <w:wordWrap/>
        <w:overflowPunct/>
        <w:topLinePunct w:val="0"/>
        <w:bidi w:val="0"/>
        <w:spacing w:line="360" w:lineRule="auto"/>
        <w:ind w:left="3518" w:leftChars="1675"/>
        <w:jc w:val="right"/>
        <w:rPr>
          <w:rFonts w:hint="eastAsia"/>
          <w:color w:val="auto"/>
          <w:sz w:val="24"/>
          <w:highlight w:val="none"/>
        </w:rPr>
      </w:pPr>
      <w:r>
        <w:rPr>
          <w:rFonts w:hint="eastAsia"/>
          <w:color w:val="auto"/>
          <w:sz w:val="24"/>
          <w:highlight w:val="none"/>
        </w:rPr>
        <w:t>地址：</w:t>
      </w:r>
      <w:r>
        <w:rPr>
          <w:rFonts w:hint="eastAsia"/>
          <w:color w:val="auto"/>
          <w:sz w:val="24"/>
          <w:highlight w:val="none"/>
          <w:u w:val="single"/>
        </w:rPr>
        <w:tab/>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w:t>
      </w:r>
      <w:r>
        <w:rPr>
          <w:rFonts w:hint="eastAsia"/>
          <w:color w:val="auto"/>
          <w:sz w:val="24"/>
          <w:highlight w:val="none"/>
        </w:rPr>
        <w:t xml:space="preserve"> </w:t>
      </w:r>
    </w:p>
    <w:p w14:paraId="6587900D">
      <w:pPr>
        <w:keepNext w:val="0"/>
        <w:keepLines w:val="0"/>
        <w:pageBreakBefore w:val="0"/>
        <w:widowControl w:val="0"/>
        <w:kinsoku/>
        <w:wordWrap/>
        <w:overflowPunct/>
        <w:topLinePunct w:val="0"/>
        <w:bidi w:val="0"/>
        <w:spacing w:line="360" w:lineRule="auto"/>
        <w:jc w:val="right"/>
        <w:rPr>
          <w:rFonts w:hint="eastAsia"/>
          <w:color w:val="auto"/>
          <w:sz w:val="24"/>
          <w:highlight w:val="none"/>
        </w:rPr>
      </w:pPr>
      <w:r>
        <w:rPr>
          <w:rFonts w:hint="eastAsia"/>
          <w:color w:val="auto"/>
          <w:sz w:val="24"/>
          <w:highlight w:val="none"/>
        </w:rPr>
        <w:t>法定代表人（签字或盖章）：</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w:t>
      </w:r>
      <w:r>
        <w:rPr>
          <w:rFonts w:hint="eastAsia"/>
          <w:color w:val="auto"/>
          <w:sz w:val="24"/>
          <w:highlight w:val="none"/>
          <w:u w:val="single"/>
        </w:rPr>
        <w:t xml:space="preserve"> </w:t>
      </w:r>
    </w:p>
    <w:p w14:paraId="65683826">
      <w:pPr>
        <w:keepNext w:val="0"/>
        <w:keepLines w:val="0"/>
        <w:pageBreakBefore w:val="0"/>
        <w:widowControl w:val="0"/>
        <w:kinsoku/>
        <w:wordWrap/>
        <w:overflowPunct/>
        <w:topLinePunct w:val="0"/>
        <w:bidi w:val="0"/>
        <w:spacing w:line="360" w:lineRule="auto"/>
        <w:ind w:left="3518" w:leftChars="1675"/>
        <w:jc w:val="right"/>
        <w:rPr>
          <w:rFonts w:hint="eastAsia"/>
          <w:color w:val="auto"/>
          <w:sz w:val="24"/>
          <w:highlight w:val="none"/>
        </w:rPr>
      </w:pPr>
      <w:r>
        <w:rPr>
          <w:rFonts w:hint="eastAsia"/>
          <w:color w:val="auto"/>
          <w:sz w:val="24"/>
          <w:highlight w:val="none"/>
        </w:rPr>
        <w:t>职务：</w:t>
      </w:r>
      <w:r>
        <w:rPr>
          <w:rFonts w:hint="eastAsia"/>
          <w:color w:val="auto"/>
          <w:sz w:val="24"/>
          <w:highlight w:val="none"/>
          <w:u w:val="single"/>
        </w:rPr>
        <w:tab/>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w:t>
      </w:r>
      <w:r>
        <w:rPr>
          <w:rFonts w:hint="eastAsia"/>
          <w:color w:val="auto"/>
          <w:sz w:val="24"/>
          <w:highlight w:val="none"/>
        </w:rPr>
        <w:t xml:space="preserve"> </w:t>
      </w:r>
    </w:p>
    <w:p w14:paraId="4E5C108E">
      <w:pPr>
        <w:keepNext w:val="0"/>
        <w:keepLines w:val="0"/>
        <w:pageBreakBefore w:val="0"/>
        <w:widowControl w:val="0"/>
        <w:kinsoku/>
        <w:wordWrap/>
        <w:overflowPunct/>
        <w:topLinePunct w:val="0"/>
        <w:bidi w:val="0"/>
        <w:spacing w:line="360" w:lineRule="auto"/>
        <w:jc w:val="right"/>
        <w:rPr>
          <w:rFonts w:hint="eastAsia"/>
          <w:color w:val="auto"/>
          <w:sz w:val="24"/>
          <w:highlight w:val="none"/>
        </w:rPr>
      </w:pPr>
      <w:r>
        <w:rPr>
          <w:rFonts w:hint="eastAsia"/>
          <w:color w:val="auto"/>
          <w:sz w:val="24"/>
          <w:highlight w:val="none"/>
        </w:rPr>
        <w:t>被授权人（签字或盖章）：</w:t>
      </w:r>
      <w:r>
        <w:rPr>
          <w:rFonts w:hint="eastAsia"/>
          <w:color w:val="auto"/>
          <w:sz w:val="24"/>
          <w:highlight w:val="none"/>
          <w:u w:val="single"/>
        </w:rPr>
        <w:tab/>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w:t>
      </w:r>
      <w:r>
        <w:rPr>
          <w:rFonts w:hint="eastAsia"/>
          <w:color w:val="auto"/>
          <w:sz w:val="24"/>
          <w:highlight w:val="none"/>
        </w:rPr>
        <w:t xml:space="preserve"> </w:t>
      </w:r>
    </w:p>
    <w:p w14:paraId="4C9E50C0">
      <w:pPr>
        <w:keepNext w:val="0"/>
        <w:keepLines w:val="0"/>
        <w:pageBreakBefore w:val="0"/>
        <w:widowControl w:val="0"/>
        <w:kinsoku/>
        <w:wordWrap/>
        <w:overflowPunct/>
        <w:topLinePunct w:val="0"/>
        <w:bidi w:val="0"/>
        <w:spacing w:line="360" w:lineRule="auto"/>
        <w:ind w:left="3518" w:leftChars="1675"/>
        <w:jc w:val="right"/>
        <w:rPr>
          <w:rFonts w:hint="eastAsia"/>
          <w:color w:val="auto"/>
          <w:sz w:val="24"/>
          <w:highlight w:val="none"/>
        </w:rPr>
      </w:pPr>
      <w:r>
        <w:rPr>
          <w:rFonts w:hint="eastAsia"/>
          <w:color w:val="auto"/>
          <w:sz w:val="24"/>
          <w:highlight w:val="none"/>
        </w:rPr>
        <w:t>职务：</w:t>
      </w:r>
      <w:r>
        <w:rPr>
          <w:rFonts w:hint="eastAsia"/>
          <w:color w:val="auto"/>
          <w:sz w:val="24"/>
          <w:highlight w:val="none"/>
          <w:u w:val="single"/>
        </w:rPr>
        <w:tab/>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w:t>
      </w:r>
      <w:r>
        <w:rPr>
          <w:rFonts w:hint="eastAsia"/>
          <w:color w:val="auto"/>
          <w:sz w:val="24"/>
          <w:highlight w:val="none"/>
        </w:rPr>
        <w:t xml:space="preserve"> </w:t>
      </w:r>
    </w:p>
    <w:p w14:paraId="1290A44A">
      <w:pPr>
        <w:keepNext w:val="0"/>
        <w:keepLines w:val="0"/>
        <w:pageBreakBefore w:val="0"/>
        <w:widowControl w:val="0"/>
        <w:kinsoku/>
        <w:wordWrap/>
        <w:overflowPunct/>
        <w:topLinePunct w:val="0"/>
        <w:bidi w:val="0"/>
        <w:spacing w:line="360" w:lineRule="auto"/>
        <w:jc w:val="right"/>
        <w:rPr>
          <w:rFonts w:hint="eastAsia"/>
          <w:color w:val="auto"/>
          <w:sz w:val="24"/>
          <w:highlight w:val="none"/>
        </w:rPr>
      </w:pPr>
      <w:r>
        <w:rPr>
          <w:rFonts w:hint="eastAsia"/>
          <w:color w:val="auto"/>
          <w:sz w:val="24"/>
          <w:highlight w:val="none"/>
        </w:rPr>
        <w:t>日期：</w:t>
      </w:r>
      <w:r>
        <w:rPr>
          <w:rFonts w:hint="eastAsia"/>
          <w:color w:val="auto"/>
          <w:sz w:val="24"/>
          <w:highlight w:val="none"/>
          <w:u w:val="single"/>
        </w:rPr>
        <w:tab/>
      </w:r>
      <w:r>
        <w:rPr>
          <w:rFonts w:hint="eastAsia"/>
          <w:color w:val="auto"/>
          <w:sz w:val="24"/>
          <w:highlight w:val="none"/>
          <w:u w:val="single"/>
        </w:rPr>
        <w:t xml:space="preserve">    </w:t>
      </w:r>
      <w:r>
        <w:rPr>
          <w:rFonts w:hint="eastAsia"/>
          <w:color w:val="auto"/>
          <w:sz w:val="24"/>
          <w:highlight w:val="none"/>
        </w:rPr>
        <w:t>年</w:t>
      </w:r>
      <w:r>
        <w:rPr>
          <w:rFonts w:hint="eastAsia"/>
          <w:color w:val="auto"/>
          <w:sz w:val="24"/>
          <w:highlight w:val="none"/>
          <w:u w:val="single"/>
        </w:rPr>
        <w:tab/>
      </w:r>
      <w:r>
        <w:rPr>
          <w:rFonts w:hint="eastAsia"/>
          <w:color w:val="auto"/>
          <w:sz w:val="24"/>
          <w:highlight w:val="none"/>
          <w:u w:val="single"/>
        </w:rPr>
        <w:t xml:space="preserve">    </w:t>
      </w:r>
      <w:r>
        <w:rPr>
          <w:rFonts w:hint="eastAsia"/>
          <w:color w:val="auto"/>
          <w:sz w:val="24"/>
          <w:highlight w:val="none"/>
        </w:rPr>
        <w:t>月</w:t>
      </w:r>
      <w:r>
        <w:rPr>
          <w:rFonts w:hint="eastAsia"/>
          <w:color w:val="auto"/>
          <w:sz w:val="24"/>
          <w:highlight w:val="none"/>
          <w:u w:val="single"/>
        </w:rPr>
        <w:tab/>
      </w:r>
      <w:r>
        <w:rPr>
          <w:rFonts w:hint="eastAsia"/>
          <w:color w:val="auto"/>
          <w:sz w:val="24"/>
          <w:highlight w:val="none"/>
          <w:u w:val="single"/>
        </w:rPr>
        <w:t xml:space="preserve">    </w:t>
      </w:r>
      <w:r>
        <w:rPr>
          <w:rFonts w:hint="eastAsia"/>
          <w:color w:val="auto"/>
          <w:sz w:val="24"/>
          <w:highlight w:val="none"/>
        </w:rPr>
        <w:t>日</w:t>
      </w:r>
    </w:p>
    <w:p w14:paraId="735C1518">
      <w:pPr>
        <w:keepNext w:val="0"/>
        <w:keepLines w:val="0"/>
        <w:pageBreakBefore w:val="0"/>
        <w:widowControl w:val="0"/>
        <w:kinsoku/>
        <w:wordWrap/>
        <w:overflowPunct/>
        <w:topLinePunct w:val="0"/>
        <w:bidi w:val="0"/>
        <w:spacing w:line="360" w:lineRule="auto"/>
        <w:rPr>
          <w:rFonts w:hint="eastAsia"/>
          <w:b/>
          <w:color w:val="auto"/>
          <w:szCs w:val="21"/>
          <w:highlight w:val="none"/>
        </w:rPr>
      </w:pPr>
    </w:p>
    <w:tbl>
      <w:tblPr>
        <w:tblStyle w:val="46"/>
        <w:tblpPr w:leftFromText="180" w:rightFromText="180" w:vertAnchor="text" w:horzAnchor="margin" w:tblpXSpec="center" w:tblpY="4"/>
        <w:tblOverlap w:val="never"/>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5F419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3" w:hRule="exact"/>
        </w:trPr>
        <w:tc>
          <w:tcPr>
            <w:tcW w:w="9854" w:type="dxa"/>
            <w:vAlign w:val="center"/>
          </w:tcPr>
          <w:p w14:paraId="54E408CF">
            <w:pPr>
              <w:keepNext w:val="0"/>
              <w:keepLines w:val="0"/>
              <w:pageBreakBefore w:val="0"/>
              <w:widowControl w:val="0"/>
              <w:kinsoku/>
              <w:wordWrap/>
              <w:overflowPunct/>
              <w:topLinePunct w:val="0"/>
              <w:bidi w:val="0"/>
              <w:spacing w:line="360" w:lineRule="auto"/>
              <w:jc w:val="center"/>
              <w:rPr>
                <w:rFonts w:hint="eastAsia"/>
                <w:color w:val="auto"/>
                <w:sz w:val="24"/>
                <w:highlight w:val="none"/>
              </w:rPr>
            </w:pPr>
            <w:r>
              <w:rPr>
                <w:rFonts w:hint="eastAsia"/>
                <w:color w:val="auto"/>
                <w:sz w:val="24"/>
                <w:highlight w:val="none"/>
              </w:rPr>
              <w:t>被授权人身份证复印件</w:t>
            </w:r>
          </w:p>
          <w:p w14:paraId="64136937">
            <w:pPr>
              <w:keepNext w:val="0"/>
              <w:keepLines w:val="0"/>
              <w:pageBreakBefore w:val="0"/>
              <w:widowControl w:val="0"/>
              <w:kinsoku/>
              <w:wordWrap/>
              <w:overflowPunct/>
              <w:topLinePunct w:val="0"/>
              <w:bidi w:val="0"/>
              <w:spacing w:line="360" w:lineRule="auto"/>
              <w:jc w:val="center"/>
              <w:rPr>
                <w:rFonts w:hint="eastAsia"/>
                <w:color w:val="auto"/>
                <w:highlight w:val="none"/>
              </w:rPr>
            </w:pPr>
            <w:r>
              <w:rPr>
                <w:rFonts w:hint="eastAsia"/>
                <w:color w:val="auto"/>
                <w:sz w:val="24"/>
                <w:highlight w:val="none"/>
              </w:rPr>
              <w:t>（正、反</w:t>
            </w:r>
            <w:r>
              <w:rPr>
                <w:color w:val="auto"/>
                <w:sz w:val="24"/>
                <w:highlight w:val="none"/>
              </w:rPr>
              <w:t>两面</w:t>
            </w:r>
            <w:r>
              <w:rPr>
                <w:rFonts w:hint="eastAsia"/>
                <w:color w:val="auto"/>
                <w:sz w:val="24"/>
                <w:highlight w:val="none"/>
              </w:rPr>
              <w:t>）</w:t>
            </w:r>
          </w:p>
        </w:tc>
      </w:tr>
    </w:tbl>
    <w:p w14:paraId="5FD0EFD5">
      <w:pPr>
        <w:keepNext w:val="0"/>
        <w:keepLines w:val="0"/>
        <w:pageBreakBefore w:val="0"/>
        <w:widowControl w:val="0"/>
        <w:kinsoku/>
        <w:wordWrap/>
        <w:overflowPunct/>
        <w:topLinePunct w:val="0"/>
        <w:bidi w:val="0"/>
        <w:spacing w:line="360" w:lineRule="auto"/>
        <w:rPr>
          <w:rFonts w:hint="eastAsia"/>
          <w:b/>
          <w:bCs/>
          <w:color w:val="auto"/>
          <w:szCs w:val="22"/>
          <w:highlight w:val="none"/>
        </w:rPr>
      </w:pPr>
      <w:r>
        <w:rPr>
          <w:rFonts w:hint="eastAsia"/>
          <w:b/>
          <w:bCs/>
          <w:color w:val="auto"/>
          <w:szCs w:val="22"/>
          <w:highlight w:val="none"/>
        </w:rPr>
        <w:t>说明：</w:t>
      </w:r>
    </w:p>
    <w:p w14:paraId="15E59E18">
      <w:pPr>
        <w:keepNext w:val="0"/>
        <w:keepLines w:val="0"/>
        <w:pageBreakBefore w:val="0"/>
        <w:widowControl w:val="0"/>
        <w:kinsoku/>
        <w:wordWrap/>
        <w:overflowPunct/>
        <w:topLinePunct w:val="0"/>
        <w:bidi w:val="0"/>
        <w:spacing w:line="360" w:lineRule="auto"/>
        <w:rPr>
          <w:rFonts w:hint="eastAsia"/>
          <w:b/>
          <w:bCs/>
          <w:color w:val="auto"/>
          <w:szCs w:val="22"/>
          <w:highlight w:val="none"/>
        </w:rPr>
      </w:pPr>
      <w:r>
        <w:rPr>
          <w:rFonts w:hint="eastAsia"/>
          <w:b/>
          <w:bCs/>
          <w:color w:val="auto"/>
          <w:szCs w:val="22"/>
          <w:highlight w:val="none"/>
        </w:rPr>
        <w:t>1.响应代表为法定代表人，则本表不需提供。</w:t>
      </w:r>
    </w:p>
    <w:p w14:paraId="6CBC5BD3">
      <w:pPr>
        <w:keepNext w:val="0"/>
        <w:keepLines w:val="0"/>
        <w:pageBreakBefore w:val="0"/>
        <w:widowControl w:val="0"/>
        <w:kinsoku/>
        <w:wordWrap/>
        <w:overflowPunct/>
        <w:topLinePunct w:val="0"/>
        <w:bidi w:val="0"/>
        <w:spacing w:line="360" w:lineRule="auto"/>
        <w:rPr>
          <w:rFonts w:hint="eastAsia"/>
          <w:color w:val="auto"/>
          <w:sz w:val="24"/>
          <w:highlight w:val="none"/>
        </w:rPr>
      </w:pPr>
      <w:r>
        <w:rPr>
          <w:b/>
          <w:bCs/>
          <w:color w:val="auto"/>
          <w:szCs w:val="22"/>
          <w:highlight w:val="none"/>
        </w:rPr>
        <w:t>2</w:t>
      </w:r>
      <w:r>
        <w:rPr>
          <w:rFonts w:hint="eastAsia"/>
          <w:b/>
          <w:bCs/>
          <w:color w:val="auto"/>
          <w:szCs w:val="22"/>
          <w:highlight w:val="none"/>
        </w:rPr>
        <w:t>.响应代表为法定代表人授权委托人的，须提供被授权人身份证复印件，否则作无效响应处理。</w:t>
      </w:r>
    </w:p>
    <w:p w14:paraId="222C4035">
      <w:pPr>
        <w:keepNext w:val="0"/>
        <w:keepLines w:val="0"/>
        <w:pageBreakBefore w:val="0"/>
        <w:widowControl w:val="0"/>
        <w:kinsoku/>
        <w:wordWrap/>
        <w:overflowPunct/>
        <w:topLinePunct w:val="0"/>
        <w:bidi w:val="0"/>
        <w:spacing w:line="360" w:lineRule="auto"/>
        <w:rPr>
          <w:rFonts w:hint="eastAsia"/>
          <w:b/>
          <w:color w:val="auto"/>
          <w:sz w:val="28"/>
          <w:szCs w:val="28"/>
          <w:highlight w:val="none"/>
        </w:rPr>
      </w:pPr>
      <w:r>
        <w:rPr>
          <w:b/>
          <w:color w:val="auto"/>
          <w:sz w:val="28"/>
          <w:szCs w:val="28"/>
          <w:highlight w:val="none"/>
        </w:rPr>
        <w:br w:type="page"/>
      </w:r>
    </w:p>
    <w:p w14:paraId="3D5B6F42">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20" w:name="_Toc104131914"/>
      <w:bookmarkStart w:id="221" w:name="_Toc2835"/>
      <w:bookmarkStart w:id="222" w:name="_Toc112002531"/>
      <w:bookmarkStart w:id="223" w:name="_Toc104040764"/>
      <w:bookmarkStart w:id="224" w:name="_Toc103033240"/>
      <w:bookmarkStart w:id="225" w:name="_Toc104040710"/>
      <w:r>
        <w:rPr>
          <w:rFonts w:hint="eastAsia" w:ascii="宋体" w:hAnsi="宋体" w:eastAsia="宋体"/>
          <w:color w:val="auto"/>
          <w:sz w:val="24"/>
          <w:szCs w:val="24"/>
          <w:highlight w:val="none"/>
        </w:rPr>
        <w:t>提供具有独立承担民事责任的能力的证明材料</w:t>
      </w:r>
      <w:bookmarkEnd w:id="220"/>
      <w:bookmarkEnd w:id="221"/>
      <w:bookmarkEnd w:id="222"/>
    </w:p>
    <w:p w14:paraId="13B34E6D">
      <w:pPr>
        <w:pStyle w:val="356"/>
        <w:keepNext w:val="0"/>
        <w:keepLines w:val="0"/>
        <w:pageBreakBefore w:val="0"/>
        <w:widowControl w:val="0"/>
        <w:kinsoku/>
        <w:wordWrap/>
        <w:overflowPunct/>
        <w:topLinePunct w:val="0"/>
        <w:autoSpaceDE/>
        <w:autoSpaceDN/>
        <w:bidi w:val="0"/>
        <w:spacing w:line="360" w:lineRule="auto"/>
        <w:ind w:firstLine="0" w:firstLineChars="0"/>
        <w:rPr>
          <w:rFonts w:hint="eastAsia"/>
          <w:i/>
          <w:iCs/>
          <w:color w:val="auto"/>
          <w:sz w:val="21"/>
          <w:szCs w:val="21"/>
          <w:highlight w:val="none"/>
          <w:lang w:eastAsia="zh-CN"/>
        </w:rPr>
      </w:pPr>
      <w:r>
        <w:rPr>
          <w:rFonts w:hint="eastAsia"/>
          <w:i/>
          <w:iCs/>
          <w:color w:val="auto"/>
          <w:sz w:val="21"/>
          <w:szCs w:val="21"/>
          <w:highlight w:val="none"/>
          <w:lang w:eastAsia="zh-CN"/>
        </w:rPr>
        <w:t>（按照采购文件的资格要求提供相关材料）</w:t>
      </w:r>
    </w:p>
    <w:p w14:paraId="7DE266FF">
      <w:pPr>
        <w:pStyle w:val="356"/>
        <w:keepNext w:val="0"/>
        <w:keepLines w:val="0"/>
        <w:pageBreakBefore w:val="0"/>
        <w:widowControl w:val="0"/>
        <w:kinsoku/>
        <w:wordWrap/>
        <w:overflowPunct/>
        <w:topLinePunct w:val="0"/>
        <w:autoSpaceDE/>
        <w:autoSpaceDN/>
        <w:bidi w:val="0"/>
        <w:spacing w:line="360" w:lineRule="auto"/>
        <w:ind w:firstLine="0" w:firstLineChars="0"/>
        <w:rPr>
          <w:rFonts w:hint="eastAsia"/>
          <w:color w:val="auto"/>
          <w:sz w:val="21"/>
          <w:szCs w:val="21"/>
          <w:highlight w:val="none"/>
          <w:lang w:eastAsia="zh-CN"/>
        </w:rPr>
      </w:pPr>
    </w:p>
    <w:p w14:paraId="496A9CF2">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26" w:name="_Toc12151"/>
      <w:bookmarkStart w:id="227" w:name="_Toc104160577"/>
      <w:bookmarkStart w:id="228" w:name="_Toc112002532"/>
      <w:r>
        <w:rPr>
          <w:rFonts w:hint="eastAsia" w:ascii="宋体" w:hAnsi="宋体" w:eastAsia="宋体"/>
          <w:color w:val="auto"/>
          <w:sz w:val="24"/>
          <w:szCs w:val="24"/>
          <w:highlight w:val="none"/>
        </w:rPr>
        <w:t>提供有依法缴纳税收的良好记录的证明材料</w:t>
      </w:r>
      <w:bookmarkEnd w:id="226"/>
      <w:bookmarkEnd w:id="227"/>
      <w:bookmarkEnd w:id="228"/>
    </w:p>
    <w:p w14:paraId="1AE62A90">
      <w:pPr>
        <w:keepNext w:val="0"/>
        <w:keepLines w:val="0"/>
        <w:pageBreakBefore w:val="0"/>
        <w:widowControl w:val="0"/>
        <w:kinsoku/>
        <w:wordWrap/>
        <w:overflowPunct/>
        <w:topLinePunct w:val="0"/>
        <w:bidi w:val="0"/>
        <w:spacing w:line="360" w:lineRule="auto"/>
        <w:rPr>
          <w:rFonts w:hint="eastAsia"/>
          <w:i/>
          <w:iCs/>
          <w:color w:val="auto"/>
          <w:szCs w:val="21"/>
          <w:highlight w:val="none"/>
        </w:rPr>
      </w:pPr>
      <w:r>
        <w:rPr>
          <w:rFonts w:hint="eastAsia"/>
          <w:i/>
          <w:iCs/>
          <w:color w:val="auto"/>
          <w:szCs w:val="21"/>
          <w:highlight w:val="none"/>
        </w:rPr>
        <w:t>（按照采购文件的资格要求提供相关材料）</w:t>
      </w:r>
    </w:p>
    <w:p w14:paraId="4DB5CF66">
      <w:pPr>
        <w:pStyle w:val="45"/>
        <w:keepNext w:val="0"/>
        <w:keepLines w:val="0"/>
        <w:pageBreakBefore w:val="0"/>
        <w:widowControl w:val="0"/>
        <w:kinsoku/>
        <w:wordWrap/>
        <w:overflowPunct/>
        <w:topLinePunct w:val="0"/>
        <w:bidi w:val="0"/>
        <w:spacing w:line="360" w:lineRule="auto"/>
        <w:rPr>
          <w:rFonts w:hint="eastAsia"/>
          <w:color w:val="auto"/>
          <w:highlight w:val="none"/>
        </w:rPr>
      </w:pPr>
    </w:p>
    <w:p w14:paraId="22B06D4F">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29" w:name="_Toc28774"/>
      <w:bookmarkStart w:id="230" w:name="_Toc112002533"/>
      <w:r>
        <w:rPr>
          <w:rFonts w:hint="eastAsia" w:ascii="宋体" w:hAnsi="宋体" w:eastAsia="宋体"/>
          <w:color w:val="auto"/>
          <w:sz w:val="24"/>
          <w:szCs w:val="24"/>
          <w:highlight w:val="none"/>
        </w:rPr>
        <w:t>提供有依法缴纳社会保障资金的良好记录的证明材料</w:t>
      </w:r>
      <w:bookmarkEnd w:id="229"/>
      <w:bookmarkEnd w:id="230"/>
    </w:p>
    <w:p w14:paraId="40050780">
      <w:pPr>
        <w:keepNext w:val="0"/>
        <w:keepLines w:val="0"/>
        <w:pageBreakBefore w:val="0"/>
        <w:widowControl w:val="0"/>
        <w:kinsoku/>
        <w:wordWrap/>
        <w:overflowPunct/>
        <w:topLinePunct w:val="0"/>
        <w:bidi w:val="0"/>
        <w:spacing w:line="360" w:lineRule="auto"/>
        <w:rPr>
          <w:rFonts w:hint="eastAsia"/>
          <w:i/>
          <w:iCs/>
          <w:color w:val="auto"/>
          <w:szCs w:val="21"/>
          <w:highlight w:val="none"/>
        </w:rPr>
      </w:pPr>
      <w:r>
        <w:rPr>
          <w:rFonts w:hint="eastAsia"/>
          <w:i/>
          <w:iCs/>
          <w:color w:val="auto"/>
          <w:szCs w:val="21"/>
          <w:highlight w:val="none"/>
        </w:rPr>
        <w:t>（按照采购文件的资格要求提供相关材料）</w:t>
      </w:r>
    </w:p>
    <w:p w14:paraId="440CF688">
      <w:pPr>
        <w:keepNext w:val="0"/>
        <w:keepLines w:val="0"/>
        <w:pageBreakBefore w:val="0"/>
        <w:widowControl w:val="0"/>
        <w:kinsoku/>
        <w:wordWrap/>
        <w:overflowPunct/>
        <w:topLinePunct w:val="0"/>
        <w:bidi w:val="0"/>
        <w:spacing w:line="360" w:lineRule="auto"/>
        <w:rPr>
          <w:rFonts w:hint="eastAsia"/>
          <w:color w:val="auto"/>
          <w:sz w:val="28"/>
          <w:highlight w:val="none"/>
        </w:rPr>
      </w:pPr>
    </w:p>
    <w:p w14:paraId="719A5780">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31" w:name="_Toc104040709"/>
      <w:bookmarkStart w:id="232" w:name="_Toc103033239"/>
      <w:bookmarkStart w:id="233" w:name="_Toc112002534"/>
      <w:bookmarkStart w:id="234" w:name="_Toc1590"/>
      <w:bookmarkStart w:id="235" w:name="_Toc104160578"/>
      <w:r>
        <w:rPr>
          <w:rFonts w:hint="eastAsia" w:ascii="宋体" w:hAnsi="宋体" w:eastAsia="宋体"/>
          <w:color w:val="auto"/>
          <w:sz w:val="24"/>
          <w:szCs w:val="24"/>
          <w:highlight w:val="none"/>
        </w:rPr>
        <w:t>提供具有良好的商业信誉和健全的财务会计制度的证明材料</w:t>
      </w:r>
      <w:bookmarkEnd w:id="231"/>
      <w:bookmarkEnd w:id="232"/>
      <w:bookmarkEnd w:id="233"/>
      <w:bookmarkEnd w:id="234"/>
      <w:bookmarkEnd w:id="235"/>
    </w:p>
    <w:p w14:paraId="70ADD53C">
      <w:pPr>
        <w:keepNext w:val="0"/>
        <w:keepLines w:val="0"/>
        <w:pageBreakBefore w:val="0"/>
        <w:widowControl w:val="0"/>
        <w:kinsoku/>
        <w:wordWrap/>
        <w:overflowPunct/>
        <w:topLinePunct w:val="0"/>
        <w:bidi w:val="0"/>
        <w:spacing w:line="360" w:lineRule="auto"/>
        <w:rPr>
          <w:rFonts w:hint="eastAsia"/>
          <w:i/>
          <w:iCs/>
          <w:color w:val="auto"/>
          <w:szCs w:val="21"/>
          <w:highlight w:val="none"/>
        </w:rPr>
      </w:pPr>
      <w:r>
        <w:rPr>
          <w:rFonts w:hint="eastAsia"/>
          <w:i/>
          <w:iCs/>
          <w:color w:val="auto"/>
          <w:szCs w:val="21"/>
          <w:highlight w:val="none"/>
        </w:rPr>
        <w:t>（按照采购文件的资格要求提供相关材料）</w:t>
      </w:r>
    </w:p>
    <w:p w14:paraId="2B5C17A4">
      <w:pPr>
        <w:keepNext w:val="0"/>
        <w:keepLines w:val="0"/>
        <w:pageBreakBefore w:val="0"/>
        <w:widowControl w:val="0"/>
        <w:kinsoku/>
        <w:wordWrap/>
        <w:overflowPunct/>
        <w:topLinePunct w:val="0"/>
        <w:bidi w:val="0"/>
        <w:spacing w:line="360" w:lineRule="auto"/>
        <w:rPr>
          <w:rFonts w:hint="eastAsia"/>
          <w:color w:val="auto"/>
          <w:sz w:val="28"/>
          <w:highlight w:val="none"/>
        </w:rPr>
      </w:pPr>
    </w:p>
    <w:p w14:paraId="35A2300C">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36" w:name="_Toc104160579"/>
      <w:bookmarkStart w:id="237" w:name="_Toc112002535"/>
      <w:bookmarkStart w:id="238" w:name="_Toc21024"/>
      <w:r>
        <w:rPr>
          <w:rFonts w:hint="eastAsia" w:ascii="宋体" w:hAnsi="宋体" w:eastAsia="宋体"/>
          <w:color w:val="auto"/>
          <w:sz w:val="24"/>
          <w:szCs w:val="24"/>
          <w:highlight w:val="none"/>
        </w:rPr>
        <w:t>提供具有履行合同所必需的设备和专业技术能力的证明材料</w:t>
      </w:r>
      <w:bookmarkEnd w:id="236"/>
      <w:bookmarkEnd w:id="237"/>
      <w:bookmarkEnd w:id="238"/>
    </w:p>
    <w:p w14:paraId="4EE111F2">
      <w:pPr>
        <w:keepNext w:val="0"/>
        <w:keepLines w:val="0"/>
        <w:pageBreakBefore w:val="0"/>
        <w:widowControl w:val="0"/>
        <w:kinsoku/>
        <w:wordWrap/>
        <w:overflowPunct/>
        <w:topLinePunct w:val="0"/>
        <w:bidi w:val="0"/>
        <w:spacing w:line="360" w:lineRule="auto"/>
        <w:rPr>
          <w:rFonts w:hint="eastAsia"/>
          <w:i/>
          <w:iCs/>
          <w:color w:val="auto"/>
          <w:szCs w:val="21"/>
          <w:highlight w:val="none"/>
        </w:rPr>
      </w:pPr>
      <w:r>
        <w:rPr>
          <w:rFonts w:hint="eastAsia"/>
          <w:i/>
          <w:iCs/>
          <w:color w:val="auto"/>
          <w:szCs w:val="21"/>
          <w:highlight w:val="none"/>
        </w:rPr>
        <w:t>（按照采购文件的资格要求提供相关材料）</w:t>
      </w:r>
    </w:p>
    <w:p w14:paraId="04E28026">
      <w:pPr>
        <w:keepNext w:val="0"/>
        <w:keepLines w:val="0"/>
        <w:pageBreakBefore w:val="0"/>
        <w:widowControl w:val="0"/>
        <w:kinsoku/>
        <w:wordWrap/>
        <w:overflowPunct/>
        <w:topLinePunct w:val="0"/>
        <w:bidi w:val="0"/>
        <w:spacing w:line="360" w:lineRule="auto"/>
        <w:jc w:val="center"/>
        <w:rPr>
          <w:rFonts w:hint="eastAsia"/>
          <w:b/>
          <w:bCs/>
          <w:color w:val="auto"/>
          <w:sz w:val="28"/>
          <w:highlight w:val="none"/>
        </w:rPr>
      </w:pPr>
      <w:r>
        <w:rPr>
          <w:rFonts w:hint="eastAsia"/>
          <w:b/>
          <w:bCs/>
          <w:color w:val="auto"/>
          <w:sz w:val="28"/>
          <w:highlight w:val="none"/>
        </w:rPr>
        <w:t>设备和专业技术能力情况表</w:t>
      </w:r>
    </w:p>
    <w:p w14:paraId="48B06D33">
      <w:pPr>
        <w:keepNext w:val="0"/>
        <w:keepLines w:val="0"/>
        <w:pageBreakBefore w:val="0"/>
        <w:widowControl w:val="0"/>
        <w:kinsoku/>
        <w:wordWrap/>
        <w:overflowPunct/>
        <w:topLinePunct w:val="0"/>
        <w:bidi w:val="0"/>
        <w:spacing w:line="360" w:lineRule="auto"/>
        <w:ind w:firstLine="480" w:firstLineChars="200"/>
        <w:rPr>
          <w:rFonts w:hint="eastAsia"/>
          <w:color w:val="auto"/>
          <w:sz w:val="24"/>
          <w:highlight w:val="none"/>
        </w:rPr>
      </w:pPr>
      <w:r>
        <w:rPr>
          <w:rFonts w:hint="eastAsia"/>
          <w:color w:val="auto"/>
          <w:sz w:val="24"/>
          <w:szCs w:val="32"/>
          <w:highlight w:val="none"/>
        </w:rPr>
        <w:t>我单位为本项目实施提供以下设备和专业技术人员：</w:t>
      </w:r>
    </w:p>
    <w:tbl>
      <w:tblPr>
        <w:tblStyle w:val="46"/>
        <w:tblW w:w="9654"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fixed"/>
        <w:tblCellMar>
          <w:top w:w="0" w:type="dxa"/>
          <w:left w:w="0" w:type="dxa"/>
          <w:bottom w:w="0" w:type="dxa"/>
          <w:right w:w="0" w:type="dxa"/>
        </w:tblCellMar>
      </w:tblPr>
      <w:tblGrid>
        <w:gridCol w:w="1197"/>
        <w:gridCol w:w="4833"/>
        <w:gridCol w:w="2415"/>
        <w:gridCol w:w="1209"/>
      </w:tblGrid>
      <w:tr w14:paraId="2DCC2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0" w:type="dxa"/>
            <w:left w:w="0" w:type="dxa"/>
            <w:bottom w:w="0" w:type="dxa"/>
            <w:right w:w="0" w:type="dxa"/>
          </w:tblCellMar>
        </w:tblPrEx>
        <w:trPr>
          <w:trHeight w:val="381" w:hRule="atLeast"/>
        </w:trPr>
        <w:tc>
          <w:tcPr>
            <w:tcW w:w="1197" w:type="dxa"/>
            <w:shd w:val="clear" w:color="auto" w:fill="FFFFFF"/>
            <w:vAlign w:val="center"/>
          </w:tcPr>
          <w:p w14:paraId="722E1DE2">
            <w:pPr>
              <w:keepNext w:val="0"/>
              <w:keepLines w:val="0"/>
              <w:pageBreakBefore w:val="0"/>
              <w:widowControl w:val="0"/>
              <w:kinsoku/>
              <w:wordWrap/>
              <w:overflowPunct/>
              <w:topLinePunct w:val="0"/>
              <w:bidi w:val="0"/>
              <w:spacing w:line="360" w:lineRule="auto"/>
              <w:jc w:val="center"/>
              <w:rPr>
                <w:rFonts w:hint="eastAsia"/>
                <w:b/>
                <w:bCs/>
                <w:color w:val="auto"/>
                <w:highlight w:val="none"/>
              </w:rPr>
            </w:pPr>
            <w:r>
              <w:rPr>
                <w:rFonts w:hint="eastAsia"/>
                <w:b/>
                <w:bCs/>
                <w:color w:val="auto"/>
                <w:highlight w:val="none"/>
              </w:rPr>
              <w:t>序号</w:t>
            </w:r>
          </w:p>
        </w:tc>
        <w:tc>
          <w:tcPr>
            <w:tcW w:w="4833" w:type="dxa"/>
            <w:shd w:val="clear" w:color="auto" w:fill="FFFFFF"/>
            <w:vAlign w:val="center"/>
          </w:tcPr>
          <w:p w14:paraId="265A3C0A">
            <w:pPr>
              <w:keepNext w:val="0"/>
              <w:keepLines w:val="0"/>
              <w:pageBreakBefore w:val="0"/>
              <w:widowControl w:val="0"/>
              <w:kinsoku/>
              <w:wordWrap/>
              <w:overflowPunct/>
              <w:topLinePunct w:val="0"/>
              <w:bidi w:val="0"/>
              <w:spacing w:line="360" w:lineRule="auto"/>
              <w:jc w:val="center"/>
              <w:rPr>
                <w:rFonts w:hint="eastAsia"/>
                <w:b/>
                <w:bCs/>
                <w:color w:val="auto"/>
                <w:highlight w:val="none"/>
              </w:rPr>
            </w:pPr>
            <w:r>
              <w:rPr>
                <w:rFonts w:hint="eastAsia"/>
                <w:b/>
                <w:bCs/>
                <w:color w:val="auto"/>
                <w:highlight w:val="none"/>
              </w:rPr>
              <w:t>设备名称和专业技术人员</w:t>
            </w:r>
          </w:p>
        </w:tc>
        <w:tc>
          <w:tcPr>
            <w:tcW w:w="2415" w:type="dxa"/>
            <w:shd w:val="clear" w:color="auto" w:fill="FFFFFF"/>
            <w:vAlign w:val="center"/>
          </w:tcPr>
          <w:p w14:paraId="7FB611DD">
            <w:pPr>
              <w:keepNext w:val="0"/>
              <w:keepLines w:val="0"/>
              <w:pageBreakBefore w:val="0"/>
              <w:widowControl w:val="0"/>
              <w:kinsoku/>
              <w:wordWrap/>
              <w:overflowPunct/>
              <w:topLinePunct w:val="0"/>
              <w:bidi w:val="0"/>
              <w:spacing w:line="360" w:lineRule="auto"/>
              <w:jc w:val="center"/>
              <w:rPr>
                <w:rFonts w:hint="eastAsia"/>
                <w:b/>
                <w:bCs/>
                <w:color w:val="auto"/>
                <w:highlight w:val="none"/>
              </w:rPr>
            </w:pPr>
            <w:r>
              <w:rPr>
                <w:rFonts w:hint="eastAsia"/>
                <w:b/>
                <w:bCs/>
                <w:color w:val="auto"/>
                <w:highlight w:val="none"/>
              </w:rPr>
              <w:t>数量及单位</w:t>
            </w:r>
          </w:p>
        </w:tc>
        <w:tc>
          <w:tcPr>
            <w:tcW w:w="1209" w:type="dxa"/>
            <w:shd w:val="clear" w:color="auto" w:fill="FFFFFF"/>
            <w:vAlign w:val="center"/>
          </w:tcPr>
          <w:p w14:paraId="388200E5">
            <w:pPr>
              <w:keepNext w:val="0"/>
              <w:keepLines w:val="0"/>
              <w:pageBreakBefore w:val="0"/>
              <w:widowControl w:val="0"/>
              <w:kinsoku/>
              <w:wordWrap/>
              <w:overflowPunct/>
              <w:topLinePunct w:val="0"/>
              <w:bidi w:val="0"/>
              <w:spacing w:line="360" w:lineRule="auto"/>
              <w:jc w:val="center"/>
              <w:rPr>
                <w:rFonts w:hint="eastAsia"/>
                <w:b/>
                <w:bCs/>
                <w:color w:val="auto"/>
                <w:highlight w:val="none"/>
              </w:rPr>
            </w:pPr>
            <w:r>
              <w:rPr>
                <w:rFonts w:hint="eastAsia"/>
                <w:b/>
                <w:bCs/>
                <w:color w:val="auto"/>
                <w:highlight w:val="none"/>
              </w:rPr>
              <w:t>备注</w:t>
            </w:r>
          </w:p>
        </w:tc>
      </w:tr>
      <w:tr w14:paraId="35D36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1197" w:type="dxa"/>
            <w:shd w:val="clear" w:color="auto" w:fill="FFFFFF"/>
            <w:vAlign w:val="center"/>
          </w:tcPr>
          <w:p w14:paraId="19A86649">
            <w:pPr>
              <w:keepNext w:val="0"/>
              <w:keepLines w:val="0"/>
              <w:pageBreakBefore w:val="0"/>
              <w:widowControl w:val="0"/>
              <w:kinsoku/>
              <w:wordWrap/>
              <w:overflowPunct/>
              <w:topLinePunct w:val="0"/>
              <w:bidi w:val="0"/>
              <w:spacing w:line="360" w:lineRule="auto"/>
              <w:jc w:val="center"/>
              <w:rPr>
                <w:rFonts w:hint="eastAsia"/>
                <w:color w:val="auto"/>
                <w:highlight w:val="none"/>
              </w:rPr>
            </w:pPr>
            <w:r>
              <w:rPr>
                <w:rFonts w:hint="eastAsia"/>
                <w:color w:val="auto"/>
                <w:highlight w:val="none"/>
              </w:rPr>
              <w:t>1</w:t>
            </w:r>
          </w:p>
        </w:tc>
        <w:tc>
          <w:tcPr>
            <w:tcW w:w="4833" w:type="dxa"/>
            <w:shd w:val="clear" w:color="auto" w:fill="FFFFFF"/>
            <w:vAlign w:val="center"/>
          </w:tcPr>
          <w:p w14:paraId="3197802D">
            <w:pPr>
              <w:keepNext w:val="0"/>
              <w:keepLines w:val="0"/>
              <w:pageBreakBefore w:val="0"/>
              <w:widowControl w:val="0"/>
              <w:kinsoku/>
              <w:wordWrap/>
              <w:overflowPunct/>
              <w:topLinePunct w:val="0"/>
              <w:bidi w:val="0"/>
              <w:spacing w:line="360" w:lineRule="auto"/>
              <w:jc w:val="center"/>
              <w:rPr>
                <w:rFonts w:hint="eastAsia"/>
                <w:color w:val="auto"/>
                <w:highlight w:val="none"/>
              </w:rPr>
            </w:pPr>
          </w:p>
        </w:tc>
        <w:tc>
          <w:tcPr>
            <w:tcW w:w="2415" w:type="dxa"/>
            <w:shd w:val="clear" w:color="auto" w:fill="FFFFFF"/>
            <w:vAlign w:val="center"/>
          </w:tcPr>
          <w:p w14:paraId="34A97B9D">
            <w:pPr>
              <w:keepNext w:val="0"/>
              <w:keepLines w:val="0"/>
              <w:pageBreakBefore w:val="0"/>
              <w:widowControl w:val="0"/>
              <w:kinsoku/>
              <w:wordWrap/>
              <w:overflowPunct/>
              <w:topLinePunct w:val="0"/>
              <w:bidi w:val="0"/>
              <w:spacing w:line="360" w:lineRule="auto"/>
              <w:jc w:val="center"/>
              <w:rPr>
                <w:rFonts w:hint="eastAsia"/>
                <w:color w:val="auto"/>
                <w:highlight w:val="none"/>
              </w:rPr>
            </w:pPr>
          </w:p>
        </w:tc>
        <w:tc>
          <w:tcPr>
            <w:tcW w:w="1209" w:type="dxa"/>
            <w:shd w:val="clear" w:color="auto" w:fill="FFFFFF"/>
            <w:vAlign w:val="center"/>
          </w:tcPr>
          <w:p w14:paraId="461EE542">
            <w:pPr>
              <w:keepNext w:val="0"/>
              <w:keepLines w:val="0"/>
              <w:pageBreakBefore w:val="0"/>
              <w:widowControl w:val="0"/>
              <w:kinsoku/>
              <w:wordWrap/>
              <w:overflowPunct/>
              <w:topLinePunct w:val="0"/>
              <w:bidi w:val="0"/>
              <w:spacing w:line="360" w:lineRule="auto"/>
              <w:jc w:val="center"/>
              <w:rPr>
                <w:rFonts w:hint="eastAsia"/>
                <w:color w:val="auto"/>
                <w:highlight w:val="none"/>
              </w:rPr>
            </w:pPr>
          </w:p>
        </w:tc>
      </w:tr>
      <w:tr w14:paraId="61A84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1197" w:type="dxa"/>
            <w:shd w:val="clear" w:color="auto" w:fill="FFFFFF"/>
            <w:vAlign w:val="center"/>
          </w:tcPr>
          <w:p w14:paraId="31ED149A">
            <w:pPr>
              <w:keepNext w:val="0"/>
              <w:keepLines w:val="0"/>
              <w:pageBreakBefore w:val="0"/>
              <w:widowControl w:val="0"/>
              <w:kinsoku/>
              <w:wordWrap/>
              <w:overflowPunct/>
              <w:topLinePunct w:val="0"/>
              <w:bidi w:val="0"/>
              <w:spacing w:line="360" w:lineRule="auto"/>
              <w:jc w:val="center"/>
              <w:rPr>
                <w:rFonts w:hint="eastAsia"/>
                <w:color w:val="auto"/>
                <w:highlight w:val="none"/>
              </w:rPr>
            </w:pPr>
            <w:r>
              <w:rPr>
                <w:rFonts w:hint="eastAsia"/>
                <w:color w:val="auto"/>
                <w:highlight w:val="none"/>
              </w:rPr>
              <w:t>2</w:t>
            </w:r>
          </w:p>
        </w:tc>
        <w:tc>
          <w:tcPr>
            <w:tcW w:w="4833" w:type="dxa"/>
            <w:shd w:val="clear" w:color="auto" w:fill="FFFFFF"/>
            <w:vAlign w:val="center"/>
          </w:tcPr>
          <w:p w14:paraId="6B9583B6">
            <w:pPr>
              <w:keepNext w:val="0"/>
              <w:keepLines w:val="0"/>
              <w:pageBreakBefore w:val="0"/>
              <w:widowControl w:val="0"/>
              <w:kinsoku/>
              <w:wordWrap/>
              <w:overflowPunct/>
              <w:topLinePunct w:val="0"/>
              <w:bidi w:val="0"/>
              <w:spacing w:line="360" w:lineRule="auto"/>
              <w:jc w:val="center"/>
              <w:rPr>
                <w:rFonts w:hint="eastAsia"/>
                <w:color w:val="auto"/>
                <w:highlight w:val="none"/>
              </w:rPr>
            </w:pPr>
          </w:p>
        </w:tc>
        <w:tc>
          <w:tcPr>
            <w:tcW w:w="2415" w:type="dxa"/>
            <w:shd w:val="clear" w:color="auto" w:fill="FFFFFF"/>
            <w:vAlign w:val="center"/>
          </w:tcPr>
          <w:p w14:paraId="5BB9A4BF">
            <w:pPr>
              <w:keepNext w:val="0"/>
              <w:keepLines w:val="0"/>
              <w:pageBreakBefore w:val="0"/>
              <w:widowControl w:val="0"/>
              <w:kinsoku/>
              <w:wordWrap/>
              <w:overflowPunct/>
              <w:topLinePunct w:val="0"/>
              <w:bidi w:val="0"/>
              <w:spacing w:line="360" w:lineRule="auto"/>
              <w:jc w:val="center"/>
              <w:rPr>
                <w:rFonts w:hint="eastAsia"/>
                <w:color w:val="auto"/>
                <w:highlight w:val="none"/>
              </w:rPr>
            </w:pPr>
          </w:p>
        </w:tc>
        <w:tc>
          <w:tcPr>
            <w:tcW w:w="1209" w:type="dxa"/>
            <w:shd w:val="clear" w:color="auto" w:fill="FFFFFF"/>
            <w:vAlign w:val="center"/>
          </w:tcPr>
          <w:p w14:paraId="1ED5425A">
            <w:pPr>
              <w:keepNext w:val="0"/>
              <w:keepLines w:val="0"/>
              <w:pageBreakBefore w:val="0"/>
              <w:widowControl w:val="0"/>
              <w:kinsoku/>
              <w:wordWrap/>
              <w:overflowPunct/>
              <w:topLinePunct w:val="0"/>
              <w:bidi w:val="0"/>
              <w:spacing w:line="360" w:lineRule="auto"/>
              <w:jc w:val="center"/>
              <w:rPr>
                <w:rFonts w:hint="eastAsia"/>
                <w:color w:val="auto"/>
                <w:highlight w:val="none"/>
              </w:rPr>
            </w:pPr>
          </w:p>
        </w:tc>
      </w:tr>
      <w:tr w14:paraId="20A22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1197" w:type="dxa"/>
            <w:shd w:val="clear" w:color="auto" w:fill="FFFFFF"/>
            <w:vAlign w:val="center"/>
          </w:tcPr>
          <w:p w14:paraId="3E7FE2CD">
            <w:pPr>
              <w:keepNext w:val="0"/>
              <w:keepLines w:val="0"/>
              <w:pageBreakBefore w:val="0"/>
              <w:widowControl w:val="0"/>
              <w:kinsoku/>
              <w:wordWrap/>
              <w:overflowPunct/>
              <w:topLinePunct w:val="0"/>
              <w:bidi w:val="0"/>
              <w:spacing w:line="360" w:lineRule="auto"/>
              <w:jc w:val="center"/>
              <w:rPr>
                <w:rFonts w:hint="eastAsia"/>
                <w:color w:val="auto"/>
                <w:highlight w:val="none"/>
              </w:rPr>
            </w:pPr>
            <w:r>
              <w:rPr>
                <w:rFonts w:hint="eastAsia"/>
                <w:color w:val="auto"/>
                <w:highlight w:val="none"/>
              </w:rPr>
              <w:t>3</w:t>
            </w:r>
          </w:p>
        </w:tc>
        <w:tc>
          <w:tcPr>
            <w:tcW w:w="4833" w:type="dxa"/>
            <w:shd w:val="clear" w:color="auto" w:fill="FFFFFF"/>
            <w:vAlign w:val="center"/>
          </w:tcPr>
          <w:p w14:paraId="13699011">
            <w:pPr>
              <w:keepNext w:val="0"/>
              <w:keepLines w:val="0"/>
              <w:pageBreakBefore w:val="0"/>
              <w:widowControl w:val="0"/>
              <w:kinsoku/>
              <w:wordWrap/>
              <w:overflowPunct/>
              <w:topLinePunct w:val="0"/>
              <w:bidi w:val="0"/>
              <w:spacing w:line="360" w:lineRule="auto"/>
              <w:jc w:val="center"/>
              <w:rPr>
                <w:rFonts w:hint="eastAsia"/>
                <w:color w:val="auto"/>
                <w:highlight w:val="none"/>
              </w:rPr>
            </w:pPr>
          </w:p>
        </w:tc>
        <w:tc>
          <w:tcPr>
            <w:tcW w:w="2415" w:type="dxa"/>
            <w:shd w:val="clear" w:color="auto" w:fill="FFFFFF"/>
            <w:vAlign w:val="center"/>
          </w:tcPr>
          <w:p w14:paraId="75296F0C">
            <w:pPr>
              <w:keepNext w:val="0"/>
              <w:keepLines w:val="0"/>
              <w:pageBreakBefore w:val="0"/>
              <w:widowControl w:val="0"/>
              <w:kinsoku/>
              <w:wordWrap/>
              <w:overflowPunct/>
              <w:topLinePunct w:val="0"/>
              <w:bidi w:val="0"/>
              <w:spacing w:line="360" w:lineRule="auto"/>
              <w:jc w:val="center"/>
              <w:rPr>
                <w:rFonts w:hint="eastAsia"/>
                <w:color w:val="auto"/>
                <w:highlight w:val="none"/>
              </w:rPr>
            </w:pPr>
          </w:p>
        </w:tc>
        <w:tc>
          <w:tcPr>
            <w:tcW w:w="1209" w:type="dxa"/>
            <w:shd w:val="clear" w:color="auto" w:fill="FFFFFF"/>
            <w:vAlign w:val="center"/>
          </w:tcPr>
          <w:p w14:paraId="18059609">
            <w:pPr>
              <w:keepNext w:val="0"/>
              <w:keepLines w:val="0"/>
              <w:pageBreakBefore w:val="0"/>
              <w:widowControl w:val="0"/>
              <w:kinsoku/>
              <w:wordWrap/>
              <w:overflowPunct/>
              <w:topLinePunct w:val="0"/>
              <w:bidi w:val="0"/>
              <w:spacing w:line="360" w:lineRule="auto"/>
              <w:jc w:val="center"/>
              <w:rPr>
                <w:rFonts w:hint="eastAsia"/>
                <w:color w:val="auto"/>
                <w:highlight w:val="none"/>
              </w:rPr>
            </w:pPr>
          </w:p>
        </w:tc>
      </w:tr>
      <w:tr w14:paraId="00700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1197" w:type="dxa"/>
            <w:shd w:val="clear" w:color="auto" w:fill="FFFFFF"/>
            <w:vAlign w:val="center"/>
          </w:tcPr>
          <w:p w14:paraId="08C9076D">
            <w:pPr>
              <w:keepNext w:val="0"/>
              <w:keepLines w:val="0"/>
              <w:pageBreakBefore w:val="0"/>
              <w:widowControl w:val="0"/>
              <w:kinsoku/>
              <w:wordWrap/>
              <w:overflowPunct/>
              <w:topLinePunct w:val="0"/>
              <w:bidi w:val="0"/>
              <w:spacing w:line="360" w:lineRule="auto"/>
              <w:jc w:val="center"/>
              <w:rPr>
                <w:rFonts w:hint="eastAsia"/>
                <w:color w:val="auto"/>
                <w:highlight w:val="none"/>
              </w:rPr>
            </w:pPr>
            <w:r>
              <w:rPr>
                <w:rFonts w:hint="eastAsia"/>
                <w:color w:val="auto"/>
                <w:highlight w:val="none"/>
              </w:rPr>
              <w:t>…</w:t>
            </w:r>
          </w:p>
        </w:tc>
        <w:tc>
          <w:tcPr>
            <w:tcW w:w="4833" w:type="dxa"/>
            <w:shd w:val="clear" w:color="auto" w:fill="FFFFFF"/>
            <w:vAlign w:val="center"/>
          </w:tcPr>
          <w:p w14:paraId="3FD8B8A1">
            <w:pPr>
              <w:keepNext w:val="0"/>
              <w:keepLines w:val="0"/>
              <w:pageBreakBefore w:val="0"/>
              <w:widowControl w:val="0"/>
              <w:kinsoku/>
              <w:wordWrap/>
              <w:overflowPunct/>
              <w:topLinePunct w:val="0"/>
              <w:bidi w:val="0"/>
              <w:spacing w:line="360" w:lineRule="auto"/>
              <w:jc w:val="center"/>
              <w:rPr>
                <w:rFonts w:hint="eastAsia"/>
                <w:color w:val="auto"/>
                <w:highlight w:val="none"/>
              </w:rPr>
            </w:pPr>
          </w:p>
        </w:tc>
        <w:tc>
          <w:tcPr>
            <w:tcW w:w="2415" w:type="dxa"/>
            <w:shd w:val="clear" w:color="auto" w:fill="FFFFFF"/>
            <w:vAlign w:val="center"/>
          </w:tcPr>
          <w:p w14:paraId="0AFFB4AC">
            <w:pPr>
              <w:keepNext w:val="0"/>
              <w:keepLines w:val="0"/>
              <w:pageBreakBefore w:val="0"/>
              <w:widowControl w:val="0"/>
              <w:kinsoku/>
              <w:wordWrap/>
              <w:overflowPunct/>
              <w:topLinePunct w:val="0"/>
              <w:bidi w:val="0"/>
              <w:spacing w:line="360" w:lineRule="auto"/>
              <w:jc w:val="center"/>
              <w:rPr>
                <w:rFonts w:hint="eastAsia"/>
                <w:color w:val="auto"/>
                <w:highlight w:val="none"/>
              </w:rPr>
            </w:pPr>
          </w:p>
        </w:tc>
        <w:tc>
          <w:tcPr>
            <w:tcW w:w="1209" w:type="dxa"/>
            <w:shd w:val="clear" w:color="auto" w:fill="FFFFFF"/>
            <w:vAlign w:val="center"/>
          </w:tcPr>
          <w:p w14:paraId="4ABB5C7A">
            <w:pPr>
              <w:keepNext w:val="0"/>
              <w:keepLines w:val="0"/>
              <w:pageBreakBefore w:val="0"/>
              <w:widowControl w:val="0"/>
              <w:kinsoku/>
              <w:wordWrap/>
              <w:overflowPunct/>
              <w:topLinePunct w:val="0"/>
              <w:bidi w:val="0"/>
              <w:spacing w:line="360" w:lineRule="auto"/>
              <w:jc w:val="center"/>
              <w:rPr>
                <w:rFonts w:hint="eastAsia"/>
                <w:color w:val="auto"/>
                <w:highlight w:val="none"/>
              </w:rPr>
            </w:pPr>
          </w:p>
        </w:tc>
      </w:tr>
    </w:tbl>
    <w:p w14:paraId="0ACD6483">
      <w:pPr>
        <w:keepNext w:val="0"/>
        <w:keepLines w:val="0"/>
        <w:pageBreakBefore w:val="0"/>
        <w:widowControl w:val="0"/>
        <w:kinsoku/>
        <w:wordWrap/>
        <w:overflowPunct/>
        <w:topLinePunct w:val="0"/>
        <w:bidi w:val="0"/>
        <w:spacing w:line="360" w:lineRule="auto"/>
        <w:rPr>
          <w:rFonts w:hint="eastAsia"/>
          <w:color w:val="auto"/>
          <w:sz w:val="28"/>
          <w:highlight w:val="none"/>
        </w:rPr>
      </w:pPr>
    </w:p>
    <w:p w14:paraId="0C675D62">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r>
        <w:rPr>
          <w:rFonts w:hint="eastAsia"/>
          <w:color w:val="auto"/>
          <w:kern w:val="0"/>
          <w:highlight w:val="none"/>
          <w:lang w:eastAsia="zh-CN"/>
        </w:rPr>
        <w:t>供应商</w:t>
      </w:r>
      <w:r>
        <w:rPr>
          <w:rFonts w:hint="eastAsia"/>
          <w:color w:val="auto"/>
          <w:highlight w:val="none"/>
          <w:lang w:eastAsia="zh-CN"/>
        </w:rPr>
        <w:t>法定代表人或其授权委托人（签字或盖章）：</w:t>
      </w:r>
      <w:r>
        <w:rPr>
          <w:color w:val="auto"/>
          <w:highlight w:val="none"/>
          <w:u w:val="single"/>
          <w:lang w:eastAsia="zh-CN"/>
        </w:rPr>
        <w:t xml:space="preserve">                    .</w:t>
      </w:r>
    </w:p>
    <w:p w14:paraId="489A4221">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r>
        <w:rPr>
          <w:rFonts w:hint="eastAsia"/>
          <w:color w:val="auto"/>
          <w:highlight w:val="none"/>
          <w:lang w:eastAsia="zh-CN"/>
        </w:rPr>
        <w:t>供应商名称（盖章）：</w:t>
      </w:r>
      <w:r>
        <w:rPr>
          <w:color w:val="auto"/>
          <w:highlight w:val="none"/>
          <w:u w:val="single"/>
          <w:lang w:eastAsia="zh-CN"/>
        </w:rPr>
        <w:t xml:space="preserve">                    .</w:t>
      </w:r>
    </w:p>
    <w:p w14:paraId="400A4A0E">
      <w:pPr>
        <w:keepNext w:val="0"/>
        <w:keepLines w:val="0"/>
        <w:pageBreakBefore w:val="0"/>
        <w:widowControl w:val="0"/>
        <w:kinsoku/>
        <w:wordWrap/>
        <w:overflowPunct/>
        <w:topLinePunct w:val="0"/>
        <w:bidi w:val="0"/>
        <w:spacing w:line="360" w:lineRule="auto"/>
        <w:jc w:val="right"/>
        <w:rPr>
          <w:rFonts w:hint="eastAsia"/>
          <w:color w:val="auto"/>
          <w:sz w:val="24"/>
          <w:highlight w:val="none"/>
        </w:rPr>
      </w:pPr>
      <w:r>
        <w:rPr>
          <w:rFonts w:hint="eastAsia"/>
          <w:color w:val="auto"/>
          <w:sz w:val="24"/>
          <w:highlight w:val="none"/>
        </w:rPr>
        <w:t>日期：</w:t>
      </w:r>
      <w:r>
        <w:rPr>
          <w:color w:val="auto"/>
          <w:sz w:val="24"/>
          <w:highlight w:val="none"/>
          <w:u w:val="single"/>
        </w:rPr>
        <w:t xml:space="preserve">     </w:t>
      </w:r>
      <w:r>
        <w:rPr>
          <w:color w:val="auto"/>
          <w:sz w:val="24"/>
          <w:highlight w:val="none"/>
        </w:rPr>
        <w:t>年</w:t>
      </w:r>
      <w:r>
        <w:rPr>
          <w:color w:val="auto"/>
          <w:sz w:val="24"/>
          <w:highlight w:val="none"/>
          <w:u w:val="single"/>
        </w:rPr>
        <w:t xml:space="preserve">     </w:t>
      </w:r>
      <w:r>
        <w:rPr>
          <w:color w:val="auto"/>
          <w:sz w:val="24"/>
          <w:highlight w:val="none"/>
        </w:rPr>
        <w:t>月</w:t>
      </w:r>
      <w:r>
        <w:rPr>
          <w:color w:val="auto"/>
          <w:sz w:val="24"/>
          <w:highlight w:val="none"/>
          <w:u w:val="single"/>
        </w:rPr>
        <w:t xml:space="preserve">     </w:t>
      </w:r>
      <w:r>
        <w:rPr>
          <w:color w:val="auto"/>
          <w:highlight w:val="none"/>
        </w:rPr>
        <w:t>日</w:t>
      </w:r>
    </w:p>
    <w:p w14:paraId="4C62E469">
      <w:pPr>
        <w:pStyle w:val="19"/>
        <w:keepNext w:val="0"/>
        <w:keepLines w:val="0"/>
        <w:pageBreakBefore w:val="0"/>
        <w:widowControl w:val="0"/>
        <w:kinsoku/>
        <w:wordWrap/>
        <w:overflowPunct/>
        <w:topLinePunct w:val="0"/>
        <w:bidi w:val="0"/>
        <w:spacing w:line="360" w:lineRule="auto"/>
        <w:rPr>
          <w:rFonts w:hint="eastAsia"/>
          <w:color w:val="auto"/>
          <w:highlight w:val="none"/>
        </w:rPr>
      </w:pPr>
    </w:p>
    <w:bookmarkEnd w:id="223"/>
    <w:bookmarkEnd w:id="224"/>
    <w:bookmarkEnd w:id="225"/>
    <w:p w14:paraId="7C997E07">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sectPr>
          <w:pgSz w:w="11906" w:h="16838"/>
          <w:pgMar w:top="1134" w:right="1134" w:bottom="1134" w:left="1134" w:header="426" w:footer="992" w:gutter="0"/>
          <w:paperSrc w:first="7"/>
          <w:pgNumType w:fmt="decimal"/>
          <w:cols w:space="0" w:num="1"/>
          <w:titlePg/>
          <w:rtlGutter w:val="0"/>
          <w:docGrid w:linePitch="312" w:charSpace="0"/>
        </w:sectPr>
      </w:pPr>
      <w:bookmarkStart w:id="239" w:name="_Toc103033242"/>
      <w:bookmarkStart w:id="240" w:name="_Toc104040712"/>
      <w:bookmarkStart w:id="241" w:name="_Toc104040766"/>
    </w:p>
    <w:p w14:paraId="1281CC29">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42" w:name="_Toc20095"/>
      <w:r>
        <w:rPr>
          <w:rFonts w:hint="eastAsia" w:ascii="宋体" w:hAnsi="宋体" w:eastAsia="宋体"/>
          <w:color w:val="auto"/>
          <w:sz w:val="24"/>
          <w:szCs w:val="24"/>
          <w:highlight w:val="none"/>
        </w:rPr>
        <w:t>中小企业声明函</w:t>
      </w:r>
      <w:bookmarkEnd w:id="239"/>
      <w:bookmarkEnd w:id="240"/>
      <w:bookmarkEnd w:id="241"/>
      <w:bookmarkEnd w:id="242"/>
    </w:p>
    <w:p w14:paraId="79693CDF">
      <w:pPr>
        <w:pStyle w:val="356"/>
        <w:keepNext w:val="0"/>
        <w:keepLines w:val="0"/>
        <w:pageBreakBefore w:val="0"/>
        <w:widowControl w:val="0"/>
        <w:kinsoku/>
        <w:wordWrap/>
        <w:overflowPunct/>
        <w:topLinePunct w:val="0"/>
        <w:autoSpaceDE/>
        <w:autoSpaceDN/>
        <w:bidi w:val="0"/>
        <w:spacing w:line="360" w:lineRule="auto"/>
        <w:ind w:firstLine="0" w:firstLineChars="0"/>
        <w:rPr>
          <w:rFonts w:hint="eastAsia"/>
          <w:i/>
          <w:iCs/>
          <w:color w:val="auto"/>
          <w:sz w:val="21"/>
          <w:szCs w:val="21"/>
          <w:highlight w:val="none"/>
          <w:lang w:eastAsia="zh-CN"/>
        </w:rPr>
      </w:pPr>
      <w:r>
        <w:rPr>
          <w:rFonts w:hint="eastAsia"/>
          <w:i/>
          <w:iCs/>
          <w:color w:val="auto"/>
          <w:sz w:val="21"/>
          <w:szCs w:val="21"/>
          <w:highlight w:val="none"/>
          <w:lang w:eastAsia="zh-CN"/>
        </w:rPr>
        <w:t>（以下格式文件由供应商根据需要选用）</w:t>
      </w:r>
    </w:p>
    <w:p w14:paraId="738E1CEE">
      <w:pPr>
        <w:keepNext w:val="0"/>
        <w:keepLines w:val="0"/>
        <w:pageBreakBefore w:val="0"/>
        <w:widowControl w:val="0"/>
        <w:kinsoku/>
        <w:wordWrap/>
        <w:overflowPunct/>
        <w:topLinePunct w:val="0"/>
        <w:bidi w:val="0"/>
        <w:spacing w:line="360" w:lineRule="auto"/>
        <w:jc w:val="center"/>
        <w:rPr>
          <w:rFonts w:hint="eastAsia"/>
          <w:b/>
          <w:bCs/>
          <w:color w:val="auto"/>
          <w:sz w:val="28"/>
          <w:szCs w:val="28"/>
          <w:highlight w:val="none"/>
        </w:rPr>
      </w:pPr>
      <w:bookmarkStart w:id="243" w:name="_Hlk104054016"/>
      <w:r>
        <w:rPr>
          <w:rFonts w:hint="eastAsia"/>
          <w:b/>
          <w:bCs/>
          <w:color w:val="auto"/>
          <w:sz w:val="28"/>
          <w:szCs w:val="28"/>
          <w:highlight w:val="none"/>
        </w:rPr>
        <w:t>中小企业声明函（</w:t>
      </w:r>
      <w:r>
        <w:rPr>
          <w:rFonts w:hint="eastAsia"/>
          <w:b/>
          <w:bCs/>
          <w:color w:val="auto"/>
          <w:sz w:val="28"/>
          <w:szCs w:val="28"/>
          <w:highlight w:val="none"/>
          <w:lang w:val="en-US" w:eastAsia="zh-CN"/>
        </w:rPr>
        <w:t>采购包1</w:t>
      </w:r>
      <w:r>
        <w:rPr>
          <w:rFonts w:hint="eastAsia"/>
          <w:b/>
          <w:bCs/>
          <w:color w:val="auto"/>
          <w:sz w:val="28"/>
          <w:szCs w:val="28"/>
          <w:highlight w:val="none"/>
        </w:rPr>
        <w:t>）</w:t>
      </w:r>
    </w:p>
    <w:p w14:paraId="1F8F747A">
      <w:pPr>
        <w:keepNext w:val="0"/>
        <w:keepLines w:val="0"/>
        <w:pageBreakBefore w:val="0"/>
        <w:widowControl w:val="0"/>
        <w:kinsoku/>
        <w:wordWrap/>
        <w:overflowPunct/>
        <w:topLinePunct w:val="0"/>
        <w:bidi w:val="0"/>
        <w:spacing w:line="360" w:lineRule="auto"/>
        <w:ind w:firstLine="480" w:firstLineChars="200"/>
        <w:rPr>
          <w:rFonts w:hint="eastAsia"/>
          <w:color w:val="auto"/>
          <w:sz w:val="24"/>
          <w:highlight w:val="none"/>
        </w:rPr>
      </w:pPr>
      <w:r>
        <w:rPr>
          <w:rFonts w:hint="eastAsia"/>
          <w:color w:val="auto"/>
          <w:sz w:val="24"/>
          <w:highlight w:val="none"/>
        </w:rPr>
        <w:t>本公司（联合体）郑重声明，根据《政府采购促进中小企业发展管理办法》（财库﹝</w:t>
      </w:r>
      <w:r>
        <w:rPr>
          <w:color w:val="auto"/>
          <w:sz w:val="24"/>
          <w:highlight w:val="none"/>
        </w:rPr>
        <w:t>2020﹞46号）的规定，本公司</w:t>
      </w:r>
      <w:r>
        <w:rPr>
          <w:rFonts w:hint="eastAsia"/>
          <w:color w:val="auto"/>
          <w:sz w:val="24"/>
          <w:highlight w:val="none"/>
        </w:rPr>
        <w:t>（联合体）参加</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（单位名称）</w:t>
      </w:r>
      <w:r>
        <w:rPr>
          <w:rFonts w:hint="eastAsia"/>
          <w:color w:val="auto"/>
          <w:sz w:val="24"/>
          <w:highlight w:val="none"/>
        </w:rPr>
        <w:t>的</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（项目名称）</w:t>
      </w:r>
      <w:r>
        <w:rPr>
          <w:rFonts w:hint="eastAsia"/>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B3F7DB7">
      <w:pPr>
        <w:pStyle w:val="19"/>
        <w:keepNext w:val="0"/>
        <w:keepLines w:val="0"/>
        <w:pageBreakBefore w:val="0"/>
        <w:widowControl w:val="0"/>
        <w:kinsoku/>
        <w:wordWrap/>
        <w:overflowPunct/>
        <w:topLinePunct w:val="0"/>
        <w:bidi w:val="0"/>
        <w:spacing w:line="360" w:lineRule="auto"/>
        <w:ind w:firstLine="468" w:firstLineChars="200"/>
        <w:jc w:val="left"/>
        <w:rPr>
          <w:rFonts w:hint="eastAsia"/>
          <w:color w:val="auto"/>
          <w:sz w:val="24"/>
          <w:highlight w:val="none"/>
        </w:rPr>
      </w:pPr>
      <w:r>
        <w:rPr>
          <w:rFonts w:hint="eastAsia"/>
          <w:color w:val="auto"/>
          <w:spacing w:val="-3"/>
          <w:sz w:val="24"/>
          <w:highlight w:val="none"/>
        </w:rPr>
        <w:t>1</w:t>
      </w:r>
      <w:r>
        <w:rPr>
          <w:rFonts w:hint="eastAsia"/>
          <w:color w:val="auto"/>
          <w:spacing w:val="-2"/>
          <w:sz w:val="24"/>
          <w:highlight w:val="none"/>
        </w:rPr>
        <w:t>.</w:t>
      </w:r>
      <w:r>
        <w:rPr>
          <w:rFonts w:hint="eastAsia"/>
          <w:color w:val="auto"/>
          <w:sz w:val="24"/>
          <w:highlight w:val="none"/>
          <w:u w:val="single"/>
        </w:rPr>
        <w:t xml:space="preserve"> 查验设施设备保养维护</w:t>
      </w:r>
      <w:r>
        <w:rPr>
          <w:rFonts w:hint="eastAsia"/>
          <w:color w:val="auto"/>
          <w:sz w:val="24"/>
          <w:highlight w:val="none"/>
          <w:u w:val="single"/>
          <w:lang w:val="en-US" w:eastAsia="zh-CN"/>
        </w:rPr>
        <w:t xml:space="preserve"> </w:t>
      </w:r>
      <w:r>
        <w:rPr>
          <w:rFonts w:hint="eastAsia"/>
          <w:color w:val="auto"/>
          <w:sz w:val="24"/>
          <w:highlight w:val="none"/>
        </w:rPr>
        <w:t>，属于</w:t>
      </w:r>
      <w:r>
        <w:rPr>
          <w:rFonts w:hint="eastAsia"/>
          <w:color w:val="auto"/>
          <w:sz w:val="24"/>
          <w:highlight w:val="none"/>
          <w:u w:val="single"/>
        </w:rPr>
        <w:t xml:space="preserve"> 其他未列明行业</w:t>
      </w:r>
      <w:r>
        <w:rPr>
          <w:rFonts w:hint="eastAsia"/>
          <w:color w:val="auto"/>
          <w:sz w:val="24"/>
          <w:highlight w:val="none"/>
          <w:u w:val="single"/>
          <w:lang w:val="en-US" w:eastAsia="zh-CN"/>
        </w:rPr>
        <w:t xml:space="preserve"> </w:t>
      </w:r>
      <w:r>
        <w:rPr>
          <w:rFonts w:hint="eastAsia"/>
          <w:color w:val="auto"/>
          <w:sz w:val="24"/>
          <w:highlight w:val="none"/>
        </w:rPr>
        <w:t>行业；承建（承接）企业为</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（企业名称）</w:t>
      </w:r>
      <w:r>
        <w:rPr>
          <w:rFonts w:hint="eastAsia"/>
          <w:color w:val="auto"/>
          <w:sz w:val="24"/>
          <w:highlight w:val="none"/>
        </w:rPr>
        <w:t>，从业人员</w:t>
      </w:r>
      <w:r>
        <w:rPr>
          <w:color w:val="auto"/>
          <w:sz w:val="24"/>
          <w:highlight w:val="none"/>
          <w:u w:val="single"/>
        </w:rPr>
        <w:t xml:space="preserve">  </w:t>
      </w:r>
      <w:r>
        <w:rPr>
          <w:color w:val="auto"/>
          <w:sz w:val="24"/>
          <w:highlight w:val="none"/>
          <w:u w:val="single"/>
        </w:rPr>
        <w:tab/>
      </w:r>
      <w:r>
        <w:rPr>
          <w:rFonts w:hint="eastAsia"/>
          <w:color w:val="auto"/>
          <w:sz w:val="24"/>
          <w:highlight w:val="none"/>
        </w:rPr>
        <w:t>人，营业收入为</w:t>
      </w:r>
      <w:r>
        <w:rPr>
          <w:color w:val="auto"/>
          <w:sz w:val="24"/>
          <w:highlight w:val="none"/>
          <w:u w:val="single"/>
        </w:rPr>
        <w:t xml:space="preserve">  </w:t>
      </w:r>
      <w:r>
        <w:rPr>
          <w:color w:val="auto"/>
          <w:sz w:val="24"/>
          <w:highlight w:val="none"/>
          <w:u w:val="single"/>
        </w:rPr>
        <w:tab/>
      </w:r>
      <w:r>
        <w:rPr>
          <w:rFonts w:hint="eastAsia"/>
          <w:color w:val="auto"/>
          <w:sz w:val="24"/>
          <w:highlight w:val="none"/>
        </w:rPr>
        <w:t>万元，资产总额为</w:t>
      </w:r>
      <w:r>
        <w:rPr>
          <w:color w:val="auto"/>
          <w:sz w:val="24"/>
          <w:highlight w:val="none"/>
          <w:u w:val="single"/>
        </w:rPr>
        <w:t xml:space="preserve"> </w:t>
      </w:r>
      <w:r>
        <w:rPr>
          <w:color w:val="auto"/>
          <w:sz w:val="24"/>
          <w:highlight w:val="none"/>
          <w:u w:val="single"/>
        </w:rPr>
        <w:tab/>
      </w:r>
      <w:r>
        <w:rPr>
          <w:color w:val="auto"/>
          <w:sz w:val="24"/>
          <w:highlight w:val="none"/>
          <w:u w:val="single"/>
        </w:rPr>
        <w:t xml:space="preserve"> </w:t>
      </w:r>
      <w:r>
        <w:rPr>
          <w:rFonts w:hint="eastAsia"/>
          <w:color w:val="auto"/>
          <w:sz w:val="24"/>
          <w:highlight w:val="none"/>
        </w:rPr>
        <w:t>万元</w:t>
      </w:r>
      <w:r>
        <w:rPr>
          <w:rFonts w:cs="Calibri"/>
          <w:color w:val="auto"/>
          <w:spacing w:val="-3"/>
          <w:position w:val="4"/>
          <w:sz w:val="24"/>
          <w:highlight w:val="none"/>
          <w:vertAlign w:val="superscript"/>
        </w:rPr>
        <w:t>1</w:t>
      </w:r>
      <w:r>
        <w:rPr>
          <w:rFonts w:hint="eastAsia"/>
          <w:color w:val="auto"/>
          <w:sz w:val="24"/>
          <w:highlight w:val="none"/>
        </w:rPr>
        <w:t>，属于</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（中型企业、</w:t>
      </w:r>
      <w:r>
        <w:rPr>
          <w:rFonts w:hint="eastAsia"/>
          <w:color w:val="auto"/>
          <w:spacing w:val="-17"/>
          <w:sz w:val="24"/>
          <w:highlight w:val="none"/>
          <w:u w:val="single"/>
        </w:rPr>
        <w:t>小</w:t>
      </w:r>
      <w:r>
        <w:rPr>
          <w:rFonts w:hint="eastAsia"/>
          <w:color w:val="auto"/>
          <w:sz w:val="24"/>
          <w:highlight w:val="none"/>
          <w:u w:val="single"/>
        </w:rPr>
        <w:t>型企业、微型企业）；</w:t>
      </w:r>
    </w:p>
    <w:p w14:paraId="74E15220">
      <w:pPr>
        <w:pStyle w:val="19"/>
        <w:keepNext w:val="0"/>
        <w:keepLines w:val="0"/>
        <w:pageBreakBefore w:val="0"/>
        <w:widowControl w:val="0"/>
        <w:kinsoku/>
        <w:wordWrap/>
        <w:overflowPunct/>
        <w:topLinePunct w:val="0"/>
        <w:bidi w:val="0"/>
        <w:spacing w:line="360" w:lineRule="auto"/>
        <w:ind w:firstLine="480" w:firstLineChars="200"/>
        <w:jc w:val="left"/>
        <w:rPr>
          <w:rFonts w:hint="eastAsia"/>
          <w:color w:val="auto"/>
          <w:sz w:val="24"/>
          <w:highlight w:val="none"/>
        </w:rPr>
      </w:pPr>
    </w:p>
    <w:p w14:paraId="3487C9E2">
      <w:pPr>
        <w:pStyle w:val="45"/>
        <w:keepNext w:val="0"/>
        <w:keepLines w:val="0"/>
        <w:pageBreakBefore w:val="0"/>
        <w:widowControl w:val="0"/>
        <w:kinsoku/>
        <w:wordWrap/>
        <w:overflowPunct/>
        <w:topLinePunct w:val="0"/>
        <w:bidi w:val="0"/>
        <w:spacing w:after="0" w:line="360" w:lineRule="auto"/>
        <w:ind w:left="0" w:leftChars="0" w:firstLine="480"/>
        <w:rPr>
          <w:rFonts w:hint="eastAsia"/>
          <w:color w:val="auto"/>
          <w:sz w:val="24"/>
          <w:highlight w:val="none"/>
        </w:rPr>
      </w:pPr>
      <w:r>
        <w:rPr>
          <w:rFonts w:hint="eastAsia"/>
          <w:color w:val="auto"/>
          <w:sz w:val="24"/>
          <w:highlight w:val="none"/>
        </w:rPr>
        <w:t>……</w:t>
      </w:r>
    </w:p>
    <w:p w14:paraId="7A23F70E">
      <w:pPr>
        <w:pStyle w:val="45"/>
        <w:keepNext w:val="0"/>
        <w:keepLines w:val="0"/>
        <w:pageBreakBefore w:val="0"/>
        <w:widowControl w:val="0"/>
        <w:kinsoku/>
        <w:wordWrap/>
        <w:overflowPunct/>
        <w:topLinePunct w:val="0"/>
        <w:bidi w:val="0"/>
        <w:spacing w:after="0" w:line="360" w:lineRule="auto"/>
        <w:ind w:left="0" w:leftChars="0" w:firstLine="480"/>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4918300F">
      <w:pPr>
        <w:pStyle w:val="45"/>
        <w:keepNext w:val="0"/>
        <w:keepLines w:val="0"/>
        <w:pageBreakBefore w:val="0"/>
        <w:widowControl w:val="0"/>
        <w:kinsoku/>
        <w:wordWrap/>
        <w:overflowPunct/>
        <w:topLinePunct w:val="0"/>
        <w:bidi w:val="0"/>
        <w:spacing w:after="0" w:line="360" w:lineRule="auto"/>
        <w:ind w:left="0" w:leftChars="0" w:firstLine="480"/>
        <w:rPr>
          <w:rFonts w:hint="eastAsia"/>
          <w:color w:val="auto"/>
          <w:sz w:val="24"/>
          <w:highlight w:val="none"/>
        </w:rPr>
      </w:pPr>
      <w:r>
        <w:rPr>
          <w:rFonts w:hint="eastAsia"/>
          <w:color w:val="auto"/>
          <w:sz w:val="24"/>
          <w:highlight w:val="none"/>
        </w:rPr>
        <w:t>本企业对上述声明内容的真实性负责。如有虚假，将依法承担相应责任。</w:t>
      </w:r>
    </w:p>
    <w:p w14:paraId="34F7109C">
      <w:pPr>
        <w:pStyle w:val="45"/>
        <w:keepNext w:val="0"/>
        <w:keepLines w:val="0"/>
        <w:pageBreakBefore w:val="0"/>
        <w:widowControl w:val="0"/>
        <w:kinsoku/>
        <w:wordWrap/>
        <w:overflowPunct/>
        <w:topLinePunct w:val="0"/>
        <w:bidi w:val="0"/>
        <w:spacing w:after="0" w:line="360" w:lineRule="auto"/>
        <w:ind w:left="0" w:leftChars="0" w:firstLine="480"/>
        <w:rPr>
          <w:rFonts w:hint="eastAsia"/>
          <w:color w:val="auto"/>
          <w:sz w:val="24"/>
          <w:highlight w:val="none"/>
        </w:rPr>
      </w:pPr>
    </w:p>
    <w:p w14:paraId="6E552444">
      <w:pPr>
        <w:pStyle w:val="356"/>
        <w:keepNext w:val="0"/>
        <w:keepLines w:val="0"/>
        <w:pageBreakBefore w:val="0"/>
        <w:widowControl w:val="0"/>
        <w:kinsoku/>
        <w:wordWrap/>
        <w:overflowPunct/>
        <w:topLinePunct w:val="0"/>
        <w:autoSpaceDE/>
        <w:autoSpaceDN/>
        <w:bidi w:val="0"/>
        <w:spacing w:line="360" w:lineRule="auto"/>
        <w:ind w:left="141" w:leftChars="50" w:right="-35" w:hanging="36" w:hangingChars="15"/>
        <w:jc w:val="right"/>
        <w:rPr>
          <w:rFonts w:hint="eastAsia"/>
          <w:color w:val="auto"/>
          <w:highlight w:val="none"/>
          <w:u w:val="single"/>
          <w:lang w:eastAsia="zh-CN"/>
        </w:rPr>
      </w:pPr>
      <w:r>
        <w:rPr>
          <w:rFonts w:hint="eastAsia"/>
          <w:color w:val="auto"/>
          <w:highlight w:val="none"/>
          <w:lang w:eastAsia="zh-CN"/>
        </w:rPr>
        <w:t>企业名称（盖章）：</w:t>
      </w:r>
      <w:r>
        <w:rPr>
          <w:color w:val="auto"/>
          <w:highlight w:val="none"/>
          <w:u w:val="single"/>
          <w:lang w:eastAsia="zh-CN"/>
        </w:rPr>
        <w:t xml:space="preserve">                 .</w:t>
      </w:r>
    </w:p>
    <w:p w14:paraId="074E1506">
      <w:pPr>
        <w:pStyle w:val="356"/>
        <w:keepNext w:val="0"/>
        <w:keepLines w:val="0"/>
        <w:pageBreakBefore w:val="0"/>
        <w:widowControl w:val="0"/>
        <w:kinsoku/>
        <w:wordWrap/>
        <w:overflowPunct/>
        <w:topLinePunct w:val="0"/>
        <w:autoSpaceDE/>
        <w:autoSpaceDN/>
        <w:bidi w:val="0"/>
        <w:spacing w:line="360" w:lineRule="auto"/>
        <w:ind w:left="5141" w:leftChars="2448"/>
        <w:jc w:val="right"/>
        <w:rPr>
          <w:rFonts w:hint="eastAsia"/>
          <w:color w:val="auto"/>
          <w:highlight w:val="none"/>
          <w:lang w:eastAsia="zh-CN"/>
        </w:rPr>
      </w:pPr>
      <w:r>
        <w:rPr>
          <w:rFonts w:hint="eastAsia"/>
          <w:color w:val="auto"/>
          <w:highlight w:val="none"/>
          <w:lang w:eastAsia="zh-CN"/>
        </w:rPr>
        <w:t>日期：</w:t>
      </w:r>
      <w:r>
        <w:rPr>
          <w:color w:val="auto"/>
          <w:highlight w:val="none"/>
          <w:u w:val="single"/>
          <w:lang w:eastAsia="zh-CN"/>
        </w:rPr>
        <w:t xml:space="preserve">    </w:t>
      </w:r>
      <w:r>
        <w:rPr>
          <w:color w:val="auto"/>
          <w:highlight w:val="none"/>
          <w:lang w:eastAsia="zh-CN"/>
        </w:rPr>
        <w:t>年</w:t>
      </w:r>
      <w:r>
        <w:rPr>
          <w:color w:val="auto"/>
          <w:highlight w:val="none"/>
          <w:u w:val="single"/>
          <w:lang w:eastAsia="zh-CN"/>
        </w:rPr>
        <w:t xml:space="preserve">    </w:t>
      </w:r>
      <w:r>
        <w:rPr>
          <w:color w:val="auto"/>
          <w:highlight w:val="none"/>
          <w:lang w:eastAsia="zh-CN"/>
        </w:rPr>
        <w:t>月</w:t>
      </w:r>
      <w:r>
        <w:rPr>
          <w:color w:val="auto"/>
          <w:highlight w:val="none"/>
          <w:u w:val="single"/>
          <w:lang w:eastAsia="zh-CN"/>
        </w:rPr>
        <w:t xml:space="preserve">    </w:t>
      </w:r>
      <w:r>
        <w:rPr>
          <w:color w:val="auto"/>
          <w:highlight w:val="none"/>
          <w:lang w:eastAsia="zh-CN"/>
        </w:rPr>
        <w:t>日</w:t>
      </w:r>
    </w:p>
    <w:bookmarkEnd w:id="243"/>
    <w:p w14:paraId="77693E08">
      <w:pPr>
        <w:pStyle w:val="356"/>
        <w:keepNext w:val="0"/>
        <w:keepLines w:val="0"/>
        <w:pageBreakBefore w:val="0"/>
        <w:widowControl w:val="0"/>
        <w:kinsoku/>
        <w:wordWrap/>
        <w:overflowPunct/>
        <w:topLinePunct w:val="0"/>
        <w:autoSpaceDE/>
        <w:autoSpaceDN/>
        <w:bidi w:val="0"/>
        <w:spacing w:line="360" w:lineRule="auto"/>
        <w:ind w:firstLine="0" w:firstLineChars="0"/>
        <w:rPr>
          <w:rFonts w:hint="eastAsia"/>
          <w:b/>
          <w:bCs/>
          <w:color w:val="auto"/>
          <w:sz w:val="21"/>
          <w:szCs w:val="21"/>
          <w:highlight w:val="none"/>
          <w:lang w:eastAsia="zh-CN"/>
        </w:rPr>
      </w:pPr>
    </w:p>
    <w:p w14:paraId="154CC4C5">
      <w:pPr>
        <w:pStyle w:val="356"/>
        <w:keepNext w:val="0"/>
        <w:keepLines w:val="0"/>
        <w:pageBreakBefore w:val="0"/>
        <w:widowControl w:val="0"/>
        <w:kinsoku/>
        <w:wordWrap/>
        <w:overflowPunct/>
        <w:topLinePunct w:val="0"/>
        <w:autoSpaceDE/>
        <w:autoSpaceDN/>
        <w:bidi w:val="0"/>
        <w:spacing w:line="360" w:lineRule="auto"/>
        <w:ind w:firstLine="0" w:firstLineChars="0"/>
        <w:rPr>
          <w:rFonts w:hint="eastAsia"/>
          <w:b/>
          <w:bCs/>
          <w:color w:val="auto"/>
          <w:sz w:val="21"/>
          <w:szCs w:val="21"/>
          <w:highlight w:val="none"/>
          <w:lang w:eastAsia="zh-CN"/>
        </w:rPr>
      </w:pPr>
      <w:r>
        <w:rPr>
          <w:rFonts w:hint="eastAsia"/>
          <w:b/>
          <w:bCs/>
          <w:color w:val="auto"/>
          <w:sz w:val="21"/>
          <w:szCs w:val="21"/>
          <w:highlight w:val="none"/>
          <w:lang w:eastAsia="zh-CN"/>
        </w:rPr>
        <w:t>说明：</w:t>
      </w:r>
    </w:p>
    <w:p w14:paraId="2E60B548">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bookmarkStart w:id="244" w:name="_Hlk103521840"/>
      <w:r>
        <w:rPr>
          <w:color w:val="auto"/>
          <w:szCs w:val="21"/>
          <w:highlight w:val="none"/>
        </w:rPr>
        <w:t>1.</w:t>
      </w: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p w14:paraId="4401D425">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color w:val="auto"/>
          <w:szCs w:val="21"/>
          <w:highlight w:val="none"/>
        </w:rPr>
        <w:t>2.针对属于专门面向中小企业采购的项目，供应商须提供本声明函。</w:t>
      </w:r>
    </w:p>
    <w:p w14:paraId="23EDBBC3">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color w:val="auto"/>
          <w:szCs w:val="21"/>
          <w:highlight w:val="none"/>
        </w:rPr>
        <w:t>3.针对不属于专门面向中小企业采购的项目，</w:t>
      </w:r>
      <w:r>
        <w:rPr>
          <w:rFonts w:hint="eastAsia"/>
          <w:color w:val="auto"/>
          <w:szCs w:val="21"/>
          <w:highlight w:val="none"/>
        </w:rPr>
        <w:t>承建本项目工程为中小企业或者承接本项目服务为中小企业时</w:t>
      </w:r>
      <w:r>
        <w:rPr>
          <w:color w:val="auto"/>
          <w:szCs w:val="21"/>
          <w:highlight w:val="none"/>
        </w:rPr>
        <w:t>，可选择提供本声明函，填写相应信息，并明确企业类型，否则评审时不能享受相应的价格扣除；如供应商认为其非中小企业的，则无须提供本声明函。</w:t>
      </w:r>
    </w:p>
    <w:p w14:paraId="519AECDC">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color w:val="auto"/>
          <w:szCs w:val="21"/>
          <w:highlight w:val="none"/>
        </w:rPr>
        <w:t>4.供应商应当对其出具的《中小企业声明函》真实性负责，供应商出具的《中小企业声明函》内容不实的，属于虚假承诺，可能面临因提供虚假资料谋取中标（成交）被监管部门追究相关法律责任。请供应商务必依据规定谨慎提供声明，避免不必要的法律风险。</w:t>
      </w:r>
    </w:p>
    <w:p w14:paraId="246823DD">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color w:val="auto"/>
          <w:szCs w:val="21"/>
          <w:highlight w:val="none"/>
        </w:rPr>
        <w:t>5.</w:t>
      </w:r>
      <w:r>
        <w:rPr>
          <w:rFonts w:hint="eastAsia"/>
          <w:color w:val="auto"/>
          <w:szCs w:val="21"/>
          <w:highlight w:val="none"/>
        </w:rPr>
        <w:t>所属行业填写采购文件中明确的本项目所属行业</w:t>
      </w:r>
      <w:r>
        <w:rPr>
          <w:color w:val="auto"/>
          <w:szCs w:val="21"/>
          <w:highlight w:val="none"/>
        </w:rPr>
        <w:t>。</w:t>
      </w:r>
    </w:p>
    <w:p w14:paraId="26C39084">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color w:val="auto"/>
          <w:szCs w:val="21"/>
          <w:highlight w:val="none"/>
        </w:rPr>
        <w:t xml:space="preserve">6.供应商根据采购文件中明确的行业所对应的划分标准，判断其是否属于中小企业，如属于中小企业，请根据自身情况三选一（中型企业、小型企业、微型企业）填写。 </w:t>
      </w:r>
    </w:p>
    <w:p w14:paraId="0552CA98">
      <w:pPr>
        <w:pStyle w:val="45"/>
        <w:keepNext w:val="0"/>
        <w:keepLines w:val="0"/>
        <w:pageBreakBefore w:val="0"/>
        <w:widowControl w:val="0"/>
        <w:kinsoku/>
        <w:wordWrap/>
        <w:overflowPunct/>
        <w:topLinePunct w:val="0"/>
        <w:bidi w:val="0"/>
        <w:spacing w:after="0" w:line="360" w:lineRule="auto"/>
        <w:ind w:left="0" w:leftChars="0"/>
        <w:rPr>
          <w:rFonts w:hint="eastAsia"/>
          <w:color w:val="auto"/>
          <w:sz w:val="28"/>
          <w:highlight w:val="none"/>
        </w:rPr>
      </w:pPr>
      <w:r>
        <w:rPr>
          <w:color w:val="auto"/>
          <w:szCs w:val="21"/>
          <w:highlight w:val="none"/>
        </w:rPr>
        <w:t>7.为方便广大中小企业识别企业规模类型，可通过中小企业规模类型自测小程序（https://baosong.miit.gov.cn/ScaleTest）进行查询</w:t>
      </w:r>
      <w:bookmarkEnd w:id="244"/>
      <w:r>
        <w:rPr>
          <w:color w:val="auto"/>
          <w:szCs w:val="21"/>
          <w:highlight w:val="none"/>
        </w:rPr>
        <w:t>。</w:t>
      </w:r>
    </w:p>
    <w:p w14:paraId="20125813">
      <w:pPr>
        <w:keepNext w:val="0"/>
        <w:keepLines w:val="0"/>
        <w:pageBreakBefore w:val="0"/>
        <w:widowControl w:val="0"/>
        <w:kinsoku/>
        <w:wordWrap/>
        <w:overflowPunct/>
        <w:topLinePunct w:val="0"/>
        <w:bidi w:val="0"/>
        <w:spacing w:line="360" w:lineRule="auto"/>
        <w:rPr>
          <w:color w:val="auto"/>
          <w:sz w:val="24"/>
          <w:highlight w:val="none"/>
        </w:rPr>
        <w:sectPr>
          <w:pgSz w:w="11906" w:h="16838"/>
          <w:pgMar w:top="1134" w:right="1134" w:bottom="1134" w:left="1134" w:header="426" w:footer="992" w:gutter="0"/>
          <w:paperSrc w:first="7"/>
          <w:pgNumType w:fmt="decimal"/>
          <w:cols w:space="0" w:num="1"/>
          <w:titlePg/>
          <w:rtlGutter w:val="0"/>
          <w:docGrid w:linePitch="312" w:charSpace="0"/>
        </w:sectPr>
      </w:pPr>
      <w:bookmarkStart w:id="245" w:name="_Toc103033243"/>
    </w:p>
    <w:p w14:paraId="258ADB4A">
      <w:pPr>
        <w:keepNext w:val="0"/>
        <w:keepLines w:val="0"/>
        <w:pageBreakBefore w:val="0"/>
        <w:widowControl w:val="0"/>
        <w:kinsoku/>
        <w:wordWrap/>
        <w:overflowPunct/>
        <w:topLinePunct w:val="0"/>
        <w:bidi w:val="0"/>
        <w:spacing w:line="360" w:lineRule="auto"/>
        <w:jc w:val="center"/>
        <w:rPr>
          <w:rFonts w:hint="eastAsia"/>
          <w:b/>
          <w:bCs/>
          <w:color w:val="auto"/>
          <w:sz w:val="28"/>
          <w:szCs w:val="28"/>
          <w:highlight w:val="none"/>
        </w:rPr>
      </w:pPr>
      <w:r>
        <w:rPr>
          <w:rFonts w:hint="eastAsia"/>
          <w:b/>
          <w:bCs/>
          <w:color w:val="auto"/>
          <w:sz w:val="28"/>
          <w:szCs w:val="28"/>
          <w:highlight w:val="none"/>
        </w:rPr>
        <w:t>中小企业声明函（</w:t>
      </w:r>
      <w:r>
        <w:rPr>
          <w:rFonts w:hint="eastAsia"/>
          <w:b/>
          <w:bCs/>
          <w:color w:val="auto"/>
          <w:sz w:val="28"/>
          <w:szCs w:val="28"/>
          <w:highlight w:val="none"/>
          <w:lang w:val="en-US" w:eastAsia="zh-CN"/>
        </w:rPr>
        <w:t>采购包2</w:t>
      </w:r>
      <w:r>
        <w:rPr>
          <w:rFonts w:hint="eastAsia"/>
          <w:b/>
          <w:bCs/>
          <w:color w:val="auto"/>
          <w:sz w:val="28"/>
          <w:szCs w:val="28"/>
          <w:highlight w:val="none"/>
        </w:rPr>
        <w:t>）</w:t>
      </w:r>
    </w:p>
    <w:p w14:paraId="6E76D053">
      <w:pPr>
        <w:keepNext w:val="0"/>
        <w:keepLines w:val="0"/>
        <w:pageBreakBefore w:val="0"/>
        <w:widowControl w:val="0"/>
        <w:kinsoku/>
        <w:wordWrap/>
        <w:overflowPunct/>
        <w:topLinePunct w:val="0"/>
        <w:bidi w:val="0"/>
        <w:spacing w:line="360" w:lineRule="auto"/>
        <w:ind w:firstLine="480" w:firstLineChars="200"/>
        <w:rPr>
          <w:rFonts w:hint="eastAsia"/>
          <w:color w:val="auto"/>
          <w:sz w:val="24"/>
          <w:highlight w:val="none"/>
        </w:rPr>
      </w:pPr>
      <w:r>
        <w:rPr>
          <w:rFonts w:hint="eastAsia"/>
          <w:color w:val="auto"/>
          <w:sz w:val="24"/>
          <w:highlight w:val="none"/>
        </w:rPr>
        <w:t>本公司（联合体）郑重声明，根据《政府采购促进中小企业发展管理办法》（财库﹝</w:t>
      </w:r>
      <w:r>
        <w:rPr>
          <w:color w:val="auto"/>
          <w:sz w:val="24"/>
          <w:highlight w:val="none"/>
        </w:rPr>
        <w:t>2020﹞46号）的规定，本公司</w:t>
      </w:r>
      <w:r>
        <w:rPr>
          <w:rFonts w:hint="eastAsia"/>
          <w:color w:val="auto"/>
          <w:sz w:val="24"/>
          <w:highlight w:val="none"/>
        </w:rPr>
        <w:t>（联合体）参加</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（单位名称）</w:t>
      </w:r>
      <w:r>
        <w:rPr>
          <w:rFonts w:hint="eastAsia"/>
          <w:color w:val="auto"/>
          <w:sz w:val="24"/>
          <w:highlight w:val="none"/>
        </w:rPr>
        <w:t>的</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（项目名称）</w:t>
      </w:r>
      <w:r>
        <w:rPr>
          <w:rFonts w:hint="eastAsia"/>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E4B88D6">
      <w:pPr>
        <w:pStyle w:val="19"/>
        <w:keepNext w:val="0"/>
        <w:keepLines w:val="0"/>
        <w:pageBreakBefore w:val="0"/>
        <w:widowControl w:val="0"/>
        <w:kinsoku/>
        <w:wordWrap/>
        <w:overflowPunct/>
        <w:topLinePunct w:val="0"/>
        <w:bidi w:val="0"/>
        <w:spacing w:line="360" w:lineRule="auto"/>
        <w:ind w:firstLine="468" w:firstLineChars="200"/>
        <w:jc w:val="left"/>
        <w:rPr>
          <w:rFonts w:hint="eastAsia"/>
          <w:color w:val="auto"/>
          <w:sz w:val="24"/>
          <w:highlight w:val="none"/>
        </w:rPr>
      </w:pPr>
      <w:r>
        <w:rPr>
          <w:rFonts w:hint="eastAsia"/>
          <w:color w:val="auto"/>
          <w:spacing w:val="-3"/>
          <w:sz w:val="24"/>
          <w:highlight w:val="none"/>
        </w:rPr>
        <w:t>1</w:t>
      </w:r>
      <w:r>
        <w:rPr>
          <w:rFonts w:hint="eastAsia"/>
          <w:color w:val="auto"/>
          <w:spacing w:val="-2"/>
          <w:sz w:val="24"/>
          <w:highlight w:val="none"/>
        </w:rPr>
        <w:t>.</w:t>
      </w:r>
      <w:r>
        <w:rPr>
          <w:rFonts w:hint="eastAsia"/>
          <w:color w:val="auto"/>
          <w:sz w:val="24"/>
          <w:highlight w:val="none"/>
          <w:u w:val="single"/>
        </w:rPr>
        <w:t xml:space="preserve"> 信息化系统设备保养维护</w:t>
      </w:r>
      <w:r>
        <w:rPr>
          <w:rFonts w:hint="eastAsia"/>
          <w:color w:val="auto"/>
          <w:sz w:val="24"/>
          <w:highlight w:val="none"/>
          <w:u w:val="single"/>
          <w:lang w:val="en-US" w:eastAsia="zh-CN"/>
        </w:rPr>
        <w:t xml:space="preserve"> </w:t>
      </w:r>
      <w:r>
        <w:rPr>
          <w:rFonts w:hint="eastAsia"/>
          <w:color w:val="auto"/>
          <w:sz w:val="24"/>
          <w:highlight w:val="none"/>
        </w:rPr>
        <w:t>，属于</w:t>
      </w:r>
      <w:r>
        <w:rPr>
          <w:rFonts w:hint="eastAsia"/>
          <w:color w:val="auto"/>
          <w:sz w:val="24"/>
          <w:highlight w:val="none"/>
          <w:u w:val="single"/>
        </w:rPr>
        <w:t xml:space="preserve"> 其他未列明行业</w:t>
      </w:r>
      <w:r>
        <w:rPr>
          <w:rFonts w:hint="eastAsia"/>
          <w:color w:val="auto"/>
          <w:sz w:val="24"/>
          <w:highlight w:val="none"/>
          <w:u w:val="single"/>
          <w:lang w:val="en-US" w:eastAsia="zh-CN"/>
        </w:rPr>
        <w:t xml:space="preserve"> </w:t>
      </w:r>
      <w:r>
        <w:rPr>
          <w:rFonts w:hint="eastAsia"/>
          <w:color w:val="auto"/>
          <w:sz w:val="24"/>
          <w:highlight w:val="none"/>
        </w:rPr>
        <w:t>行业；承建（承接）企业为</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（企业名称）</w:t>
      </w:r>
      <w:r>
        <w:rPr>
          <w:rFonts w:hint="eastAsia"/>
          <w:color w:val="auto"/>
          <w:sz w:val="24"/>
          <w:highlight w:val="none"/>
        </w:rPr>
        <w:t>，从业人员</w:t>
      </w:r>
      <w:r>
        <w:rPr>
          <w:color w:val="auto"/>
          <w:sz w:val="24"/>
          <w:highlight w:val="none"/>
          <w:u w:val="single"/>
        </w:rPr>
        <w:t xml:space="preserve">  </w:t>
      </w:r>
      <w:r>
        <w:rPr>
          <w:color w:val="auto"/>
          <w:sz w:val="24"/>
          <w:highlight w:val="none"/>
          <w:u w:val="single"/>
        </w:rPr>
        <w:tab/>
      </w:r>
      <w:r>
        <w:rPr>
          <w:rFonts w:hint="eastAsia"/>
          <w:color w:val="auto"/>
          <w:sz w:val="24"/>
          <w:highlight w:val="none"/>
        </w:rPr>
        <w:t>人，营业收入为</w:t>
      </w:r>
      <w:r>
        <w:rPr>
          <w:color w:val="auto"/>
          <w:sz w:val="24"/>
          <w:highlight w:val="none"/>
          <w:u w:val="single"/>
        </w:rPr>
        <w:t xml:space="preserve">  </w:t>
      </w:r>
      <w:r>
        <w:rPr>
          <w:color w:val="auto"/>
          <w:sz w:val="24"/>
          <w:highlight w:val="none"/>
          <w:u w:val="single"/>
        </w:rPr>
        <w:tab/>
      </w:r>
      <w:r>
        <w:rPr>
          <w:rFonts w:hint="eastAsia"/>
          <w:color w:val="auto"/>
          <w:sz w:val="24"/>
          <w:highlight w:val="none"/>
        </w:rPr>
        <w:t>万元，资产总额为</w:t>
      </w:r>
      <w:r>
        <w:rPr>
          <w:color w:val="auto"/>
          <w:sz w:val="24"/>
          <w:highlight w:val="none"/>
          <w:u w:val="single"/>
        </w:rPr>
        <w:t xml:space="preserve"> </w:t>
      </w:r>
      <w:r>
        <w:rPr>
          <w:color w:val="auto"/>
          <w:sz w:val="24"/>
          <w:highlight w:val="none"/>
          <w:u w:val="single"/>
        </w:rPr>
        <w:tab/>
      </w:r>
      <w:r>
        <w:rPr>
          <w:color w:val="auto"/>
          <w:sz w:val="24"/>
          <w:highlight w:val="none"/>
          <w:u w:val="single"/>
        </w:rPr>
        <w:t xml:space="preserve"> </w:t>
      </w:r>
      <w:r>
        <w:rPr>
          <w:rFonts w:hint="eastAsia"/>
          <w:color w:val="auto"/>
          <w:sz w:val="24"/>
          <w:highlight w:val="none"/>
        </w:rPr>
        <w:t>万元</w:t>
      </w:r>
      <w:r>
        <w:rPr>
          <w:rFonts w:cs="Calibri"/>
          <w:color w:val="auto"/>
          <w:spacing w:val="-3"/>
          <w:position w:val="4"/>
          <w:sz w:val="24"/>
          <w:highlight w:val="none"/>
          <w:vertAlign w:val="superscript"/>
        </w:rPr>
        <w:t>1</w:t>
      </w:r>
      <w:r>
        <w:rPr>
          <w:rFonts w:hint="eastAsia"/>
          <w:color w:val="auto"/>
          <w:sz w:val="24"/>
          <w:highlight w:val="none"/>
        </w:rPr>
        <w:t>，属于</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（中型企业、</w:t>
      </w:r>
      <w:r>
        <w:rPr>
          <w:rFonts w:hint="eastAsia"/>
          <w:color w:val="auto"/>
          <w:spacing w:val="-17"/>
          <w:sz w:val="24"/>
          <w:highlight w:val="none"/>
          <w:u w:val="single"/>
        </w:rPr>
        <w:t>小</w:t>
      </w:r>
      <w:r>
        <w:rPr>
          <w:rFonts w:hint="eastAsia"/>
          <w:color w:val="auto"/>
          <w:sz w:val="24"/>
          <w:highlight w:val="none"/>
          <w:u w:val="single"/>
        </w:rPr>
        <w:t>型企业、微型企业）；</w:t>
      </w:r>
    </w:p>
    <w:p w14:paraId="41B4F4A8">
      <w:pPr>
        <w:pStyle w:val="19"/>
        <w:keepNext w:val="0"/>
        <w:keepLines w:val="0"/>
        <w:pageBreakBefore w:val="0"/>
        <w:widowControl w:val="0"/>
        <w:kinsoku/>
        <w:wordWrap/>
        <w:overflowPunct/>
        <w:topLinePunct w:val="0"/>
        <w:bidi w:val="0"/>
        <w:spacing w:line="360" w:lineRule="auto"/>
        <w:ind w:firstLine="480" w:firstLineChars="200"/>
        <w:jc w:val="left"/>
        <w:rPr>
          <w:rFonts w:hint="eastAsia"/>
          <w:color w:val="auto"/>
          <w:sz w:val="24"/>
          <w:highlight w:val="none"/>
        </w:rPr>
      </w:pPr>
    </w:p>
    <w:p w14:paraId="2AD33CA8">
      <w:pPr>
        <w:pStyle w:val="45"/>
        <w:keepNext w:val="0"/>
        <w:keepLines w:val="0"/>
        <w:pageBreakBefore w:val="0"/>
        <w:widowControl w:val="0"/>
        <w:kinsoku/>
        <w:wordWrap/>
        <w:overflowPunct/>
        <w:topLinePunct w:val="0"/>
        <w:bidi w:val="0"/>
        <w:spacing w:after="0" w:line="360" w:lineRule="auto"/>
        <w:ind w:left="0" w:leftChars="0" w:firstLine="480"/>
        <w:rPr>
          <w:rFonts w:hint="eastAsia"/>
          <w:color w:val="auto"/>
          <w:sz w:val="24"/>
          <w:highlight w:val="none"/>
        </w:rPr>
      </w:pPr>
      <w:r>
        <w:rPr>
          <w:rFonts w:hint="eastAsia"/>
          <w:color w:val="auto"/>
          <w:sz w:val="24"/>
          <w:highlight w:val="none"/>
        </w:rPr>
        <w:t>……</w:t>
      </w:r>
    </w:p>
    <w:p w14:paraId="5E0BCEFF">
      <w:pPr>
        <w:pStyle w:val="45"/>
        <w:keepNext w:val="0"/>
        <w:keepLines w:val="0"/>
        <w:pageBreakBefore w:val="0"/>
        <w:widowControl w:val="0"/>
        <w:kinsoku/>
        <w:wordWrap/>
        <w:overflowPunct/>
        <w:topLinePunct w:val="0"/>
        <w:bidi w:val="0"/>
        <w:spacing w:after="0" w:line="360" w:lineRule="auto"/>
        <w:ind w:left="0" w:leftChars="0" w:firstLine="480"/>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552F14CC">
      <w:pPr>
        <w:pStyle w:val="45"/>
        <w:keepNext w:val="0"/>
        <w:keepLines w:val="0"/>
        <w:pageBreakBefore w:val="0"/>
        <w:widowControl w:val="0"/>
        <w:kinsoku/>
        <w:wordWrap/>
        <w:overflowPunct/>
        <w:topLinePunct w:val="0"/>
        <w:bidi w:val="0"/>
        <w:spacing w:after="0" w:line="360" w:lineRule="auto"/>
        <w:ind w:left="0" w:leftChars="0" w:firstLine="480"/>
        <w:rPr>
          <w:rFonts w:hint="eastAsia"/>
          <w:color w:val="auto"/>
          <w:sz w:val="24"/>
          <w:highlight w:val="none"/>
        </w:rPr>
      </w:pPr>
      <w:r>
        <w:rPr>
          <w:rFonts w:hint="eastAsia"/>
          <w:color w:val="auto"/>
          <w:sz w:val="24"/>
          <w:highlight w:val="none"/>
        </w:rPr>
        <w:t>本企业对上述声明内容的真实性负责。如有虚假，将依法承担相应责任。</w:t>
      </w:r>
    </w:p>
    <w:p w14:paraId="4EE12A11">
      <w:pPr>
        <w:pStyle w:val="45"/>
        <w:keepNext w:val="0"/>
        <w:keepLines w:val="0"/>
        <w:pageBreakBefore w:val="0"/>
        <w:widowControl w:val="0"/>
        <w:kinsoku/>
        <w:wordWrap/>
        <w:overflowPunct/>
        <w:topLinePunct w:val="0"/>
        <w:bidi w:val="0"/>
        <w:spacing w:after="0" w:line="360" w:lineRule="auto"/>
        <w:ind w:left="0" w:leftChars="0" w:firstLine="480"/>
        <w:rPr>
          <w:rFonts w:hint="eastAsia"/>
          <w:color w:val="auto"/>
          <w:sz w:val="24"/>
          <w:highlight w:val="none"/>
        </w:rPr>
      </w:pPr>
    </w:p>
    <w:p w14:paraId="35A4A43A">
      <w:pPr>
        <w:pStyle w:val="356"/>
        <w:keepNext w:val="0"/>
        <w:keepLines w:val="0"/>
        <w:pageBreakBefore w:val="0"/>
        <w:widowControl w:val="0"/>
        <w:kinsoku/>
        <w:wordWrap/>
        <w:overflowPunct/>
        <w:topLinePunct w:val="0"/>
        <w:autoSpaceDE/>
        <w:autoSpaceDN/>
        <w:bidi w:val="0"/>
        <w:spacing w:line="360" w:lineRule="auto"/>
        <w:ind w:left="141" w:leftChars="50" w:right="-35" w:hanging="36" w:hangingChars="15"/>
        <w:jc w:val="right"/>
        <w:rPr>
          <w:rFonts w:hint="eastAsia"/>
          <w:color w:val="auto"/>
          <w:highlight w:val="none"/>
          <w:u w:val="single"/>
          <w:lang w:eastAsia="zh-CN"/>
        </w:rPr>
      </w:pPr>
      <w:r>
        <w:rPr>
          <w:rFonts w:hint="eastAsia"/>
          <w:color w:val="auto"/>
          <w:highlight w:val="none"/>
          <w:lang w:eastAsia="zh-CN"/>
        </w:rPr>
        <w:t>企业名称（盖章）：</w:t>
      </w:r>
      <w:r>
        <w:rPr>
          <w:color w:val="auto"/>
          <w:highlight w:val="none"/>
          <w:u w:val="single"/>
          <w:lang w:eastAsia="zh-CN"/>
        </w:rPr>
        <w:t xml:space="preserve">                 .</w:t>
      </w:r>
    </w:p>
    <w:p w14:paraId="3627BF4D">
      <w:pPr>
        <w:pStyle w:val="356"/>
        <w:keepNext w:val="0"/>
        <w:keepLines w:val="0"/>
        <w:pageBreakBefore w:val="0"/>
        <w:widowControl w:val="0"/>
        <w:kinsoku/>
        <w:wordWrap/>
        <w:overflowPunct/>
        <w:topLinePunct w:val="0"/>
        <w:autoSpaceDE/>
        <w:autoSpaceDN/>
        <w:bidi w:val="0"/>
        <w:spacing w:line="360" w:lineRule="auto"/>
        <w:ind w:left="5141" w:leftChars="2448"/>
        <w:jc w:val="right"/>
        <w:rPr>
          <w:rFonts w:hint="eastAsia"/>
          <w:color w:val="auto"/>
          <w:highlight w:val="none"/>
          <w:lang w:eastAsia="zh-CN"/>
        </w:rPr>
      </w:pPr>
      <w:r>
        <w:rPr>
          <w:rFonts w:hint="eastAsia"/>
          <w:color w:val="auto"/>
          <w:highlight w:val="none"/>
          <w:lang w:eastAsia="zh-CN"/>
        </w:rPr>
        <w:t>日期：</w:t>
      </w:r>
      <w:r>
        <w:rPr>
          <w:color w:val="auto"/>
          <w:highlight w:val="none"/>
          <w:u w:val="single"/>
          <w:lang w:eastAsia="zh-CN"/>
        </w:rPr>
        <w:t xml:space="preserve">    </w:t>
      </w:r>
      <w:r>
        <w:rPr>
          <w:color w:val="auto"/>
          <w:highlight w:val="none"/>
          <w:lang w:eastAsia="zh-CN"/>
        </w:rPr>
        <w:t>年</w:t>
      </w:r>
      <w:r>
        <w:rPr>
          <w:color w:val="auto"/>
          <w:highlight w:val="none"/>
          <w:u w:val="single"/>
          <w:lang w:eastAsia="zh-CN"/>
        </w:rPr>
        <w:t xml:space="preserve">    </w:t>
      </w:r>
      <w:r>
        <w:rPr>
          <w:color w:val="auto"/>
          <w:highlight w:val="none"/>
          <w:lang w:eastAsia="zh-CN"/>
        </w:rPr>
        <w:t>月</w:t>
      </w:r>
      <w:r>
        <w:rPr>
          <w:color w:val="auto"/>
          <w:highlight w:val="none"/>
          <w:u w:val="single"/>
          <w:lang w:eastAsia="zh-CN"/>
        </w:rPr>
        <w:t xml:space="preserve">    </w:t>
      </w:r>
      <w:r>
        <w:rPr>
          <w:color w:val="auto"/>
          <w:highlight w:val="none"/>
          <w:lang w:eastAsia="zh-CN"/>
        </w:rPr>
        <w:t>日</w:t>
      </w:r>
    </w:p>
    <w:p w14:paraId="6B28743D">
      <w:pPr>
        <w:pStyle w:val="356"/>
        <w:keepNext w:val="0"/>
        <w:keepLines w:val="0"/>
        <w:pageBreakBefore w:val="0"/>
        <w:widowControl w:val="0"/>
        <w:kinsoku/>
        <w:wordWrap/>
        <w:overflowPunct/>
        <w:topLinePunct w:val="0"/>
        <w:autoSpaceDE/>
        <w:autoSpaceDN/>
        <w:bidi w:val="0"/>
        <w:spacing w:line="360" w:lineRule="auto"/>
        <w:ind w:firstLine="0" w:firstLineChars="0"/>
        <w:rPr>
          <w:rFonts w:hint="eastAsia"/>
          <w:b/>
          <w:bCs/>
          <w:color w:val="auto"/>
          <w:sz w:val="21"/>
          <w:szCs w:val="21"/>
          <w:highlight w:val="none"/>
          <w:lang w:eastAsia="zh-CN"/>
        </w:rPr>
      </w:pPr>
    </w:p>
    <w:p w14:paraId="6F679E9E">
      <w:pPr>
        <w:pStyle w:val="356"/>
        <w:keepNext w:val="0"/>
        <w:keepLines w:val="0"/>
        <w:pageBreakBefore w:val="0"/>
        <w:widowControl w:val="0"/>
        <w:kinsoku/>
        <w:wordWrap/>
        <w:overflowPunct/>
        <w:topLinePunct w:val="0"/>
        <w:autoSpaceDE/>
        <w:autoSpaceDN/>
        <w:bidi w:val="0"/>
        <w:spacing w:line="360" w:lineRule="auto"/>
        <w:ind w:firstLine="0" w:firstLineChars="0"/>
        <w:rPr>
          <w:rFonts w:hint="eastAsia"/>
          <w:b/>
          <w:bCs/>
          <w:color w:val="auto"/>
          <w:sz w:val="21"/>
          <w:szCs w:val="21"/>
          <w:highlight w:val="none"/>
          <w:lang w:eastAsia="zh-CN"/>
        </w:rPr>
      </w:pPr>
      <w:r>
        <w:rPr>
          <w:rFonts w:hint="eastAsia"/>
          <w:b/>
          <w:bCs/>
          <w:color w:val="auto"/>
          <w:sz w:val="21"/>
          <w:szCs w:val="21"/>
          <w:highlight w:val="none"/>
          <w:lang w:eastAsia="zh-CN"/>
        </w:rPr>
        <w:t>说明：</w:t>
      </w:r>
    </w:p>
    <w:p w14:paraId="018827CD">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color w:val="auto"/>
          <w:szCs w:val="21"/>
          <w:highlight w:val="none"/>
        </w:rPr>
        <w:t>1.</w:t>
      </w: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p w14:paraId="057CA030">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color w:val="auto"/>
          <w:szCs w:val="21"/>
          <w:highlight w:val="none"/>
        </w:rPr>
        <w:t>2.针对属于专门面向中小企业采购的项目，供应商须提供本声明函。</w:t>
      </w:r>
    </w:p>
    <w:p w14:paraId="23288801">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color w:val="auto"/>
          <w:szCs w:val="21"/>
          <w:highlight w:val="none"/>
        </w:rPr>
        <w:t>3.针对不属于专门面向中小企业采购的项目，</w:t>
      </w:r>
      <w:r>
        <w:rPr>
          <w:rFonts w:hint="eastAsia"/>
          <w:color w:val="auto"/>
          <w:szCs w:val="21"/>
          <w:highlight w:val="none"/>
        </w:rPr>
        <w:t>承建本项目工程为中小企业或者承接本项目服务为中小企业时</w:t>
      </w:r>
      <w:r>
        <w:rPr>
          <w:color w:val="auto"/>
          <w:szCs w:val="21"/>
          <w:highlight w:val="none"/>
        </w:rPr>
        <w:t>，可选择提供本声明函，填写相应信息，并明确企业类型，否则评审时不能享受相应的价格扣除；如供应商认为其非中小企业的，则无须提供本声明函。</w:t>
      </w:r>
    </w:p>
    <w:p w14:paraId="7405A82B">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color w:val="auto"/>
          <w:szCs w:val="21"/>
          <w:highlight w:val="none"/>
        </w:rPr>
        <w:t>4.供应商应当对其出具的《中小企业声明函》真实性负责，供应商出具的《中小企业声明函》内容不实的，属于虚假承诺，可能面临因提供虚假资料谋取中标（成交）被监管部门追究相关法律责任。请供应商务必依据规定谨慎提供声明，避免不必要的法律风险。</w:t>
      </w:r>
    </w:p>
    <w:p w14:paraId="7E0EDF60">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color w:val="auto"/>
          <w:szCs w:val="21"/>
          <w:highlight w:val="none"/>
        </w:rPr>
        <w:t>5.</w:t>
      </w:r>
      <w:r>
        <w:rPr>
          <w:rFonts w:hint="eastAsia"/>
          <w:color w:val="auto"/>
          <w:szCs w:val="21"/>
          <w:highlight w:val="none"/>
        </w:rPr>
        <w:t>所属行业填写采购文件中明确的本项目所属行业</w:t>
      </w:r>
      <w:r>
        <w:rPr>
          <w:color w:val="auto"/>
          <w:szCs w:val="21"/>
          <w:highlight w:val="none"/>
        </w:rPr>
        <w:t>。</w:t>
      </w:r>
    </w:p>
    <w:p w14:paraId="71D57DE6">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color w:val="auto"/>
          <w:szCs w:val="21"/>
          <w:highlight w:val="none"/>
        </w:rPr>
        <w:t xml:space="preserve">6.供应商根据采购文件中明确的行业所对应的划分标准，判断其是否属于中小企业，如属于中小企业，请根据自身情况三选一（中型企业、小型企业、微型企业）填写。 </w:t>
      </w:r>
    </w:p>
    <w:p w14:paraId="51070C6E">
      <w:pPr>
        <w:pStyle w:val="45"/>
        <w:keepNext w:val="0"/>
        <w:keepLines w:val="0"/>
        <w:pageBreakBefore w:val="0"/>
        <w:widowControl w:val="0"/>
        <w:kinsoku/>
        <w:wordWrap/>
        <w:overflowPunct/>
        <w:topLinePunct w:val="0"/>
        <w:bidi w:val="0"/>
        <w:spacing w:after="0" w:line="360" w:lineRule="auto"/>
        <w:ind w:left="0" w:leftChars="0"/>
        <w:rPr>
          <w:rFonts w:hint="eastAsia"/>
          <w:color w:val="auto"/>
          <w:sz w:val="28"/>
          <w:highlight w:val="none"/>
        </w:rPr>
      </w:pPr>
      <w:r>
        <w:rPr>
          <w:color w:val="auto"/>
          <w:szCs w:val="21"/>
          <w:highlight w:val="none"/>
        </w:rPr>
        <w:t>7.为方便广大中小企业识别企业规模类型，可通过中小企业规模类型自测小程序（https://baosong.miit.gov.cn/ScaleTest）进行查询。</w:t>
      </w:r>
    </w:p>
    <w:p w14:paraId="7D6F6257">
      <w:pPr>
        <w:keepNext w:val="0"/>
        <w:keepLines w:val="0"/>
        <w:pageBreakBefore w:val="0"/>
        <w:widowControl w:val="0"/>
        <w:kinsoku/>
        <w:wordWrap/>
        <w:overflowPunct/>
        <w:topLinePunct w:val="0"/>
        <w:bidi w:val="0"/>
        <w:spacing w:line="360" w:lineRule="auto"/>
        <w:rPr>
          <w:rFonts w:hint="eastAsia"/>
          <w:b/>
          <w:bCs/>
          <w:color w:val="auto"/>
          <w:sz w:val="24"/>
          <w:highlight w:val="none"/>
        </w:rPr>
      </w:pPr>
      <w:r>
        <w:rPr>
          <w:color w:val="auto"/>
          <w:sz w:val="24"/>
          <w:highlight w:val="none"/>
        </w:rPr>
        <w:br w:type="page"/>
      </w:r>
    </w:p>
    <w:p w14:paraId="630F8872">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46" w:name="_Toc26203"/>
      <w:bookmarkStart w:id="247" w:name="_Toc104040767"/>
      <w:bookmarkStart w:id="248" w:name="_Toc104040713"/>
      <w:r>
        <w:rPr>
          <w:rFonts w:hint="eastAsia" w:ascii="宋体" w:hAnsi="宋体" w:eastAsia="宋体"/>
          <w:color w:val="auto"/>
          <w:sz w:val="24"/>
          <w:szCs w:val="24"/>
          <w:highlight w:val="none"/>
        </w:rPr>
        <w:t>监狱企业</w:t>
      </w:r>
      <w:bookmarkEnd w:id="245"/>
      <w:bookmarkEnd w:id="246"/>
      <w:bookmarkEnd w:id="247"/>
      <w:bookmarkEnd w:id="248"/>
    </w:p>
    <w:p w14:paraId="4F422AB0">
      <w:pPr>
        <w:keepNext w:val="0"/>
        <w:keepLines w:val="0"/>
        <w:pageBreakBefore w:val="0"/>
        <w:widowControl w:val="0"/>
        <w:kinsoku/>
        <w:wordWrap/>
        <w:overflowPunct/>
        <w:topLinePunct w:val="0"/>
        <w:bidi w:val="0"/>
        <w:spacing w:line="360" w:lineRule="auto"/>
        <w:rPr>
          <w:rFonts w:hint="eastAsia" w:cs="宋体"/>
          <w:i/>
          <w:iCs/>
          <w:color w:val="auto"/>
          <w:szCs w:val="21"/>
          <w:highlight w:val="none"/>
        </w:rPr>
      </w:pPr>
      <w:r>
        <w:rPr>
          <w:rFonts w:hint="eastAsia" w:cs="宋体"/>
          <w:i/>
          <w:iCs/>
          <w:color w:val="auto"/>
          <w:szCs w:val="21"/>
          <w:highlight w:val="none"/>
        </w:rPr>
        <w:t>（以下格式文件由供应商根据需要选用）</w:t>
      </w:r>
    </w:p>
    <w:p w14:paraId="63AEF689">
      <w:pPr>
        <w:pStyle w:val="19"/>
        <w:keepNext w:val="0"/>
        <w:keepLines w:val="0"/>
        <w:pageBreakBefore w:val="0"/>
        <w:widowControl w:val="0"/>
        <w:kinsoku/>
        <w:wordWrap/>
        <w:overflowPunct/>
        <w:topLinePunct w:val="0"/>
        <w:bidi w:val="0"/>
        <w:spacing w:line="360" w:lineRule="auto"/>
        <w:jc w:val="center"/>
        <w:rPr>
          <w:rFonts w:hint="eastAsia"/>
          <w:b/>
          <w:bCs/>
          <w:color w:val="auto"/>
          <w:sz w:val="28"/>
          <w:szCs w:val="36"/>
          <w:highlight w:val="none"/>
        </w:rPr>
      </w:pPr>
      <w:r>
        <w:rPr>
          <w:rFonts w:hint="eastAsia"/>
          <w:b/>
          <w:bCs/>
          <w:color w:val="auto"/>
          <w:sz w:val="28"/>
          <w:szCs w:val="36"/>
          <w:highlight w:val="none"/>
        </w:rPr>
        <w:t>监狱企业</w:t>
      </w:r>
    </w:p>
    <w:p w14:paraId="1E15D456">
      <w:pPr>
        <w:pStyle w:val="19"/>
        <w:keepNext w:val="0"/>
        <w:keepLines w:val="0"/>
        <w:pageBreakBefore w:val="0"/>
        <w:widowControl w:val="0"/>
        <w:kinsoku/>
        <w:wordWrap/>
        <w:overflowPunct/>
        <w:topLinePunct w:val="0"/>
        <w:bidi w:val="0"/>
        <w:spacing w:line="360" w:lineRule="auto"/>
        <w:rPr>
          <w:rFonts w:hint="eastAsia"/>
          <w:color w:val="auto"/>
          <w:highlight w:val="none"/>
        </w:rPr>
      </w:pPr>
    </w:p>
    <w:p w14:paraId="2996D670">
      <w:pPr>
        <w:pStyle w:val="19"/>
        <w:keepNext w:val="0"/>
        <w:keepLines w:val="0"/>
        <w:pageBreakBefore w:val="0"/>
        <w:widowControl w:val="0"/>
        <w:kinsoku/>
        <w:wordWrap/>
        <w:overflowPunct/>
        <w:topLinePunct w:val="0"/>
        <w:bidi w:val="0"/>
        <w:spacing w:line="360" w:lineRule="auto"/>
        <w:rPr>
          <w:rFonts w:hint="eastAsia"/>
          <w:color w:val="auto"/>
          <w:sz w:val="24"/>
          <w:highlight w:val="none"/>
        </w:rPr>
      </w:pPr>
      <w:r>
        <w:rPr>
          <w:rFonts w:hint="eastAsia"/>
          <w:color w:val="auto"/>
          <w:szCs w:val="20"/>
          <w:highlight w:val="none"/>
        </w:rPr>
        <w:t>提供由监狱管理局、戒毒管理局（含新疆生产建设兵团）出具的属于监狱企业的证明文件。</w:t>
      </w:r>
    </w:p>
    <w:p w14:paraId="46675C4E">
      <w:pPr>
        <w:keepNext w:val="0"/>
        <w:keepLines w:val="0"/>
        <w:pageBreakBefore w:val="0"/>
        <w:widowControl w:val="0"/>
        <w:kinsoku/>
        <w:wordWrap/>
        <w:overflowPunct/>
        <w:topLinePunct w:val="0"/>
        <w:bidi w:val="0"/>
        <w:spacing w:line="360" w:lineRule="auto"/>
        <w:jc w:val="left"/>
        <w:rPr>
          <w:rFonts w:hint="eastAsia"/>
          <w:color w:val="auto"/>
          <w:sz w:val="28"/>
          <w:highlight w:val="none"/>
        </w:rPr>
      </w:pPr>
    </w:p>
    <w:p w14:paraId="4E726184">
      <w:pPr>
        <w:pStyle w:val="19"/>
        <w:keepNext w:val="0"/>
        <w:keepLines w:val="0"/>
        <w:pageBreakBefore w:val="0"/>
        <w:widowControl w:val="0"/>
        <w:kinsoku/>
        <w:wordWrap/>
        <w:overflowPunct/>
        <w:topLinePunct w:val="0"/>
        <w:autoSpaceDE/>
        <w:autoSpaceDN/>
        <w:bidi w:val="0"/>
        <w:spacing w:line="360" w:lineRule="auto"/>
        <w:rPr>
          <w:rFonts w:ascii="Courier New" w:hAnsi="Courier New"/>
          <w:color w:val="auto"/>
          <w:szCs w:val="21"/>
          <w:highlight w:val="none"/>
          <w:lang w:eastAsia="zh-CN"/>
        </w:rPr>
      </w:pPr>
      <w:r>
        <w:rPr>
          <w:rFonts w:hint="eastAsia"/>
          <w:color w:val="auto"/>
          <w:szCs w:val="21"/>
          <w:highlight w:val="none"/>
          <w:lang w:eastAsia="zh-CN"/>
        </w:rPr>
        <w:t>说明：</w:t>
      </w:r>
    </w:p>
    <w:p w14:paraId="4B39A370">
      <w:pPr>
        <w:pStyle w:val="19"/>
        <w:keepNext w:val="0"/>
        <w:keepLines w:val="0"/>
        <w:pageBreakBefore w:val="0"/>
        <w:widowControl w:val="0"/>
        <w:kinsoku/>
        <w:wordWrap/>
        <w:overflowPunct/>
        <w:topLinePunct w:val="0"/>
        <w:autoSpaceDE/>
        <w:autoSpaceDN/>
        <w:bidi w:val="0"/>
        <w:spacing w:line="360" w:lineRule="auto"/>
        <w:rPr>
          <w:rFonts w:hint="eastAsia"/>
          <w:color w:val="auto"/>
          <w:szCs w:val="21"/>
          <w:highlight w:val="none"/>
          <w:lang w:eastAsia="zh-CN"/>
        </w:rPr>
      </w:pPr>
      <w:r>
        <w:rPr>
          <w:rFonts w:hint="eastAsia"/>
          <w:color w:val="auto"/>
          <w:szCs w:val="21"/>
          <w:highlight w:val="none"/>
          <w:lang w:eastAsia="zh-CN"/>
        </w:rPr>
        <w:t>1.监狱企业参加采购活动时，提供由监狱管理局、戒毒管理局（含新疆生产建设兵团）出具的属于监狱企业的证明文件；</w:t>
      </w:r>
    </w:p>
    <w:p w14:paraId="712A8D61">
      <w:pPr>
        <w:pStyle w:val="19"/>
        <w:keepNext w:val="0"/>
        <w:keepLines w:val="0"/>
        <w:pageBreakBefore w:val="0"/>
        <w:widowControl w:val="0"/>
        <w:kinsoku/>
        <w:wordWrap/>
        <w:overflowPunct/>
        <w:topLinePunct w:val="0"/>
        <w:autoSpaceDE/>
        <w:autoSpaceDN/>
        <w:bidi w:val="0"/>
        <w:spacing w:line="360" w:lineRule="auto"/>
        <w:rPr>
          <w:rFonts w:hint="eastAsia"/>
          <w:color w:val="auto"/>
          <w:szCs w:val="21"/>
          <w:highlight w:val="none"/>
          <w:lang w:eastAsia="zh-CN"/>
        </w:rPr>
      </w:pPr>
      <w:r>
        <w:rPr>
          <w:rFonts w:hint="eastAsia"/>
          <w:color w:val="auto"/>
          <w:szCs w:val="21"/>
          <w:highlight w:val="none"/>
          <w:lang w:eastAsia="zh-CN"/>
        </w:rPr>
        <w:t>2.</w:t>
      </w:r>
      <w:r>
        <w:rPr>
          <w:rFonts w:hint="eastAsia"/>
          <w:color w:val="auto"/>
          <w:szCs w:val="20"/>
          <w:highlight w:val="none"/>
          <w:lang w:eastAsia="zh-CN"/>
        </w:rPr>
        <w:t>如</w:t>
      </w:r>
      <w:r>
        <w:rPr>
          <w:rFonts w:hint="eastAsia"/>
          <w:color w:val="auto"/>
          <w:szCs w:val="20"/>
          <w:highlight w:val="none"/>
          <w:lang w:val="en-US" w:eastAsia="zh-CN"/>
        </w:rPr>
        <w:t>不涉及</w:t>
      </w:r>
      <w:r>
        <w:rPr>
          <w:rFonts w:hint="eastAsia"/>
          <w:color w:val="auto"/>
          <w:szCs w:val="20"/>
          <w:highlight w:val="none"/>
          <w:lang w:eastAsia="zh-CN"/>
        </w:rPr>
        <w:t>则无须提供</w:t>
      </w:r>
      <w:r>
        <w:rPr>
          <w:rFonts w:hint="eastAsia"/>
          <w:color w:val="auto"/>
          <w:szCs w:val="21"/>
          <w:highlight w:val="none"/>
          <w:lang w:eastAsia="zh-CN"/>
        </w:rPr>
        <w:t>。</w:t>
      </w:r>
    </w:p>
    <w:p w14:paraId="64A1FF90">
      <w:pPr>
        <w:keepNext w:val="0"/>
        <w:keepLines w:val="0"/>
        <w:pageBreakBefore w:val="0"/>
        <w:widowControl w:val="0"/>
        <w:kinsoku/>
        <w:wordWrap/>
        <w:overflowPunct/>
        <w:topLinePunct w:val="0"/>
        <w:bidi w:val="0"/>
        <w:spacing w:line="360" w:lineRule="auto"/>
        <w:jc w:val="left"/>
        <w:rPr>
          <w:rFonts w:hint="eastAsia"/>
          <w:color w:val="auto"/>
          <w:sz w:val="28"/>
          <w:highlight w:val="none"/>
        </w:rPr>
      </w:pPr>
    </w:p>
    <w:p w14:paraId="3035BAEF">
      <w:pPr>
        <w:pStyle w:val="19"/>
        <w:keepNext w:val="0"/>
        <w:keepLines w:val="0"/>
        <w:pageBreakBefore w:val="0"/>
        <w:widowControl w:val="0"/>
        <w:kinsoku/>
        <w:wordWrap/>
        <w:overflowPunct/>
        <w:topLinePunct w:val="0"/>
        <w:bidi w:val="0"/>
        <w:spacing w:line="360" w:lineRule="auto"/>
        <w:rPr>
          <w:rFonts w:hint="eastAsia"/>
          <w:color w:val="auto"/>
          <w:highlight w:val="none"/>
        </w:rPr>
      </w:pPr>
    </w:p>
    <w:p w14:paraId="6F30C2A1">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49" w:name="_Toc104040768"/>
      <w:bookmarkStart w:id="250" w:name="_Toc103033244"/>
      <w:bookmarkStart w:id="251" w:name="_Toc12696"/>
      <w:bookmarkStart w:id="252" w:name="_Toc104040714"/>
      <w:r>
        <w:rPr>
          <w:rFonts w:hint="eastAsia" w:ascii="宋体" w:hAnsi="宋体" w:eastAsia="宋体"/>
          <w:color w:val="auto"/>
          <w:sz w:val="24"/>
          <w:szCs w:val="24"/>
          <w:highlight w:val="none"/>
        </w:rPr>
        <w:t>残疾人福利性单位声明</w:t>
      </w:r>
      <w:bookmarkEnd w:id="249"/>
      <w:bookmarkEnd w:id="250"/>
      <w:bookmarkEnd w:id="251"/>
      <w:bookmarkEnd w:id="252"/>
    </w:p>
    <w:p w14:paraId="7C4DDB9C">
      <w:pPr>
        <w:keepNext w:val="0"/>
        <w:keepLines w:val="0"/>
        <w:pageBreakBefore w:val="0"/>
        <w:widowControl w:val="0"/>
        <w:kinsoku/>
        <w:wordWrap/>
        <w:overflowPunct/>
        <w:topLinePunct w:val="0"/>
        <w:bidi w:val="0"/>
        <w:spacing w:line="360" w:lineRule="auto"/>
        <w:rPr>
          <w:rFonts w:hint="eastAsia" w:cs="宋体"/>
          <w:i/>
          <w:iCs/>
          <w:color w:val="auto"/>
          <w:szCs w:val="21"/>
          <w:highlight w:val="none"/>
        </w:rPr>
      </w:pPr>
      <w:r>
        <w:rPr>
          <w:rFonts w:hint="eastAsia" w:cs="宋体"/>
          <w:i/>
          <w:iCs/>
          <w:color w:val="auto"/>
          <w:szCs w:val="21"/>
          <w:highlight w:val="none"/>
        </w:rPr>
        <w:t>（以下格式文件由供应商根据需要选用）</w:t>
      </w:r>
    </w:p>
    <w:p w14:paraId="3C6D5D37">
      <w:pPr>
        <w:pStyle w:val="19"/>
        <w:keepNext w:val="0"/>
        <w:keepLines w:val="0"/>
        <w:pageBreakBefore w:val="0"/>
        <w:widowControl w:val="0"/>
        <w:kinsoku/>
        <w:wordWrap/>
        <w:overflowPunct/>
        <w:topLinePunct w:val="0"/>
        <w:bidi w:val="0"/>
        <w:spacing w:line="360" w:lineRule="auto"/>
        <w:jc w:val="center"/>
        <w:rPr>
          <w:rFonts w:hint="eastAsia"/>
          <w:b/>
          <w:bCs/>
          <w:color w:val="auto"/>
          <w:sz w:val="28"/>
          <w:szCs w:val="36"/>
          <w:highlight w:val="none"/>
        </w:rPr>
      </w:pPr>
      <w:r>
        <w:rPr>
          <w:rFonts w:hint="eastAsia"/>
          <w:b/>
          <w:bCs/>
          <w:color w:val="auto"/>
          <w:sz w:val="28"/>
          <w:szCs w:val="36"/>
          <w:highlight w:val="none"/>
        </w:rPr>
        <w:t>残疾人福利性单位声明函</w:t>
      </w:r>
    </w:p>
    <w:p w14:paraId="6BA9D5B3">
      <w:pPr>
        <w:keepNext w:val="0"/>
        <w:keepLines w:val="0"/>
        <w:pageBreakBefore w:val="0"/>
        <w:widowControl w:val="0"/>
        <w:kinsoku/>
        <w:wordWrap/>
        <w:overflowPunct/>
        <w:topLinePunct w:val="0"/>
        <w:bidi w:val="0"/>
        <w:spacing w:line="360" w:lineRule="auto"/>
        <w:ind w:firstLine="504" w:firstLineChars="200"/>
        <w:rPr>
          <w:rFonts w:hint="eastAsia"/>
          <w:color w:val="auto"/>
          <w:spacing w:val="6"/>
          <w:sz w:val="24"/>
          <w:highlight w:val="none"/>
        </w:rPr>
      </w:pPr>
      <w:r>
        <w:rPr>
          <w:rFonts w:hint="eastAsia"/>
          <w:color w:val="auto"/>
          <w:spacing w:val="6"/>
          <w:sz w:val="24"/>
          <w:highlight w:val="none"/>
        </w:rPr>
        <w:t>本单位郑重声明，根据《财政部 民政部 中国残疾人联合会关于促进残疾人就业政府采购政策的通知》（财库</w:t>
      </w:r>
      <w:r>
        <w:rPr>
          <w:rFonts w:hint="eastAsia"/>
          <w:color w:val="auto"/>
          <w:sz w:val="24"/>
          <w:highlight w:val="none"/>
        </w:rPr>
        <w:t>〔2017〕 141</w:t>
      </w:r>
      <w:r>
        <w:rPr>
          <w:rFonts w:hint="eastAsia"/>
          <w:color w:val="auto"/>
          <w:spacing w:val="6"/>
          <w:sz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7417CA2">
      <w:pPr>
        <w:keepNext w:val="0"/>
        <w:keepLines w:val="0"/>
        <w:pageBreakBefore w:val="0"/>
        <w:widowControl w:val="0"/>
        <w:kinsoku/>
        <w:wordWrap/>
        <w:overflowPunct/>
        <w:topLinePunct w:val="0"/>
        <w:bidi w:val="0"/>
        <w:spacing w:line="360" w:lineRule="auto"/>
        <w:ind w:firstLine="504" w:firstLineChars="200"/>
        <w:rPr>
          <w:rFonts w:hint="eastAsia"/>
          <w:color w:val="auto"/>
          <w:spacing w:val="6"/>
          <w:sz w:val="24"/>
          <w:highlight w:val="none"/>
        </w:rPr>
      </w:pPr>
      <w:r>
        <w:rPr>
          <w:rFonts w:hint="eastAsia"/>
          <w:color w:val="auto"/>
          <w:spacing w:val="6"/>
          <w:sz w:val="24"/>
          <w:highlight w:val="none"/>
        </w:rPr>
        <w:t>本单位对上述声明的真实性负责。如有虚假，将依法承担相应责任。</w:t>
      </w:r>
    </w:p>
    <w:p w14:paraId="27570BFD">
      <w:pPr>
        <w:keepNext w:val="0"/>
        <w:keepLines w:val="0"/>
        <w:pageBreakBefore w:val="0"/>
        <w:widowControl w:val="0"/>
        <w:kinsoku/>
        <w:wordWrap/>
        <w:overflowPunct/>
        <w:topLinePunct w:val="0"/>
        <w:bidi w:val="0"/>
        <w:spacing w:line="360" w:lineRule="auto"/>
        <w:ind w:firstLine="504" w:firstLineChars="200"/>
        <w:rPr>
          <w:rFonts w:hint="eastAsia"/>
          <w:color w:val="auto"/>
          <w:spacing w:val="6"/>
          <w:sz w:val="24"/>
          <w:highlight w:val="none"/>
        </w:rPr>
      </w:pPr>
    </w:p>
    <w:p w14:paraId="25EA3E79">
      <w:pPr>
        <w:keepNext w:val="0"/>
        <w:keepLines w:val="0"/>
        <w:pageBreakBefore w:val="0"/>
        <w:widowControl w:val="0"/>
        <w:kinsoku/>
        <w:wordWrap/>
        <w:overflowPunct/>
        <w:topLinePunct w:val="0"/>
        <w:bidi w:val="0"/>
        <w:adjustRightInd w:val="0"/>
        <w:snapToGrid w:val="0"/>
        <w:spacing w:line="360" w:lineRule="auto"/>
        <w:ind w:right="91"/>
        <w:jc w:val="right"/>
        <w:rPr>
          <w:rFonts w:hint="eastAsia"/>
          <w:color w:val="auto"/>
          <w:sz w:val="24"/>
          <w:highlight w:val="none"/>
          <w:u w:val="single"/>
        </w:rPr>
      </w:pPr>
      <w:r>
        <w:rPr>
          <w:rFonts w:hint="eastAsia"/>
          <w:color w:val="auto"/>
          <w:sz w:val="24"/>
          <w:highlight w:val="none"/>
        </w:rPr>
        <w:t>单位名称（盖章）：</w:t>
      </w:r>
      <w:r>
        <w:rPr>
          <w:rFonts w:hint="eastAsia"/>
          <w:color w:val="auto"/>
          <w:sz w:val="24"/>
          <w:highlight w:val="none"/>
          <w:u w:val="single"/>
        </w:rPr>
        <w:t xml:space="preserve"> </w:t>
      </w:r>
      <w:r>
        <w:rPr>
          <w:color w:val="auto"/>
          <w:sz w:val="24"/>
          <w:highlight w:val="none"/>
          <w:u w:val="single"/>
        </w:rPr>
        <w:t xml:space="preserve">                   .</w:t>
      </w:r>
    </w:p>
    <w:p w14:paraId="570F625A">
      <w:pPr>
        <w:keepNext w:val="0"/>
        <w:keepLines w:val="0"/>
        <w:pageBreakBefore w:val="0"/>
        <w:widowControl w:val="0"/>
        <w:kinsoku/>
        <w:wordWrap/>
        <w:overflowPunct/>
        <w:topLinePunct w:val="0"/>
        <w:bidi w:val="0"/>
        <w:adjustRightInd w:val="0"/>
        <w:snapToGrid w:val="0"/>
        <w:spacing w:line="360" w:lineRule="auto"/>
        <w:ind w:right="91"/>
        <w:jc w:val="right"/>
        <w:rPr>
          <w:rFonts w:hint="eastAsia"/>
          <w:color w:val="auto"/>
          <w:sz w:val="24"/>
          <w:highlight w:val="none"/>
        </w:rPr>
      </w:pPr>
      <w:r>
        <w:rPr>
          <w:rFonts w:hint="eastAsia"/>
          <w:color w:val="auto"/>
          <w:sz w:val="24"/>
          <w:highlight w:val="none"/>
        </w:rPr>
        <w:t>日期：</w:t>
      </w:r>
      <w:r>
        <w:rPr>
          <w:rFonts w:hint="eastAsia"/>
          <w:color w:val="auto"/>
          <w:sz w:val="24"/>
          <w:highlight w:val="none"/>
          <w:u w:val="single"/>
        </w:rPr>
        <w:t xml:space="preserve">      </w:t>
      </w:r>
      <w:r>
        <w:rPr>
          <w:rFonts w:hint="eastAsia"/>
          <w:color w:val="auto"/>
          <w:sz w:val="24"/>
          <w:highlight w:val="none"/>
        </w:rPr>
        <w:t>年</w:t>
      </w:r>
      <w:r>
        <w:rPr>
          <w:rFonts w:hint="eastAsia"/>
          <w:color w:val="auto"/>
          <w:sz w:val="24"/>
          <w:highlight w:val="none"/>
          <w:u w:val="single"/>
        </w:rPr>
        <w:t xml:space="preserve">     </w:t>
      </w:r>
      <w:r>
        <w:rPr>
          <w:rFonts w:hint="eastAsia"/>
          <w:color w:val="auto"/>
          <w:sz w:val="24"/>
          <w:highlight w:val="none"/>
        </w:rPr>
        <w:t>月</w:t>
      </w:r>
      <w:r>
        <w:rPr>
          <w:rFonts w:hint="eastAsia"/>
          <w:color w:val="auto"/>
          <w:sz w:val="24"/>
          <w:highlight w:val="none"/>
          <w:u w:val="single"/>
        </w:rPr>
        <w:t xml:space="preserve">    </w:t>
      </w:r>
      <w:r>
        <w:rPr>
          <w:rFonts w:hint="eastAsia"/>
          <w:color w:val="auto"/>
          <w:sz w:val="24"/>
          <w:highlight w:val="none"/>
        </w:rPr>
        <w:t>日</w:t>
      </w:r>
    </w:p>
    <w:p w14:paraId="247529F9">
      <w:pPr>
        <w:keepNext w:val="0"/>
        <w:keepLines w:val="0"/>
        <w:pageBreakBefore w:val="0"/>
        <w:widowControl w:val="0"/>
        <w:tabs>
          <w:tab w:val="left" w:pos="4860"/>
        </w:tabs>
        <w:kinsoku/>
        <w:wordWrap/>
        <w:overflowPunct/>
        <w:topLinePunct w:val="0"/>
        <w:bidi w:val="0"/>
        <w:spacing w:line="360" w:lineRule="auto"/>
        <w:ind w:right="1560" w:firstLine="444" w:firstLineChars="200"/>
        <w:jc w:val="center"/>
        <w:rPr>
          <w:rFonts w:hint="eastAsia"/>
          <w:color w:val="auto"/>
          <w:spacing w:val="6"/>
          <w:szCs w:val="21"/>
          <w:highlight w:val="none"/>
        </w:rPr>
      </w:pPr>
    </w:p>
    <w:p w14:paraId="686F3F60">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color w:val="auto"/>
          <w:szCs w:val="21"/>
          <w:highlight w:val="none"/>
          <w:lang w:eastAsia="zh-CN"/>
        </w:rPr>
      </w:pPr>
      <w:r>
        <w:rPr>
          <w:rFonts w:hint="eastAsia"/>
          <w:color w:val="auto"/>
          <w:szCs w:val="21"/>
          <w:highlight w:val="none"/>
          <w:lang w:eastAsia="zh-CN"/>
        </w:rPr>
        <w:t>说明：</w:t>
      </w:r>
    </w:p>
    <w:p w14:paraId="63730E2D">
      <w:pPr>
        <w:pStyle w:val="45"/>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color w:val="auto"/>
          <w:szCs w:val="20"/>
          <w:highlight w:val="none"/>
          <w:lang w:eastAsia="zh-CN"/>
        </w:rPr>
      </w:pPr>
      <w:r>
        <w:rPr>
          <w:color w:val="auto"/>
          <w:szCs w:val="20"/>
          <w:highlight w:val="none"/>
          <w:lang w:eastAsia="zh-CN"/>
        </w:rPr>
        <w:t>1.</w:t>
      </w:r>
      <w:r>
        <w:rPr>
          <w:rFonts w:hint="eastAsia"/>
          <w:color w:val="auto"/>
          <w:szCs w:val="20"/>
          <w:highlight w:val="none"/>
          <w:lang w:eastAsia="zh-CN"/>
        </w:rPr>
        <w:t>本函未填写或未勾选视作未做声明；</w:t>
      </w:r>
    </w:p>
    <w:p w14:paraId="7722BC56">
      <w:pPr>
        <w:pStyle w:val="1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szCs w:val="21"/>
          <w:highlight w:val="none"/>
          <w:lang w:eastAsia="zh-CN"/>
        </w:rPr>
      </w:pPr>
      <w:r>
        <w:rPr>
          <w:rFonts w:hint="eastAsia"/>
          <w:color w:val="auto"/>
          <w:szCs w:val="20"/>
          <w:highlight w:val="none"/>
          <w:lang w:eastAsia="zh-CN"/>
        </w:rPr>
        <w:t>2</w:t>
      </w:r>
      <w:r>
        <w:rPr>
          <w:color w:val="auto"/>
          <w:szCs w:val="20"/>
          <w:highlight w:val="none"/>
          <w:lang w:eastAsia="zh-CN"/>
        </w:rPr>
        <w:t>.</w:t>
      </w:r>
      <w:r>
        <w:rPr>
          <w:rFonts w:hint="eastAsia"/>
          <w:color w:val="auto"/>
          <w:szCs w:val="20"/>
          <w:highlight w:val="none"/>
          <w:lang w:eastAsia="zh-CN"/>
        </w:rPr>
        <w:t>如</w:t>
      </w:r>
      <w:r>
        <w:rPr>
          <w:rFonts w:hint="eastAsia"/>
          <w:color w:val="auto"/>
          <w:szCs w:val="20"/>
          <w:highlight w:val="none"/>
          <w:lang w:val="en-US" w:eastAsia="zh-CN"/>
        </w:rPr>
        <w:t>不涉及</w:t>
      </w:r>
      <w:r>
        <w:rPr>
          <w:rFonts w:hint="eastAsia"/>
          <w:color w:val="auto"/>
          <w:szCs w:val="20"/>
          <w:highlight w:val="none"/>
          <w:lang w:eastAsia="zh-CN"/>
        </w:rPr>
        <w:t>则无须提供。</w:t>
      </w:r>
    </w:p>
    <w:p w14:paraId="100C0188">
      <w:pPr>
        <w:keepNext w:val="0"/>
        <w:keepLines w:val="0"/>
        <w:pageBreakBefore w:val="0"/>
        <w:widowControl w:val="0"/>
        <w:kinsoku/>
        <w:wordWrap/>
        <w:overflowPunct/>
        <w:topLinePunct w:val="0"/>
        <w:bidi w:val="0"/>
        <w:spacing w:line="360" w:lineRule="auto"/>
        <w:rPr>
          <w:rFonts w:hint="eastAsia"/>
          <w:color w:val="auto"/>
          <w:highlight w:val="none"/>
        </w:rPr>
      </w:pPr>
      <w:r>
        <w:rPr>
          <w:color w:val="auto"/>
          <w:highlight w:val="none"/>
        </w:rPr>
        <w:br w:type="page"/>
      </w:r>
    </w:p>
    <w:p w14:paraId="345D6CFD">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53" w:name="_Toc21728"/>
      <w:r>
        <w:rPr>
          <w:rFonts w:hint="eastAsia" w:ascii="宋体" w:hAnsi="宋体" w:eastAsia="宋体"/>
          <w:color w:val="auto"/>
          <w:sz w:val="24"/>
          <w:szCs w:val="24"/>
          <w:highlight w:val="none"/>
        </w:rPr>
        <w:t>需要采购人提供的附加条件</w:t>
      </w:r>
      <w:bookmarkEnd w:id="253"/>
    </w:p>
    <w:p w14:paraId="140A82DC">
      <w:pPr>
        <w:pStyle w:val="45"/>
        <w:keepNext w:val="0"/>
        <w:keepLines w:val="0"/>
        <w:pageBreakBefore w:val="0"/>
        <w:widowControl w:val="0"/>
        <w:kinsoku/>
        <w:wordWrap/>
        <w:overflowPunct/>
        <w:topLinePunct w:val="0"/>
        <w:bidi w:val="0"/>
        <w:spacing w:line="360" w:lineRule="auto"/>
        <w:ind w:left="0" w:leftChars="0" w:firstLine="0" w:firstLineChars="0"/>
        <w:rPr>
          <w:rFonts w:hint="eastAsia"/>
          <w:i/>
          <w:iCs/>
          <w:color w:val="auto"/>
          <w:szCs w:val="21"/>
          <w:highlight w:val="none"/>
        </w:rPr>
      </w:pPr>
      <w:r>
        <w:rPr>
          <w:rFonts w:hint="eastAsia"/>
          <w:i/>
          <w:iCs/>
          <w:color w:val="auto"/>
          <w:szCs w:val="21"/>
          <w:highlight w:val="none"/>
        </w:rPr>
        <w:t>（以下格式文件由供应商根据需要选用）</w:t>
      </w:r>
    </w:p>
    <w:p w14:paraId="4685E564">
      <w:pPr>
        <w:pStyle w:val="356"/>
        <w:keepNext w:val="0"/>
        <w:keepLines w:val="0"/>
        <w:pageBreakBefore w:val="0"/>
        <w:widowControl w:val="0"/>
        <w:kinsoku/>
        <w:wordWrap/>
        <w:overflowPunct/>
        <w:topLinePunct w:val="0"/>
        <w:autoSpaceDE/>
        <w:autoSpaceDN/>
        <w:bidi w:val="0"/>
        <w:spacing w:line="360" w:lineRule="auto"/>
        <w:ind w:firstLine="0" w:firstLineChars="0"/>
        <w:jc w:val="center"/>
        <w:rPr>
          <w:rFonts w:hint="eastAsia"/>
          <w:b/>
          <w:bCs/>
          <w:color w:val="auto"/>
          <w:sz w:val="28"/>
          <w:szCs w:val="28"/>
          <w:highlight w:val="none"/>
          <w:lang w:eastAsia="zh-CN"/>
        </w:rPr>
      </w:pPr>
      <w:r>
        <w:rPr>
          <w:rFonts w:hint="eastAsia"/>
          <w:b/>
          <w:bCs/>
          <w:color w:val="auto"/>
          <w:sz w:val="28"/>
          <w:szCs w:val="28"/>
          <w:highlight w:val="none"/>
          <w:lang w:eastAsia="zh-CN"/>
        </w:rPr>
        <w:t>需要采购人提供的附加条件</w:t>
      </w:r>
    </w:p>
    <w:tbl>
      <w:tblPr>
        <w:tblStyle w:val="46"/>
        <w:tblW w:w="976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33"/>
        <w:gridCol w:w="8229"/>
      </w:tblGrid>
      <w:tr w14:paraId="0E236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1533" w:type="dxa"/>
            <w:tcBorders>
              <w:top w:val="single" w:color="000000" w:sz="6" w:space="0"/>
              <w:left w:val="single" w:color="000000" w:sz="6" w:space="0"/>
              <w:bottom w:val="single" w:color="000000" w:sz="6" w:space="0"/>
              <w:right w:val="single" w:color="000000" w:sz="6" w:space="0"/>
            </w:tcBorders>
            <w:shd w:val="clear" w:color="auto" w:fill="F4F4F4"/>
            <w:vAlign w:val="center"/>
          </w:tcPr>
          <w:p w14:paraId="73061863">
            <w:pPr>
              <w:keepNext w:val="0"/>
              <w:keepLines w:val="0"/>
              <w:pageBreakBefore w:val="0"/>
              <w:widowControl w:val="0"/>
              <w:kinsoku/>
              <w:wordWrap/>
              <w:overflowPunct/>
              <w:topLinePunct w:val="0"/>
              <w:bidi w:val="0"/>
              <w:spacing w:line="360" w:lineRule="auto"/>
              <w:jc w:val="center"/>
              <w:rPr>
                <w:rFonts w:hint="eastAsia"/>
                <w:b/>
                <w:bCs/>
                <w:color w:val="auto"/>
                <w:szCs w:val="21"/>
                <w:highlight w:val="none"/>
              </w:rPr>
            </w:pPr>
            <w:r>
              <w:rPr>
                <w:rFonts w:hint="eastAsia"/>
                <w:b/>
                <w:bCs/>
                <w:color w:val="auto"/>
                <w:szCs w:val="21"/>
                <w:highlight w:val="none"/>
              </w:rPr>
              <w:t>序号</w:t>
            </w:r>
          </w:p>
        </w:tc>
        <w:tc>
          <w:tcPr>
            <w:tcW w:w="8229" w:type="dxa"/>
            <w:tcBorders>
              <w:top w:val="single" w:color="000000" w:sz="6" w:space="0"/>
              <w:left w:val="single" w:color="000000" w:sz="6" w:space="0"/>
              <w:bottom w:val="single" w:color="000000" w:sz="6" w:space="0"/>
              <w:right w:val="single" w:color="000000" w:sz="6" w:space="0"/>
            </w:tcBorders>
            <w:shd w:val="clear" w:color="auto" w:fill="F4F4F4"/>
            <w:vAlign w:val="center"/>
          </w:tcPr>
          <w:p w14:paraId="4F12F658">
            <w:pPr>
              <w:keepNext w:val="0"/>
              <w:keepLines w:val="0"/>
              <w:pageBreakBefore w:val="0"/>
              <w:widowControl w:val="0"/>
              <w:kinsoku/>
              <w:wordWrap/>
              <w:overflowPunct/>
              <w:topLinePunct w:val="0"/>
              <w:bidi w:val="0"/>
              <w:spacing w:line="360" w:lineRule="auto"/>
              <w:jc w:val="center"/>
              <w:rPr>
                <w:rFonts w:hint="eastAsia"/>
                <w:b/>
                <w:bCs/>
                <w:color w:val="auto"/>
                <w:szCs w:val="21"/>
                <w:highlight w:val="none"/>
              </w:rPr>
            </w:pPr>
            <w:r>
              <w:rPr>
                <w:rFonts w:hint="eastAsia"/>
                <w:b/>
                <w:bCs/>
                <w:color w:val="auto"/>
                <w:szCs w:val="21"/>
                <w:highlight w:val="none"/>
              </w:rPr>
              <w:t>供应商需要采购人提供的附加条件</w:t>
            </w:r>
          </w:p>
        </w:tc>
      </w:tr>
      <w:tr w14:paraId="739A7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1533" w:type="dxa"/>
            <w:tcBorders>
              <w:top w:val="single" w:color="000000" w:sz="6" w:space="0"/>
              <w:left w:val="single" w:color="000000" w:sz="6" w:space="0"/>
              <w:bottom w:val="single" w:color="000000" w:sz="6" w:space="0"/>
              <w:right w:val="single" w:color="000000" w:sz="6" w:space="0"/>
            </w:tcBorders>
            <w:vAlign w:val="center"/>
          </w:tcPr>
          <w:p w14:paraId="5397DE0F">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1</w:t>
            </w:r>
          </w:p>
        </w:tc>
        <w:tc>
          <w:tcPr>
            <w:tcW w:w="8229" w:type="dxa"/>
            <w:tcBorders>
              <w:top w:val="single" w:color="000000" w:sz="6" w:space="0"/>
              <w:left w:val="single" w:color="000000" w:sz="6" w:space="0"/>
              <w:bottom w:val="single" w:color="000000" w:sz="6" w:space="0"/>
              <w:right w:val="single" w:color="000000" w:sz="6" w:space="0"/>
            </w:tcBorders>
            <w:vAlign w:val="center"/>
          </w:tcPr>
          <w:p w14:paraId="2E0D207D">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p>
        </w:tc>
      </w:tr>
      <w:tr w14:paraId="0DFD3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1533" w:type="dxa"/>
            <w:tcBorders>
              <w:top w:val="single" w:color="000000" w:sz="6" w:space="0"/>
              <w:left w:val="single" w:color="000000" w:sz="6" w:space="0"/>
              <w:bottom w:val="single" w:color="000000" w:sz="6" w:space="0"/>
              <w:right w:val="single" w:color="000000" w:sz="6" w:space="0"/>
            </w:tcBorders>
            <w:vAlign w:val="center"/>
          </w:tcPr>
          <w:p w14:paraId="416BB81C">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2</w:t>
            </w:r>
          </w:p>
        </w:tc>
        <w:tc>
          <w:tcPr>
            <w:tcW w:w="8229" w:type="dxa"/>
            <w:tcBorders>
              <w:top w:val="single" w:color="000000" w:sz="6" w:space="0"/>
              <w:left w:val="single" w:color="000000" w:sz="6" w:space="0"/>
              <w:bottom w:val="single" w:color="000000" w:sz="6" w:space="0"/>
              <w:right w:val="single" w:color="000000" w:sz="6" w:space="0"/>
            </w:tcBorders>
            <w:vAlign w:val="center"/>
          </w:tcPr>
          <w:p w14:paraId="5DACDCAD">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p>
        </w:tc>
      </w:tr>
      <w:tr w14:paraId="43844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1533" w:type="dxa"/>
            <w:tcBorders>
              <w:top w:val="single" w:color="000000" w:sz="6" w:space="0"/>
              <w:left w:val="single" w:color="000000" w:sz="6" w:space="0"/>
              <w:bottom w:val="single" w:color="000000" w:sz="6" w:space="0"/>
              <w:right w:val="single" w:color="000000" w:sz="6" w:space="0"/>
            </w:tcBorders>
            <w:vAlign w:val="center"/>
          </w:tcPr>
          <w:p w14:paraId="66A50F3C">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r>
              <w:rPr>
                <w:rFonts w:hint="eastAsia"/>
                <w:color w:val="auto"/>
                <w:szCs w:val="21"/>
                <w:highlight w:val="none"/>
              </w:rPr>
              <w:t>3</w:t>
            </w:r>
          </w:p>
        </w:tc>
        <w:tc>
          <w:tcPr>
            <w:tcW w:w="8229" w:type="dxa"/>
            <w:tcBorders>
              <w:top w:val="single" w:color="000000" w:sz="6" w:space="0"/>
              <w:left w:val="single" w:color="000000" w:sz="6" w:space="0"/>
              <w:bottom w:val="single" w:color="000000" w:sz="6" w:space="0"/>
              <w:right w:val="single" w:color="000000" w:sz="6" w:space="0"/>
            </w:tcBorders>
            <w:vAlign w:val="center"/>
          </w:tcPr>
          <w:p w14:paraId="0AF30434">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p>
        </w:tc>
      </w:tr>
    </w:tbl>
    <w:p w14:paraId="5798D351">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rPr>
      </w:pPr>
      <w:r>
        <w:rPr>
          <w:rFonts w:hint="eastAsia"/>
          <w:color w:val="auto"/>
          <w:szCs w:val="21"/>
          <w:highlight w:val="none"/>
        </w:rPr>
        <w:t>注：供应商完成本项目需要采购人配合或提供的条件必须在上表列出，否则将视为供应商同意按现有条件完成本项目。如上表所列附加条件含有采购人不能接受的，将被视为响应无效。</w:t>
      </w:r>
    </w:p>
    <w:p w14:paraId="7C4B627F">
      <w:pPr>
        <w:pStyle w:val="19"/>
        <w:keepNext w:val="0"/>
        <w:keepLines w:val="0"/>
        <w:pageBreakBefore w:val="0"/>
        <w:widowControl w:val="0"/>
        <w:kinsoku/>
        <w:wordWrap/>
        <w:overflowPunct/>
        <w:topLinePunct w:val="0"/>
        <w:bidi w:val="0"/>
        <w:spacing w:line="360" w:lineRule="auto"/>
        <w:rPr>
          <w:rFonts w:hint="eastAsia"/>
          <w:color w:val="auto"/>
          <w:highlight w:val="none"/>
        </w:rPr>
      </w:pPr>
    </w:p>
    <w:p w14:paraId="3FF1647C">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r>
        <w:rPr>
          <w:rFonts w:hint="eastAsia"/>
          <w:color w:val="auto"/>
          <w:kern w:val="0"/>
          <w:highlight w:val="none"/>
          <w:lang w:eastAsia="zh-CN"/>
        </w:rPr>
        <w:t>供应商</w:t>
      </w:r>
      <w:r>
        <w:rPr>
          <w:rFonts w:hint="eastAsia"/>
          <w:color w:val="auto"/>
          <w:highlight w:val="none"/>
          <w:lang w:eastAsia="zh-CN"/>
        </w:rPr>
        <w:t>法定代表人或其授权委托人（签字或盖章）：</w:t>
      </w:r>
      <w:r>
        <w:rPr>
          <w:rFonts w:hint="eastAsia"/>
          <w:color w:val="auto"/>
          <w:highlight w:val="none"/>
          <w:u w:val="single"/>
          <w:lang w:eastAsia="zh-CN"/>
        </w:rPr>
        <w:t xml:space="preserve">                    .</w:t>
      </w:r>
    </w:p>
    <w:p w14:paraId="6D2787B1">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r>
        <w:rPr>
          <w:rFonts w:hint="eastAsia"/>
          <w:color w:val="auto"/>
          <w:highlight w:val="none"/>
          <w:lang w:eastAsia="zh-CN"/>
        </w:rPr>
        <w:t>供应商名称（盖章）：</w:t>
      </w:r>
      <w:r>
        <w:rPr>
          <w:rFonts w:hint="eastAsia"/>
          <w:color w:val="auto"/>
          <w:highlight w:val="none"/>
          <w:u w:val="single"/>
          <w:lang w:eastAsia="zh-CN"/>
        </w:rPr>
        <w:t xml:space="preserve">                    .</w:t>
      </w:r>
    </w:p>
    <w:p w14:paraId="238DE6C2">
      <w:pPr>
        <w:pStyle w:val="356"/>
        <w:keepNext w:val="0"/>
        <w:keepLines w:val="0"/>
        <w:pageBreakBefore w:val="0"/>
        <w:widowControl w:val="0"/>
        <w:kinsoku/>
        <w:wordWrap/>
        <w:overflowPunct/>
        <w:topLinePunct w:val="0"/>
        <w:autoSpaceDE/>
        <w:autoSpaceDN/>
        <w:bidi w:val="0"/>
        <w:spacing w:line="360" w:lineRule="auto"/>
        <w:ind w:firstLine="4960" w:firstLineChars="2067"/>
        <w:jc w:val="right"/>
        <w:rPr>
          <w:rFonts w:hint="eastAsia"/>
          <w:color w:val="auto"/>
          <w:highlight w:val="none"/>
        </w:rPr>
      </w:pPr>
      <w:r>
        <w:rPr>
          <w:rFonts w:hint="eastAsia"/>
          <w:color w:val="auto"/>
          <w:highlight w:val="none"/>
        </w:rPr>
        <w:t>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38307073">
      <w:pPr>
        <w:pStyle w:val="45"/>
        <w:keepNext w:val="0"/>
        <w:keepLines w:val="0"/>
        <w:pageBreakBefore w:val="0"/>
        <w:widowControl w:val="0"/>
        <w:kinsoku/>
        <w:wordWrap/>
        <w:overflowPunct/>
        <w:topLinePunct w:val="0"/>
        <w:bidi w:val="0"/>
        <w:spacing w:after="0" w:line="360" w:lineRule="auto"/>
        <w:ind w:left="0" w:leftChars="0" w:firstLine="0" w:firstLineChars="0"/>
        <w:rPr>
          <w:rFonts w:hint="eastAsia"/>
          <w:color w:val="auto"/>
          <w:szCs w:val="21"/>
          <w:highlight w:val="none"/>
        </w:rPr>
      </w:pPr>
    </w:p>
    <w:p w14:paraId="28AF6988">
      <w:pPr>
        <w:keepNext w:val="0"/>
        <w:keepLines w:val="0"/>
        <w:pageBreakBefore w:val="0"/>
        <w:widowControl w:val="0"/>
        <w:kinsoku/>
        <w:wordWrap/>
        <w:overflowPunct/>
        <w:topLinePunct w:val="0"/>
        <w:bidi w:val="0"/>
        <w:spacing w:line="360" w:lineRule="auto"/>
        <w:rPr>
          <w:rFonts w:hint="eastAsia"/>
          <w:color w:val="auto"/>
          <w:szCs w:val="21"/>
          <w:highlight w:val="none"/>
        </w:rPr>
      </w:pPr>
      <w:r>
        <w:rPr>
          <w:color w:val="auto"/>
          <w:szCs w:val="21"/>
          <w:highlight w:val="none"/>
        </w:rPr>
        <w:br w:type="page"/>
      </w:r>
    </w:p>
    <w:p w14:paraId="51249C2C">
      <w:pPr>
        <w:pStyle w:val="3"/>
        <w:keepNext w:val="0"/>
        <w:keepLines w:val="0"/>
        <w:pageBreakBefore w:val="0"/>
        <w:widowControl w:val="0"/>
        <w:numPr>
          <w:ilvl w:val="0"/>
          <w:numId w:val="23"/>
        </w:numPr>
        <w:kinsoku/>
        <w:wordWrap/>
        <w:overflowPunct/>
        <w:topLinePunct w:val="0"/>
        <w:bidi w:val="0"/>
        <w:spacing w:before="120" w:after="120" w:line="360" w:lineRule="auto"/>
        <w:ind w:left="720" w:hanging="720"/>
        <w:rPr>
          <w:rFonts w:hint="eastAsia" w:ascii="宋体" w:hAnsi="宋体" w:eastAsia="宋体"/>
          <w:color w:val="auto"/>
          <w:sz w:val="24"/>
          <w:szCs w:val="24"/>
          <w:highlight w:val="none"/>
        </w:rPr>
      </w:pPr>
      <w:bookmarkStart w:id="254" w:name="_Toc131271299"/>
      <w:bookmarkStart w:id="255" w:name="_Toc114053447"/>
      <w:bookmarkStart w:id="256" w:name="_Toc25535"/>
      <w:bookmarkStart w:id="257" w:name="_Hlk143462245"/>
      <w:r>
        <w:rPr>
          <w:rFonts w:hint="eastAsia" w:ascii="宋体" w:hAnsi="宋体" w:eastAsia="宋体"/>
          <w:color w:val="auto"/>
          <w:sz w:val="24"/>
          <w:szCs w:val="24"/>
          <w:highlight w:val="none"/>
        </w:rPr>
        <w:t>实质性</w:t>
      </w:r>
      <w:r>
        <w:rPr>
          <w:rFonts w:ascii="宋体" w:hAnsi="宋体" w:eastAsia="宋体"/>
          <w:color w:val="auto"/>
          <w:sz w:val="24"/>
          <w:szCs w:val="24"/>
          <w:highlight w:val="none"/>
        </w:rPr>
        <w:t>条款响应表</w:t>
      </w:r>
      <w:bookmarkEnd w:id="254"/>
      <w:bookmarkEnd w:id="255"/>
      <w:bookmarkEnd w:id="256"/>
    </w:p>
    <w:p w14:paraId="392EAECB">
      <w:pPr>
        <w:keepNext w:val="0"/>
        <w:keepLines w:val="0"/>
        <w:pageBreakBefore w:val="0"/>
        <w:widowControl w:val="0"/>
        <w:kinsoku/>
        <w:wordWrap/>
        <w:overflowPunct/>
        <w:topLinePunct w:val="0"/>
        <w:bidi w:val="0"/>
        <w:spacing w:line="360" w:lineRule="auto"/>
        <w:rPr>
          <w:rFonts w:hint="eastAsia"/>
          <w:color w:val="auto"/>
          <w:highlight w:val="none"/>
        </w:rPr>
      </w:pPr>
      <w:r>
        <w:rPr>
          <w:rFonts w:hint="eastAsia" w:cs="宋体"/>
          <w:i/>
          <w:iCs/>
          <w:color w:val="auto"/>
          <w:szCs w:val="21"/>
          <w:highlight w:val="none"/>
        </w:rPr>
        <w:t>（以下格式文件由供应商根据需要选用）</w:t>
      </w:r>
    </w:p>
    <w:p w14:paraId="2E51D4DB">
      <w:pPr>
        <w:keepNext w:val="0"/>
        <w:keepLines w:val="0"/>
        <w:pageBreakBefore w:val="0"/>
        <w:widowControl w:val="0"/>
        <w:kinsoku/>
        <w:wordWrap/>
        <w:overflowPunct/>
        <w:topLinePunct w:val="0"/>
        <w:bidi w:val="0"/>
        <w:spacing w:line="360" w:lineRule="auto"/>
        <w:jc w:val="center"/>
        <w:rPr>
          <w:rFonts w:hint="eastAsia" w:cs="宋体"/>
          <w:b/>
          <w:bCs/>
          <w:color w:val="auto"/>
          <w:sz w:val="28"/>
          <w:szCs w:val="28"/>
          <w:highlight w:val="none"/>
        </w:rPr>
      </w:pPr>
      <w:r>
        <w:rPr>
          <w:rFonts w:hint="eastAsia" w:cs="宋体"/>
          <w:b/>
          <w:bCs/>
          <w:color w:val="auto"/>
          <w:sz w:val="28"/>
          <w:szCs w:val="28"/>
          <w:highlight w:val="none"/>
        </w:rPr>
        <w:t>实质性</w:t>
      </w:r>
      <w:r>
        <w:rPr>
          <w:rFonts w:cs="宋体"/>
          <w:b/>
          <w:bCs/>
          <w:color w:val="auto"/>
          <w:sz w:val="28"/>
          <w:szCs w:val="28"/>
          <w:highlight w:val="none"/>
        </w:rPr>
        <w:t>条款响应表</w:t>
      </w:r>
    </w:p>
    <w:p w14:paraId="602F8422">
      <w:pPr>
        <w:keepNext w:val="0"/>
        <w:keepLines w:val="0"/>
        <w:pageBreakBefore w:val="0"/>
        <w:widowControl w:val="0"/>
        <w:kinsoku/>
        <w:wordWrap/>
        <w:overflowPunct/>
        <w:topLinePunct w:val="0"/>
        <w:bidi w:val="0"/>
        <w:spacing w:line="360" w:lineRule="auto"/>
        <w:rPr>
          <w:rFonts w:hint="eastAsia"/>
          <w:bCs/>
          <w:color w:val="auto"/>
          <w:sz w:val="24"/>
          <w:highlight w:val="none"/>
        </w:rPr>
      </w:pPr>
      <w:r>
        <w:rPr>
          <w:bCs/>
          <w:color w:val="auto"/>
          <w:sz w:val="24"/>
          <w:highlight w:val="none"/>
        </w:rPr>
        <w:t>项目名称：____________</w:t>
      </w:r>
      <w:r>
        <w:rPr>
          <w:bCs/>
          <w:color w:val="auto"/>
          <w:sz w:val="24"/>
          <w:highlight w:val="none"/>
          <w:u w:val="single"/>
        </w:rPr>
        <w:t xml:space="preserve">  </w:t>
      </w:r>
      <w:r>
        <w:rPr>
          <w:bCs/>
          <w:color w:val="auto"/>
          <w:sz w:val="24"/>
          <w:highlight w:val="none"/>
        </w:rPr>
        <w:t>___</w:t>
      </w:r>
    </w:p>
    <w:p w14:paraId="14A5A659">
      <w:pPr>
        <w:keepNext w:val="0"/>
        <w:keepLines w:val="0"/>
        <w:pageBreakBefore w:val="0"/>
        <w:widowControl w:val="0"/>
        <w:kinsoku/>
        <w:wordWrap/>
        <w:overflowPunct/>
        <w:topLinePunct w:val="0"/>
        <w:bidi w:val="0"/>
        <w:spacing w:line="360" w:lineRule="auto"/>
        <w:rPr>
          <w:rFonts w:hint="eastAsia"/>
          <w:color w:val="auto"/>
          <w:sz w:val="24"/>
          <w:highlight w:val="none"/>
        </w:rPr>
      </w:pPr>
      <w:r>
        <w:rPr>
          <w:rFonts w:hint="eastAsia"/>
          <w:bCs/>
          <w:color w:val="auto"/>
          <w:sz w:val="24"/>
          <w:highlight w:val="none"/>
        </w:rPr>
        <w:t>项目编号</w:t>
      </w:r>
      <w:r>
        <w:rPr>
          <w:bCs/>
          <w:color w:val="auto"/>
          <w:sz w:val="24"/>
          <w:highlight w:val="none"/>
        </w:rPr>
        <w:t>：_________________</w:t>
      </w:r>
    </w:p>
    <w:tbl>
      <w:tblPr>
        <w:tblStyle w:val="4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4586"/>
        <w:gridCol w:w="1740"/>
        <w:gridCol w:w="1638"/>
        <w:gridCol w:w="885"/>
      </w:tblGrid>
      <w:tr w14:paraId="7FFD2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05" w:type="dxa"/>
            <w:vAlign w:val="center"/>
          </w:tcPr>
          <w:p w14:paraId="11CB1F34">
            <w:pPr>
              <w:pStyle w:val="13"/>
              <w:keepNext w:val="0"/>
              <w:keepLines w:val="0"/>
              <w:pageBreakBefore w:val="0"/>
              <w:widowControl w:val="0"/>
              <w:kinsoku/>
              <w:wordWrap/>
              <w:overflowPunct/>
              <w:topLinePunct w:val="0"/>
              <w:autoSpaceDE/>
              <w:autoSpaceDN/>
              <w:bidi w:val="0"/>
              <w:spacing w:line="360" w:lineRule="auto"/>
              <w:ind w:firstLine="0"/>
              <w:jc w:val="center"/>
              <w:rPr>
                <w:rFonts w:hint="eastAsia" w:eastAsia="宋体"/>
                <w:b/>
                <w:color w:val="auto"/>
                <w:sz w:val="21"/>
                <w:szCs w:val="21"/>
                <w:highlight w:val="none"/>
              </w:rPr>
            </w:pPr>
            <w:r>
              <w:rPr>
                <w:rFonts w:eastAsia="宋体"/>
                <w:b/>
                <w:color w:val="auto"/>
                <w:sz w:val="21"/>
                <w:szCs w:val="21"/>
                <w:highlight w:val="none"/>
              </w:rPr>
              <w:t>序号</w:t>
            </w:r>
          </w:p>
        </w:tc>
        <w:tc>
          <w:tcPr>
            <w:tcW w:w="4586" w:type="dxa"/>
            <w:vAlign w:val="center"/>
          </w:tcPr>
          <w:p w14:paraId="6BE7931E">
            <w:pPr>
              <w:pStyle w:val="13"/>
              <w:keepNext w:val="0"/>
              <w:keepLines w:val="0"/>
              <w:pageBreakBefore w:val="0"/>
              <w:widowControl w:val="0"/>
              <w:kinsoku/>
              <w:wordWrap/>
              <w:overflowPunct/>
              <w:topLinePunct w:val="0"/>
              <w:autoSpaceDE/>
              <w:autoSpaceDN/>
              <w:bidi w:val="0"/>
              <w:spacing w:line="360" w:lineRule="auto"/>
              <w:ind w:firstLine="0"/>
              <w:jc w:val="center"/>
              <w:rPr>
                <w:rFonts w:hint="eastAsia" w:eastAsia="宋体"/>
                <w:b/>
                <w:color w:val="auto"/>
                <w:sz w:val="21"/>
                <w:szCs w:val="21"/>
                <w:highlight w:val="none"/>
              </w:rPr>
            </w:pPr>
            <w:r>
              <w:rPr>
                <w:rFonts w:hint="eastAsia" w:eastAsia="宋体"/>
                <w:b/>
                <w:color w:val="auto"/>
                <w:sz w:val="21"/>
                <w:szCs w:val="21"/>
                <w:highlight w:val="none"/>
              </w:rPr>
              <w:t>采购文件规定的要求</w:t>
            </w:r>
          </w:p>
        </w:tc>
        <w:tc>
          <w:tcPr>
            <w:tcW w:w="1740" w:type="dxa"/>
            <w:vAlign w:val="center"/>
          </w:tcPr>
          <w:p w14:paraId="5C84A886">
            <w:pPr>
              <w:pStyle w:val="13"/>
              <w:keepNext w:val="0"/>
              <w:keepLines w:val="0"/>
              <w:pageBreakBefore w:val="0"/>
              <w:widowControl w:val="0"/>
              <w:kinsoku/>
              <w:wordWrap/>
              <w:overflowPunct/>
              <w:topLinePunct w:val="0"/>
              <w:autoSpaceDE/>
              <w:autoSpaceDN/>
              <w:bidi w:val="0"/>
              <w:spacing w:line="360" w:lineRule="auto"/>
              <w:ind w:firstLine="0"/>
              <w:jc w:val="center"/>
              <w:rPr>
                <w:rFonts w:hint="eastAsia" w:eastAsia="宋体"/>
                <w:b/>
                <w:color w:val="auto"/>
                <w:sz w:val="21"/>
                <w:szCs w:val="21"/>
                <w:highlight w:val="none"/>
              </w:rPr>
            </w:pPr>
            <w:r>
              <w:rPr>
                <w:rFonts w:hint="eastAsia" w:eastAsia="宋体"/>
                <w:b/>
                <w:color w:val="auto"/>
                <w:sz w:val="21"/>
                <w:szCs w:val="21"/>
                <w:highlight w:val="none"/>
              </w:rPr>
              <w:t>供应商响应情况</w:t>
            </w:r>
          </w:p>
        </w:tc>
        <w:tc>
          <w:tcPr>
            <w:tcW w:w="1638" w:type="dxa"/>
            <w:vAlign w:val="center"/>
          </w:tcPr>
          <w:p w14:paraId="33AECD25">
            <w:pPr>
              <w:pStyle w:val="13"/>
              <w:keepNext w:val="0"/>
              <w:keepLines w:val="0"/>
              <w:pageBreakBefore w:val="0"/>
              <w:widowControl w:val="0"/>
              <w:kinsoku/>
              <w:wordWrap/>
              <w:overflowPunct/>
              <w:topLinePunct w:val="0"/>
              <w:autoSpaceDE/>
              <w:autoSpaceDN/>
              <w:bidi w:val="0"/>
              <w:spacing w:line="360" w:lineRule="auto"/>
              <w:ind w:firstLine="0"/>
              <w:jc w:val="center"/>
              <w:rPr>
                <w:rFonts w:hint="eastAsia" w:eastAsia="宋体"/>
                <w:b/>
                <w:color w:val="auto"/>
                <w:sz w:val="21"/>
                <w:szCs w:val="21"/>
                <w:highlight w:val="none"/>
              </w:rPr>
            </w:pPr>
            <w:r>
              <w:rPr>
                <w:rFonts w:eastAsia="宋体"/>
                <w:b/>
                <w:color w:val="auto"/>
                <w:sz w:val="21"/>
                <w:szCs w:val="21"/>
                <w:highlight w:val="none"/>
              </w:rPr>
              <w:t>偏离情况</w:t>
            </w:r>
          </w:p>
        </w:tc>
        <w:tc>
          <w:tcPr>
            <w:tcW w:w="885" w:type="dxa"/>
            <w:vAlign w:val="center"/>
          </w:tcPr>
          <w:p w14:paraId="5DCAE544">
            <w:pPr>
              <w:pStyle w:val="13"/>
              <w:keepNext w:val="0"/>
              <w:keepLines w:val="0"/>
              <w:pageBreakBefore w:val="0"/>
              <w:widowControl w:val="0"/>
              <w:kinsoku/>
              <w:wordWrap/>
              <w:overflowPunct/>
              <w:topLinePunct w:val="0"/>
              <w:autoSpaceDE/>
              <w:autoSpaceDN/>
              <w:bidi w:val="0"/>
              <w:spacing w:line="360" w:lineRule="auto"/>
              <w:ind w:firstLine="0"/>
              <w:jc w:val="center"/>
              <w:rPr>
                <w:rFonts w:hint="eastAsia" w:eastAsia="宋体"/>
                <w:b/>
                <w:color w:val="auto"/>
                <w:sz w:val="21"/>
                <w:szCs w:val="21"/>
                <w:highlight w:val="none"/>
              </w:rPr>
            </w:pPr>
            <w:r>
              <w:rPr>
                <w:rFonts w:hint="eastAsia" w:eastAsia="宋体"/>
                <w:b/>
                <w:color w:val="auto"/>
                <w:sz w:val="21"/>
                <w:szCs w:val="21"/>
                <w:highlight w:val="none"/>
              </w:rPr>
              <w:t>备注</w:t>
            </w:r>
          </w:p>
        </w:tc>
      </w:tr>
      <w:tr w14:paraId="1A5A6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05" w:type="dxa"/>
            <w:vAlign w:val="center"/>
          </w:tcPr>
          <w:p w14:paraId="4611D482">
            <w:pPr>
              <w:pStyle w:val="126"/>
              <w:keepNext w:val="0"/>
              <w:keepLines w:val="0"/>
              <w:pageBreakBefore w:val="0"/>
              <w:widowControl w:val="0"/>
              <w:numPr>
                <w:ilvl w:val="0"/>
                <w:numId w:val="24"/>
              </w:numPr>
              <w:kinsoku/>
              <w:wordWrap/>
              <w:overflowPunct/>
              <w:topLinePunct w:val="0"/>
              <w:bidi w:val="0"/>
              <w:spacing w:line="360" w:lineRule="auto"/>
              <w:jc w:val="center"/>
              <w:rPr>
                <w:rFonts w:hint="eastAsia"/>
                <w:bCs/>
                <w:color w:val="auto"/>
                <w:szCs w:val="21"/>
                <w:highlight w:val="none"/>
              </w:rPr>
            </w:pPr>
          </w:p>
        </w:tc>
        <w:tc>
          <w:tcPr>
            <w:tcW w:w="4586" w:type="dxa"/>
            <w:vAlign w:val="center"/>
          </w:tcPr>
          <w:p w14:paraId="154740D3">
            <w:pPr>
              <w:keepNext w:val="0"/>
              <w:keepLines w:val="0"/>
              <w:pageBreakBefore w:val="0"/>
              <w:widowControl w:val="0"/>
              <w:kinsoku/>
              <w:wordWrap/>
              <w:overflowPunct/>
              <w:topLinePunct w:val="0"/>
              <w:bidi w:val="0"/>
              <w:spacing w:line="360" w:lineRule="auto"/>
              <w:rPr>
                <w:rFonts w:hint="eastAsia"/>
                <w:bCs/>
                <w:color w:val="auto"/>
                <w:szCs w:val="21"/>
                <w:highlight w:val="none"/>
              </w:rPr>
            </w:pPr>
          </w:p>
        </w:tc>
        <w:tc>
          <w:tcPr>
            <w:tcW w:w="1740" w:type="dxa"/>
            <w:vAlign w:val="center"/>
          </w:tcPr>
          <w:p w14:paraId="013821CB">
            <w:pPr>
              <w:pStyle w:val="19"/>
              <w:keepNext w:val="0"/>
              <w:keepLines w:val="0"/>
              <w:pageBreakBefore w:val="0"/>
              <w:widowControl w:val="0"/>
              <w:kinsoku/>
              <w:wordWrap/>
              <w:overflowPunct/>
              <w:topLinePunct w:val="0"/>
              <w:bidi w:val="0"/>
              <w:spacing w:line="360" w:lineRule="auto"/>
              <w:jc w:val="center"/>
              <w:rPr>
                <w:rFonts w:hint="eastAsia"/>
                <w:bCs/>
                <w:color w:val="auto"/>
                <w:szCs w:val="21"/>
                <w:highlight w:val="none"/>
              </w:rPr>
            </w:pPr>
          </w:p>
        </w:tc>
        <w:tc>
          <w:tcPr>
            <w:tcW w:w="1638" w:type="dxa"/>
            <w:vAlign w:val="center"/>
          </w:tcPr>
          <w:p w14:paraId="4BC2FE79">
            <w:pPr>
              <w:pStyle w:val="19"/>
              <w:keepNext w:val="0"/>
              <w:keepLines w:val="0"/>
              <w:pageBreakBefore w:val="0"/>
              <w:widowControl w:val="0"/>
              <w:kinsoku/>
              <w:wordWrap/>
              <w:overflowPunct/>
              <w:topLinePunct w:val="0"/>
              <w:bidi w:val="0"/>
              <w:spacing w:line="360" w:lineRule="auto"/>
              <w:jc w:val="center"/>
              <w:rPr>
                <w:rFonts w:hint="eastAsia"/>
                <w:bCs/>
                <w:color w:val="auto"/>
                <w:szCs w:val="21"/>
                <w:highlight w:val="none"/>
              </w:rPr>
            </w:pPr>
          </w:p>
        </w:tc>
        <w:tc>
          <w:tcPr>
            <w:tcW w:w="885" w:type="dxa"/>
            <w:tcBorders>
              <w:top w:val="single" w:color="auto" w:sz="4" w:space="0"/>
              <w:left w:val="single" w:color="auto" w:sz="4" w:space="0"/>
              <w:bottom w:val="single" w:color="auto" w:sz="4" w:space="0"/>
              <w:right w:val="single" w:color="auto" w:sz="4" w:space="0"/>
            </w:tcBorders>
            <w:vAlign w:val="center"/>
          </w:tcPr>
          <w:p w14:paraId="1B0452B3">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p>
        </w:tc>
      </w:tr>
      <w:tr w14:paraId="30699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05" w:type="dxa"/>
            <w:vAlign w:val="center"/>
          </w:tcPr>
          <w:p w14:paraId="4913FB6F">
            <w:pPr>
              <w:pStyle w:val="126"/>
              <w:keepNext w:val="0"/>
              <w:keepLines w:val="0"/>
              <w:pageBreakBefore w:val="0"/>
              <w:widowControl w:val="0"/>
              <w:numPr>
                <w:ilvl w:val="0"/>
                <w:numId w:val="24"/>
              </w:numPr>
              <w:kinsoku/>
              <w:wordWrap/>
              <w:overflowPunct/>
              <w:topLinePunct w:val="0"/>
              <w:bidi w:val="0"/>
              <w:spacing w:line="360" w:lineRule="auto"/>
              <w:jc w:val="center"/>
              <w:rPr>
                <w:rFonts w:hint="eastAsia"/>
                <w:bCs/>
                <w:color w:val="auto"/>
                <w:szCs w:val="21"/>
                <w:highlight w:val="none"/>
              </w:rPr>
            </w:pPr>
          </w:p>
        </w:tc>
        <w:tc>
          <w:tcPr>
            <w:tcW w:w="4586" w:type="dxa"/>
            <w:vAlign w:val="center"/>
          </w:tcPr>
          <w:p w14:paraId="7327A96B">
            <w:pPr>
              <w:keepNext w:val="0"/>
              <w:keepLines w:val="0"/>
              <w:pageBreakBefore w:val="0"/>
              <w:widowControl w:val="0"/>
              <w:kinsoku/>
              <w:wordWrap/>
              <w:overflowPunct/>
              <w:topLinePunct w:val="0"/>
              <w:bidi w:val="0"/>
              <w:spacing w:line="360" w:lineRule="auto"/>
              <w:rPr>
                <w:rFonts w:hint="eastAsia"/>
                <w:bCs/>
                <w:color w:val="auto"/>
                <w:szCs w:val="21"/>
                <w:highlight w:val="none"/>
              </w:rPr>
            </w:pPr>
          </w:p>
        </w:tc>
        <w:tc>
          <w:tcPr>
            <w:tcW w:w="1740" w:type="dxa"/>
            <w:vAlign w:val="center"/>
          </w:tcPr>
          <w:p w14:paraId="7FCB3209">
            <w:pPr>
              <w:pStyle w:val="19"/>
              <w:keepNext w:val="0"/>
              <w:keepLines w:val="0"/>
              <w:pageBreakBefore w:val="0"/>
              <w:widowControl w:val="0"/>
              <w:kinsoku/>
              <w:wordWrap/>
              <w:overflowPunct/>
              <w:topLinePunct w:val="0"/>
              <w:bidi w:val="0"/>
              <w:spacing w:line="360" w:lineRule="auto"/>
              <w:jc w:val="center"/>
              <w:rPr>
                <w:rFonts w:hint="eastAsia"/>
                <w:bCs/>
                <w:color w:val="auto"/>
                <w:szCs w:val="21"/>
                <w:highlight w:val="none"/>
              </w:rPr>
            </w:pPr>
          </w:p>
        </w:tc>
        <w:tc>
          <w:tcPr>
            <w:tcW w:w="1638" w:type="dxa"/>
            <w:vAlign w:val="center"/>
          </w:tcPr>
          <w:p w14:paraId="35CED043">
            <w:pPr>
              <w:pStyle w:val="19"/>
              <w:keepNext w:val="0"/>
              <w:keepLines w:val="0"/>
              <w:pageBreakBefore w:val="0"/>
              <w:widowControl w:val="0"/>
              <w:kinsoku/>
              <w:wordWrap/>
              <w:overflowPunct/>
              <w:topLinePunct w:val="0"/>
              <w:bidi w:val="0"/>
              <w:spacing w:line="360" w:lineRule="auto"/>
              <w:jc w:val="center"/>
              <w:rPr>
                <w:rFonts w:hint="eastAsia"/>
                <w:bCs/>
                <w:color w:val="auto"/>
                <w:szCs w:val="21"/>
                <w:highlight w:val="none"/>
              </w:rPr>
            </w:pPr>
          </w:p>
        </w:tc>
        <w:tc>
          <w:tcPr>
            <w:tcW w:w="885" w:type="dxa"/>
            <w:tcBorders>
              <w:top w:val="single" w:color="auto" w:sz="4" w:space="0"/>
              <w:left w:val="single" w:color="auto" w:sz="4" w:space="0"/>
              <w:bottom w:val="single" w:color="auto" w:sz="4" w:space="0"/>
              <w:right w:val="single" w:color="auto" w:sz="4" w:space="0"/>
            </w:tcBorders>
            <w:vAlign w:val="center"/>
          </w:tcPr>
          <w:p w14:paraId="376DF0AC">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p>
        </w:tc>
      </w:tr>
      <w:tr w14:paraId="189B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05" w:type="dxa"/>
            <w:vAlign w:val="center"/>
          </w:tcPr>
          <w:p w14:paraId="4431D456">
            <w:pPr>
              <w:pStyle w:val="126"/>
              <w:keepNext w:val="0"/>
              <w:keepLines w:val="0"/>
              <w:pageBreakBefore w:val="0"/>
              <w:widowControl w:val="0"/>
              <w:numPr>
                <w:ilvl w:val="0"/>
                <w:numId w:val="24"/>
              </w:numPr>
              <w:kinsoku/>
              <w:wordWrap/>
              <w:overflowPunct/>
              <w:topLinePunct w:val="0"/>
              <w:bidi w:val="0"/>
              <w:spacing w:line="360" w:lineRule="auto"/>
              <w:jc w:val="center"/>
              <w:rPr>
                <w:rFonts w:hint="eastAsia"/>
                <w:bCs/>
                <w:color w:val="auto"/>
                <w:szCs w:val="21"/>
                <w:highlight w:val="none"/>
              </w:rPr>
            </w:pPr>
          </w:p>
        </w:tc>
        <w:tc>
          <w:tcPr>
            <w:tcW w:w="4586" w:type="dxa"/>
            <w:vAlign w:val="center"/>
          </w:tcPr>
          <w:p w14:paraId="34E4EFEC">
            <w:pPr>
              <w:keepNext w:val="0"/>
              <w:keepLines w:val="0"/>
              <w:pageBreakBefore w:val="0"/>
              <w:widowControl w:val="0"/>
              <w:kinsoku/>
              <w:wordWrap/>
              <w:overflowPunct/>
              <w:topLinePunct w:val="0"/>
              <w:bidi w:val="0"/>
              <w:spacing w:line="360" w:lineRule="auto"/>
              <w:rPr>
                <w:rFonts w:hint="eastAsia"/>
                <w:bCs/>
                <w:color w:val="auto"/>
                <w:szCs w:val="21"/>
                <w:highlight w:val="none"/>
              </w:rPr>
            </w:pPr>
          </w:p>
        </w:tc>
        <w:tc>
          <w:tcPr>
            <w:tcW w:w="1740" w:type="dxa"/>
            <w:vAlign w:val="center"/>
          </w:tcPr>
          <w:p w14:paraId="2F19B6F2">
            <w:pPr>
              <w:pStyle w:val="19"/>
              <w:keepNext w:val="0"/>
              <w:keepLines w:val="0"/>
              <w:pageBreakBefore w:val="0"/>
              <w:widowControl w:val="0"/>
              <w:kinsoku/>
              <w:wordWrap/>
              <w:overflowPunct/>
              <w:topLinePunct w:val="0"/>
              <w:bidi w:val="0"/>
              <w:spacing w:line="360" w:lineRule="auto"/>
              <w:jc w:val="center"/>
              <w:rPr>
                <w:rFonts w:hint="eastAsia"/>
                <w:bCs/>
                <w:color w:val="auto"/>
                <w:szCs w:val="21"/>
                <w:highlight w:val="none"/>
              </w:rPr>
            </w:pPr>
          </w:p>
        </w:tc>
        <w:tc>
          <w:tcPr>
            <w:tcW w:w="1638" w:type="dxa"/>
            <w:vAlign w:val="center"/>
          </w:tcPr>
          <w:p w14:paraId="6F2D05AA">
            <w:pPr>
              <w:pStyle w:val="19"/>
              <w:keepNext w:val="0"/>
              <w:keepLines w:val="0"/>
              <w:pageBreakBefore w:val="0"/>
              <w:widowControl w:val="0"/>
              <w:kinsoku/>
              <w:wordWrap/>
              <w:overflowPunct/>
              <w:topLinePunct w:val="0"/>
              <w:bidi w:val="0"/>
              <w:spacing w:line="360" w:lineRule="auto"/>
              <w:jc w:val="center"/>
              <w:rPr>
                <w:rFonts w:hint="eastAsia"/>
                <w:bCs/>
                <w:color w:val="auto"/>
                <w:szCs w:val="21"/>
                <w:highlight w:val="none"/>
              </w:rPr>
            </w:pPr>
          </w:p>
        </w:tc>
        <w:tc>
          <w:tcPr>
            <w:tcW w:w="885" w:type="dxa"/>
            <w:tcBorders>
              <w:top w:val="single" w:color="auto" w:sz="4" w:space="0"/>
              <w:left w:val="single" w:color="auto" w:sz="4" w:space="0"/>
              <w:bottom w:val="single" w:color="auto" w:sz="4" w:space="0"/>
              <w:right w:val="single" w:color="auto" w:sz="4" w:space="0"/>
            </w:tcBorders>
            <w:vAlign w:val="center"/>
          </w:tcPr>
          <w:p w14:paraId="3D69975D">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p>
        </w:tc>
      </w:tr>
      <w:tr w14:paraId="60DB4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05" w:type="dxa"/>
            <w:vAlign w:val="center"/>
          </w:tcPr>
          <w:p w14:paraId="5D9A562C">
            <w:pPr>
              <w:keepNext w:val="0"/>
              <w:keepLines w:val="0"/>
              <w:pageBreakBefore w:val="0"/>
              <w:widowControl w:val="0"/>
              <w:kinsoku/>
              <w:wordWrap/>
              <w:overflowPunct/>
              <w:topLinePunct w:val="0"/>
              <w:bidi w:val="0"/>
              <w:spacing w:line="360" w:lineRule="auto"/>
              <w:jc w:val="center"/>
              <w:rPr>
                <w:rFonts w:hint="eastAsia"/>
                <w:bCs/>
                <w:color w:val="auto"/>
                <w:szCs w:val="21"/>
                <w:highlight w:val="none"/>
              </w:rPr>
            </w:pPr>
            <w:r>
              <w:rPr>
                <w:bCs/>
                <w:color w:val="auto"/>
                <w:szCs w:val="21"/>
                <w:highlight w:val="none"/>
              </w:rPr>
              <w:t>…</w:t>
            </w:r>
          </w:p>
        </w:tc>
        <w:tc>
          <w:tcPr>
            <w:tcW w:w="4586" w:type="dxa"/>
            <w:vAlign w:val="center"/>
          </w:tcPr>
          <w:p w14:paraId="16F3A38A">
            <w:pPr>
              <w:keepNext w:val="0"/>
              <w:keepLines w:val="0"/>
              <w:pageBreakBefore w:val="0"/>
              <w:widowControl w:val="0"/>
              <w:kinsoku/>
              <w:wordWrap/>
              <w:overflowPunct/>
              <w:topLinePunct w:val="0"/>
              <w:bidi w:val="0"/>
              <w:spacing w:line="360" w:lineRule="auto"/>
              <w:jc w:val="left"/>
              <w:rPr>
                <w:rFonts w:hint="eastAsia"/>
                <w:bCs/>
                <w:color w:val="auto"/>
                <w:szCs w:val="21"/>
                <w:highlight w:val="none"/>
              </w:rPr>
            </w:pPr>
            <w:r>
              <w:rPr>
                <w:bCs/>
                <w:color w:val="auto"/>
                <w:szCs w:val="21"/>
                <w:highlight w:val="none"/>
              </w:rPr>
              <w:t>…</w:t>
            </w:r>
          </w:p>
        </w:tc>
        <w:tc>
          <w:tcPr>
            <w:tcW w:w="1740" w:type="dxa"/>
            <w:vAlign w:val="center"/>
          </w:tcPr>
          <w:p w14:paraId="43D3E1C9">
            <w:pPr>
              <w:pStyle w:val="13"/>
              <w:keepNext w:val="0"/>
              <w:keepLines w:val="0"/>
              <w:pageBreakBefore w:val="0"/>
              <w:widowControl w:val="0"/>
              <w:kinsoku/>
              <w:wordWrap/>
              <w:overflowPunct/>
              <w:topLinePunct w:val="0"/>
              <w:autoSpaceDE/>
              <w:autoSpaceDN/>
              <w:bidi w:val="0"/>
              <w:spacing w:line="360" w:lineRule="auto"/>
              <w:ind w:firstLine="0"/>
              <w:jc w:val="center"/>
              <w:rPr>
                <w:rFonts w:hint="eastAsia" w:eastAsia="宋体"/>
                <w:bCs/>
                <w:color w:val="auto"/>
                <w:sz w:val="21"/>
                <w:szCs w:val="21"/>
                <w:highlight w:val="none"/>
              </w:rPr>
            </w:pPr>
          </w:p>
        </w:tc>
        <w:tc>
          <w:tcPr>
            <w:tcW w:w="1638" w:type="dxa"/>
            <w:vAlign w:val="center"/>
          </w:tcPr>
          <w:p w14:paraId="354F3327">
            <w:pPr>
              <w:pStyle w:val="13"/>
              <w:keepNext w:val="0"/>
              <w:keepLines w:val="0"/>
              <w:pageBreakBefore w:val="0"/>
              <w:widowControl w:val="0"/>
              <w:kinsoku/>
              <w:wordWrap/>
              <w:overflowPunct/>
              <w:topLinePunct w:val="0"/>
              <w:autoSpaceDE/>
              <w:autoSpaceDN/>
              <w:bidi w:val="0"/>
              <w:spacing w:line="360" w:lineRule="auto"/>
              <w:ind w:firstLine="0"/>
              <w:jc w:val="center"/>
              <w:rPr>
                <w:rFonts w:hint="eastAsia" w:eastAsia="宋体"/>
                <w:bCs/>
                <w:color w:val="auto"/>
                <w:sz w:val="21"/>
                <w:szCs w:val="21"/>
                <w:highlight w:val="none"/>
              </w:rPr>
            </w:pPr>
          </w:p>
        </w:tc>
        <w:tc>
          <w:tcPr>
            <w:tcW w:w="885" w:type="dxa"/>
            <w:vAlign w:val="center"/>
          </w:tcPr>
          <w:p w14:paraId="405654CA">
            <w:pPr>
              <w:pStyle w:val="13"/>
              <w:keepNext w:val="0"/>
              <w:keepLines w:val="0"/>
              <w:pageBreakBefore w:val="0"/>
              <w:widowControl w:val="0"/>
              <w:kinsoku/>
              <w:wordWrap/>
              <w:overflowPunct/>
              <w:topLinePunct w:val="0"/>
              <w:autoSpaceDE/>
              <w:autoSpaceDN/>
              <w:bidi w:val="0"/>
              <w:spacing w:line="360" w:lineRule="auto"/>
              <w:ind w:firstLine="0"/>
              <w:jc w:val="center"/>
              <w:rPr>
                <w:rFonts w:hint="eastAsia" w:eastAsia="宋体"/>
                <w:bCs/>
                <w:color w:val="auto"/>
                <w:sz w:val="21"/>
                <w:szCs w:val="21"/>
                <w:highlight w:val="none"/>
              </w:rPr>
            </w:pPr>
          </w:p>
        </w:tc>
      </w:tr>
    </w:tbl>
    <w:p w14:paraId="55709C7E">
      <w:pPr>
        <w:pStyle w:val="13"/>
        <w:keepNext w:val="0"/>
        <w:keepLines w:val="0"/>
        <w:pageBreakBefore w:val="0"/>
        <w:widowControl w:val="0"/>
        <w:kinsoku/>
        <w:wordWrap/>
        <w:overflowPunct/>
        <w:topLinePunct w:val="0"/>
        <w:autoSpaceDE/>
        <w:autoSpaceDN/>
        <w:bidi w:val="0"/>
        <w:spacing w:line="360" w:lineRule="auto"/>
        <w:ind w:firstLine="0"/>
        <w:rPr>
          <w:rFonts w:hint="eastAsia" w:eastAsia="宋体"/>
          <w:b/>
          <w:bCs/>
          <w:color w:val="auto"/>
          <w:sz w:val="21"/>
          <w:szCs w:val="21"/>
          <w:highlight w:val="none"/>
        </w:rPr>
      </w:pPr>
      <w:bookmarkStart w:id="258" w:name="_Hlk69414041"/>
      <w:r>
        <w:rPr>
          <w:rFonts w:eastAsia="宋体"/>
          <w:b/>
          <w:bCs/>
          <w:color w:val="auto"/>
          <w:sz w:val="21"/>
          <w:szCs w:val="21"/>
          <w:highlight w:val="none"/>
        </w:rPr>
        <w:t>说明：</w:t>
      </w:r>
    </w:p>
    <w:p w14:paraId="3860A968">
      <w:pPr>
        <w:pStyle w:val="13"/>
        <w:keepNext w:val="0"/>
        <w:keepLines w:val="0"/>
        <w:pageBreakBefore w:val="0"/>
        <w:widowControl w:val="0"/>
        <w:numPr>
          <w:ilvl w:val="3"/>
          <w:numId w:val="25"/>
        </w:numPr>
        <w:kinsoku/>
        <w:wordWrap/>
        <w:overflowPunct/>
        <w:topLinePunct w:val="0"/>
        <w:autoSpaceDE/>
        <w:autoSpaceDN/>
        <w:bidi w:val="0"/>
        <w:spacing w:line="360" w:lineRule="auto"/>
        <w:ind w:left="0" w:firstLine="420" w:firstLineChars="200"/>
        <w:rPr>
          <w:rFonts w:hint="eastAsia" w:eastAsia="宋体"/>
          <w:bCs/>
          <w:color w:val="auto"/>
          <w:sz w:val="21"/>
          <w:szCs w:val="21"/>
          <w:highlight w:val="none"/>
        </w:rPr>
      </w:pPr>
      <w:r>
        <w:rPr>
          <w:rFonts w:hint="eastAsia" w:eastAsia="宋体"/>
          <w:bCs/>
          <w:color w:val="auto"/>
          <w:sz w:val="21"/>
          <w:szCs w:val="21"/>
          <w:highlight w:val="none"/>
        </w:rPr>
        <w:t>供应商需对应采购文件第二章采购需求中标注</w:t>
      </w:r>
      <w:r>
        <w:rPr>
          <w:rFonts w:hint="eastAsia" w:eastAsia="宋体"/>
          <w:b/>
          <w:color w:val="auto"/>
          <w:sz w:val="21"/>
          <w:szCs w:val="21"/>
          <w:highlight w:val="none"/>
        </w:rPr>
        <w:t>“★”号的条款进行逐条响应</w:t>
      </w:r>
      <w:r>
        <w:rPr>
          <w:rFonts w:hint="eastAsia" w:eastAsia="宋体"/>
          <w:bCs/>
          <w:color w:val="auto"/>
          <w:sz w:val="21"/>
          <w:szCs w:val="21"/>
          <w:highlight w:val="none"/>
        </w:rPr>
        <w:t>，并按要求填写上表。若有任何一条负偏离或不满足或未响应的，将导致其投标文件作无效投标处理。</w:t>
      </w:r>
      <w:r>
        <w:rPr>
          <w:rFonts w:hint="eastAsia" w:eastAsia="宋体"/>
          <w:b/>
          <w:color w:val="auto"/>
          <w:sz w:val="21"/>
          <w:szCs w:val="21"/>
          <w:highlight w:val="none"/>
        </w:rPr>
        <w:t>若要求提供证明材料的，还须提供相应的证明材料，否则视为负偏离，按无效投标处理。</w:t>
      </w:r>
    </w:p>
    <w:p w14:paraId="67338FE9">
      <w:pPr>
        <w:pStyle w:val="13"/>
        <w:keepNext w:val="0"/>
        <w:keepLines w:val="0"/>
        <w:pageBreakBefore w:val="0"/>
        <w:widowControl w:val="0"/>
        <w:numPr>
          <w:ilvl w:val="3"/>
          <w:numId w:val="25"/>
        </w:numPr>
        <w:kinsoku/>
        <w:wordWrap/>
        <w:overflowPunct/>
        <w:topLinePunct w:val="0"/>
        <w:autoSpaceDE/>
        <w:autoSpaceDN/>
        <w:bidi w:val="0"/>
        <w:spacing w:line="360" w:lineRule="auto"/>
        <w:ind w:left="0" w:firstLine="420" w:firstLineChars="200"/>
        <w:rPr>
          <w:rFonts w:hint="eastAsia" w:eastAsia="宋体"/>
          <w:bCs/>
          <w:color w:val="auto"/>
          <w:sz w:val="21"/>
          <w:szCs w:val="21"/>
          <w:highlight w:val="none"/>
        </w:rPr>
      </w:pPr>
      <w:r>
        <w:rPr>
          <w:rFonts w:hint="eastAsia" w:eastAsia="宋体"/>
          <w:bCs/>
          <w:color w:val="auto"/>
          <w:sz w:val="21"/>
          <w:szCs w:val="21"/>
          <w:highlight w:val="none"/>
        </w:rPr>
        <w:t>“采购文件规定的要求”项下填写的内容应与采购文件</w:t>
      </w:r>
      <w:r>
        <w:rPr>
          <w:rFonts w:hint="eastAsia" w:eastAsia="宋体"/>
          <w:b/>
          <w:color w:val="auto"/>
          <w:sz w:val="21"/>
          <w:szCs w:val="21"/>
          <w:highlight w:val="none"/>
        </w:rPr>
        <w:t>第二章采购需求中标注“★”条款的内容</w:t>
      </w:r>
      <w:r>
        <w:rPr>
          <w:rFonts w:hint="eastAsia" w:eastAsia="宋体"/>
          <w:bCs/>
          <w:color w:val="auto"/>
          <w:sz w:val="21"/>
          <w:szCs w:val="21"/>
          <w:highlight w:val="none"/>
        </w:rPr>
        <w:t>保持一致。</w:t>
      </w:r>
      <w:r>
        <w:rPr>
          <w:rFonts w:hint="eastAsia" w:eastAsia="宋体"/>
          <w:b/>
          <w:color w:val="auto"/>
          <w:sz w:val="21"/>
          <w:szCs w:val="21"/>
          <w:highlight w:val="none"/>
        </w:rPr>
        <w:t>供应商若存在“采购文件规定的要求”条款未进行响应时，将视为该条款存在负偏离或不满足，按无效投标处理。</w:t>
      </w:r>
    </w:p>
    <w:p w14:paraId="6EC81E3E">
      <w:pPr>
        <w:pStyle w:val="13"/>
        <w:keepNext w:val="0"/>
        <w:keepLines w:val="0"/>
        <w:pageBreakBefore w:val="0"/>
        <w:widowControl w:val="0"/>
        <w:numPr>
          <w:ilvl w:val="3"/>
          <w:numId w:val="25"/>
        </w:numPr>
        <w:kinsoku/>
        <w:wordWrap/>
        <w:overflowPunct/>
        <w:topLinePunct w:val="0"/>
        <w:autoSpaceDE/>
        <w:autoSpaceDN/>
        <w:bidi w:val="0"/>
        <w:spacing w:line="360" w:lineRule="auto"/>
        <w:ind w:left="0" w:firstLine="420" w:firstLineChars="200"/>
        <w:rPr>
          <w:rFonts w:hint="eastAsia" w:eastAsia="宋体"/>
          <w:bCs/>
          <w:color w:val="auto"/>
          <w:sz w:val="21"/>
          <w:szCs w:val="21"/>
          <w:highlight w:val="none"/>
        </w:rPr>
      </w:pPr>
      <w:r>
        <w:rPr>
          <w:rFonts w:hint="eastAsia" w:eastAsia="宋体"/>
          <w:bCs/>
          <w:color w:val="auto"/>
          <w:sz w:val="21"/>
          <w:szCs w:val="21"/>
          <w:highlight w:val="none"/>
        </w:rPr>
        <w:t>“供应商响应情况”项下填写供应商针对“采购文件规定的要求”的响应数值或内容，若供应商响应完全满足“采购文件规定的要求”，也可以填写“完全按照采购文件规定执行”</w:t>
      </w:r>
      <w:r>
        <w:rPr>
          <w:rFonts w:eastAsia="宋体"/>
          <w:bCs/>
          <w:color w:val="auto"/>
          <w:sz w:val="21"/>
          <w:szCs w:val="21"/>
          <w:highlight w:val="none"/>
        </w:rPr>
        <w:t>。</w:t>
      </w:r>
    </w:p>
    <w:p w14:paraId="2E0E06E9">
      <w:pPr>
        <w:pStyle w:val="13"/>
        <w:keepNext w:val="0"/>
        <w:keepLines w:val="0"/>
        <w:pageBreakBefore w:val="0"/>
        <w:widowControl w:val="0"/>
        <w:numPr>
          <w:ilvl w:val="3"/>
          <w:numId w:val="25"/>
        </w:numPr>
        <w:kinsoku/>
        <w:wordWrap/>
        <w:overflowPunct/>
        <w:topLinePunct w:val="0"/>
        <w:autoSpaceDE/>
        <w:autoSpaceDN/>
        <w:bidi w:val="0"/>
        <w:spacing w:line="360" w:lineRule="auto"/>
        <w:ind w:left="0" w:firstLine="420" w:firstLineChars="200"/>
        <w:rPr>
          <w:rFonts w:hint="eastAsia" w:eastAsia="宋体"/>
          <w:bCs/>
          <w:color w:val="auto"/>
          <w:sz w:val="21"/>
          <w:szCs w:val="21"/>
          <w:highlight w:val="none"/>
        </w:rPr>
      </w:pPr>
      <w:r>
        <w:rPr>
          <w:rFonts w:eastAsia="宋体"/>
          <w:bCs/>
          <w:color w:val="auto"/>
          <w:sz w:val="21"/>
          <w:szCs w:val="21"/>
          <w:highlight w:val="none"/>
        </w:rPr>
        <w:t>“偏离情况”</w:t>
      </w:r>
      <w:r>
        <w:rPr>
          <w:rFonts w:hint="eastAsia" w:eastAsia="宋体"/>
          <w:bCs/>
          <w:color w:val="auto"/>
          <w:sz w:val="21"/>
          <w:szCs w:val="21"/>
          <w:highlight w:val="none"/>
        </w:rPr>
        <w:t>项下应填写“正偏离”或“无偏离”或“负偏离”，供应商须真实体现偏离情况。其中“正偏离”是指优于采购文件规定的要求；“无偏离”是指满足采购文件规定的要求；“负偏离”是指低于采购文件规定的要求</w:t>
      </w:r>
      <w:r>
        <w:rPr>
          <w:rFonts w:eastAsia="宋体"/>
          <w:bCs/>
          <w:color w:val="auto"/>
          <w:sz w:val="21"/>
          <w:szCs w:val="21"/>
          <w:highlight w:val="none"/>
        </w:rPr>
        <w:t>。</w:t>
      </w:r>
    </w:p>
    <w:p w14:paraId="7FE772A8">
      <w:pPr>
        <w:pStyle w:val="13"/>
        <w:keepNext w:val="0"/>
        <w:keepLines w:val="0"/>
        <w:pageBreakBefore w:val="0"/>
        <w:widowControl w:val="0"/>
        <w:numPr>
          <w:ilvl w:val="3"/>
          <w:numId w:val="25"/>
        </w:numPr>
        <w:kinsoku/>
        <w:wordWrap/>
        <w:overflowPunct/>
        <w:topLinePunct w:val="0"/>
        <w:autoSpaceDE/>
        <w:autoSpaceDN/>
        <w:bidi w:val="0"/>
        <w:spacing w:line="360" w:lineRule="auto"/>
        <w:ind w:left="0" w:firstLine="420" w:firstLineChars="200"/>
        <w:rPr>
          <w:rFonts w:hint="eastAsia" w:eastAsia="宋体"/>
          <w:bCs/>
          <w:color w:val="auto"/>
          <w:sz w:val="21"/>
          <w:szCs w:val="21"/>
          <w:highlight w:val="none"/>
        </w:rPr>
      </w:pPr>
      <w:r>
        <w:rPr>
          <w:rFonts w:hint="eastAsia" w:eastAsia="宋体"/>
          <w:bCs/>
          <w:color w:val="auto"/>
          <w:sz w:val="21"/>
          <w:szCs w:val="21"/>
          <w:highlight w:val="none"/>
        </w:rPr>
        <w:t>“备注”项下填写佐证材料的相关页码或具体偏离内容，不涉及则无需填写。</w:t>
      </w:r>
    </w:p>
    <w:p w14:paraId="76175532">
      <w:pPr>
        <w:pStyle w:val="13"/>
        <w:keepNext w:val="0"/>
        <w:keepLines w:val="0"/>
        <w:pageBreakBefore w:val="0"/>
        <w:widowControl w:val="0"/>
        <w:numPr>
          <w:ilvl w:val="3"/>
          <w:numId w:val="25"/>
        </w:numPr>
        <w:kinsoku/>
        <w:wordWrap/>
        <w:overflowPunct/>
        <w:topLinePunct w:val="0"/>
        <w:autoSpaceDE/>
        <w:autoSpaceDN/>
        <w:bidi w:val="0"/>
        <w:spacing w:line="360" w:lineRule="auto"/>
        <w:ind w:left="0" w:firstLine="420" w:firstLineChars="200"/>
        <w:rPr>
          <w:rFonts w:hint="eastAsia" w:eastAsia="宋体"/>
          <w:bCs/>
          <w:color w:val="auto"/>
          <w:sz w:val="21"/>
          <w:szCs w:val="21"/>
          <w:highlight w:val="none"/>
        </w:rPr>
      </w:pPr>
      <w:r>
        <w:rPr>
          <w:rFonts w:hint="eastAsia" w:eastAsia="宋体"/>
          <w:bCs/>
          <w:color w:val="auto"/>
          <w:sz w:val="21"/>
          <w:szCs w:val="21"/>
          <w:highlight w:val="none"/>
        </w:rPr>
        <w:t>供应商须谨慎进行响应，不可存在虚假投标（响应）的情形。</w:t>
      </w:r>
    </w:p>
    <w:p w14:paraId="4477A1E2">
      <w:pPr>
        <w:keepNext w:val="0"/>
        <w:keepLines w:val="0"/>
        <w:pageBreakBefore w:val="0"/>
        <w:widowControl w:val="0"/>
        <w:kinsoku/>
        <w:wordWrap/>
        <w:overflowPunct/>
        <w:topLinePunct w:val="0"/>
        <w:bidi w:val="0"/>
        <w:spacing w:line="360" w:lineRule="auto"/>
        <w:rPr>
          <w:rFonts w:hint="eastAsia"/>
          <w:color w:val="auto"/>
          <w:highlight w:val="none"/>
        </w:rPr>
      </w:pPr>
    </w:p>
    <w:bookmarkEnd w:id="258"/>
    <w:p w14:paraId="529F4A69">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r>
        <w:rPr>
          <w:rFonts w:hint="eastAsia"/>
          <w:color w:val="auto"/>
          <w:kern w:val="0"/>
          <w:highlight w:val="none"/>
          <w:lang w:eastAsia="zh-CN"/>
        </w:rPr>
        <w:t>供应商</w:t>
      </w:r>
      <w:r>
        <w:rPr>
          <w:rFonts w:hint="eastAsia"/>
          <w:color w:val="auto"/>
          <w:highlight w:val="none"/>
          <w:lang w:eastAsia="zh-CN"/>
        </w:rPr>
        <w:t>法定代表人或其授权委托人（签字或盖章）：</w:t>
      </w:r>
      <w:r>
        <w:rPr>
          <w:color w:val="auto"/>
          <w:highlight w:val="none"/>
          <w:u w:val="single"/>
          <w:lang w:eastAsia="zh-CN"/>
        </w:rPr>
        <w:t xml:space="preserve">                    .</w:t>
      </w:r>
    </w:p>
    <w:p w14:paraId="551D2501">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r>
        <w:rPr>
          <w:rFonts w:hint="eastAsia"/>
          <w:color w:val="auto"/>
          <w:highlight w:val="none"/>
          <w:lang w:eastAsia="zh-CN"/>
        </w:rPr>
        <w:t>供应商名称（盖章）：</w:t>
      </w:r>
      <w:r>
        <w:rPr>
          <w:color w:val="auto"/>
          <w:highlight w:val="none"/>
          <w:u w:val="single"/>
          <w:lang w:eastAsia="zh-CN"/>
        </w:rPr>
        <w:t xml:space="preserve">                    .</w:t>
      </w:r>
    </w:p>
    <w:p w14:paraId="62E25BF6">
      <w:pPr>
        <w:keepNext w:val="0"/>
        <w:keepLines w:val="0"/>
        <w:pageBreakBefore w:val="0"/>
        <w:widowControl w:val="0"/>
        <w:kinsoku/>
        <w:wordWrap/>
        <w:overflowPunct/>
        <w:topLinePunct w:val="0"/>
        <w:bidi w:val="0"/>
        <w:spacing w:line="360" w:lineRule="auto"/>
        <w:jc w:val="right"/>
        <w:rPr>
          <w:rFonts w:hint="eastAsia"/>
          <w:color w:val="auto"/>
          <w:sz w:val="24"/>
          <w:highlight w:val="none"/>
        </w:rPr>
      </w:pPr>
      <w:r>
        <w:rPr>
          <w:rFonts w:hint="eastAsia"/>
          <w:color w:val="auto"/>
          <w:sz w:val="24"/>
          <w:highlight w:val="none"/>
        </w:rPr>
        <w:t>日期：</w:t>
      </w:r>
      <w:r>
        <w:rPr>
          <w:color w:val="auto"/>
          <w:sz w:val="24"/>
          <w:highlight w:val="none"/>
          <w:u w:val="single"/>
        </w:rPr>
        <w:t xml:space="preserve">     </w:t>
      </w:r>
      <w:r>
        <w:rPr>
          <w:color w:val="auto"/>
          <w:sz w:val="24"/>
          <w:highlight w:val="none"/>
        </w:rPr>
        <w:t>年</w:t>
      </w:r>
      <w:r>
        <w:rPr>
          <w:color w:val="auto"/>
          <w:sz w:val="24"/>
          <w:highlight w:val="none"/>
          <w:u w:val="single"/>
        </w:rPr>
        <w:t xml:space="preserve">     </w:t>
      </w:r>
      <w:r>
        <w:rPr>
          <w:color w:val="auto"/>
          <w:sz w:val="24"/>
          <w:highlight w:val="none"/>
        </w:rPr>
        <w:t>月</w:t>
      </w:r>
      <w:r>
        <w:rPr>
          <w:color w:val="auto"/>
          <w:sz w:val="24"/>
          <w:highlight w:val="none"/>
          <w:u w:val="single"/>
        </w:rPr>
        <w:t xml:space="preserve">     </w:t>
      </w:r>
      <w:r>
        <w:rPr>
          <w:color w:val="auto"/>
          <w:sz w:val="24"/>
          <w:highlight w:val="none"/>
        </w:rPr>
        <w:t>日</w:t>
      </w:r>
    </w:p>
    <w:p w14:paraId="370113C6">
      <w:pPr>
        <w:keepNext w:val="0"/>
        <w:keepLines w:val="0"/>
        <w:pageBreakBefore w:val="0"/>
        <w:widowControl w:val="0"/>
        <w:kinsoku/>
        <w:wordWrap/>
        <w:overflowPunct/>
        <w:topLinePunct w:val="0"/>
        <w:bidi w:val="0"/>
        <w:spacing w:line="360" w:lineRule="auto"/>
        <w:jc w:val="right"/>
        <w:rPr>
          <w:rFonts w:hint="eastAsia"/>
          <w:color w:val="auto"/>
          <w:sz w:val="24"/>
          <w:highlight w:val="none"/>
        </w:rPr>
      </w:pPr>
    </w:p>
    <w:p w14:paraId="5672D517">
      <w:pPr>
        <w:keepNext w:val="0"/>
        <w:keepLines w:val="0"/>
        <w:pageBreakBefore w:val="0"/>
        <w:widowControl w:val="0"/>
        <w:kinsoku/>
        <w:wordWrap/>
        <w:overflowPunct/>
        <w:topLinePunct w:val="0"/>
        <w:bidi w:val="0"/>
        <w:spacing w:line="360" w:lineRule="auto"/>
        <w:jc w:val="left"/>
        <w:rPr>
          <w:rFonts w:hint="eastAsia"/>
          <w:color w:val="auto"/>
          <w:sz w:val="24"/>
          <w:highlight w:val="none"/>
        </w:rPr>
      </w:pPr>
      <w:r>
        <w:rPr>
          <w:color w:val="auto"/>
          <w:sz w:val="24"/>
          <w:highlight w:val="none"/>
        </w:rPr>
        <w:br w:type="page"/>
      </w:r>
    </w:p>
    <w:p w14:paraId="104627FB">
      <w:pPr>
        <w:pStyle w:val="3"/>
        <w:keepNext w:val="0"/>
        <w:keepLines w:val="0"/>
        <w:pageBreakBefore w:val="0"/>
        <w:widowControl w:val="0"/>
        <w:numPr>
          <w:ilvl w:val="0"/>
          <w:numId w:val="23"/>
        </w:numPr>
        <w:kinsoku/>
        <w:wordWrap/>
        <w:overflowPunct/>
        <w:topLinePunct w:val="0"/>
        <w:bidi w:val="0"/>
        <w:spacing w:before="120" w:after="120" w:line="360" w:lineRule="auto"/>
        <w:ind w:left="720" w:hanging="720"/>
        <w:rPr>
          <w:rFonts w:hint="eastAsia" w:ascii="宋体" w:hAnsi="宋体" w:eastAsia="宋体"/>
          <w:color w:val="auto"/>
          <w:sz w:val="24"/>
          <w:szCs w:val="24"/>
          <w:highlight w:val="none"/>
        </w:rPr>
      </w:pPr>
      <w:bookmarkStart w:id="259" w:name="_Toc124157561"/>
      <w:bookmarkStart w:id="260" w:name="_Toc30192"/>
      <w:bookmarkStart w:id="261" w:name="_Toc138883108"/>
      <w:r>
        <w:rPr>
          <w:rFonts w:hint="eastAsia" w:ascii="宋体" w:hAnsi="宋体" w:eastAsia="宋体"/>
          <w:color w:val="auto"/>
          <w:sz w:val="24"/>
          <w:szCs w:val="24"/>
          <w:highlight w:val="none"/>
        </w:rPr>
        <w:t>商务</w:t>
      </w:r>
      <w:r>
        <w:rPr>
          <w:rFonts w:ascii="宋体" w:hAnsi="宋体" w:eastAsia="宋体"/>
          <w:color w:val="auto"/>
          <w:sz w:val="24"/>
          <w:szCs w:val="24"/>
          <w:highlight w:val="none"/>
        </w:rPr>
        <w:t>条款响应表</w:t>
      </w:r>
      <w:bookmarkEnd w:id="259"/>
      <w:bookmarkEnd w:id="260"/>
      <w:bookmarkEnd w:id="261"/>
    </w:p>
    <w:p w14:paraId="5DA46088">
      <w:pPr>
        <w:keepNext w:val="0"/>
        <w:keepLines w:val="0"/>
        <w:pageBreakBefore w:val="0"/>
        <w:widowControl w:val="0"/>
        <w:kinsoku/>
        <w:wordWrap/>
        <w:overflowPunct/>
        <w:topLinePunct w:val="0"/>
        <w:bidi w:val="0"/>
        <w:spacing w:line="360" w:lineRule="auto"/>
        <w:jc w:val="center"/>
        <w:rPr>
          <w:rFonts w:hint="eastAsia"/>
          <w:b/>
          <w:color w:val="auto"/>
          <w:sz w:val="28"/>
          <w:szCs w:val="28"/>
          <w:highlight w:val="none"/>
        </w:rPr>
      </w:pPr>
      <w:r>
        <w:rPr>
          <w:rFonts w:hint="eastAsia"/>
          <w:b/>
          <w:color w:val="auto"/>
          <w:sz w:val="28"/>
          <w:szCs w:val="28"/>
          <w:highlight w:val="none"/>
        </w:rPr>
        <w:t>商务条款响应表</w:t>
      </w:r>
    </w:p>
    <w:p w14:paraId="5204E6CC">
      <w:pPr>
        <w:keepNext w:val="0"/>
        <w:keepLines w:val="0"/>
        <w:pageBreakBefore w:val="0"/>
        <w:widowControl w:val="0"/>
        <w:kinsoku/>
        <w:wordWrap/>
        <w:overflowPunct/>
        <w:topLinePunct w:val="0"/>
        <w:bidi w:val="0"/>
        <w:spacing w:line="360" w:lineRule="auto"/>
        <w:rPr>
          <w:rFonts w:hint="eastAsia"/>
          <w:color w:val="auto"/>
          <w:sz w:val="24"/>
          <w:highlight w:val="none"/>
        </w:rPr>
      </w:pPr>
      <w:r>
        <w:rPr>
          <w:rFonts w:hint="eastAsia"/>
          <w:bCs/>
          <w:color w:val="auto"/>
          <w:sz w:val="24"/>
          <w:highlight w:val="none"/>
        </w:rPr>
        <w:t>项目编号</w:t>
      </w:r>
      <w:r>
        <w:rPr>
          <w:bCs/>
          <w:color w:val="auto"/>
          <w:sz w:val="24"/>
          <w:highlight w:val="none"/>
        </w:rPr>
        <w:t>：_______________</w:t>
      </w:r>
    </w:p>
    <w:p w14:paraId="4EFCC6F1">
      <w:pPr>
        <w:keepNext w:val="0"/>
        <w:keepLines w:val="0"/>
        <w:pageBreakBefore w:val="0"/>
        <w:widowControl w:val="0"/>
        <w:kinsoku/>
        <w:wordWrap/>
        <w:overflowPunct/>
        <w:topLinePunct w:val="0"/>
        <w:bidi w:val="0"/>
        <w:spacing w:line="360" w:lineRule="auto"/>
        <w:rPr>
          <w:rFonts w:hint="eastAsia"/>
          <w:color w:val="auto"/>
          <w:highlight w:val="none"/>
        </w:rPr>
      </w:pPr>
      <w:r>
        <w:rPr>
          <w:bCs/>
          <w:color w:val="auto"/>
          <w:sz w:val="24"/>
          <w:highlight w:val="none"/>
        </w:rPr>
        <w:t>项目名称：_______________</w:t>
      </w:r>
    </w:p>
    <w:tbl>
      <w:tblPr>
        <w:tblStyle w:val="4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4905"/>
        <w:gridCol w:w="1766"/>
        <w:gridCol w:w="1478"/>
        <w:gridCol w:w="877"/>
      </w:tblGrid>
      <w:tr w14:paraId="2FA28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vAlign w:val="center"/>
          </w:tcPr>
          <w:p w14:paraId="759D2AE2">
            <w:pPr>
              <w:pStyle w:val="13"/>
              <w:keepNext w:val="0"/>
              <w:keepLines w:val="0"/>
              <w:pageBreakBefore w:val="0"/>
              <w:widowControl w:val="0"/>
              <w:kinsoku/>
              <w:wordWrap/>
              <w:overflowPunct/>
              <w:topLinePunct w:val="0"/>
              <w:autoSpaceDE/>
              <w:autoSpaceDN/>
              <w:bidi w:val="0"/>
              <w:spacing w:line="360" w:lineRule="auto"/>
              <w:ind w:firstLine="0"/>
              <w:jc w:val="center"/>
              <w:rPr>
                <w:rFonts w:hint="eastAsia" w:eastAsia="宋体"/>
                <w:b/>
                <w:color w:val="auto"/>
                <w:sz w:val="21"/>
                <w:szCs w:val="21"/>
                <w:highlight w:val="none"/>
              </w:rPr>
            </w:pPr>
            <w:r>
              <w:rPr>
                <w:rFonts w:eastAsia="宋体"/>
                <w:b/>
                <w:color w:val="auto"/>
                <w:sz w:val="21"/>
                <w:szCs w:val="21"/>
                <w:highlight w:val="none"/>
              </w:rPr>
              <w:t>序号</w:t>
            </w:r>
          </w:p>
        </w:tc>
        <w:tc>
          <w:tcPr>
            <w:tcW w:w="4905" w:type="dxa"/>
            <w:vAlign w:val="center"/>
          </w:tcPr>
          <w:p w14:paraId="195BE5C8">
            <w:pPr>
              <w:pStyle w:val="13"/>
              <w:keepNext w:val="0"/>
              <w:keepLines w:val="0"/>
              <w:pageBreakBefore w:val="0"/>
              <w:widowControl w:val="0"/>
              <w:kinsoku/>
              <w:wordWrap/>
              <w:overflowPunct/>
              <w:topLinePunct w:val="0"/>
              <w:autoSpaceDE/>
              <w:autoSpaceDN/>
              <w:bidi w:val="0"/>
              <w:spacing w:line="360" w:lineRule="auto"/>
              <w:ind w:firstLine="0"/>
              <w:jc w:val="center"/>
              <w:rPr>
                <w:rFonts w:hint="eastAsia" w:eastAsia="宋体"/>
                <w:b/>
                <w:color w:val="auto"/>
                <w:sz w:val="21"/>
                <w:szCs w:val="21"/>
                <w:highlight w:val="none"/>
              </w:rPr>
            </w:pPr>
            <w:r>
              <w:rPr>
                <w:rFonts w:hint="eastAsia" w:eastAsia="宋体"/>
                <w:b/>
                <w:color w:val="auto"/>
                <w:sz w:val="21"/>
                <w:szCs w:val="21"/>
                <w:highlight w:val="none"/>
              </w:rPr>
              <w:t>采购文件规定的要求</w:t>
            </w:r>
          </w:p>
        </w:tc>
        <w:tc>
          <w:tcPr>
            <w:tcW w:w="1766" w:type="dxa"/>
            <w:vAlign w:val="center"/>
          </w:tcPr>
          <w:p w14:paraId="68E62FE1">
            <w:pPr>
              <w:pStyle w:val="13"/>
              <w:keepNext w:val="0"/>
              <w:keepLines w:val="0"/>
              <w:pageBreakBefore w:val="0"/>
              <w:widowControl w:val="0"/>
              <w:kinsoku/>
              <w:wordWrap/>
              <w:overflowPunct/>
              <w:topLinePunct w:val="0"/>
              <w:autoSpaceDE/>
              <w:autoSpaceDN/>
              <w:bidi w:val="0"/>
              <w:spacing w:line="360" w:lineRule="auto"/>
              <w:ind w:firstLine="0"/>
              <w:jc w:val="center"/>
              <w:rPr>
                <w:rFonts w:hint="eastAsia" w:eastAsia="宋体"/>
                <w:b/>
                <w:color w:val="auto"/>
                <w:sz w:val="21"/>
                <w:szCs w:val="21"/>
                <w:highlight w:val="none"/>
              </w:rPr>
            </w:pPr>
            <w:r>
              <w:rPr>
                <w:rFonts w:hint="eastAsia" w:eastAsia="宋体"/>
                <w:b/>
                <w:color w:val="auto"/>
                <w:sz w:val="21"/>
                <w:szCs w:val="21"/>
                <w:highlight w:val="none"/>
              </w:rPr>
              <w:t>供应商响应情况</w:t>
            </w:r>
          </w:p>
        </w:tc>
        <w:tc>
          <w:tcPr>
            <w:tcW w:w="1478" w:type="dxa"/>
            <w:vAlign w:val="center"/>
          </w:tcPr>
          <w:p w14:paraId="48BA4323">
            <w:pPr>
              <w:pStyle w:val="13"/>
              <w:keepNext w:val="0"/>
              <w:keepLines w:val="0"/>
              <w:pageBreakBefore w:val="0"/>
              <w:widowControl w:val="0"/>
              <w:kinsoku/>
              <w:wordWrap/>
              <w:overflowPunct/>
              <w:topLinePunct w:val="0"/>
              <w:autoSpaceDE/>
              <w:autoSpaceDN/>
              <w:bidi w:val="0"/>
              <w:spacing w:line="360" w:lineRule="auto"/>
              <w:ind w:firstLine="0"/>
              <w:jc w:val="center"/>
              <w:rPr>
                <w:rFonts w:hint="eastAsia" w:eastAsia="宋体"/>
                <w:b/>
                <w:color w:val="auto"/>
                <w:sz w:val="21"/>
                <w:szCs w:val="21"/>
                <w:highlight w:val="none"/>
              </w:rPr>
            </w:pPr>
            <w:r>
              <w:rPr>
                <w:rFonts w:eastAsia="宋体"/>
                <w:b/>
                <w:color w:val="auto"/>
                <w:sz w:val="21"/>
                <w:szCs w:val="21"/>
                <w:highlight w:val="none"/>
              </w:rPr>
              <w:t>偏离情况</w:t>
            </w:r>
          </w:p>
        </w:tc>
        <w:tc>
          <w:tcPr>
            <w:tcW w:w="877" w:type="dxa"/>
            <w:vAlign w:val="center"/>
          </w:tcPr>
          <w:p w14:paraId="5B488910">
            <w:pPr>
              <w:pStyle w:val="13"/>
              <w:keepNext w:val="0"/>
              <w:keepLines w:val="0"/>
              <w:pageBreakBefore w:val="0"/>
              <w:widowControl w:val="0"/>
              <w:kinsoku/>
              <w:wordWrap/>
              <w:overflowPunct/>
              <w:topLinePunct w:val="0"/>
              <w:autoSpaceDE/>
              <w:autoSpaceDN/>
              <w:bidi w:val="0"/>
              <w:spacing w:line="360" w:lineRule="auto"/>
              <w:ind w:firstLine="0"/>
              <w:jc w:val="center"/>
              <w:rPr>
                <w:rFonts w:hint="eastAsia" w:eastAsia="宋体"/>
                <w:b/>
                <w:color w:val="auto"/>
                <w:sz w:val="21"/>
                <w:szCs w:val="21"/>
                <w:highlight w:val="none"/>
              </w:rPr>
            </w:pPr>
            <w:r>
              <w:rPr>
                <w:rFonts w:hint="eastAsia" w:eastAsia="宋体"/>
                <w:b/>
                <w:color w:val="auto"/>
                <w:sz w:val="21"/>
                <w:szCs w:val="21"/>
                <w:highlight w:val="none"/>
              </w:rPr>
              <w:t>备注</w:t>
            </w:r>
          </w:p>
        </w:tc>
      </w:tr>
      <w:tr w14:paraId="7424F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vAlign w:val="center"/>
          </w:tcPr>
          <w:p w14:paraId="7BF86E3F">
            <w:pPr>
              <w:pStyle w:val="126"/>
              <w:keepNext w:val="0"/>
              <w:keepLines w:val="0"/>
              <w:pageBreakBefore w:val="0"/>
              <w:widowControl w:val="0"/>
              <w:numPr>
                <w:ilvl w:val="0"/>
                <w:numId w:val="26"/>
              </w:numPr>
              <w:suppressAutoHyphens w:val="0"/>
              <w:kinsoku/>
              <w:wordWrap/>
              <w:overflowPunct/>
              <w:topLinePunct w:val="0"/>
              <w:bidi w:val="0"/>
              <w:spacing w:line="360" w:lineRule="auto"/>
              <w:jc w:val="center"/>
              <w:rPr>
                <w:rFonts w:hint="eastAsia"/>
                <w:bCs/>
                <w:color w:val="auto"/>
                <w:szCs w:val="21"/>
                <w:highlight w:val="none"/>
              </w:rPr>
            </w:pPr>
          </w:p>
        </w:tc>
        <w:tc>
          <w:tcPr>
            <w:tcW w:w="4905" w:type="dxa"/>
            <w:vAlign w:val="center"/>
          </w:tcPr>
          <w:p w14:paraId="096F4782">
            <w:pPr>
              <w:keepNext w:val="0"/>
              <w:keepLines w:val="0"/>
              <w:pageBreakBefore w:val="0"/>
              <w:widowControl w:val="0"/>
              <w:kinsoku/>
              <w:wordWrap/>
              <w:overflowPunct/>
              <w:topLinePunct w:val="0"/>
              <w:bidi w:val="0"/>
              <w:spacing w:line="360" w:lineRule="auto"/>
              <w:rPr>
                <w:rFonts w:hint="eastAsia"/>
                <w:bCs/>
                <w:color w:val="auto"/>
                <w:szCs w:val="21"/>
                <w:highlight w:val="none"/>
              </w:rPr>
            </w:pPr>
          </w:p>
        </w:tc>
        <w:tc>
          <w:tcPr>
            <w:tcW w:w="1766" w:type="dxa"/>
            <w:vAlign w:val="center"/>
          </w:tcPr>
          <w:p w14:paraId="75F7F025">
            <w:pPr>
              <w:pStyle w:val="19"/>
              <w:keepNext w:val="0"/>
              <w:keepLines w:val="0"/>
              <w:pageBreakBefore w:val="0"/>
              <w:widowControl w:val="0"/>
              <w:kinsoku/>
              <w:wordWrap/>
              <w:overflowPunct/>
              <w:topLinePunct w:val="0"/>
              <w:bidi w:val="0"/>
              <w:spacing w:line="360" w:lineRule="auto"/>
              <w:jc w:val="center"/>
              <w:rPr>
                <w:rFonts w:hint="eastAsia"/>
                <w:bCs/>
                <w:color w:val="auto"/>
                <w:szCs w:val="21"/>
                <w:highlight w:val="none"/>
              </w:rPr>
            </w:pPr>
          </w:p>
        </w:tc>
        <w:tc>
          <w:tcPr>
            <w:tcW w:w="1478" w:type="dxa"/>
            <w:vAlign w:val="center"/>
          </w:tcPr>
          <w:p w14:paraId="7704D705">
            <w:pPr>
              <w:pStyle w:val="19"/>
              <w:keepNext w:val="0"/>
              <w:keepLines w:val="0"/>
              <w:pageBreakBefore w:val="0"/>
              <w:widowControl w:val="0"/>
              <w:kinsoku/>
              <w:wordWrap/>
              <w:overflowPunct/>
              <w:topLinePunct w:val="0"/>
              <w:bidi w:val="0"/>
              <w:spacing w:line="360" w:lineRule="auto"/>
              <w:jc w:val="center"/>
              <w:rPr>
                <w:rFonts w:hint="eastAsia"/>
                <w:bCs/>
                <w:color w:val="auto"/>
                <w:szCs w:val="21"/>
                <w:highlight w:val="none"/>
              </w:rPr>
            </w:pPr>
          </w:p>
        </w:tc>
        <w:tc>
          <w:tcPr>
            <w:tcW w:w="877" w:type="dxa"/>
            <w:tcBorders>
              <w:top w:val="single" w:color="auto" w:sz="4" w:space="0"/>
              <w:left w:val="single" w:color="auto" w:sz="4" w:space="0"/>
              <w:bottom w:val="single" w:color="auto" w:sz="4" w:space="0"/>
              <w:right w:val="single" w:color="auto" w:sz="4" w:space="0"/>
            </w:tcBorders>
            <w:vAlign w:val="center"/>
          </w:tcPr>
          <w:p w14:paraId="784F2991">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p>
        </w:tc>
      </w:tr>
      <w:tr w14:paraId="569D7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vAlign w:val="center"/>
          </w:tcPr>
          <w:p w14:paraId="43024C49">
            <w:pPr>
              <w:pStyle w:val="126"/>
              <w:keepNext w:val="0"/>
              <w:keepLines w:val="0"/>
              <w:pageBreakBefore w:val="0"/>
              <w:widowControl w:val="0"/>
              <w:numPr>
                <w:ilvl w:val="0"/>
                <w:numId w:val="26"/>
              </w:numPr>
              <w:suppressAutoHyphens w:val="0"/>
              <w:kinsoku/>
              <w:wordWrap/>
              <w:overflowPunct/>
              <w:topLinePunct w:val="0"/>
              <w:bidi w:val="0"/>
              <w:spacing w:line="360" w:lineRule="auto"/>
              <w:jc w:val="center"/>
              <w:rPr>
                <w:rFonts w:hint="eastAsia"/>
                <w:bCs/>
                <w:color w:val="auto"/>
                <w:szCs w:val="21"/>
                <w:highlight w:val="none"/>
                <w:lang w:eastAsia="zh-CN"/>
              </w:rPr>
            </w:pPr>
          </w:p>
        </w:tc>
        <w:tc>
          <w:tcPr>
            <w:tcW w:w="4905" w:type="dxa"/>
            <w:vAlign w:val="center"/>
          </w:tcPr>
          <w:p w14:paraId="2F83B67F">
            <w:pPr>
              <w:keepNext w:val="0"/>
              <w:keepLines w:val="0"/>
              <w:pageBreakBefore w:val="0"/>
              <w:widowControl w:val="0"/>
              <w:kinsoku/>
              <w:wordWrap/>
              <w:overflowPunct/>
              <w:topLinePunct w:val="0"/>
              <w:bidi w:val="0"/>
              <w:spacing w:line="360" w:lineRule="auto"/>
              <w:rPr>
                <w:rFonts w:hint="eastAsia"/>
                <w:bCs/>
                <w:color w:val="auto"/>
                <w:szCs w:val="21"/>
                <w:highlight w:val="none"/>
              </w:rPr>
            </w:pPr>
          </w:p>
        </w:tc>
        <w:tc>
          <w:tcPr>
            <w:tcW w:w="1766" w:type="dxa"/>
            <w:vAlign w:val="center"/>
          </w:tcPr>
          <w:p w14:paraId="293B14F8">
            <w:pPr>
              <w:pStyle w:val="19"/>
              <w:keepNext w:val="0"/>
              <w:keepLines w:val="0"/>
              <w:pageBreakBefore w:val="0"/>
              <w:widowControl w:val="0"/>
              <w:kinsoku/>
              <w:wordWrap/>
              <w:overflowPunct/>
              <w:topLinePunct w:val="0"/>
              <w:bidi w:val="0"/>
              <w:spacing w:line="360" w:lineRule="auto"/>
              <w:jc w:val="center"/>
              <w:rPr>
                <w:rFonts w:hint="eastAsia"/>
                <w:bCs/>
                <w:color w:val="auto"/>
                <w:szCs w:val="21"/>
                <w:highlight w:val="none"/>
              </w:rPr>
            </w:pPr>
          </w:p>
        </w:tc>
        <w:tc>
          <w:tcPr>
            <w:tcW w:w="1478" w:type="dxa"/>
            <w:vAlign w:val="center"/>
          </w:tcPr>
          <w:p w14:paraId="62C9DE91">
            <w:pPr>
              <w:pStyle w:val="19"/>
              <w:keepNext w:val="0"/>
              <w:keepLines w:val="0"/>
              <w:pageBreakBefore w:val="0"/>
              <w:widowControl w:val="0"/>
              <w:kinsoku/>
              <w:wordWrap/>
              <w:overflowPunct/>
              <w:topLinePunct w:val="0"/>
              <w:bidi w:val="0"/>
              <w:spacing w:line="360" w:lineRule="auto"/>
              <w:jc w:val="center"/>
              <w:rPr>
                <w:rFonts w:hint="eastAsia"/>
                <w:bCs/>
                <w:color w:val="auto"/>
                <w:szCs w:val="21"/>
                <w:highlight w:val="none"/>
              </w:rPr>
            </w:pPr>
          </w:p>
        </w:tc>
        <w:tc>
          <w:tcPr>
            <w:tcW w:w="877" w:type="dxa"/>
            <w:tcBorders>
              <w:top w:val="single" w:color="auto" w:sz="4" w:space="0"/>
              <w:left w:val="single" w:color="auto" w:sz="4" w:space="0"/>
              <w:bottom w:val="single" w:color="auto" w:sz="4" w:space="0"/>
              <w:right w:val="single" w:color="auto" w:sz="4" w:space="0"/>
            </w:tcBorders>
            <w:vAlign w:val="center"/>
          </w:tcPr>
          <w:p w14:paraId="7F1E5A43">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p>
        </w:tc>
      </w:tr>
      <w:tr w14:paraId="34E30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vAlign w:val="center"/>
          </w:tcPr>
          <w:p w14:paraId="6C40D865">
            <w:pPr>
              <w:pStyle w:val="126"/>
              <w:keepNext w:val="0"/>
              <w:keepLines w:val="0"/>
              <w:pageBreakBefore w:val="0"/>
              <w:widowControl w:val="0"/>
              <w:numPr>
                <w:ilvl w:val="0"/>
                <w:numId w:val="26"/>
              </w:numPr>
              <w:suppressAutoHyphens w:val="0"/>
              <w:kinsoku/>
              <w:wordWrap/>
              <w:overflowPunct/>
              <w:topLinePunct w:val="0"/>
              <w:bidi w:val="0"/>
              <w:spacing w:line="360" w:lineRule="auto"/>
              <w:jc w:val="center"/>
              <w:rPr>
                <w:rFonts w:hint="eastAsia"/>
                <w:bCs/>
                <w:color w:val="auto"/>
                <w:szCs w:val="21"/>
                <w:highlight w:val="none"/>
                <w:lang w:eastAsia="zh-CN"/>
              </w:rPr>
            </w:pPr>
          </w:p>
        </w:tc>
        <w:tc>
          <w:tcPr>
            <w:tcW w:w="4905" w:type="dxa"/>
            <w:vAlign w:val="center"/>
          </w:tcPr>
          <w:p w14:paraId="1C0222B8">
            <w:pPr>
              <w:keepNext w:val="0"/>
              <w:keepLines w:val="0"/>
              <w:pageBreakBefore w:val="0"/>
              <w:widowControl w:val="0"/>
              <w:kinsoku/>
              <w:wordWrap/>
              <w:overflowPunct/>
              <w:topLinePunct w:val="0"/>
              <w:bidi w:val="0"/>
              <w:spacing w:line="360" w:lineRule="auto"/>
              <w:rPr>
                <w:rFonts w:hint="eastAsia"/>
                <w:bCs/>
                <w:color w:val="auto"/>
                <w:szCs w:val="21"/>
                <w:highlight w:val="none"/>
              </w:rPr>
            </w:pPr>
          </w:p>
        </w:tc>
        <w:tc>
          <w:tcPr>
            <w:tcW w:w="1766" w:type="dxa"/>
            <w:vAlign w:val="center"/>
          </w:tcPr>
          <w:p w14:paraId="7E87CFF9">
            <w:pPr>
              <w:pStyle w:val="19"/>
              <w:keepNext w:val="0"/>
              <w:keepLines w:val="0"/>
              <w:pageBreakBefore w:val="0"/>
              <w:widowControl w:val="0"/>
              <w:kinsoku/>
              <w:wordWrap/>
              <w:overflowPunct/>
              <w:topLinePunct w:val="0"/>
              <w:bidi w:val="0"/>
              <w:spacing w:line="360" w:lineRule="auto"/>
              <w:jc w:val="center"/>
              <w:rPr>
                <w:rFonts w:hint="eastAsia"/>
                <w:bCs/>
                <w:color w:val="auto"/>
                <w:szCs w:val="21"/>
                <w:highlight w:val="none"/>
              </w:rPr>
            </w:pPr>
          </w:p>
        </w:tc>
        <w:tc>
          <w:tcPr>
            <w:tcW w:w="1478" w:type="dxa"/>
            <w:vAlign w:val="center"/>
          </w:tcPr>
          <w:p w14:paraId="4247ACB9">
            <w:pPr>
              <w:pStyle w:val="19"/>
              <w:keepNext w:val="0"/>
              <w:keepLines w:val="0"/>
              <w:pageBreakBefore w:val="0"/>
              <w:widowControl w:val="0"/>
              <w:kinsoku/>
              <w:wordWrap/>
              <w:overflowPunct/>
              <w:topLinePunct w:val="0"/>
              <w:bidi w:val="0"/>
              <w:spacing w:line="360" w:lineRule="auto"/>
              <w:jc w:val="center"/>
              <w:rPr>
                <w:rFonts w:hint="eastAsia"/>
                <w:bCs/>
                <w:color w:val="auto"/>
                <w:szCs w:val="21"/>
                <w:highlight w:val="none"/>
              </w:rPr>
            </w:pPr>
          </w:p>
        </w:tc>
        <w:tc>
          <w:tcPr>
            <w:tcW w:w="877" w:type="dxa"/>
            <w:tcBorders>
              <w:top w:val="single" w:color="auto" w:sz="4" w:space="0"/>
              <w:left w:val="single" w:color="auto" w:sz="4" w:space="0"/>
              <w:bottom w:val="single" w:color="auto" w:sz="4" w:space="0"/>
              <w:right w:val="single" w:color="auto" w:sz="4" w:space="0"/>
            </w:tcBorders>
            <w:vAlign w:val="center"/>
          </w:tcPr>
          <w:p w14:paraId="6772A499">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p>
        </w:tc>
      </w:tr>
      <w:tr w14:paraId="13A9C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vAlign w:val="center"/>
          </w:tcPr>
          <w:p w14:paraId="4D2D0FB3">
            <w:pPr>
              <w:keepNext w:val="0"/>
              <w:keepLines w:val="0"/>
              <w:pageBreakBefore w:val="0"/>
              <w:widowControl w:val="0"/>
              <w:kinsoku/>
              <w:wordWrap/>
              <w:overflowPunct/>
              <w:topLinePunct w:val="0"/>
              <w:bidi w:val="0"/>
              <w:spacing w:line="360" w:lineRule="auto"/>
              <w:jc w:val="center"/>
              <w:rPr>
                <w:rFonts w:hint="eastAsia"/>
                <w:bCs/>
                <w:color w:val="auto"/>
                <w:szCs w:val="21"/>
                <w:highlight w:val="none"/>
              </w:rPr>
            </w:pPr>
            <w:r>
              <w:rPr>
                <w:bCs/>
                <w:color w:val="auto"/>
                <w:szCs w:val="21"/>
                <w:highlight w:val="none"/>
              </w:rPr>
              <w:t>……</w:t>
            </w:r>
          </w:p>
        </w:tc>
        <w:tc>
          <w:tcPr>
            <w:tcW w:w="4905" w:type="dxa"/>
            <w:vAlign w:val="center"/>
          </w:tcPr>
          <w:p w14:paraId="7E1BBC2B">
            <w:pPr>
              <w:keepNext w:val="0"/>
              <w:keepLines w:val="0"/>
              <w:pageBreakBefore w:val="0"/>
              <w:widowControl w:val="0"/>
              <w:kinsoku/>
              <w:wordWrap/>
              <w:overflowPunct/>
              <w:topLinePunct w:val="0"/>
              <w:bidi w:val="0"/>
              <w:spacing w:line="360" w:lineRule="auto"/>
              <w:rPr>
                <w:rFonts w:hint="eastAsia"/>
                <w:bCs/>
                <w:color w:val="auto"/>
                <w:szCs w:val="21"/>
                <w:highlight w:val="none"/>
              </w:rPr>
            </w:pPr>
          </w:p>
        </w:tc>
        <w:tc>
          <w:tcPr>
            <w:tcW w:w="1766" w:type="dxa"/>
            <w:vAlign w:val="center"/>
          </w:tcPr>
          <w:p w14:paraId="121510C4">
            <w:pPr>
              <w:pStyle w:val="19"/>
              <w:keepNext w:val="0"/>
              <w:keepLines w:val="0"/>
              <w:pageBreakBefore w:val="0"/>
              <w:widowControl w:val="0"/>
              <w:kinsoku/>
              <w:wordWrap/>
              <w:overflowPunct/>
              <w:topLinePunct w:val="0"/>
              <w:bidi w:val="0"/>
              <w:spacing w:line="360" w:lineRule="auto"/>
              <w:jc w:val="center"/>
              <w:rPr>
                <w:rFonts w:hint="eastAsia"/>
                <w:bCs/>
                <w:color w:val="auto"/>
                <w:szCs w:val="21"/>
                <w:highlight w:val="none"/>
              </w:rPr>
            </w:pPr>
          </w:p>
        </w:tc>
        <w:tc>
          <w:tcPr>
            <w:tcW w:w="1478" w:type="dxa"/>
            <w:vAlign w:val="center"/>
          </w:tcPr>
          <w:p w14:paraId="6AE7637B">
            <w:pPr>
              <w:pStyle w:val="19"/>
              <w:keepNext w:val="0"/>
              <w:keepLines w:val="0"/>
              <w:pageBreakBefore w:val="0"/>
              <w:widowControl w:val="0"/>
              <w:kinsoku/>
              <w:wordWrap/>
              <w:overflowPunct/>
              <w:topLinePunct w:val="0"/>
              <w:bidi w:val="0"/>
              <w:spacing w:line="360" w:lineRule="auto"/>
              <w:jc w:val="center"/>
              <w:rPr>
                <w:rFonts w:hint="eastAsia"/>
                <w:bCs/>
                <w:color w:val="auto"/>
                <w:szCs w:val="21"/>
                <w:highlight w:val="none"/>
              </w:rPr>
            </w:pPr>
          </w:p>
        </w:tc>
        <w:tc>
          <w:tcPr>
            <w:tcW w:w="877" w:type="dxa"/>
            <w:tcBorders>
              <w:top w:val="single" w:color="auto" w:sz="4" w:space="0"/>
              <w:left w:val="single" w:color="auto" w:sz="4" w:space="0"/>
              <w:bottom w:val="single" w:color="auto" w:sz="4" w:space="0"/>
              <w:right w:val="single" w:color="auto" w:sz="4" w:space="0"/>
            </w:tcBorders>
            <w:vAlign w:val="center"/>
          </w:tcPr>
          <w:p w14:paraId="559360D8">
            <w:pPr>
              <w:keepNext w:val="0"/>
              <w:keepLines w:val="0"/>
              <w:pageBreakBefore w:val="0"/>
              <w:widowControl w:val="0"/>
              <w:kinsoku/>
              <w:wordWrap/>
              <w:overflowPunct/>
              <w:topLinePunct w:val="0"/>
              <w:bidi w:val="0"/>
              <w:spacing w:line="360" w:lineRule="auto"/>
              <w:jc w:val="center"/>
              <w:rPr>
                <w:rFonts w:hint="eastAsia"/>
                <w:color w:val="auto"/>
                <w:szCs w:val="21"/>
                <w:highlight w:val="none"/>
              </w:rPr>
            </w:pPr>
          </w:p>
        </w:tc>
      </w:tr>
    </w:tbl>
    <w:p w14:paraId="36892E7E">
      <w:pPr>
        <w:pStyle w:val="13"/>
        <w:keepNext w:val="0"/>
        <w:keepLines w:val="0"/>
        <w:pageBreakBefore w:val="0"/>
        <w:widowControl w:val="0"/>
        <w:kinsoku/>
        <w:wordWrap/>
        <w:overflowPunct/>
        <w:topLinePunct w:val="0"/>
        <w:autoSpaceDE/>
        <w:autoSpaceDN/>
        <w:bidi w:val="0"/>
        <w:spacing w:line="360" w:lineRule="auto"/>
        <w:ind w:firstLine="0"/>
        <w:rPr>
          <w:rFonts w:hint="eastAsia" w:eastAsia="宋体"/>
          <w:b/>
          <w:bCs/>
          <w:color w:val="auto"/>
          <w:sz w:val="21"/>
          <w:szCs w:val="21"/>
          <w:highlight w:val="none"/>
        </w:rPr>
      </w:pPr>
      <w:r>
        <w:rPr>
          <w:rFonts w:eastAsia="宋体"/>
          <w:b/>
          <w:bCs/>
          <w:color w:val="auto"/>
          <w:sz w:val="21"/>
          <w:szCs w:val="21"/>
          <w:highlight w:val="none"/>
        </w:rPr>
        <w:t>说明：</w:t>
      </w:r>
    </w:p>
    <w:p w14:paraId="51AEA2C9">
      <w:pPr>
        <w:pStyle w:val="126"/>
        <w:keepNext w:val="0"/>
        <w:keepLines w:val="0"/>
        <w:pageBreakBefore w:val="0"/>
        <w:widowControl w:val="0"/>
        <w:numPr>
          <w:ilvl w:val="0"/>
          <w:numId w:val="27"/>
        </w:numPr>
        <w:kinsoku/>
        <w:wordWrap/>
        <w:overflowPunct/>
        <w:topLinePunct w:val="0"/>
        <w:bidi w:val="0"/>
        <w:adjustRightInd w:val="0"/>
        <w:snapToGrid w:val="0"/>
        <w:spacing w:line="360" w:lineRule="auto"/>
        <w:ind w:left="0" w:firstLine="420" w:firstLineChars="200"/>
        <w:rPr>
          <w:rFonts w:hint="eastAsia"/>
          <w:color w:val="auto"/>
          <w:szCs w:val="21"/>
          <w:highlight w:val="none"/>
          <w:lang w:eastAsia="zh-CN"/>
        </w:rPr>
      </w:pPr>
      <w:r>
        <w:rPr>
          <w:rFonts w:hint="eastAsia"/>
          <w:color w:val="auto"/>
          <w:szCs w:val="21"/>
          <w:highlight w:val="none"/>
          <w:lang w:eastAsia="zh-CN"/>
        </w:rPr>
        <w:t>供应商需对应采购文件</w:t>
      </w:r>
      <w:r>
        <w:rPr>
          <w:rFonts w:hint="eastAsia"/>
          <w:b/>
          <w:bCs/>
          <w:color w:val="auto"/>
          <w:szCs w:val="21"/>
          <w:highlight w:val="none"/>
          <w:lang w:eastAsia="zh-CN"/>
        </w:rPr>
        <w:t>第二章采购需求“主要商务要求”</w:t>
      </w:r>
      <w:r>
        <w:rPr>
          <w:rFonts w:hint="eastAsia"/>
          <w:color w:val="auto"/>
          <w:szCs w:val="21"/>
          <w:highlight w:val="none"/>
          <w:lang w:eastAsia="zh-CN"/>
        </w:rPr>
        <w:t>中除</w:t>
      </w:r>
      <w:r>
        <w:rPr>
          <w:rFonts w:hint="eastAsia"/>
          <w:bCs/>
          <w:color w:val="auto"/>
          <w:szCs w:val="21"/>
          <w:highlight w:val="none"/>
          <w:lang w:eastAsia="zh-CN"/>
        </w:rPr>
        <w:t>“★”号条款外的</w:t>
      </w:r>
      <w:r>
        <w:rPr>
          <w:rFonts w:hint="eastAsia"/>
          <w:color w:val="auto"/>
          <w:szCs w:val="21"/>
          <w:highlight w:val="none"/>
          <w:lang w:eastAsia="zh-CN"/>
        </w:rPr>
        <w:t>所有条款进行</w:t>
      </w:r>
      <w:r>
        <w:rPr>
          <w:rFonts w:hint="eastAsia"/>
          <w:b/>
          <w:bCs/>
          <w:color w:val="auto"/>
          <w:szCs w:val="21"/>
          <w:highlight w:val="none"/>
          <w:lang w:eastAsia="zh-CN"/>
        </w:rPr>
        <w:t>逐条响应或整体响应</w:t>
      </w:r>
      <w:r>
        <w:rPr>
          <w:rFonts w:hint="eastAsia"/>
          <w:color w:val="auto"/>
          <w:szCs w:val="21"/>
          <w:highlight w:val="none"/>
          <w:lang w:eastAsia="zh-CN"/>
        </w:rPr>
        <w:t>，并按要求填写上表。</w:t>
      </w:r>
      <w:r>
        <w:rPr>
          <w:rFonts w:hint="eastAsia"/>
          <w:b/>
          <w:bCs/>
          <w:color w:val="auto"/>
          <w:szCs w:val="21"/>
          <w:highlight w:val="none"/>
          <w:lang w:eastAsia="zh-CN"/>
        </w:rPr>
        <w:t>若要求提供证明材料的，还须提供相应的证明材料，否则视为负偏离。</w:t>
      </w:r>
    </w:p>
    <w:p w14:paraId="55048C7A">
      <w:pPr>
        <w:pStyle w:val="126"/>
        <w:keepNext w:val="0"/>
        <w:keepLines w:val="0"/>
        <w:pageBreakBefore w:val="0"/>
        <w:widowControl w:val="0"/>
        <w:numPr>
          <w:ilvl w:val="0"/>
          <w:numId w:val="27"/>
        </w:numPr>
        <w:kinsoku/>
        <w:wordWrap/>
        <w:overflowPunct/>
        <w:topLinePunct w:val="0"/>
        <w:bidi w:val="0"/>
        <w:adjustRightInd w:val="0"/>
        <w:snapToGrid w:val="0"/>
        <w:spacing w:line="360" w:lineRule="auto"/>
        <w:ind w:left="0" w:firstLine="420" w:firstLineChars="200"/>
        <w:rPr>
          <w:rFonts w:hint="eastAsia"/>
          <w:color w:val="auto"/>
          <w:szCs w:val="21"/>
          <w:highlight w:val="none"/>
          <w:lang w:eastAsia="zh-CN"/>
        </w:rPr>
      </w:pPr>
      <w:r>
        <w:rPr>
          <w:color w:val="auto"/>
          <w:szCs w:val="21"/>
          <w:highlight w:val="none"/>
          <w:lang w:eastAsia="zh-CN"/>
        </w:rPr>
        <w:t>“采购文件</w:t>
      </w:r>
      <w:r>
        <w:rPr>
          <w:rFonts w:hint="eastAsia"/>
          <w:color w:val="auto"/>
          <w:szCs w:val="21"/>
          <w:highlight w:val="none"/>
          <w:lang w:eastAsia="zh-CN"/>
        </w:rPr>
        <w:t>规定的</w:t>
      </w:r>
      <w:r>
        <w:rPr>
          <w:color w:val="auto"/>
          <w:szCs w:val="21"/>
          <w:highlight w:val="none"/>
          <w:lang w:eastAsia="zh-CN"/>
        </w:rPr>
        <w:t>要求”</w:t>
      </w:r>
      <w:r>
        <w:rPr>
          <w:rFonts w:hint="eastAsia"/>
          <w:color w:val="auto"/>
          <w:szCs w:val="21"/>
          <w:highlight w:val="none"/>
          <w:lang w:eastAsia="zh-CN"/>
        </w:rPr>
        <w:t>项下填写的内容应与采购文件</w:t>
      </w:r>
      <w:r>
        <w:rPr>
          <w:rFonts w:hint="eastAsia"/>
          <w:b/>
          <w:bCs/>
          <w:color w:val="auto"/>
          <w:szCs w:val="21"/>
          <w:highlight w:val="none"/>
          <w:lang w:eastAsia="zh-CN"/>
        </w:rPr>
        <w:t>第二章采购需求“主要商务要求”中</w:t>
      </w:r>
      <w:r>
        <w:rPr>
          <w:b/>
          <w:bCs/>
          <w:color w:val="auto"/>
          <w:szCs w:val="21"/>
          <w:highlight w:val="none"/>
          <w:lang w:eastAsia="zh-CN"/>
        </w:rPr>
        <w:t>的内容</w:t>
      </w:r>
      <w:r>
        <w:rPr>
          <w:color w:val="auto"/>
          <w:szCs w:val="21"/>
          <w:highlight w:val="none"/>
          <w:lang w:eastAsia="zh-CN"/>
        </w:rPr>
        <w:t>保持一致。</w:t>
      </w:r>
      <w:r>
        <w:rPr>
          <w:rFonts w:hint="eastAsia"/>
          <w:color w:val="auto"/>
          <w:szCs w:val="21"/>
          <w:highlight w:val="none"/>
          <w:lang w:eastAsia="zh-CN"/>
        </w:rPr>
        <w:t>若供应商针对所有条款完全满足要求无偏离时，可以进行整体响应，</w:t>
      </w:r>
      <w:r>
        <w:rPr>
          <w:color w:val="auto"/>
          <w:szCs w:val="21"/>
          <w:highlight w:val="none"/>
          <w:lang w:eastAsia="zh-CN"/>
        </w:rPr>
        <w:t>在“采购文件</w:t>
      </w:r>
      <w:r>
        <w:rPr>
          <w:rFonts w:hint="eastAsia"/>
          <w:color w:val="auto"/>
          <w:szCs w:val="21"/>
          <w:highlight w:val="none"/>
          <w:lang w:eastAsia="zh-CN"/>
        </w:rPr>
        <w:t>规定的</w:t>
      </w:r>
      <w:r>
        <w:rPr>
          <w:color w:val="auto"/>
          <w:szCs w:val="21"/>
          <w:highlight w:val="none"/>
          <w:lang w:eastAsia="zh-CN"/>
        </w:rPr>
        <w:t>要求”</w:t>
      </w:r>
      <w:r>
        <w:rPr>
          <w:rFonts w:hint="eastAsia"/>
          <w:color w:val="auto"/>
          <w:szCs w:val="21"/>
          <w:highlight w:val="none"/>
          <w:lang w:eastAsia="zh-CN"/>
        </w:rPr>
        <w:t>项下</w:t>
      </w:r>
      <w:r>
        <w:rPr>
          <w:color w:val="auto"/>
          <w:szCs w:val="21"/>
          <w:highlight w:val="none"/>
          <w:lang w:eastAsia="zh-CN"/>
        </w:rPr>
        <w:t>填写“所有</w:t>
      </w:r>
      <w:r>
        <w:rPr>
          <w:rFonts w:hint="eastAsia"/>
          <w:color w:val="auto"/>
          <w:szCs w:val="21"/>
          <w:highlight w:val="none"/>
          <w:lang w:eastAsia="zh-CN"/>
        </w:rPr>
        <w:t>商务</w:t>
      </w:r>
      <w:r>
        <w:rPr>
          <w:color w:val="auto"/>
          <w:szCs w:val="21"/>
          <w:highlight w:val="none"/>
          <w:lang w:eastAsia="zh-CN"/>
        </w:rPr>
        <w:t>条款</w:t>
      </w:r>
      <w:r>
        <w:rPr>
          <w:rFonts w:hint="eastAsia"/>
          <w:color w:val="auto"/>
          <w:szCs w:val="21"/>
          <w:highlight w:val="none"/>
          <w:lang w:eastAsia="zh-CN"/>
        </w:rPr>
        <w:t>要求</w:t>
      </w:r>
      <w:r>
        <w:rPr>
          <w:color w:val="auto"/>
          <w:szCs w:val="21"/>
          <w:highlight w:val="none"/>
          <w:lang w:eastAsia="zh-CN"/>
        </w:rPr>
        <w:t>”</w:t>
      </w:r>
      <w:r>
        <w:rPr>
          <w:rFonts w:hint="eastAsia"/>
          <w:color w:val="auto"/>
          <w:szCs w:val="21"/>
          <w:highlight w:val="none"/>
          <w:lang w:eastAsia="zh-CN"/>
        </w:rPr>
        <w:t>；</w:t>
      </w:r>
      <w:r>
        <w:rPr>
          <w:rFonts w:hint="eastAsia"/>
          <w:b/>
          <w:bCs/>
          <w:color w:val="auto"/>
          <w:szCs w:val="21"/>
          <w:highlight w:val="none"/>
          <w:lang w:eastAsia="zh-CN"/>
        </w:rPr>
        <w:t>若供应商存在偏离项时，则所有商务条款需要进行逐条响应。</w:t>
      </w:r>
    </w:p>
    <w:p w14:paraId="1F12101E">
      <w:pPr>
        <w:pStyle w:val="126"/>
        <w:keepNext w:val="0"/>
        <w:keepLines w:val="0"/>
        <w:pageBreakBefore w:val="0"/>
        <w:widowControl w:val="0"/>
        <w:numPr>
          <w:ilvl w:val="0"/>
          <w:numId w:val="27"/>
        </w:numPr>
        <w:kinsoku/>
        <w:wordWrap/>
        <w:overflowPunct/>
        <w:topLinePunct w:val="0"/>
        <w:bidi w:val="0"/>
        <w:adjustRightInd w:val="0"/>
        <w:snapToGrid w:val="0"/>
        <w:spacing w:line="360" w:lineRule="auto"/>
        <w:ind w:left="0" w:firstLine="420" w:firstLineChars="200"/>
        <w:rPr>
          <w:rFonts w:hint="eastAsia"/>
          <w:color w:val="auto"/>
          <w:szCs w:val="21"/>
          <w:highlight w:val="none"/>
          <w:lang w:eastAsia="zh-CN"/>
        </w:rPr>
      </w:pPr>
      <w:r>
        <w:rPr>
          <w:rFonts w:hint="eastAsia"/>
          <w:color w:val="auto"/>
          <w:szCs w:val="21"/>
          <w:highlight w:val="none"/>
          <w:lang w:eastAsia="zh-CN"/>
        </w:rPr>
        <w:t>“供应商响应情况”</w:t>
      </w:r>
      <w:r>
        <w:rPr>
          <w:rFonts w:hint="eastAsia"/>
          <w:bCs/>
          <w:color w:val="auto"/>
          <w:szCs w:val="21"/>
          <w:highlight w:val="none"/>
          <w:lang w:eastAsia="zh-CN"/>
        </w:rPr>
        <w:t>项下填写供应商针对“采购文件规定的要求”的响应数值或内容</w:t>
      </w:r>
      <w:r>
        <w:rPr>
          <w:rFonts w:hint="eastAsia"/>
          <w:color w:val="auto"/>
          <w:szCs w:val="21"/>
          <w:highlight w:val="none"/>
          <w:lang w:eastAsia="zh-CN"/>
        </w:rPr>
        <w:t>；若供应商响应完全满足“采购文件规定的要求”，也可以填写“完全按照采购文件规定执行”。</w:t>
      </w:r>
    </w:p>
    <w:p w14:paraId="45D40776">
      <w:pPr>
        <w:pStyle w:val="126"/>
        <w:keepNext w:val="0"/>
        <w:keepLines w:val="0"/>
        <w:pageBreakBefore w:val="0"/>
        <w:widowControl w:val="0"/>
        <w:numPr>
          <w:ilvl w:val="0"/>
          <w:numId w:val="27"/>
        </w:numPr>
        <w:kinsoku/>
        <w:wordWrap/>
        <w:overflowPunct/>
        <w:topLinePunct w:val="0"/>
        <w:bidi w:val="0"/>
        <w:adjustRightInd w:val="0"/>
        <w:snapToGrid w:val="0"/>
        <w:spacing w:line="360" w:lineRule="auto"/>
        <w:ind w:left="0" w:firstLine="420" w:firstLineChars="200"/>
        <w:rPr>
          <w:rFonts w:hint="eastAsia"/>
          <w:color w:val="auto"/>
          <w:szCs w:val="21"/>
          <w:highlight w:val="none"/>
          <w:lang w:eastAsia="zh-CN"/>
        </w:rPr>
      </w:pPr>
      <w:r>
        <w:rPr>
          <w:rFonts w:hint="eastAsia"/>
          <w:color w:val="auto"/>
          <w:szCs w:val="21"/>
          <w:highlight w:val="none"/>
          <w:lang w:eastAsia="zh-CN"/>
        </w:rPr>
        <w:t>“</w:t>
      </w:r>
      <w:r>
        <w:rPr>
          <w:bCs/>
          <w:color w:val="auto"/>
          <w:szCs w:val="21"/>
          <w:highlight w:val="none"/>
          <w:lang w:eastAsia="zh-CN"/>
        </w:rPr>
        <w:t>偏离情况”</w:t>
      </w:r>
      <w:r>
        <w:rPr>
          <w:rFonts w:hint="eastAsia"/>
          <w:bCs/>
          <w:color w:val="auto"/>
          <w:szCs w:val="21"/>
          <w:highlight w:val="none"/>
          <w:lang w:eastAsia="zh-CN"/>
        </w:rPr>
        <w:t>项下应填写“正偏离”或“无偏离”或“负偏离”，供应商须真实体现偏离情况。其中“正偏离”是指优于采购文件规定的要求；“无偏离”是指满足采购文件规定的要求；“负偏离”是指低于采购文件规定的要求</w:t>
      </w:r>
      <w:r>
        <w:rPr>
          <w:rFonts w:hint="eastAsia"/>
          <w:color w:val="auto"/>
          <w:szCs w:val="21"/>
          <w:highlight w:val="none"/>
          <w:lang w:eastAsia="zh-CN"/>
        </w:rPr>
        <w:t>。</w:t>
      </w:r>
    </w:p>
    <w:p w14:paraId="3E6DE727">
      <w:pPr>
        <w:pStyle w:val="126"/>
        <w:keepNext w:val="0"/>
        <w:keepLines w:val="0"/>
        <w:pageBreakBefore w:val="0"/>
        <w:widowControl w:val="0"/>
        <w:numPr>
          <w:ilvl w:val="0"/>
          <w:numId w:val="27"/>
        </w:numPr>
        <w:kinsoku/>
        <w:wordWrap/>
        <w:overflowPunct/>
        <w:topLinePunct w:val="0"/>
        <w:bidi w:val="0"/>
        <w:adjustRightInd w:val="0"/>
        <w:snapToGrid w:val="0"/>
        <w:spacing w:line="360" w:lineRule="auto"/>
        <w:ind w:left="0" w:firstLine="420" w:firstLineChars="200"/>
        <w:rPr>
          <w:rFonts w:hint="eastAsia"/>
          <w:color w:val="auto"/>
          <w:szCs w:val="21"/>
          <w:highlight w:val="none"/>
          <w:lang w:eastAsia="zh-CN"/>
        </w:rPr>
      </w:pPr>
      <w:r>
        <w:rPr>
          <w:rFonts w:hint="eastAsia"/>
          <w:color w:val="auto"/>
          <w:szCs w:val="21"/>
          <w:highlight w:val="none"/>
          <w:lang w:eastAsia="zh-CN"/>
        </w:rPr>
        <w:t>“备注”项下填写佐证材料的相关页码或具体偏离内容，不涉及则无需填写。</w:t>
      </w:r>
    </w:p>
    <w:p w14:paraId="73F39BD5">
      <w:pPr>
        <w:pStyle w:val="126"/>
        <w:keepNext w:val="0"/>
        <w:keepLines w:val="0"/>
        <w:pageBreakBefore w:val="0"/>
        <w:widowControl w:val="0"/>
        <w:numPr>
          <w:ilvl w:val="0"/>
          <w:numId w:val="27"/>
        </w:numPr>
        <w:kinsoku/>
        <w:wordWrap/>
        <w:overflowPunct/>
        <w:topLinePunct w:val="0"/>
        <w:bidi w:val="0"/>
        <w:adjustRightInd w:val="0"/>
        <w:snapToGrid w:val="0"/>
        <w:spacing w:line="360" w:lineRule="auto"/>
        <w:ind w:left="0" w:firstLine="422" w:firstLineChars="200"/>
        <w:rPr>
          <w:rFonts w:hint="eastAsia"/>
          <w:b/>
          <w:color w:val="auto"/>
          <w:szCs w:val="21"/>
          <w:highlight w:val="none"/>
          <w:lang w:eastAsia="zh-CN"/>
        </w:rPr>
      </w:pPr>
      <w:r>
        <w:rPr>
          <w:rFonts w:hint="eastAsia"/>
          <w:b/>
          <w:color w:val="auto"/>
          <w:szCs w:val="21"/>
          <w:highlight w:val="none"/>
          <w:lang w:eastAsia="zh-CN"/>
        </w:rPr>
        <w:t>供应商若存在“采购文件规定的要求”条款未进行响应时，将视为该条款存在负偏离或不满足。</w:t>
      </w:r>
    </w:p>
    <w:p w14:paraId="02C7ED64">
      <w:pPr>
        <w:pStyle w:val="126"/>
        <w:keepNext w:val="0"/>
        <w:keepLines w:val="0"/>
        <w:pageBreakBefore w:val="0"/>
        <w:widowControl w:val="0"/>
        <w:numPr>
          <w:ilvl w:val="0"/>
          <w:numId w:val="27"/>
        </w:numPr>
        <w:kinsoku/>
        <w:wordWrap/>
        <w:overflowPunct/>
        <w:topLinePunct w:val="0"/>
        <w:bidi w:val="0"/>
        <w:adjustRightInd w:val="0"/>
        <w:snapToGrid w:val="0"/>
        <w:spacing w:line="360" w:lineRule="auto"/>
        <w:ind w:left="0" w:firstLine="420" w:firstLineChars="200"/>
        <w:rPr>
          <w:rFonts w:hint="eastAsia"/>
          <w:color w:val="auto"/>
          <w:szCs w:val="21"/>
          <w:highlight w:val="none"/>
          <w:lang w:eastAsia="zh-CN"/>
        </w:rPr>
      </w:pPr>
      <w:r>
        <w:rPr>
          <w:rFonts w:hint="eastAsia"/>
          <w:color w:val="auto"/>
          <w:szCs w:val="21"/>
          <w:highlight w:val="none"/>
          <w:lang w:eastAsia="zh-CN"/>
        </w:rPr>
        <w:t>供应商须谨慎进行响应，不可存在虚假投标（响应）的情形。</w:t>
      </w:r>
    </w:p>
    <w:p w14:paraId="309DFBEC">
      <w:pPr>
        <w:pStyle w:val="13"/>
        <w:keepNext w:val="0"/>
        <w:keepLines w:val="0"/>
        <w:pageBreakBefore w:val="0"/>
        <w:widowControl w:val="0"/>
        <w:kinsoku/>
        <w:wordWrap/>
        <w:overflowPunct/>
        <w:topLinePunct w:val="0"/>
        <w:autoSpaceDE/>
        <w:autoSpaceDN/>
        <w:bidi w:val="0"/>
        <w:spacing w:line="360" w:lineRule="auto"/>
        <w:rPr>
          <w:rFonts w:hint="eastAsia" w:eastAsia="宋体"/>
          <w:bCs/>
          <w:color w:val="auto"/>
          <w:sz w:val="24"/>
          <w:szCs w:val="24"/>
          <w:highlight w:val="none"/>
        </w:rPr>
      </w:pPr>
    </w:p>
    <w:p w14:paraId="2FEB7C5B">
      <w:pPr>
        <w:pStyle w:val="356"/>
        <w:keepNext w:val="0"/>
        <w:keepLines w:val="0"/>
        <w:pageBreakBefore w:val="0"/>
        <w:widowControl w:val="0"/>
        <w:kinsoku/>
        <w:wordWrap/>
        <w:overflowPunct/>
        <w:topLinePunct w:val="0"/>
        <w:autoSpaceDE/>
        <w:autoSpaceDN/>
        <w:bidi w:val="0"/>
        <w:spacing w:line="360" w:lineRule="auto"/>
        <w:ind w:right="101" w:rightChars="48" w:firstLine="0" w:firstLineChars="0"/>
        <w:jc w:val="right"/>
        <w:rPr>
          <w:rFonts w:hint="eastAsia"/>
          <w:color w:val="auto"/>
          <w:highlight w:val="none"/>
          <w:lang w:eastAsia="zh-CN"/>
        </w:rPr>
      </w:pPr>
      <w:r>
        <w:rPr>
          <w:rFonts w:hint="eastAsia"/>
          <w:color w:val="auto"/>
          <w:highlight w:val="none"/>
          <w:lang w:eastAsia="zh-CN"/>
        </w:rPr>
        <w:t>供应商法定代表人或其授权代表（签字或盖章）：</w:t>
      </w:r>
      <w:r>
        <w:rPr>
          <w:color w:val="auto"/>
          <w:highlight w:val="none"/>
          <w:u w:val="single"/>
          <w:lang w:eastAsia="zh-CN"/>
        </w:rPr>
        <w:t xml:space="preserve">                    .</w:t>
      </w:r>
    </w:p>
    <w:p w14:paraId="0BFEDE8D">
      <w:pPr>
        <w:pStyle w:val="356"/>
        <w:keepNext w:val="0"/>
        <w:keepLines w:val="0"/>
        <w:pageBreakBefore w:val="0"/>
        <w:widowControl w:val="0"/>
        <w:kinsoku/>
        <w:wordWrap/>
        <w:overflowPunct/>
        <w:topLinePunct w:val="0"/>
        <w:autoSpaceDE/>
        <w:autoSpaceDN/>
        <w:bidi w:val="0"/>
        <w:spacing w:line="360" w:lineRule="auto"/>
        <w:ind w:right="101" w:rightChars="48" w:firstLine="0" w:firstLineChars="0"/>
        <w:jc w:val="right"/>
        <w:rPr>
          <w:rFonts w:hint="eastAsia"/>
          <w:color w:val="auto"/>
          <w:highlight w:val="none"/>
          <w:lang w:eastAsia="zh-CN"/>
        </w:rPr>
      </w:pPr>
      <w:r>
        <w:rPr>
          <w:rFonts w:hint="eastAsia"/>
          <w:color w:val="auto"/>
          <w:highlight w:val="none"/>
          <w:lang w:eastAsia="zh-CN"/>
        </w:rPr>
        <w:t>供应商名称（盖章）：</w:t>
      </w:r>
      <w:r>
        <w:rPr>
          <w:color w:val="auto"/>
          <w:highlight w:val="none"/>
          <w:u w:val="single"/>
          <w:lang w:eastAsia="zh-CN"/>
        </w:rPr>
        <w:t xml:space="preserve">                    .</w:t>
      </w:r>
    </w:p>
    <w:p w14:paraId="155F98F6">
      <w:pPr>
        <w:pStyle w:val="356"/>
        <w:keepNext w:val="0"/>
        <w:keepLines w:val="0"/>
        <w:pageBreakBefore w:val="0"/>
        <w:widowControl w:val="0"/>
        <w:kinsoku/>
        <w:wordWrap/>
        <w:overflowPunct/>
        <w:topLinePunct w:val="0"/>
        <w:autoSpaceDE/>
        <w:autoSpaceDN/>
        <w:bidi w:val="0"/>
        <w:spacing w:line="360" w:lineRule="auto"/>
        <w:ind w:right="101" w:rightChars="48" w:firstLine="4960" w:firstLineChars="2067"/>
        <w:jc w:val="right"/>
        <w:rPr>
          <w:rFonts w:hint="eastAsia"/>
          <w:color w:val="auto"/>
          <w:highlight w:val="none"/>
        </w:rPr>
      </w:pPr>
      <w:r>
        <w:rPr>
          <w:rFonts w:hint="eastAsia"/>
          <w:color w:val="auto"/>
          <w:highlight w:val="none"/>
        </w:rPr>
        <w:t>日期：</w:t>
      </w:r>
      <w:r>
        <w:rPr>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日</w:t>
      </w:r>
    </w:p>
    <w:p w14:paraId="6D4923A1">
      <w:pPr>
        <w:keepNext w:val="0"/>
        <w:keepLines w:val="0"/>
        <w:pageBreakBefore w:val="0"/>
        <w:widowControl w:val="0"/>
        <w:kinsoku/>
        <w:wordWrap/>
        <w:overflowPunct/>
        <w:topLinePunct w:val="0"/>
        <w:bidi w:val="0"/>
        <w:spacing w:line="360" w:lineRule="auto"/>
        <w:jc w:val="left"/>
        <w:rPr>
          <w:rFonts w:hint="eastAsia"/>
          <w:color w:val="auto"/>
          <w:sz w:val="24"/>
          <w:highlight w:val="none"/>
        </w:rPr>
        <w:sectPr>
          <w:pgSz w:w="11906" w:h="16838"/>
          <w:pgMar w:top="1134" w:right="1134" w:bottom="1134" w:left="1134" w:header="426" w:footer="992" w:gutter="0"/>
          <w:paperSrc w:first="7"/>
          <w:pgNumType w:fmt="decimal"/>
          <w:cols w:space="0" w:num="1"/>
          <w:titlePg/>
          <w:rtlGutter w:val="0"/>
          <w:docGrid w:linePitch="312" w:charSpace="0"/>
        </w:sectPr>
      </w:pPr>
    </w:p>
    <w:p w14:paraId="41836FA9">
      <w:pPr>
        <w:pStyle w:val="3"/>
        <w:keepNext w:val="0"/>
        <w:keepLines w:val="0"/>
        <w:pageBreakBefore w:val="0"/>
        <w:widowControl w:val="0"/>
        <w:numPr>
          <w:ilvl w:val="0"/>
          <w:numId w:val="23"/>
        </w:numPr>
        <w:kinsoku/>
        <w:wordWrap/>
        <w:overflowPunct/>
        <w:topLinePunct w:val="0"/>
        <w:bidi w:val="0"/>
        <w:spacing w:before="120" w:after="120" w:line="360" w:lineRule="auto"/>
        <w:ind w:left="720" w:hanging="720"/>
        <w:rPr>
          <w:rFonts w:hint="eastAsia" w:ascii="宋体" w:hAnsi="宋体" w:eastAsia="宋体"/>
          <w:color w:val="auto"/>
          <w:sz w:val="24"/>
          <w:szCs w:val="24"/>
          <w:highlight w:val="none"/>
        </w:rPr>
      </w:pPr>
      <w:bookmarkStart w:id="262" w:name="_Toc131271300"/>
      <w:bookmarkStart w:id="263" w:name="_Toc114053448"/>
      <w:bookmarkStart w:id="264" w:name="_Toc104131876"/>
      <w:bookmarkStart w:id="265" w:name="_Toc103033246"/>
      <w:bookmarkStart w:id="266" w:name="_Toc18462"/>
      <w:bookmarkStart w:id="267" w:name="_Toc104040718"/>
      <w:r>
        <w:rPr>
          <w:rFonts w:hint="eastAsia" w:ascii="宋体" w:hAnsi="宋体" w:eastAsia="宋体"/>
          <w:color w:val="auto"/>
          <w:sz w:val="24"/>
          <w:szCs w:val="24"/>
          <w:highlight w:val="none"/>
        </w:rPr>
        <w:t>技术条款响应表</w:t>
      </w:r>
      <w:bookmarkEnd w:id="262"/>
      <w:bookmarkEnd w:id="263"/>
      <w:bookmarkEnd w:id="264"/>
      <w:bookmarkEnd w:id="265"/>
      <w:bookmarkEnd w:id="266"/>
      <w:bookmarkEnd w:id="267"/>
    </w:p>
    <w:p w14:paraId="5C4F2B3B">
      <w:pPr>
        <w:keepNext w:val="0"/>
        <w:keepLines w:val="0"/>
        <w:pageBreakBefore w:val="0"/>
        <w:widowControl w:val="0"/>
        <w:kinsoku/>
        <w:wordWrap/>
        <w:overflowPunct/>
        <w:topLinePunct w:val="0"/>
        <w:bidi w:val="0"/>
        <w:spacing w:line="360" w:lineRule="auto"/>
        <w:jc w:val="center"/>
        <w:rPr>
          <w:rFonts w:hint="eastAsia"/>
          <w:color w:val="auto"/>
          <w:highlight w:val="none"/>
        </w:rPr>
      </w:pPr>
      <w:r>
        <w:rPr>
          <w:rFonts w:hint="eastAsia" w:cs="宋体"/>
          <w:b/>
          <w:bCs/>
          <w:color w:val="auto"/>
          <w:sz w:val="28"/>
          <w:szCs w:val="28"/>
          <w:highlight w:val="none"/>
        </w:rPr>
        <w:t>技术条款</w:t>
      </w:r>
      <w:r>
        <w:rPr>
          <w:rFonts w:cs="宋体"/>
          <w:b/>
          <w:bCs/>
          <w:color w:val="auto"/>
          <w:sz w:val="28"/>
          <w:szCs w:val="28"/>
          <w:highlight w:val="none"/>
        </w:rPr>
        <w:t>响应表</w:t>
      </w:r>
    </w:p>
    <w:p w14:paraId="10223C82">
      <w:pPr>
        <w:keepNext w:val="0"/>
        <w:keepLines w:val="0"/>
        <w:pageBreakBefore w:val="0"/>
        <w:widowControl w:val="0"/>
        <w:kinsoku/>
        <w:wordWrap/>
        <w:overflowPunct/>
        <w:topLinePunct w:val="0"/>
        <w:bidi w:val="0"/>
        <w:spacing w:line="360" w:lineRule="auto"/>
        <w:rPr>
          <w:rFonts w:hint="eastAsia"/>
          <w:bCs/>
          <w:color w:val="auto"/>
          <w:sz w:val="24"/>
          <w:highlight w:val="none"/>
        </w:rPr>
      </w:pPr>
      <w:r>
        <w:rPr>
          <w:bCs/>
          <w:color w:val="auto"/>
          <w:sz w:val="24"/>
          <w:highlight w:val="none"/>
        </w:rPr>
        <w:t>项目名称：___________</w:t>
      </w:r>
      <w:r>
        <w:rPr>
          <w:bCs/>
          <w:color w:val="auto"/>
          <w:sz w:val="24"/>
          <w:highlight w:val="none"/>
          <w:u w:val="single"/>
        </w:rPr>
        <w:t xml:space="preserve">  </w:t>
      </w:r>
      <w:r>
        <w:rPr>
          <w:bCs/>
          <w:color w:val="auto"/>
          <w:sz w:val="24"/>
          <w:highlight w:val="none"/>
        </w:rPr>
        <w:t xml:space="preserve">____  </w:t>
      </w:r>
    </w:p>
    <w:p w14:paraId="5203D79D">
      <w:pPr>
        <w:keepNext w:val="0"/>
        <w:keepLines w:val="0"/>
        <w:pageBreakBefore w:val="0"/>
        <w:widowControl w:val="0"/>
        <w:kinsoku/>
        <w:wordWrap/>
        <w:overflowPunct/>
        <w:topLinePunct w:val="0"/>
        <w:bidi w:val="0"/>
        <w:spacing w:line="360" w:lineRule="auto"/>
        <w:rPr>
          <w:rFonts w:hint="eastAsia"/>
          <w:color w:val="auto"/>
          <w:sz w:val="24"/>
          <w:highlight w:val="none"/>
        </w:rPr>
      </w:pPr>
      <w:r>
        <w:rPr>
          <w:rFonts w:hint="eastAsia"/>
          <w:bCs/>
          <w:color w:val="auto"/>
          <w:sz w:val="24"/>
          <w:highlight w:val="none"/>
        </w:rPr>
        <w:t>项目编号</w:t>
      </w:r>
      <w:r>
        <w:rPr>
          <w:bCs/>
          <w:color w:val="auto"/>
          <w:sz w:val="24"/>
          <w:highlight w:val="none"/>
        </w:rPr>
        <w:t>：_________________</w:t>
      </w:r>
    </w:p>
    <w:tbl>
      <w:tblPr>
        <w:tblStyle w:val="4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2696"/>
        <w:gridCol w:w="3301"/>
        <w:gridCol w:w="1291"/>
        <w:gridCol w:w="1535"/>
      </w:tblGrid>
      <w:tr w14:paraId="73AD6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31" w:type="dxa"/>
            <w:vAlign w:val="center"/>
          </w:tcPr>
          <w:p w14:paraId="4EF2EF31">
            <w:pPr>
              <w:keepNext w:val="0"/>
              <w:keepLines w:val="0"/>
              <w:pageBreakBefore w:val="0"/>
              <w:widowControl w:val="0"/>
              <w:kinsoku/>
              <w:wordWrap/>
              <w:overflowPunct/>
              <w:topLinePunct w:val="0"/>
              <w:bidi w:val="0"/>
              <w:adjustRightInd w:val="0"/>
              <w:snapToGrid w:val="0"/>
              <w:spacing w:line="360" w:lineRule="auto"/>
              <w:jc w:val="center"/>
              <w:rPr>
                <w:rFonts w:hint="eastAsia"/>
                <w:b/>
                <w:bCs/>
                <w:color w:val="auto"/>
                <w:szCs w:val="21"/>
                <w:highlight w:val="none"/>
              </w:rPr>
            </w:pPr>
            <w:r>
              <w:rPr>
                <w:rFonts w:hint="eastAsia"/>
                <w:b/>
                <w:bCs/>
                <w:color w:val="auto"/>
                <w:szCs w:val="21"/>
                <w:highlight w:val="none"/>
              </w:rPr>
              <w:t>序号</w:t>
            </w:r>
          </w:p>
        </w:tc>
        <w:tc>
          <w:tcPr>
            <w:tcW w:w="2696" w:type="dxa"/>
            <w:vAlign w:val="center"/>
          </w:tcPr>
          <w:p w14:paraId="76EF3491">
            <w:pPr>
              <w:keepNext w:val="0"/>
              <w:keepLines w:val="0"/>
              <w:pageBreakBefore w:val="0"/>
              <w:widowControl w:val="0"/>
              <w:kinsoku/>
              <w:wordWrap/>
              <w:overflowPunct/>
              <w:topLinePunct w:val="0"/>
              <w:bidi w:val="0"/>
              <w:adjustRightInd w:val="0"/>
              <w:snapToGrid w:val="0"/>
              <w:spacing w:line="360" w:lineRule="auto"/>
              <w:jc w:val="center"/>
              <w:rPr>
                <w:rFonts w:hint="eastAsia"/>
                <w:b/>
                <w:bCs/>
                <w:color w:val="auto"/>
                <w:szCs w:val="21"/>
                <w:highlight w:val="none"/>
              </w:rPr>
            </w:pPr>
            <w:r>
              <w:rPr>
                <w:rFonts w:hint="eastAsia"/>
                <w:b/>
                <w:color w:val="auto"/>
                <w:szCs w:val="21"/>
                <w:highlight w:val="none"/>
              </w:rPr>
              <w:t>采购文件规定的要求</w:t>
            </w:r>
          </w:p>
        </w:tc>
        <w:tc>
          <w:tcPr>
            <w:tcW w:w="3301" w:type="dxa"/>
            <w:vAlign w:val="center"/>
          </w:tcPr>
          <w:p w14:paraId="0F6C2037">
            <w:pPr>
              <w:keepNext w:val="0"/>
              <w:keepLines w:val="0"/>
              <w:pageBreakBefore w:val="0"/>
              <w:widowControl w:val="0"/>
              <w:kinsoku/>
              <w:wordWrap/>
              <w:overflowPunct/>
              <w:topLinePunct w:val="0"/>
              <w:bidi w:val="0"/>
              <w:adjustRightInd w:val="0"/>
              <w:snapToGrid w:val="0"/>
              <w:spacing w:line="360" w:lineRule="auto"/>
              <w:jc w:val="center"/>
              <w:rPr>
                <w:rFonts w:hint="eastAsia"/>
                <w:b/>
                <w:bCs/>
                <w:color w:val="auto"/>
                <w:szCs w:val="21"/>
                <w:highlight w:val="none"/>
              </w:rPr>
            </w:pPr>
            <w:r>
              <w:rPr>
                <w:rFonts w:hint="eastAsia"/>
                <w:b/>
                <w:bCs/>
                <w:color w:val="auto"/>
                <w:szCs w:val="21"/>
                <w:highlight w:val="none"/>
              </w:rPr>
              <w:t>供应商响应情况</w:t>
            </w:r>
          </w:p>
        </w:tc>
        <w:tc>
          <w:tcPr>
            <w:tcW w:w="1291" w:type="dxa"/>
            <w:vAlign w:val="center"/>
          </w:tcPr>
          <w:p w14:paraId="7A3FC9CF">
            <w:pPr>
              <w:keepNext w:val="0"/>
              <w:keepLines w:val="0"/>
              <w:pageBreakBefore w:val="0"/>
              <w:widowControl w:val="0"/>
              <w:kinsoku/>
              <w:wordWrap/>
              <w:overflowPunct/>
              <w:topLinePunct w:val="0"/>
              <w:bidi w:val="0"/>
              <w:adjustRightInd w:val="0"/>
              <w:snapToGrid w:val="0"/>
              <w:spacing w:line="360" w:lineRule="auto"/>
              <w:jc w:val="center"/>
              <w:rPr>
                <w:rFonts w:hint="eastAsia"/>
                <w:b/>
                <w:bCs/>
                <w:color w:val="auto"/>
                <w:szCs w:val="21"/>
                <w:highlight w:val="none"/>
              </w:rPr>
            </w:pPr>
            <w:r>
              <w:rPr>
                <w:rFonts w:hint="eastAsia"/>
                <w:b/>
                <w:bCs/>
                <w:color w:val="auto"/>
                <w:szCs w:val="21"/>
                <w:highlight w:val="none"/>
              </w:rPr>
              <w:t>偏离情况</w:t>
            </w:r>
          </w:p>
        </w:tc>
        <w:tc>
          <w:tcPr>
            <w:tcW w:w="1535" w:type="dxa"/>
            <w:vAlign w:val="center"/>
          </w:tcPr>
          <w:p w14:paraId="0A96DE6B">
            <w:pPr>
              <w:keepNext w:val="0"/>
              <w:keepLines w:val="0"/>
              <w:pageBreakBefore w:val="0"/>
              <w:widowControl w:val="0"/>
              <w:kinsoku/>
              <w:wordWrap/>
              <w:overflowPunct/>
              <w:topLinePunct w:val="0"/>
              <w:bidi w:val="0"/>
              <w:adjustRightInd w:val="0"/>
              <w:snapToGrid w:val="0"/>
              <w:spacing w:line="360" w:lineRule="auto"/>
              <w:jc w:val="center"/>
              <w:rPr>
                <w:rFonts w:hint="eastAsia"/>
                <w:b/>
                <w:bCs/>
                <w:color w:val="auto"/>
                <w:szCs w:val="21"/>
                <w:highlight w:val="none"/>
              </w:rPr>
            </w:pPr>
            <w:r>
              <w:rPr>
                <w:rFonts w:hint="eastAsia"/>
                <w:b/>
                <w:bCs/>
                <w:color w:val="auto"/>
                <w:szCs w:val="21"/>
                <w:highlight w:val="none"/>
              </w:rPr>
              <w:t>备注</w:t>
            </w:r>
          </w:p>
        </w:tc>
      </w:tr>
      <w:tr w14:paraId="1FB38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854" w:type="dxa"/>
            <w:gridSpan w:val="5"/>
            <w:vAlign w:val="center"/>
          </w:tcPr>
          <w:p w14:paraId="17A1E9FA">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r>
              <w:rPr>
                <w:rFonts w:hint="eastAsia"/>
                <w:b/>
                <w:color w:val="auto"/>
                <w:szCs w:val="21"/>
                <w:highlight w:val="none"/>
              </w:rPr>
              <w:t>重要技术条款（</w:t>
            </w:r>
            <w:bookmarkStart w:id="268" w:name="_Hlk143454560"/>
            <w:r>
              <w:rPr>
                <w:rFonts w:hint="eastAsia"/>
                <w:b/>
                <w:color w:val="auto"/>
                <w:szCs w:val="21"/>
                <w:highlight w:val="none"/>
              </w:rPr>
              <w:t>标注</w:t>
            </w:r>
            <w:bookmarkEnd w:id="268"/>
            <w:r>
              <w:rPr>
                <w:rFonts w:hint="eastAsia"/>
                <w:b/>
                <w:color w:val="auto"/>
                <w:szCs w:val="21"/>
                <w:highlight w:val="none"/>
              </w:rPr>
              <w:t>“▲”的条款，如有）</w:t>
            </w:r>
          </w:p>
        </w:tc>
      </w:tr>
      <w:tr w14:paraId="57DA5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31" w:type="dxa"/>
            <w:vAlign w:val="center"/>
          </w:tcPr>
          <w:p w14:paraId="7E3C39DA">
            <w:pPr>
              <w:pStyle w:val="126"/>
              <w:keepNext w:val="0"/>
              <w:keepLines w:val="0"/>
              <w:pageBreakBefore w:val="0"/>
              <w:widowControl w:val="0"/>
              <w:numPr>
                <w:ilvl w:val="0"/>
                <w:numId w:val="28"/>
              </w:numPr>
              <w:kinsoku/>
              <w:wordWrap/>
              <w:overflowPunct/>
              <w:topLinePunct w:val="0"/>
              <w:bidi w:val="0"/>
              <w:adjustRightInd w:val="0"/>
              <w:snapToGrid w:val="0"/>
              <w:spacing w:line="360" w:lineRule="auto"/>
              <w:jc w:val="center"/>
              <w:rPr>
                <w:rFonts w:hint="eastAsia"/>
                <w:color w:val="auto"/>
                <w:szCs w:val="21"/>
                <w:highlight w:val="none"/>
                <w:lang w:eastAsia="zh-CN"/>
              </w:rPr>
            </w:pPr>
          </w:p>
        </w:tc>
        <w:tc>
          <w:tcPr>
            <w:tcW w:w="2696" w:type="dxa"/>
            <w:vAlign w:val="center"/>
          </w:tcPr>
          <w:p w14:paraId="0C7CADBA">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p>
        </w:tc>
        <w:tc>
          <w:tcPr>
            <w:tcW w:w="3301" w:type="dxa"/>
            <w:vAlign w:val="center"/>
          </w:tcPr>
          <w:p w14:paraId="223ADFAA">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p>
        </w:tc>
        <w:tc>
          <w:tcPr>
            <w:tcW w:w="1291" w:type="dxa"/>
            <w:vAlign w:val="center"/>
          </w:tcPr>
          <w:p w14:paraId="4F4FF87C">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p>
        </w:tc>
        <w:tc>
          <w:tcPr>
            <w:tcW w:w="1535" w:type="dxa"/>
            <w:vAlign w:val="center"/>
          </w:tcPr>
          <w:p w14:paraId="04334B43">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p>
        </w:tc>
      </w:tr>
      <w:tr w14:paraId="76166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31" w:type="dxa"/>
            <w:vAlign w:val="center"/>
          </w:tcPr>
          <w:p w14:paraId="31EDAD1A">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r>
              <w:rPr>
                <w:color w:val="auto"/>
                <w:szCs w:val="21"/>
                <w:highlight w:val="none"/>
              </w:rPr>
              <w:t>……</w:t>
            </w:r>
          </w:p>
        </w:tc>
        <w:tc>
          <w:tcPr>
            <w:tcW w:w="2696" w:type="dxa"/>
            <w:vAlign w:val="center"/>
          </w:tcPr>
          <w:p w14:paraId="1850D48F">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p>
        </w:tc>
        <w:tc>
          <w:tcPr>
            <w:tcW w:w="3301" w:type="dxa"/>
            <w:vAlign w:val="center"/>
          </w:tcPr>
          <w:p w14:paraId="2392A7EF">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p>
        </w:tc>
        <w:tc>
          <w:tcPr>
            <w:tcW w:w="1291" w:type="dxa"/>
            <w:vAlign w:val="center"/>
          </w:tcPr>
          <w:p w14:paraId="00B6C493">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p>
        </w:tc>
        <w:tc>
          <w:tcPr>
            <w:tcW w:w="1535" w:type="dxa"/>
            <w:vAlign w:val="center"/>
          </w:tcPr>
          <w:p w14:paraId="698DF500">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p>
        </w:tc>
      </w:tr>
      <w:tr w14:paraId="5EDAE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854" w:type="dxa"/>
            <w:gridSpan w:val="5"/>
            <w:vAlign w:val="center"/>
          </w:tcPr>
          <w:p w14:paraId="50ABD3A1">
            <w:pPr>
              <w:keepNext w:val="0"/>
              <w:keepLines w:val="0"/>
              <w:pageBreakBefore w:val="0"/>
              <w:widowControl w:val="0"/>
              <w:kinsoku/>
              <w:wordWrap/>
              <w:overflowPunct/>
              <w:topLinePunct w:val="0"/>
              <w:bidi w:val="0"/>
              <w:adjustRightInd w:val="0"/>
              <w:snapToGrid w:val="0"/>
              <w:spacing w:line="360" w:lineRule="auto"/>
              <w:jc w:val="center"/>
              <w:rPr>
                <w:rFonts w:hint="eastAsia"/>
                <w:b/>
                <w:bCs/>
                <w:color w:val="auto"/>
                <w:szCs w:val="21"/>
                <w:highlight w:val="none"/>
              </w:rPr>
            </w:pPr>
            <w:r>
              <w:rPr>
                <w:rFonts w:hint="eastAsia"/>
                <w:b/>
                <w:bCs/>
                <w:color w:val="auto"/>
                <w:szCs w:val="21"/>
                <w:highlight w:val="none"/>
              </w:rPr>
              <w:t>一般技术条款（未标注“★”和“▲”的条款）</w:t>
            </w:r>
          </w:p>
        </w:tc>
      </w:tr>
      <w:tr w14:paraId="2832A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31" w:type="dxa"/>
            <w:vAlign w:val="center"/>
          </w:tcPr>
          <w:p w14:paraId="1A8C011A">
            <w:pPr>
              <w:pStyle w:val="126"/>
              <w:keepNext w:val="0"/>
              <w:keepLines w:val="0"/>
              <w:pageBreakBefore w:val="0"/>
              <w:widowControl w:val="0"/>
              <w:numPr>
                <w:ilvl w:val="0"/>
                <w:numId w:val="29"/>
              </w:numPr>
              <w:kinsoku/>
              <w:wordWrap/>
              <w:overflowPunct/>
              <w:topLinePunct w:val="0"/>
              <w:bidi w:val="0"/>
              <w:adjustRightInd w:val="0"/>
              <w:snapToGrid w:val="0"/>
              <w:spacing w:line="360" w:lineRule="auto"/>
              <w:jc w:val="center"/>
              <w:rPr>
                <w:rFonts w:hint="eastAsia"/>
                <w:color w:val="auto"/>
                <w:szCs w:val="21"/>
                <w:highlight w:val="none"/>
                <w:lang w:eastAsia="zh-CN"/>
              </w:rPr>
            </w:pPr>
          </w:p>
        </w:tc>
        <w:tc>
          <w:tcPr>
            <w:tcW w:w="2696" w:type="dxa"/>
            <w:vAlign w:val="center"/>
          </w:tcPr>
          <w:p w14:paraId="51A12894">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p>
        </w:tc>
        <w:tc>
          <w:tcPr>
            <w:tcW w:w="3301" w:type="dxa"/>
            <w:vAlign w:val="center"/>
          </w:tcPr>
          <w:p w14:paraId="4D0439D6">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p>
        </w:tc>
        <w:tc>
          <w:tcPr>
            <w:tcW w:w="1291" w:type="dxa"/>
            <w:vAlign w:val="center"/>
          </w:tcPr>
          <w:p w14:paraId="10E2EA7F">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p>
        </w:tc>
        <w:tc>
          <w:tcPr>
            <w:tcW w:w="1535" w:type="dxa"/>
            <w:vAlign w:val="center"/>
          </w:tcPr>
          <w:p w14:paraId="710224B4">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p>
        </w:tc>
      </w:tr>
      <w:tr w14:paraId="066EA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31" w:type="dxa"/>
            <w:vAlign w:val="center"/>
          </w:tcPr>
          <w:p w14:paraId="492616FA">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r>
              <w:rPr>
                <w:color w:val="auto"/>
                <w:szCs w:val="21"/>
                <w:highlight w:val="none"/>
              </w:rPr>
              <w:t>……</w:t>
            </w:r>
          </w:p>
        </w:tc>
        <w:tc>
          <w:tcPr>
            <w:tcW w:w="2696" w:type="dxa"/>
            <w:vAlign w:val="center"/>
          </w:tcPr>
          <w:p w14:paraId="70522249">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p>
        </w:tc>
        <w:tc>
          <w:tcPr>
            <w:tcW w:w="3301" w:type="dxa"/>
            <w:vAlign w:val="center"/>
          </w:tcPr>
          <w:p w14:paraId="35B4D5CC">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p>
        </w:tc>
        <w:tc>
          <w:tcPr>
            <w:tcW w:w="1291" w:type="dxa"/>
            <w:vAlign w:val="center"/>
          </w:tcPr>
          <w:p w14:paraId="75D32879">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p>
        </w:tc>
        <w:tc>
          <w:tcPr>
            <w:tcW w:w="1535" w:type="dxa"/>
            <w:vAlign w:val="center"/>
          </w:tcPr>
          <w:p w14:paraId="449EECE4">
            <w:pPr>
              <w:keepNext w:val="0"/>
              <w:keepLines w:val="0"/>
              <w:pageBreakBefore w:val="0"/>
              <w:widowControl w:val="0"/>
              <w:kinsoku/>
              <w:wordWrap/>
              <w:overflowPunct/>
              <w:topLinePunct w:val="0"/>
              <w:bidi w:val="0"/>
              <w:adjustRightInd w:val="0"/>
              <w:snapToGrid w:val="0"/>
              <w:spacing w:line="360" w:lineRule="auto"/>
              <w:jc w:val="center"/>
              <w:rPr>
                <w:rFonts w:hint="eastAsia"/>
                <w:color w:val="auto"/>
                <w:szCs w:val="21"/>
                <w:highlight w:val="none"/>
              </w:rPr>
            </w:pPr>
          </w:p>
        </w:tc>
      </w:tr>
    </w:tbl>
    <w:p w14:paraId="1E1BC804">
      <w:pPr>
        <w:keepNext w:val="0"/>
        <w:keepLines w:val="0"/>
        <w:pageBreakBefore w:val="0"/>
        <w:widowControl w:val="0"/>
        <w:kinsoku/>
        <w:wordWrap/>
        <w:overflowPunct/>
        <w:topLinePunct w:val="0"/>
        <w:bidi w:val="0"/>
        <w:adjustRightInd w:val="0"/>
        <w:snapToGrid w:val="0"/>
        <w:spacing w:line="360" w:lineRule="auto"/>
        <w:rPr>
          <w:rFonts w:hint="eastAsia"/>
          <w:b/>
          <w:bCs/>
          <w:color w:val="auto"/>
          <w:szCs w:val="21"/>
          <w:highlight w:val="none"/>
        </w:rPr>
      </w:pPr>
      <w:r>
        <w:rPr>
          <w:rFonts w:hint="eastAsia"/>
          <w:b/>
          <w:bCs/>
          <w:color w:val="auto"/>
          <w:szCs w:val="21"/>
          <w:highlight w:val="none"/>
        </w:rPr>
        <w:t>说明：</w:t>
      </w:r>
    </w:p>
    <w:p w14:paraId="22EC0C5E">
      <w:pPr>
        <w:pStyle w:val="126"/>
        <w:keepNext w:val="0"/>
        <w:keepLines w:val="0"/>
        <w:pageBreakBefore w:val="0"/>
        <w:widowControl w:val="0"/>
        <w:numPr>
          <w:ilvl w:val="0"/>
          <w:numId w:val="30"/>
        </w:numPr>
        <w:kinsoku/>
        <w:wordWrap/>
        <w:overflowPunct/>
        <w:topLinePunct w:val="0"/>
        <w:bidi w:val="0"/>
        <w:adjustRightInd w:val="0"/>
        <w:snapToGrid w:val="0"/>
        <w:spacing w:line="360" w:lineRule="auto"/>
        <w:ind w:left="0" w:firstLine="420" w:firstLineChars="200"/>
        <w:rPr>
          <w:rFonts w:hint="eastAsia"/>
          <w:color w:val="auto"/>
          <w:szCs w:val="21"/>
          <w:highlight w:val="none"/>
          <w:lang w:eastAsia="zh-CN"/>
        </w:rPr>
      </w:pPr>
      <w:r>
        <w:rPr>
          <w:rFonts w:hint="eastAsia"/>
          <w:color w:val="auto"/>
          <w:szCs w:val="21"/>
          <w:highlight w:val="none"/>
          <w:lang w:eastAsia="zh-CN"/>
        </w:rPr>
        <w:t>供应商需对应采购文件</w:t>
      </w:r>
      <w:r>
        <w:rPr>
          <w:rFonts w:hint="eastAsia"/>
          <w:b/>
          <w:bCs/>
          <w:color w:val="auto"/>
          <w:szCs w:val="21"/>
          <w:highlight w:val="none"/>
          <w:lang w:eastAsia="zh-CN"/>
        </w:rPr>
        <w:t>第二章采购需求“技术标准与要求”</w:t>
      </w:r>
      <w:r>
        <w:rPr>
          <w:rFonts w:hint="eastAsia"/>
          <w:color w:val="auto"/>
          <w:szCs w:val="21"/>
          <w:highlight w:val="none"/>
          <w:lang w:eastAsia="zh-CN"/>
        </w:rPr>
        <w:t>中除</w:t>
      </w:r>
      <w:r>
        <w:rPr>
          <w:rFonts w:hint="eastAsia"/>
          <w:bCs/>
          <w:color w:val="auto"/>
          <w:szCs w:val="21"/>
          <w:highlight w:val="none"/>
          <w:lang w:eastAsia="zh-CN"/>
        </w:rPr>
        <w:t>“★”号条款外的</w:t>
      </w:r>
      <w:r>
        <w:rPr>
          <w:rFonts w:hint="eastAsia"/>
          <w:color w:val="auto"/>
          <w:szCs w:val="21"/>
          <w:highlight w:val="none"/>
          <w:lang w:eastAsia="zh-CN"/>
        </w:rPr>
        <w:t>所有条款进行</w:t>
      </w:r>
      <w:r>
        <w:rPr>
          <w:rFonts w:hint="eastAsia"/>
          <w:b/>
          <w:bCs/>
          <w:color w:val="auto"/>
          <w:szCs w:val="21"/>
          <w:highlight w:val="none"/>
          <w:lang w:eastAsia="zh-CN"/>
        </w:rPr>
        <w:t>逐条响应或整体响应</w:t>
      </w:r>
      <w:r>
        <w:rPr>
          <w:rFonts w:hint="eastAsia"/>
          <w:color w:val="auto"/>
          <w:szCs w:val="21"/>
          <w:highlight w:val="none"/>
          <w:lang w:eastAsia="zh-CN"/>
        </w:rPr>
        <w:t>，并按要求填写上表。</w:t>
      </w:r>
      <w:r>
        <w:rPr>
          <w:rFonts w:hint="eastAsia"/>
          <w:b/>
          <w:bCs/>
          <w:color w:val="auto"/>
          <w:szCs w:val="21"/>
          <w:highlight w:val="none"/>
          <w:lang w:eastAsia="zh-CN"/>
        </w:rPr>
        <w:t>若要求提供证明材料的，还须提供相应的证明材料，否则视为负偏离。</w:t>
      </w:r>
    </w:p>
    <w:p w14:paraId="6CE6059C">
      <w:pPr>
        <w:pStyle w:val="126"/>
        <w:keepNext w:val="0"/>
        <w:keepLines w:val="0"/>
        <w:pageBreakBefore w:val="0"/>
        <w:widowControl w:val="0"/>
        <w:numPr>
          <w:ilvl w:val="0"/>
          <w:numId w:val="30"/>
        </w:numPr>
        <w:kinsoku/>
        <w:wordWrap/>
        <w:overflowPunct/>
        <w:topLinePunct w:val="0"/>
        <w:bidi w:val="0"/>
        <w:adjustRightInd w:val="0"/>
        <w:snapToGrid w:val="0"/>
        <w:spacing w:line="360" w:lineRule="auto"/>
        <w:ind w:left="0" w:firstLine="420" w:firstLineChars="200"/>
        <w:rPr>
          <w:rFonts w:hint="eastAsia"/>
          <w:b/>
          <w:bCs/>
          <w:color w:val="auto"/>
          <w:szCs w:val="21"/>
          <w:highlight w:val="none"/>
          <w:lang w:eastAsia="zh-CN"/>
        </w:rPr>
      </w:pPr>
      <w:r>
        <w:rPr>
          <w:color w:val="auto"/>
          <w:szCs w:val="21"/>
          <w:highlight w:val="none"/>
          <w:lang w:eastAsia="zh-CN"/>
        </w:rPr>
        <w:t>“采购文件</w:t>
      </w:r>
      <w:r>
        <w:rPr>
          <w:rFonts w:hint="eastAsia"/>
          <w:color w:val="auto"/>
          <w:szCs w:val="21"/>
          <w:highlight w:val="none"/>
          <w:lang w:eastAsia="zh-CN"/>
        </w:rPr>
        <w:t>规定的</w:t>
      </w:r>
      <w:r>
        <w:rPr>
          <w:color w:val="auto"/>
          <w:szCs w:val="21"/>
          <w:highlight w:val="none"/>
          <w:lang w:eastAsia="zh-CN"/>
        </w:rPr>
        <w:t>要求”</w:t>
      </w:r>
      <w:r>
        <w:rPr>
          <w:rFonts w:hint="eastAsia"/>
          <w:color w:val="auto"/>
          <w:szCs w:val="21"/>
          <w:highlight w:val="none"/>
          <w:lang w:eastAsia="zh-CN"/>
        </w:rPr>
        <w:t>项下填写的内容应与采购文件</w:t>
      </w:r>
      <w:r>
        <w:rPr>
          <w:rFonts w:hint="eastAsia"/>
          <w:b/>
          <w:bCs/>
          <w:color w:val="auto"/>
          <w:szCs w:val="21"/>
          <w:highlight w:val="none"/>
          <w:lang w:eastAsia="zh-CN"/>
        </w:rPr>
        <w:t>第二章采购需求“技术标准与要求”中</w:t>
      </w:r>
      <w:r>
        <w:rPr>
          <w:b/>
          <w:bCs/>
          <w:color w:val="auto"/>
          <w:szCs w:val="21"/>
          <w:highlight w:val="none"/>
          <w:lang w:eastAsia="zh-CN"/>
        </w:rPr>
        <w:t>的内容</w:t>
      </w:r>
      <w:r>
        <w:rPr>
          <w:color w:val="auto"/>
          <w:szCs w:val="21"/>
          <w:highlight w:val="none"/>
          <w:lang w:eastAsia="zh-CN"/>
        </w:rPr>
        <w:t>保持一致。</w:t>
      </w:r>
      <w:r>
        <w:rPr>
          <w:rFonts w:hint="eastAsia"/>
          <w:color w:val="auto"/>
          <w:szCs w:val="21"/>
          <w:highlight w:val="none"/>
          <w:lang w:eastAsia="zh-CN"/>
        </w:rPr>
        <w:t>若供应商针对所有条款完全满足要求无偏离时</w:t>
      </w:r>
      <w:r>
        <w:rPr>
          <w:color w:val="auto"/>
          <w:szCs w:val="21"/>
          <w:highlight w:val="none"/>
          <w:lang w:eastAsia="zh-CN"/>
        </w:rPr>
        <w:t>，</w:t>
      </w:r>
      <w:r>
        <w:rPr>
          <w:rFonts w:hint="eastAsia"/>
          <w:color w:val="auto"/>
          <w:szCs w:val="21"/>
          <w:highlight w:val="none"/>
          <w:lang w:eastAsia="zh-CN"/>
        </w:rPr>
        <w:t>可以进行整体响应，</w:t>
      </w:r>
      <w:r>
        <w:rPr>
          <w:color w:val="auto"/>
          <w:szCs w:val="21"/>
          <w:highlight w:val="none"/>
          <w:lang w:eastAsia="zh-CN"/>
        </w:rPr>
        <w:t>在“采购文件</w:t>
      </w:r>
      <w:r>
        <w:rPr>
          <w:rFonts w:hint="eastAsia"/>
          <w:color w:val="auto"/>
          <w:szCs w:val="21"/>
          <w:highlight w:val="none"/>
          <w:lang w:eastAsia="zh-CN"/>
        </w:rPr>
        <w:t>规定的</w:t>
      </w:r>
      <w:r>
        <w:rPr>
          <w:color w:val="auto"/>
          <w:szCs w:val="21"/>
          <w:highlight w:val="none"/>
          <w:lang w:eastAsia="zh-CN"/>
        </w:rPr>
        <w:t>要求”</w:t>
      </w:r>
      <w:r>
        <w:rPr>
          <w:rFonts w:hint="eastAsia"/>
          <w:color w:val="auto"/>
          <w:szCs w:val="21"/>
          <w:highlight w:val="none"/>
          <w:lang w:eastAsia="zh-CN"/>
        </w:rPr>
        <w:t>项下</w:t>
      </w:r>
      <w:r>
        <w:rPr>
          <w:color w:val="auto"/>
          <w:szCs w:val="21"/>
          <w:highlight w:val="none"/>
          <w:lang w:eastAsia="zh-CN"/>
        </w:rPr>
        <w:t>填写“所有</w:t>
      </w:r>
      <w:r>
        <w:rPr>
          <w:rFonts w:hint="eastAsia"/>
          <w:color w:val="auto"/>
          <w:szCs w:val="21"/>
          <w:highlight w:val="none"/>
          <w:lang w:eastAsia="zh-CN"/>
        </w:rPr>
        <w:t>重要技术</w:t>
      </w:r>
      <w:r>
        <w:rPr>
          <w:color w:val="auto"/>
          <w:szCs w:val="21"/>
          <w:highlight w:val="none"/>
          <w:lang w:eastAsia="zh-CN"/>
        </w:rPr>
        <w:t>条款</w:t>
      </w:r>
      <w:r>
        <w:rPr>
          <w:rFonts w:hint="eastAsia"/>
          <w:color w:val="auto"/>
          <w:szCs w:val="21"/>
          <w:highlight w:val="none"/>
          <w:lang w:eastAsia="zh-CN"/>
        </w:rPr>
        <w:t>要求</w:t>
      </w:r>
      <w:r>
        <w:rPr>
          <w:color w:val="auto"/>
          <w:szCs w:val="21"/>
          <w:highlight w:val="none"/>
          <w:lang w:eastAsia="zh-CN"/>
        </w:rPr>
        <w:t>”</w:t>
      </w:r>
      <w:r>
        <w:rPr>
          <w:rFonts w:hint="eastAsia"/>
          <w:color w:val="auto"/>
          <w:szCs w:val="21"/>
          <w:highlight w:val="none"/>
          <w:lang w:eastAsia="zh-CN"/>
        </w:rPr>
        <w:t>或</w:t>
      </w:r>
      <w:r>
        <w:rPr>
          <w:color w:val="auto"/>
          <w:szCs w:val="21"/>
          <w:highlight w:val="none"/>
          <w:lang w:eastAsia="zh-CN"/>
        </w:rPr>
        <w:t>“所有</w:t>
      </w:r>
      <w:r>
        <w:rPr>
          <w:rFonts w:hint="eastAsia"/>
          <w:color w:val="auto"/>
          <w:szCs w:val="21"/>
          <w:highlight w:val="none"/>
          <w:lang w:eastAsia="zh-CN"/>
        </w:rPr>
        <w:t>一般技术</w:t>
      </w:r>
      <w:r>
        <w:rPr>
          <w:color w:val="auto"/>
          <w:szCs w:val="21"/>
          <w:highlight w:val="none"/>
          <w:lang w:eastAsia="zh-CN"/>
        </w:rPr>
        <w:t>条款</w:t>
      </w:r>
      <w:r>
        <w:rPr>
          <w:rFonts w:hint="eastAsia"/>
          <w:color w:val="auto"/>
          <w:szCs w:val="21"/>
          <w:highlight w:val="none"/>
          <w:lang w:eastAsia="zh-CN"/>
        </w:rPr>
        <w:t>要求</w:t>
      </w:r>
      <w:r>
        <w:rPr>
          <w:color w:val="auto"/>
          <w:szCs w:val="21"/>
          <w:highlight w:val="none"/>
          <w:lang w:eastAsia="zh-CN"/>
        </w:rPr>
        <w:t>”</w:t>
      </w:r>
      <w:r>
        <w:rPr>
          <w:rFonts w:hint="eastAsia"/>
          <w:color w:val="auto"/>
          <w:szCs w:val="21"/>
          <w:highlight w:val="none"/>
          <w:lang w:eastAsia="zh-CN"/>
        </w:rPr>
        <w:t>；</w:t>
      </w:r>
      <w:r>
        <w:rPr>
          <w:rFonts w:hint="eastAsia"/>
          <w:b/>
          <w:bCs/>
          <w:color w:val="auto"/>
          <w:szCs w:val="21"/>
          <w:highlight w:val="none"/>
          <w:lang w:eastAsia="zh-CN"/>
        </w:rPr>
        <w:t>若供应商存在偏离项时，则所有重要或一般技术条款需要进行逐条响应。</w:t>
      </w:r>
    </w:p>
    <w:p w14:paraId="6C2DEB95">
      <w:pPr>
        <w:pStyle w:val="126"/>
        <w:keepNext w:val="0"/>
        <w:keepLines w:val="0"/>
        <w:pageBreakBefore w:val="0"/>
        <w:widowControl w:val="0"/>
        <w:numPr>
          <w:ilvl w:val="0"/>
          <w:numId w:val="30"/>
        </w:numPr>
        <w:kinsoku/>
        <w:wordWrap/>
        <w:overflowPunct/>
        <w:topLinePunct w:val="0"/>
        <w:bidi w:val="0"/>
        <w:adjustRightInd w:val="0"/>
        <w:snapToGrid w:val="0"/>
        <w:spacing w:line="360" w:lineRule="auto"/>
        <w:ind w:left="0" w:firstLine="420" w:firstLineChars="200"/>
        <w:rPr>
          <w:rFonts w:hint="eastAsia"/>
          <w:color w:val="auto"/>
          <w:szCs w:val="21"/>
          <w:highlight w:val="none"/>
          <w:lang w:eastAsia="zh-CN"/>
        </w:rPr>
      </w:pPr>
      <w:r>
        <w:rPr>
          <w:rFonts w:hint="eastAsia"/>
          <w:color w:val="auto"/>
          <w:szCs w:val="21"/>
          <w:highlight w:val="none"/>
          <w:lang w:eastAsia="zh-CN"/>
        </w:rPr>
        <w:t>“供应商响应情况”</w:t>
      </w:r>
      <w:r>
        <w:rPr>
          <w:rFonts w:hint="eastAsia"/>
          <w:bCs/>
          <w:color w:val="auto"/>
          <w:szCs w:val="21"/>
          <w:highlight w:val="none"/>
          <w:lang w:eastAsia="zh-CN"/>
        </w:rPr>
        <w:t>项下填写供应商针对“采购文件规定的要求”的响应数值或内容</w:t>
      </w:r>
      <w:r>
        <w:rPr>
          <w:rFonts w:hint="eastAsia"/>
          <w:color w:val="auto"/>
          <w:szCs w:val="21"/>
          <w:highlight w:val="none"/>
          <w:lang w:eastAsia="zh-CN"/>
        </w:rPr>
        <w:t>；若供应商响应完全满足“采购文件规定的要求”，也可以填写“完全按照采购文件规定执行”。</w:t>
      </w:r>
    </w:p>
    <w:p w14:paraId="660E045D">
      <w:pPr>
        <w:pStyle w:val="126"/>
        <w:keepNext w:val="0"/>
        <w:keepLines w:val="0"/>
        <w:pageBreakBefore w:val="0"/>
        <w:widowControl w:val="0"/>
        <w:numPr>
          <w:ilvl w:val="0"/>
          <w:numId w:val="30"/>
        </w:numPr>
        <w:kinsoku/>
        <w:wordWrap/>
        <w:overflowPunct/>
        <w:topLinePunct w:val="0"/>
        <w:bidi w:val="0"/>
        <w:adjustRightInd w:val="0"/>
        <w:snapToGrid w:val="0"/>
        <w:spacing w:line="360" w:lineRule="auto"/>
        <w:ind w:left="0" w:firstLine="420" w:firstLineChars="200"/>
        <w:rPr>
          <w:rFonts w:hint="eastAsia"/>
          <w:color w:val="auto"/>
          <w:szCs w:val="21"/>
          <w:highlight w:val="none"/>
          <w:lang w:eastAsia="zh-CN"/>
        </w:rPr>
      </w:pPr>
      <w:r>
        <w:rPr>
          <w:rFonts w:hint="eastAsia"/>
          <w:color w:val="auto"/>
          <w:szCs w:val="21"/>
          <w:highlight w:val="none"/>
          <w:lang w:eastAsia="zh-CN"/>
        </w:rPr>
        <w:t>“</w:t>
      </w:r>
      <w:r>
        <w:rPr>
          <w:bCs/>
          <w:color w:val="auto"/>
          <w:szCs w:val="21"/>
          <w:highlight w:val="none"/>
          <w:lang w:eastAsia="zh-CN"/>
        </w:rPr>
        <w:t>偏离情况”</w:t>
      </w:r>
      <w:r>
        <w:rPr>
          <w:rFonts w:hint="eastAsia"/>
          <w:bCs/>
          <w:color w:val="auto"/>
          <w:szCs w:val="21"/>
          <w:highlight w:val="none"/>
          <w:lang w:eastAsia="zh-CN"/>
        </w:rPr>
        <w:t>项下应填写“正偏离”或“无偏离”或“负偏离”，供应商须真实体现偏离情况。其中“正偏离”是指优于采购文件规定的要求；“无偏离”是指满足采购文件规定的要求；“负偏离”是指低于采购文件规定的要求</w:t>
      </w:r>
      <w:r>
        <w:rPr>
          <w:rFonts w:hint="eastAsia"/>
          <w:color w:val="auto"/>
          <w:szCs w:val="21"/>
          <w:highlight w:val="none"/>
          <w:lang w:eastAsia="zh-CN"/>
        </w:rPr>
        <w:t>。</w:t>
      </w:r>
    </w:p>
    <w:p w14:paraId="268D11E3">
      <w:pPr>
        <w:pStyle w:val="126"/>
        <w:keepNext w:val="0"/>
        <w:keepLines w:val="0"/>
        <w:pageBreakBefore w:val="0"/>
        <w:widowControl w:val="0"/>
        <w:numPr>
          <w:ilvl w:val="0"/>
          <w:numId w:val="30"/>
        </w:numPr>
        <w:kinsoku/>
        <w:wordWrap/>
        <w:overflowPunct/>
        <w:topLinePunct w:val="0"/>
        <w:bidi w:val="0"/>
        <w:adjustRightInd w:val="0"/>
        <w:snapToGrid w:val="0"/>
        <w:spacing w:line="360" w:lineRule="auto"/>
        <w:ind w:left="0" w:firstLine="420" w:firstLineChars="200"/>
        <w:rPr>
          <w:rFonts w:hint="eastAsia"/>
          <w:color w:val="auto"/>
          <w:szCs w:val="21"/>
          <w:highlight w:val="none"/>
          <w:lang w:eastAsia="zh-CN"/>
        </w:rPr>
      </w:pPr>
      <w:r>
        <w:rPr>
          <w:rFonts w:hint="eastAsia"/>
          <w:color w:val="auto"/>
          <w:szCs w:val="21"/>
          <w:highlight w:val="none"/>
          <w:lang w:eastAsia="zh-CN"/>
        </w:rPr>
        <w:t>“备注”项下填写佐证材料的相关页码或具体偏离内容，不涉及则无需填写。</w:t>
      </w:r>
    </w:p>
    <w:p w14:paraId="2A81913F">
      <w:pPr>
        <w:pStyle w:val="126"/>
        <w:keepNext w:val="0"/>
        <w:keepLines w:val="0"/>
        <w:pageBreakBefore w:val="0"/>
        <w:widowControl w:val="0"/>
        <w:numPr>
          <w:ilvl w:val="0"/>
          <w:numId w:val="30"/>
        </w:numPr>
        <w:kinsoku/>
        <w:wordWrap/>
        <w:overflowPunct/>
        <w:topLinePunct w:val="0"/>
        <w:bidi w:val="0"/>
        <w:adjustRightInd w:val="0"/>
        <w:snapToGrid w:val="0"/>
        <w:spacing w:line="360" w:lineRule="auto"/>
        <w:ind w:left="0" w:firstLine="422" w:firstLineChars="200"/>
        <w:rPr>
          <w:rFonts w:hint="eastAsia"/>
          <w:b/>
          <w:color w:val="auto"/>
          <w:szCs w:val="21"/>
          <w:highlight w:val="none"/>
          <w:lang w:eastAsia="zh-CN"/>
        </w:rPr>
      </w:pPr>
      <w:r>
        <w:rPr>
          <w:rFonts w:hint="eastAsia"/>
          <w:b/>
          <w:color w:val="auto"/>
          <w:szCs w:val="21"/>
          <w:highlight w:val="none"/>
          <w:lang w:eastAsia="zh-CN"/>
        </w:rPr>
        <w:t>供应商若存在“采购文件规定的要求”条款未进行响应时，将视为该条款存在负偏离或不满足。</w:t>
      </w:r>
    </w:p>
    <w:p w14:paraId="229AB8F3">
      <w:pPr>
        <w:pStyle w:val="126"/>
        <w:keepNext w:val="0"/>
        <w:keepLines w:val="0"/>
        <w:pageBreakBefore w:val="0"/>
        <w:widowControl w:val="0"/>
        <w:numPr>
          <w:ilvl w:val="0"/>
          <w:numId w:val="30"/>
        </w:numPr>
        <w:kinsoku/>
        <w:wordWrap/>
        <w:overflowPunct/>
        <w:topLinePunct w:val="0"/>
        <w:bidi w:val="0"/>
        <w:adjustRightInd w:val="0"/>
        <w:snapToGrid w:val="0"/>
        <w:spacing w:line="360" w:lineRule="auto"/>
        <w:ind w:left="0" w:firstLine="420" w:firstLineChars="200"/>
        <w:rPr>
          <w:rFonts w:hint="eastAsia"/>
          <w:color w:val="auto"/>
          <w:szCs w:val="21"/>
          <w:highlight w:val="none"/>
          <w:lang w:eastAsia="zh-CN"/>
        </w:rPr>
      </w:pPr>
      <w:r>
        <w:rPr>
          <w:rFonts w:hint="eastAsia"/>
          <w:color w:val="auto"/>
          <w:szCs w:val="21"/>
          <w:highlight w:val="none"/>
          <w:lang w:eastAsia="zh-CN"/>
        </w:rPr>
        <w:t>供应商须谨慎进行响应，不可存在虚假投标（响应）的情形。</w:t>
      </w:r>
    </w:p>
    <w:p w14:paraId="33B68616">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rPr>
      </w:pPr>
    </w:p>
    <w:p w14:paraId="737448CA">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r>
        <w:rPr>
          <w:rFonts w:hint="eastAsia"/>
          <w:color w:val="auto"/>
          <w:kern w:val="0"/>
          <w:highlight w:val="none"/>
          <w:lang w:eastAsia="zh-CN"/>
        </w:rPr>
        <w:t>供应商</w:t>
      </w:r>
      <w:r>
        <w:rPr>
          <w:rFonts w:hint="eastAsia"/>
          <w:color w:val="auto"/>
          <w:highlight w:val="none"/>
          <w:lang w:eastAsia="zh-CN"/>
        </w:rPr>
        <w:t>法定代表人或其授权委托人（签字或盖章）：</w:t>
      </w:r>
      <w:r>
        <w:rPr>
          <w:color w:val="auto"/>
          <w:highlight w:val="none"/>
          <w:u w:val="single"/>
          <w:lang w:eastAsia="zh-CN"/>
        </w:rPr>
        <w:t xml:space="preserve">                    .</w:t>
      </w:r>
    </w:p>
    <w:p w14:paraId="33CFB1CC">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r>
        <w:rPr>
          <w:rFonts w:hint="eastAsia"/>
          <w:color w:val="auto"/>
          <w:highlight w:val="none"/>
          <w:lang w:eastAsia="zh-CN"/>
        </w:rPr>
        <w:t>供应商名称（盖章）：</w:t>
      </w:r>
      <w:r>
        <w:rPr>
          <w:color w:val="auto"/>
          <w:highlight w:val="none"/>
          <w:u w:val="single"/>
          <w:lang w:eastAsia="zh-CN"/>
        </w:rPr>
        <w:t xml:space="preserve">                    .</w:t>
      </w:r>
    </w:p>
    <w:p w14:paraId="078F1FB6">
      <w:pPr>
        <w:keepNext w:val="0"/>
        <w:keepLines w:val="0"/>
        <w:pageBreakBefore w:val="0"/>
        <w:widowControl w:val="0"/>
        <w:kinsoku/>
        <w:wordWrap/>
        <w:overflowPunct/>
        <w:topLinePunct w:val="0"/>
        <w:bidi w:val="0"/>
        <w:spacing w:line="360" w:lineRule="auto"/>
        <w:ind w:right="-35"/>
        <w:jc w:val="right"/>
        <w:rPr>
          <w:rFonts w:hint="eastAsia"/>
          <w:color w:val="auto"/>
          <w:szCs w:val="21"/>
          <w:highlight w:val="none"/>
        </w:rPr>
      </w:pPr>
      <w:r>
        <w:rPr>
          <w:rFonts w:hint="eastAsia"/>
          <w:color w:val="auto"/>
          <w:sz w:val="24"/>
          <w:highlight w:val="none"/>
        </w:rPr>
        <w:t>日期：</w:t>
      </w:r>
      <w:r>
        <w:rPr>
          <w:color w:val="auto"/>
          <w:sz w:val="24"/>
          <w:highlight w:val="none"/>
          <w:u w:val="single"/>
        </w:rPr>
        <w:t xml:space="preserve">     </w:t>
      </w:r>
      <w:r>
        <w:rPr>
          <w:color w:val="auto"/>
          <w:sz w:val="24"/>
          <w:highlight w:val="none"/>
        </w:rPr>
        <w:t>年</w:t>
      </w:r>
      <w:r>
        <w:rPr>
          <w:color w:val="auto"/>
          <w:sz w:val="24"/>
          <w:highlight w:val="none"/>
          <w:u w:val="single"/>
        </w:rPr>
        <w:t xml:space="preserve">     </w:t>
      </w:r>
      <w:r>
        <w:rPr>
          <w:color w:val="auto"/>
          <w:sz w:val="24"/>
          <w:highlight w:val="none"/>
        </w:rPr>
        <w:t>月</w:t>
      </w:r>
      <w:r>
        <w:rPr>
          <w:color w:val="auto"/>
          <w:sz w:val="24"/>
          <w:highlight w:val="none"/>
          <w:u w:val="single"/>
        </w:rPr>
        <w:t xml:space="preserve">     </w:t>
      </w:r>
      <w:r>
        <w:rPr>
          <w:rFonts w:hint="eastAsia"/>
          <w:color w:val="auto"/>
          <w:sz w:val="24"/>
          <w:highlight w:val="none"/>
        </w:rPr>
        <w:t>日</w:t>
      </w:r>
      <w:bookmarkEnd w:id="257"/>
      <w:r>
        <w:rPr>
          <w:color w:val="auto"/>
          <w:szCs w:val="21"/>
          <w:highlight w:val="none"/>
        </w:rPr>
        <w:br w:type="page"/>
      </w:r>
    </w:p>
    <w:bookmarkEnd w:id="173"/>
    <w:bookmarkEnd w:id="174"/>
    <w:bookmarkEnd w:id="189"/>
    <w:bookmarkEnd w:id="190"/>
    <w:bookmarkEnd w:id="191"/>
    <w:p w14:paraId="37D4D855">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69" w:name="_Toc10176"/>
      <w:bookmarkStart w:id="270" w:name="_Hlk111932474"/>
      <w:r>
        <w:rPr>
          <w:rFonts w:hint="eastAsia" w:ascii="宋体" w:hAnsi="宋体" w:eastAsia="宋体"/>
          <w:color w:val="auto"/>
          <w:sz w:val="24"/>
          <w:szCs w:val="24"/>
          <w:highlight w:val="none"/>
        </w:rPr>
        <w:t>承诺函</w:t>
      </w:r>
      <w:bookmarkEnd w:id="269"/>
    </w:p>
    <w:p w14:paraId="591AA14A">
      <w:pPr>
        <w:keepNext w:val="0"/>
        <w:keepLines w:val="0"/>
        <w:pageBreakBefore w:val="0"/>
        <w:widowControl w:val="0"/>
        <w:kinsoku/>
        <w:wordWrap/>
        <w:overflowPunct/>
        <w:topLinePunct w:val="0"/>
        <w:bidi w:val="0"/>
        <w:spacing w:line="360" w:lineRule="auto"/>
        <w:rPr>
          <w:rFonts w:hint="eastAsia"/>
          <w:i/>
          <w:iCs/>
          <w:color w:val="auto"/>
          <w:szCs w:val="21"/>
          <w:highlight w:val="none"/>
        </w:rPr>
      </w:pPr>
      <w:r>
        <w:rPr>
          <w:i/>
          <w:iCs/>
          <w:color w:val="auto"/>
          <w:szCs w:val="21"/>
          <w:highlight w:val="none"/>
        </w:rPr>
        <w:t>（对于采购需求</w:t>
      </w:r>
      <w:r>
        <w:rPr>
          <w:rFonts w:hint="eastAsia"/>
          <w:i/>
          <w:iCs/>
          <w:color w:val="auto"/>
          <w:szCs w:val="21"/>
          <w:highlight w:val="none"/>
        </w:rPr>
        <w:t>或评分标准中</w:t>
      </w:r>
      <w:r>
        <w:rPr>
          <w:i/>
          <w:iCs/>
          <w:color w:val="auto"/>
          <w:szCs w:val="21"/>
          <w:highlight w:val="none"/>
        </w:rPr>
        <w:t>写明“提供承诺”的条款，供应商可参照以下格式提供承诺</w:t>
      </w:r>
      <w:r>
        <w:rPr>
          <w:rFonts w:hint="eastAsia"/>
          <w:i/>
          <w:iCs/>
          <w:color w:val="auto"/>
          <w:szCs w:val="21"/>
          <w:highlight w:val="none"/>
        </w:rPr>
        <w:t>，若要求提供证明材料或者方案的，须按要求提供，否则不予认可；以下格式文件由供应商根据需要选用。</w:t>
      </w:r>
      <w:r>
        <w:rPr>
          <w:i/>
          <w:iCs/>
          <w:color w:val="auto"/>
          <w:szCs w:val="21"/>
          <w:highlight w:val="none"/>
        </w:rPr>
        <w:t>）</w:t>
      </w:r>
    </w:p>
    <w:p w14:paraId="061F4D03">
      <w:pPr>
        <w:pStyle w:val="356"/>
        <w:keepNext w:val="0"/>
        <w:keepLines w:val="0"/>
        <w:pageBreakBefore w:val="0"/>
        <w:widowControl w:val="0"/>
        <w:kinsoku/>
        <w:wordWrap/>
        <w:overflowPunct/>
        <w:topLinePunct w:val="0"/>
        <w:autoSpaceDE/>
        <w:autoSpaceDN/>
        <w:bidi w:val="0"/>
        <w:spacing w:line="360" w:lineRule="auto"/>
        <w:ind w:firstLine="0" w:firstLineChars="0"/>
        <w:jc w:val="center"/>
        <w:rPr>
          <w:rFonts w:hint="eastAsia"/>
          <w:b/>
          <w:bCs/>
          <w:color w:val="auto"/>
          <w:sz w:val="28"/>
          <w:szCs w:val="28"/>
          <w:highlight w:val="none"/>
          <w:lang w:eastAsia="zh-CN"/>
        </w:rPr>
      </w:pPr>
      <w:r>
        <w:rPr>
          <w:b/>
          <w:bCs/>
          <w:color w:val="auto"/>
          <w:sz w:val="28"/>
          <w:szCs w:val="28"/>
          <w:highlight w:val="none"/>
          <w:lang w:eastAsia="zh-CN"/>
        </w:rPr>
        <w:t>承诺函</w:t>
      </w:r>
    </w:p>
    <w:p w14:paraId="714D56C1">
      <w:pPr>
        <w:keepNext w:val="0"/>
        <w:keepLines w:val="0"/>
        <w:pageBreakBefore w:val="0"/>
        <w:widowControl w:val="0"/>
        <w:kinsoku/>
        <w:wordWrap/>
        <w:overflowPunct/>
        <w:topLinePunct w:val="0"/>
        <w:bidi w:val="0"/>
        <w:spacing w:line="360" w:lineRule="auto"/>
        <w:jc w:val="left"/>
        <w:rPr>
          <w:rFonts w:hint="eastAsia"/>
          <w:color w:val="auto"/>
          <w:sz w:val="24"/>
          <w:highlight w:val="none"/>
        </w:rPr>
      </w:pPr>
      <w:r>
        <w:rPr>
          <w:color w:val="auto"/>
          <w:sz w:val="24"/>
          <w:highlight w:val="none"/>
        </w:rPr>
        <w:t>致：</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（采购人名称）</w:t>
      </w:r>
      <w:r>
        <w:rPr>
          <w:color w:val="auto"/>
          <w:sz w:val="24"/>
          <w:highlight w:val="none"/>
        </w:rPr>
        <w:br w:type="textWrapping"/>
      </w:r>
    </w:p>
    <w:p w14:paraId="314E5C45">
      <w:pPr>
        <w:keepNext w:val="0"/>
        <w:keepLines w:val="0"/>
        <w:pageBreakBefore w:val="0"/>
        <w:widowControl w:val="0"/>
        <w:kinsoku/>
        <w:wordWrap/>
        <w:overflowPunct/>
        <w:topLinePunct w:val="0"/>
        <w:bidi w:val="0"/>
        <w:spacing w:line="360" w:lineRule="auto"/>
        <w:ind w:firstLine="480" w:firstLineChars="200"/>
        <w:rPr>
          <w:rFonts w:hint="eastAsia"/>
          <w:color w:val="auto"/>
          <w:sz w:val="24"/>
          <w:highlight w:val="none"/>
        </w:rPr>
      </w:pPr>
      <w:r>
        <w:rPr>
          <w:color w:val="auto"/>
          <w:sz w:val="24"/>
          <w:highlight w:val="none"/>
        </w:rPr>
        <w:t>对于__________项目（项目编号：__________），我方郑重承诺如下：</w:t>
      </w:r>
    </w:p>
    <w:p w14:paraId="27543A10">
      <w:pPr>
        <w:keepNext w:val="0"/>
        <w:keepLines w:val="0"/>
        <w:pageBreakBefore w:val="0"/>
        <w:widowControl w:val="0"/>
        <w:kinsoku/>
        <w:wordWrap/>
        <w:overflowPunct/>
        <w:topLinePunct w:val="0"/>
        <w:bidi w:val="0"/>
        <w:spacing w:line="360" w:lineRule="auto"/>
        <w:ind w:firstLine="480" w:firstLineChars="200"/>
        <w:rPr>
          <w:rFonts w:hint="eastAsia"/>
          <w:color w:val="auto"/>
          <w:sz w:val="24"/>
          <w:highlight w:val="none"/>
        </w:rPr>
      </w:pPr>
      <w:r>
        <w:rPr>
          <w:color w:val="auto"/>
          <w:sz w:val="24"/>
          <w:highlight w:val="none"/>
        </w:rPr>
        <w:t>如中标/成交，我方承诺严格落实采购文件以下条款：(建议逐条复制采购文件相关条款原文)</w:t>
      </w:r>
    </w:p>
    <w:p w14:paraId="09202387">
      <w:pPr>
        <w:keepNext w:val="0"/>
        <w:keepLines w:val="0"/>
        <w:pageBreakBefore w:val="0"/>
        <w:widowControl w:val="0"/>
        <w:kinsoku/>
        <w:wordWrap/>
        <w:overflowPunct/>
        <w:topLinePunct w:val="0"/>
        <w:bidi w:val="0"/>
        <w:spacing w:line="360" w:lineRule="auto"/>
        <w:ind w:firstLine="480" w:firstLineChars="200"/>
        <w:rPr>
          <w:rFonts w:hint="eastAsia"/>
          <w:color w:val="auto"/>
          <w:sz w:val="24"/>
          <w:highlight w:val="none"/>
        </w:rPr>
      </w:pPr>
      <w:r>
        <w:rPr>
          <w:color w:val="auto"/>
          <w:sz w:val="24"/>
          <w:highlight w:val="none"/>
        </w:rPr>
        <w:t>1.</w:t>
      </w:r>
    </w:p>
    <w:p w14:paraId="0DF20E3C">
      <w:pPr>
        <w:keepNext w:val="0"/>
        <w:keepLines w:val="0"/>
        <w:pageBreakBefore w:val="0"/>
        <w:widowControl w:val="0"/>
        <w:kinsoku/>
        <w:wordWrap/>
        <w:overflowPunct/>
        <w:topLinePunct w:val="0"/>
        <w:bidi w:val="0"/>
        <w:spacing w:line="360" w:lineRule="auto"/>
        <w:ind w:firstLine="480" w:firstLineChars="200"/>
        <w:rPr>
          <w:rFonts w:hint="eastAsia"/>
          <w:color w:val="auto"/>
          <w:sz w:val="24"/>
          <w:highlight w:val="none"/>
        </w:rPr>
      </w:pPr>
      <w:r>
        <w:rPr>
          <w:color w:val="auto"/>
          <w:sz w:val="24"/>
          <w:highlight w:val="none"/>
        </w:rPr>
        <w:t>2.</w:t>
      </w:r>
    </w:p>
    <w:p w14:paraId="77962C01">
      <w:pPr>
        <w:keepNext w:val="0"/>
        <w:keepLines w:val="0"/>
        <w:pageBreakBefore w:val="0"/>
        <w:widowControl w:val="0"/>
        <w:kinsoku/>
        <w:wordWrap/>
        <w:overflowPunct/>
        <w:topLinePunct w:val="0"/>
        <w:bidi w:val="0"/>
        <w:spacing w:line="360" w:lineRule="auto"/>
        <w:ind w:firstLine="480" w:firstLineChars="200"/>
        <w:rPr>
          <w:rFonts w:hint="eastAsia"/>
          <w:color w:val="auto"/>
          <w:sz w:val="24"/>
          <w:highlight w:val="none"/>
        </w:rPr>
      </w:pPr>
      <w:r>
        <w:rPr>
          <w:color w:val="auto"/>
          <w:sz w:val="24"/>
          <w:highlight w:val="none"/>
        </w:rPr>
        <w:t>3.</w:t>
      </w:r>
    </w:p>
    <w:p w14:paraId="05E0B72F">
      <w:pPr>
        <w:keepNext w:val="0"/>
        <w:keepLines w:val="0"/>
        <w:pageBreakBefore w:val="0"/>
        <w:widowControl w:val="0"/>
        <w:kinsoku/>
        <w:wordWrap/>
        <w:overflowPunct/>
        <w:topLinePunct w:val="0"/>
        <w:bidi w:val="0"/>
        <w:spacing w:line="360" w:lineRule="auto"/>
        <w:ind w:firstLine="480" w:firstLineChars="200"/>
        <w:rPr>
          <w:rFonts w:hint="eastAsia"/>
          <w:color w:val="auto"/>
          <w:sz w:val="24"/>
          <w:highlight w:val="none"/>
        </w:rPr>
      </w:pPr>
      <w:r>
        <w:rPr>
          <w:color w:val="auto"/>
          <w:sz w:val="24"/>
          <w:highlight w:val="none"/>
        </w:rPr>
        <w:t>.........</w:t>
      </w:r>
    </w:p>
    <w:p w14:paraId="677FB2AE">
      <w:pPr>
        <w:keepNext w:val="0"/>
        <w:keepLines w:val="0"/>
        <w:pageBreakBefore w:val="0"/>
        <w:widowControl w:val="0"/>
        <w:kinsoku/>
        <w:wordWrap/>
        <w:overflowPunct/>
        <w:topLinePunct w:val="0"/>
        <w:bidi w:val="0"/>
        <w:spacing w:line="360" w:lineRule="auto"/>
        <w:ind w:firstLine="480"/>
        <w:rPr>
          <w:rFonts w:hint="eastAsia"/>
          <w:color w:val="auto"/>
          <w:sz w:val="24"/>
          <w:highlight w:val="none"/>
        </w:rPr>
      </w:pPr>
      <w:r>
        <w:rPr>
          <w:color w:val="auto"/>
          <w:sz w:val="24"/>
          <w:highlight w:val="none"/>
        </w:rPr>
        <w:t>特此承诺。</w:t>
      </w:r>
    </w:p>
    <w:bookmarkEnd w:id="270"/>
    <w:p w14:paraId="2569380B">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r>
        <w:rPr>
          <w:rFonts w:hint="eastAsia"/>
          <w:color w:val="auto"/>
          <w:kern w:val="0"/>
          <w:highlight w:val="none"/>
          <w:lang w:eastAsia="zh-CN"/>
        </w:rPr>
        <w:t>供应商</w:t>
      </w:r>
      <w:r>
        <w:rPr>
          <w:rFonts w:hint="eastAsia"/>
          <w:color w:val="auto"/>
          <w:highlight w:val="none"/>
          <w:lang w:eastAsia="zh-CN"/>
        </w:rPr>
        <w:t>法定代表人或其授权委托人（签字或盖章）：</w:t>
      </w:r>
      <w:r>
        <w:rPr>
          <w:color w:val="auto"/>
          <w:highlight w:val="none"/>
          <w:u w:val="single"/>
          <w:lang w:eastAsia="zh-CN"/>
        </w:rPr>
        <w:t xml:space="preserve">                    .</w:t>
      </w:r>
    </w:p>
    <w:p w14:paraId="25B6AEEA">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r>
        <w:rPr>
          <w:rFonts w:hint="eastAsia"/>
          <w:color w:val="auto"/>
          <w:highlight w:val="none"/>
          <w:lang w:eastAsia="zh-CN"/>
        </w:rPr>
        <w:t>供应商名称（盖章）：</w:t>
      </w:r>
      <w:r>
        <w:rPr>
          <w:color w:val="auto"/>
          <w:highlight w:val="none"/>
          <w:u w:val="single"/>
          <w:lang w:eastAsia="zh-CN"/>
        </w:rPr>
        <w:t xml:space="preserve">                    .</w:t>
      </w:r>
    </w:p>
    <w:p w14:paraId="093349BA">
      <w:pPr>
        <w:keepNext w:val="0"/>
        <w:keepLines w:val="0"/>
        <w:pageBreakBefore w:val="0"/>
        <w:widowControl w:val="0"/>
        <w:kinsoku/>
        <w:wordWrap/>
        <w:overflowPunct/>
        <w:topLinePunct w:val="0"/>
        <w:bidi w:val="0"/>
        <w:spacing w:line="360" w:lineRule="auto"/>
        <w:jc w:val="right"/>
        <w:rPr>
          <w:rFonts w:hint="eastAsia"/>
          <w:color w:val="auto"/>
          <w:highlight w:val="none"/>
        </w:rPr>
      </w:pPr>
      <w:r>
        <w:rPr>
          <w:rFonts w:hint="eastAsia"/>
          <w:color w:val="auto"/>
          <w:sz w:val="24"/>
          <w:highlight w:val="none"/>
        </w:rPr>
        <w:t>日期：</w:t>
      </w:r>
      <w:r>
        <w:rPr>
          <w:color w:val="auto"/>
          <w:sz w:val="24"/>
          <w:highlight w:val="none"/>
          <w:u w:val="single"/>
        </w:rPr>
        <w:t xml:space="preserve">     </w:t>
      </w:r>
      <w:r>
        <w:rPr>
          <w:color w:val="auto"/>
          <w:sz w:val="24"/>
          <w:highlight w:val="none"/>
        </w:rPr>
        <w:t>年</w:t>
      </w:r>
      <w:r>
        <w:rPr>
          <w:color w:val="auto"/>
          <w:sz w:val="24"/>
          <w:highlight w:val="none"/>
          <w:u w:val="single"/>
        </w:rPr>
        <w:t xml:space="preserve">     </w:t>
      </w:r>
      <w:r>
        <w:rPr>
          <w:color w:val="auto"/>
          <w:sz w:val="24"/>
          <w:highlight w:val="none"/>
        </w:rPr>
        <w:t>月</w:t>
      </w:r>
      <w:r>
        <w:rPr>
          <w:color w:val="auto"/>
          <w:sz w:val="24"/>
          <w:highlight w:val="none"/>
          <w:u w:val="single"/>
        </w:rPr>
        <w:t xml:space="preserve">     </w:t>
      </w:r>
      <w:r>
        <w:rPr>
          <w:color w:val="auto"/>
          <w:highlight w:val="none"/>
        </w:rPr>
        <w:t>日</w:t>
      </w:r>
    </w:p>
    <w:p w14:paraId="7C0DC6E0">
      <w:pPr>
        <w:pStyle w:val="19"/>
        <w:keepNext w:val="0"/>
        <w:keepLines w:val="0"/>
        <w:pageBreakBefore w:val="0"/>
        <w:widowControl w:val="0"/>
        <w:kinsoku/>
        <w:wordWrap/>
        <w:overflowPunct/>
        <w:topLinePunct w:val="0"/>
        <w:bidi w:val="0"/>
        <w:spacing w:line="360" w:lineRule="auto"/>
        <w:rPr>
          <w:rFonts w:hint="eastAsia"/>
          <w:color w:val="auto"/>
          <w:highlight w:val="none"/>
        </w:rPr>
      </w:pPr>
      <w:r>
        <w:rPr>
          <w:color w:val="auto"/>
          <w:highlight w:val="none"/>
        </w:rPr>
        <w:br w:type="page"/>
      </w:r>
    </w:p>
    <w:p w14:paraId="40326A2D">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71" w:name="_Toc29958"/>
      <w:bookmarkStart w:id="272" w:name="_Toc104040720"/>
      <w:bookmarkStart w:id="273" w:name="_Toc104160540"/>
      <w:bookmarkStart w:id="274" w:name="_Toc103033251"/>
      <w:bookmarkStart w:id="275" w:name="_Toc259090991"/>
      <w:bookmarkStart w:id="276" w:name="_Toc462677246"/>
      <w:bookmarkStart w:id="277" w:name="_Toc202816998"/>
      <w:bookmarkStart w:id="278" w:name="_Toc202251702"/>
      <w:bookmarkStart w:id="279" w:name="_Toc425161124"/>
      <w:bookmarkStart w:id="280" w:name="_Toc202252036"/>
      <w:bookmarkStart w:id="281" w:name="_Toc202251077"/>
      <w:bookmarkStart w:id="282" w:name="_Toc202819880"/>
      <w:bookmarkStart w:id="283" w:name="_Toc202820353"/>
      <w:bookmarkStart w:id="284" w:name="_Toc202254107"/>
      <w:r>
        <w:rPr>
          <w:rFonts w:hint="eastAsia" w:ascii="宋体" w:hAnsi="宋体" w:eastAsia="宋体"/>
          <w:color w:val="auto"/>
          <w:sz w:val="24"/>
          <w:szCs w:val="24"/>
          <w:highlight w:val="none"/>
        </w:rPr>
        <w:t>类似</w:t>
      </w:r>
      <w:r>
        <w:rPr>
          <w:rFonts w:ascii="宋体" w:hAnsi="宋体" w:eastAsia="宋体"/>
          <w:color w:val="auto"/>
          <w:sz w:val="24"/>
          <w:szCs w:val="24"/>
          <w:highlight w:val="none"/>
        </w:rPr>
        <w:t>项目</w:t>
      </w:r>
      <w:r>
        <w:rPr>
          <w:rFonts w:hint="eastAsia" w:ascii="宋体" w:hAnsi="宋体" w:eastAsia="宋体"/>
          <w:color w:val="auto"/>
          <w:sz w:val="24"/>
          <w:szCs w:val="24"/>
          <w:highlight w:val="none"/>
        </w:rPr>
        <w:t>业绩</w:t>
      </w:r>
      <w:bookmarkEnd w:id="271"/>
      <w:bookmarkEnd w:id="272"/>
      <w:bookmarkEnd w:id="273"/>
      <w:bookmarkEnd w:id="274"/>
    </w:p>
    <w:tbl>
      <w:tblPr>
        <w:tblStyle w:val="4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521"/>
        <w:gridCol w:w="1518"/>
        <w:gridCol w:w="1855"/>
        <w:gridCol w:w="2361"/>
        <w:gridCol w:w="1691"/>
      </w:tblGrid>
      <w:tr w14:paraId="7E67A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908" w:type="dxa"/>
            <w:tcBorders>
              <w:bottom w:val="single" w:color="auto" w:sz="4" w:space="0"/>
            </w:tcBorders>
            <w:shd w:val="clear" w:color="auto" w:fill="F3F3F3"/>
            <w:vAlign w:val="center"/>
          </w:tcPr>
          <w:p w14:paraId="6B54409B">
            <w:pPr>
              <w:keepNext w:val="0"/>
              <w:keepLines w:val="0"/>
              <w:pageBreakBefore w:val="0"/>
              <w:widowControl w:val="0"/>
              <w:kinsoku/>
              <w:wordWrap/>
              <w:overflowPunct/>
              <w:topLinePunct w:val="0"/>
              <w:bidi w:val="0"/>
              <w:spacing w:line="360" w:lineRule="auto"/>
              <w:jc w:val="center"/>
              <w:rPr>
                <w:rFonts w:hint="eastAsia" w:cs="等线"/>
                <w:b/>
                <w:bCs/>
                <w:color w:val="auto"/>
                <w:szCs w:val="21"/>
                <w:highlight w:val="none"/>
              </w:rPr>
            </w:pPr>
            <w:r>
              <w:rPr>
                <w:rFonts w:hint="eastAsia" w:cs="等线"/>
                <w:b/>
                <w:bCs/>
                <w:color w:val="auto"/>
                <w:szCs w:val="21"/>
                <w:highlight w:val="none"/>
              </w:rPr>
              <w:t>序号</w:t>
            </w:r>
          </w:p>
        </w:tc>
        <w:tc>
          <w:tcPr>
            <w:tcW w:w="1521" w:type="dxa"/>
            <w:tcBorders>
              <w:bottom w:val="single" w:color="auto" w:sz="4" w:space="0"/>
            </w:tcBorders>
            <w:shd w:val="clear" w:color="auto" w:fill="F3F3F3"/>
            <w:vAlign w:val="center"/>
          </w:tcPr>
          <w:p w14:paraId="3605951E">
            <w:pPr>
              <w:keepNext w:val="0"/>
              <w:keepLines w:val="0"/>
              <w:pageBreakBefore w:val="0"/>
              <w:widowControl w:val="0"/>
              <w:kinsoku/>
              <w:wordWrap/>
              <w:overflowPunct/>
              <w:topLinePunct w:val="0"/>
              <w:bidi w:val="0"/>
              <w:spacing w:line="360" w:lineRule="auto"/>
              <w:jc w:val="center"/>
              <w:rPr>
                <w:rFonts w:hint="eastAsia" w:cs="等线"/>
                <w:b/>
                <w:bCs/>
                <w:color w:val="auto"/>
                <w:szCs w:val="21"/>
                <w:highlight w:val="none"/>
              </w:rPr>
            </w:pPr>
            <w:r>
              <w:rPr>
                <w:rFonts w:hint="eastAsia" w:cs="等线"/>
                <w:b/>
                <w:bCs/>
                <w:color w:val="auto"/>
                <w:szCs w:val="21"/>
                <w:highlight w:val="none"/>
              </w:rPr>
              <w:t>客户名称</w:t>
            </w:r>
          </w:p>
        </w:tc>
        <w:tc>
          <w:tcPr>
            <w:tcW w:w="1518" w:type="dxa"/>
            <w:tcBorders>
              <w:bottom w:val="single" w:color="auto" w:sz="4" w:space="0"/>
            </w:tcBorders>
            <w:shd w:val="clear" w:color="auto" w:fill="F3F3F3"/>
            <w:vAlign w:val="center"/>
          </w:tcPr>
          <w:p w14:paraId="3164BF03">
            <w:pPr>
              <w:keepNext w:val="0"/>
              <w:keepLines w:val="0"/>
              <w:pageBreakBefore w:val="0"/>
              <w:widowControl w:val="0"/>
              <w:kinsoku/>
              <w:wordWrap/>
              <w:overflowPunct/>
              <w:topLinePunct w:val="0"/>
              <w:bidi w:val="0"/>
              <w:spacing w:line="360" w:lineRule="auto"/>
              <w:jc w:val="center"/>
              <w:rPr>
                <w:rFonts w:hint="eastAsia" w:cs="等线"/>
                <w:b/>
                <w:bCs/>
                <w:color w:val="auto"/>
                <w:szCs w:val="21"/>
                <w:highlight w:val="none"/>
              </w:rPr>
            </w:pPr>
            <w:r>
              <w:rPr>
                <w:rFonts w:hint="eastAsia" w:cs="等线"/>
                <w:b/>
                <w:bCs/>
                <w:color w:val="auto"/>
                <w:szCs w:val="21"/>
                <w:highlight w:val="none"/>
              </w:rPr>
              <w:t>合同名称</w:t>
            </w:r>
          </w:p>
        </w:tc>
        <w:tc>
          <w:tcPr>
            <w:tcW w:w="1855" w:type="dxa"/>
            <w:tcBorders>
              <w:bottom w:val="single" w:color="auto" w:sz="4" w:space="0"/>
            </w:tcBorders>
            <w:shd w:val="clear" w:color="auto" w:fill="F3F3F3"/>
            <w:vAlign w:val="center"/>
          </w:tcPr>
          <w:p w14:paraId="5B7B4EBC">
            <w:pPr>
              <w:keepNext w:val="0"/>
              <w:keepLines w:val="0"/>
              <w:pageBreakBefore w:val="0"/>
              <w:widowControl w:val="0"/>
              <w:kinsoku/>
              <w:wordWrap/>
              <w:overflowPunct/>
              <w:topLinePunct w:val="0"/>
              <w:bidi w:val="0"/>
              <w:spacing w:line="360" w:lineRule="auto"/>
              <w:jc w:val="center"/>
              <w:rPr>
                <w:rFonts w:hint="eastAsia" w:cs="等线"/>
                <w:b/>
                <w:bCs/>
                <w:color w:val="auto"/>
                <w:szCs w:val="21"/>
                <w:highlight w:val="none"/>
              </w:rPr>
            </w:pPr>
            <w:r>
              <w:rPr>
                <w:rFonts w:hint="eastAsia" w:cs="等线"/>
                <w:b/>
                <w:bCs/>
                <w:color w:val="auto"/>
                <w:szCs w:val="21"/>
                <w:highlight w:val="none"/>
              </w:rPr>
              <w:t>合同内容</w:t>
            </w:r>
          </w:p>
        </w:tc>
        <w:tc>
          <w:tcPr>
            <w:tcW w:w="2361" w:type="dxa"/>
            <w:tcBorders>
              <w:bottom w:val="single" w:color="auto" w:sz="4" w:space="0"/>
            </w:tcBorders>
            <w:shd w:val="clear" w:color="auto" w:fill="F3F3F3"/>
            <w:vAlign w:val="center"/>
          </w:tcPr>
          <w:p w14:paraId="73920654">
            <w:pPr>
              <w:keepNext w:val="0"/>
              <w:keepLines w:val="0"/>
              <w:pageBreakBefore w:val="0"/>
              <w:widowControl w:val="0"/>
              <w:kinsoku/>
              <w:wordWrap/>
              <w:overflowPunct/>
              <w:topLinePunct w:val="0"/>
              <w:bidi w:val="0"/>
              <w:spacing w:line="360" w:lineRule="auto"/>
              <w:jc w:val="center"/>
              <w:rPr>
                <w:rFonts w:hint="eastAsia" w:cs="等线"/>
                <w:b/>
                <w:bCs/>
                <w:color w:val="auto"/>
                <w:szCs w:val="21"/>
                <w:highlight w:val="none"/>
              </w:rPr>
            </w:pPr>
            <w:r>
              <w:rPr>
                <w:rFonts w:hint="eastAsia" w:cs="等线"/>
                <w:b/>
                <w:bCs/>
                <w:color w:val="auto"/>
                <w:szCs w:val="21"/>
                <w:highlight w:val="none"/>
              </w:rPr>
              <w:t>合同签订时间</w:t>
            </w:r>
          </w:p>
        </w:tc>
        <w:tc>
          <w:tcPr>
            <w:tcW w:w="1691" w:type="dxa"/>
            <w:tcBorders>
              <w:bottom w:val="single" w:color="auto" w:sz="4" w:space="0"/>
            </w:tcBorders>
            <w:shd w:val="clear" w:color="auto" w:fill="F3F3F3"/>
            <w:vAlign w:val="center"/>
          </w:tcPr>
          <w:p w14:paraId="6123C1D0">
            <w:pPr>
              <w:keepNext w:val="0"/>
              <w:keepLines w:val="0"/>
              <w:pageBreakBefore w:val="0"/>
              <w:widowControl w:val="0"/>
              <w:kinsoku/>
              <w:wordWrap/>
              <w:overflowPunct/>
              <w:topLinePunct w:val="0"/>
              <w:bidi w:val="0"/>
              <w:spacing w:line="360" w:lineRule="auto"/>
              <w:jc w:val="center"/>
              <w:rPr>
                <w:rFonts w:hint="eastAsia" w:cs="等线"/>
                <w:b/>
                <w:bCs/>
                <w:color w:val="auto"/>
                <w:szCs w:val="21"/>
                <w:highlight w:val="none"/>
              </w:rPr>
            </w:pPr>
            <w:r>
              <w:rPr>
                <w:rFonts w:hint="eastAsia" w:cs="等线"/>
                <w:b/>
                <w:bCs/>
                <w:color w:val="auto"/>
                <w:szCs w:val="21"/>
                <w:highlight w:val="none"/>
              </w:rPr>
              <w:t>备注</w:t>
            </w:r>
          </w:p>
        </w:tc>
      </w:tr>
      <w:tr w14:paraId="69723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908" w:type="dxa"/>
            <w:shd w:val="clear" w:color="auto" w:fill="FFFFFF"/>
            <w:vAlign w:val="center"/>
          </w:tcPr>
          <w:p w14:paraId="687D64F8">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r>
              <w:rPr>
                <w:rFonts w:hint="eastAsia" w:cs="等线"/>
                <w:color w:val="auto"/>
                <w:szCs w:val="21"/>
                <w:highlight w:val="none"/>
              </w:rPr>
              <w:t>1</w:t>
            </w:r>
          </w:p>
        </w:tc>
        <w:tc>
          <w:tcPr>
            <w:tcW w:w="1521" w:type="dxa"/>
            <w:shd w:val="clear" w:color="auto" w:fill="FFFFFF"/>
            <w:vAlign w:val="center"/>
          </w:tcPr>
          <w:p w14:paraId="3CFF92A3">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c>
          <w:tcPr>
            <w:tcW w:w="1518" w:type="dxa"/>
            <w:shd w:val="clear" w:color="auto" w:fill="FFFFFF"/>
            <w:vAlign w:val="center"/>
          </w:tcPr>
          <w:p w14:paraId="1AA4EF92">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c>
          <w:tcPr>
            <w:tcW w:w="1855" w:type="dxa"/>
            <w:shd w:val="clear" w:color="auto" w:fill="FFFFFF"/>
            <w:vAlign w:val="center"/>
          </w:tcPr>
          <w:p w14:paraId="425AC0D0">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c>
          <w:tcPr>
            <w:tcW w:w="2361" w:type="dxa"/>
            <w:shd w:val="clear" w:color="auto" w:fill="FFFFFF"/>
            <w:vAlign w:val="center"/>
          </w:tcPr>
          <w:p w14:paraId="3E248910">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c>
          <w:tcPr>
            <w:tcW w:w="1691" w:type="dxa"/>
            <w:shd w:val="clear" w:color="auto" w:fill="FFFFFF"/>
            <w:vAlign w:val="center"/>
          </w:tcPr>
          <w:p w14:paraId="53D03E28">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r>
      <w:tr w14:paraId="44C7E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908" w:type="dxa"/>
            <w:shd w:val="clear" w:color="auto" w:fill="FFFFFF"/>
            <w:vAlign w:val="center"/>
          </w:tcPr>
          <w:p w14:paraId="029314D5">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r>
              <w:rPr>
                <w:rFonts w:hint="eastAsia" w:cs="等线"/>
                <w:color w:val="auto"/>
                <w:szCs w:val="21"/>
                <w:highlight w:val="none"/>
              </w:rPr>
              <w:t>2</w:t>
            </w:r>
          </w:p>
        </w:tc>
        <w:tc>
          <w:tcPr>
            <w:tcW w:w="1521" w:type="dxa"/>
            <w:shd w:val="clear" w:color="auto" w:fill="FFFFFF"/>
            <w:vAlign w:val="center"/>
          </w:tcPr>
          <w:p w14:paraId="5CC5375A">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c>
          <w:tcPr>
            <w:tcW w:w="1518" w:type="dxa"/>
            <w:shd w:val="clear" w:color="auto" w:fill="FFFFFF"/>
            <w:vAlign w:val="center"/>
          </w:tcPr>
          <w:p w14:paraId="63C815AE">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c>
          <w:tcPr>
            <w:tcW w:w="1855" w:type="dxa"/>
            <w:shd w:val="clear" w:color="auto" w:fill="FFFFFF"/>
            <w:vAlign w:val="center"/>
          </w:tcPr>
          <w:p w14:paraId="16BEB7D4">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c>
          <w:tcPr>
            <w:tcW w:w="2361" w:type="dxa"/>
            <w:shd w:val="clear" w:color="auto" w:fill="FFFFFF"/>
            <w:vAlign w:val="center"/>
          </w:tcPr>
          <w:p w14:paraId="3446264E">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c>
          <w:tcPr>
            <w:tcW w:w="1691" w:type="dxa"/>
            <w:shd w:val="clear" w:color="auto" w:fill="FFFFFF"/>
            <w:vAlign w:val="center"/>
          </w:tcPr>
          <w:p w14:paraId="42A1182F">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r>
      <w:tr w14:paraId="4ED29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908" w:type="dxa"/>
            <w:shd w:val="clear" w:color="auto" w:fill="FFFFFF"/>
            <w:vAlign w:val="center"/>
          </w:tcPr>
          <w:p w14:paraId="52F751EB">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r>
              <w:rPr>
                <w:rFonts w:hint="eastAsia" w:cs="等线"/>
                <w:color w:val="auto"/>
                <w:szCs w:val="21"/>
                <w:highlight w:val="none"/>
              </w:rPr>
              <w:t>3</w:t>
            </w:r>
          </w:p>
        </w:tc>
        <w:tc>
          <w:tcPr>
            <w:tcW w:w="1521" w:type="dxa"/>
            <w:shd w:val="clear" w:color="auto" w:fill="FFFFFF"/>
            <w:vAlign w:val="center"/>
          </w:tcPr>
          <w:p w14:paraId="408F3FF8">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c>
          <w:tcPr>
            <w:tcW w:w="1518" w:type="dxa"/>
            <w:shd w:val="clear" w:color="auto" w:fill="FFFFFF"/>
            <w:vAlign w:val="center"/>
          </w:tcPr>
          <w:p w14:paraId="10B2E335">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c>
          <w:tcPr>
            <w:tcW w:w="1855" w:type="dxa"/>
            <w:shd w:val="clear" w:color="auto" w:fill="FFFFFF"/>
            <w:vAlign w:val="center"/>
          </w:tcPr>
          <w:p w14:paraId="0C562B22">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c>
          <w:tcPr>
            <w:tcW w:w="2361" w:type="dxa"/>
            <w:shd w:val="clear" w:color="auto" w:fill="FFFFFF"/>
            <w:vAlign w:val="center"/>
          </w:tcPr>
          <w:p w14:paraId="5808BB26">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c>
          <w:tcPr>
            <w:tcW w:w="1691" w:type="dxa"/>
            <w:shd w:val="clear" w:color="auto" w:fill="FFFFFF"/>
            <w:vAlign w:val="center"/>
          </w:tcPr>
          <w:p w14:paraId="198BDADF">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r>
      <w:tr w14:paraId="13F9B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908" w:type="dxa"/>
            <w:shd w:val="clear" w:color="auto" w:fill="FFFFFF"/>
            <w:vAlign w:val="center"/>
          </w:tcPr>
          <w:p w14:paraId="25378A1F">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r>
              <w:rPr>
                <w:rFonts w:hint="eastAsia" w:cs="等线"/>
                <w:color w:val="auto"/>
                <w:szCs w:val="21"/>
                <w:highlight w:val="none"/>
              </w:rPr>
              <w:t>…</w:t>
            </w:r>
          </w:p>
        </w:tc>
        <w:tc>
          <w:tcPr>
            <w:tcW w:w="1521" w:type="dxa"/>
            <w:shd w:val="clear" w:color="auto" w:fill="FFFFFF"/>
            <w:vAlign w:val="center"/>
          </w:tcPr>
          <w:p w14:paraId="5182F356">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c>
          <w:tcPr>
            <w:tcW w:w="1518" w:type="dxa"/>
            <w:shd w:val="clear" w:color="auto" w:fill="FFFFFF"/>
            <w:vAlign w:val="center"/>
          </w:tcPr>
          <w:p w14:paraId="254D92F2">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c>
          <w:tcPr>
            <w:tcW w:w="1855" w:type="dxa"/>
            <w:shd w:val="clear" w:color="auto" w:fill="FFFFFF"/>
            <w:vAlign w:val="center"/>
          </w:tcPr>
          <w:p w14:paraId="7ECE64FC">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c>
          <w:tcPr>
            <w:tcW w:w="2361" w:type="dxa"/>
            <w:shd w:val="clear" w:color="auto" w:fill="FFFFFF"/>
            <w:vAlign w:val="center"/>
          </w:tcPr>
          <w:p w14:paraId="78585DAD">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c>
          <w:tcPr>
            <w:tcW w:w="1691" w:type="dxa"/>
            <w:shd w:val="clear" w:color="auto" w:fill="FFFFFF"/>
            <w:vAlign w:val="center"/>
          </w:tcPr>
          <w:p w14:paraId="722B88DF">
            <w:pPr>
              <w:keepNext w:val="0"/>
              <w:keepLines w:val="0"/>
              <w:pageBreakBefore w:val="0"/>
              <w:widowControl w:val="0"/>
              <w:kinsoku/>
              <w:wordWrap/>
              <w:overflowPunct/>
              <w:topLinePunct w:val="0"/>
              <w:bidi w:val="0"/>
              <w:spacing w:line="360" w:lineRule="auto"/>
              <w:jc w:val="center"/>
              <w:rPr>
                <w:rFonts w:hint="eastAsia" w:cs="等线"/>
                <w:color w:val="auto"/>
                <w:szCs w:val="21"/>
                <w:highlight w:val="none"/>
              </w:rPr>
            </w:pPr>
          </w:p>
        </w:tc>
      </w:tr>
    </w:tbl>
    <w:p w14:paraId="1E5FA573">
      <w:pPr>
        <w:keepNext w:val="0"/>
        <w:keepLines w:val="0"/>
        <w:pageBreakBefore w:val="0"/>
        <w:widowControl w:val="0"/>
        <w:kinsoku/>
        <w:wordWrap/>
        <w:overflowPunct/>
        <w:topLinePunct w:val="0"/>
        <w:bidi w:val="0"/>
        <w:spacing w:line="360" w:lineRule="auto"/>
        <w:rPr>
          <w:rFonts w:hint="eastAsia"/>
          <w:color w:val="auto"/>
          <w:highlight w:val="none"/>
        </w:rPr>
      </w:pPr>
      <w:r>
        <w:rPr>
          <w:rFonts w:hint="eastAsia"/>
          <w:color w:val="auto"/>
          <w:highlight w:val="none"/>
        </w:rPr>
        <w:t>说明：根据评审标准要求提供相关证明材料。</w:t>
      </w:r>
    </w:p>
    <w:p w14:paraId="22B1AB7F">
      <w:pPr>
        <w:pStyle w:val="19"/>
        <w:keepNext w:val="0"/>
        <w:keepLines w:val="0"/>
        <w:pageBreakBefore w:val="0"/>
        <w:widowControl w:val="0"/>
        <w:kinsoku/>
        <w:wordWrap/>
        <w:overflowPunct/>
        <w:topLinePunct w:val="0"/>
        <w:bidi w:val="0"/>
        <w:spacing w:line="360" w:lineRule="auto"/>
        <w:rPr>
          <w:rFonts w:hint="eastAsia"/>
          <w:color w:val="auto"/>
          <w:highlight w:val="none"/>
        </w:rPr>
      </w:pPr>
    </w:p>
    <w:p w14:paraId="27BB5869">
      <w:pPr>
        <w:spacing w:line="360" w:lineRule="auto"/>
        <w:rPr>
          <w:rFonts w:hint="eastAsia"/>
          <w:color w:val="auto"/>
          <w:highlight w:val="none"/>
        </w:rPr>
      </w:pPr>
    </w:p>
    <w:bookmarkEnd w:id="275"/>
    <w:bookmarkEnd w:id="276"/>
    <w:bookmarkEnd w:id="277"/>
    <w:bookmarkEnd w:id="278"/>
    <w:bookmarkEnd w:id="279"/>
    <w:bookmarkEnd w:id="280"/>
    <w:bookmarkEnd w:id="281"/>
    <w:bookmarkEnd w:id="282"/>
    <w:bookmarkEnd w:id="283"/>
    <w:bookmarkEnd w:id="284"/>
    <w:p w14:paraId="3DF34271">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85" w:name="_Toc15521"/>
      <w:bookmarkStart w:id="286" w:name="_Toc103033247"/>
      <w:bookmarkStart w:id="287" w:name="_Toc104040719"/>
      <w:bookmarkStart w:id="288" w:name="_Toc104160539"/>
      <w:bookmarkStart w:id="289" w:name="_Toc104040721"/>
      <w:bookmarkStart w:id="290" w:name="_Toc104160541"/>
      <w:bookmarkStart w:id="291" w:name="_Toc103033254"/>
      <w:r>
        <w:rPr>
          <w:rFonts w:hint="eastAsia" w:ascii="宋体" w:hAnsi="宋体" w:eastAsia="宋体"/>
          <w:color w:val="auto"/>
          <w:sz w:val="24"/>
          <w:szCs w:val="24"/>
          <w:highlight w:val="none"/>
        </w:rPr>
        <w:t>企业认证情况</w:t>
      </w:r>
      <w:bookmarkEnd w:id="285"/>
    </w:p>
    <w:p w14:paraId="3B3B4EA3">
      <w:pPr>
        <w:keepNext w:val="0"/>
        <w:keepLines w:val="0"/>
        <w:pageBreakBefore w:val="0"/>
        <w:widowControl w:val="0"/>
        <w:kinsoku/>
        <w:wordWrap/>
        <w:overflowPunct/>
        <w:topLinePunct w:val="0"/>
        <w:bidi w:val="0"/>
        <w:spacing w:line="360" w:lineRule="auto"/>
        <w:rPr>
          <w:rFonts w:hint="eastAsia" w:cs="宋体"/>
          <w:i/>
          <w:iCs/>
          <w:color w:val="auto"/>
          <w:szCs w:val="21"/>
          <w:highlight w:val="none"/>
        </w:rPr>
      </w:pPr>
      <w:r>
        <w:rPr>
          <w:rFonts w:hint="eastAsia" w:cs="宋体"/>
          <w:i/>
          <w:iCs/>
          <w:color w:val="auto"/>
          <w:szCs w:val="21"/>
          <w:highlight w:val="none"/>
        </w:rPr>
        <w:t>（按照采购文件评审标准提供相关材料。）</w:t>
      </w:r>
    </w:p>
    <w:p w14:paraId="5D415F60">
      <w:pPr>
        <w:spacing w:line="360" w:lineRule="auto"/>
        <w:rPr>
          <w:rFonts w:hint="eastAsia"/>
          <w:color w:val="auto"/>
          <w:highlight w:val="none"/>
        </w:rPr>
      </w:pPr>
    </w:p>
    <w:p w14:paraId="77084514">
      <w:pPr>
        <w:spacing w:line="360" w:lineRule="auto"/>
        <w:rPr>
          <w:rFonts w:hint="eastAsia"/>
          <w:color w:val="auto"/>
          <w:highlight w:val="none"/>
        </w:rPr>
      </w:pPr>
    </w:p>
    <w:p w14:paraId="5E06162B">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sectPr>
          <w:headerReference r:id="rId14" w:type="first"/>
          <w:pgSz w:w="11906" w:h="16838"/>
          <w:pgMar w:top="1134" w:right="1134" w:bottom="1134" w:left="1134" w:header="426" w:footer="992" w:gutter="0"/>
          <w:paperSrc w:first="7"/>
          <w:pgNumType w:fmt="decimal"/>
          <w:cols w:space="0" w:num="1"/>
          <w:titlePg/>
          <w:rtlGutter w:val="0"/>
          <w:docGrid w:linePitch="312" w:charSpace="0"/>
        </w:sectPr>
      </w:pPr>
    </w:p>
    <w:p w14:paraId="2EBE80CF">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92" w:name="_Toc20493"/>
      <w:r>
        <w:rPr>
          <w:rFonts w:hint="eastAsia" w:ascii="宋体" w:hAnsi="宋体" w:eastAsia="宋体"/>
          <w:color w:val="auto"/>
          <w:sz w:val="24"/>
          <w:szCs w:val="24"/>
          <w:highlight w:val="none"/>
        </w:rPr>
        <w:t>对本项目的理解</w:t>
      </w:r>
      <w:bookmarkEnd w:id="292"/>
    </w:p>
    <w:p w14:paraId="6D6E97A7">
      <w:pPr>
        <w:keepNext w:val="0"/>
        <w:keepLines w:val="0"/>
        <w:pageBreakBefore w:val="0"/>
        <w:widowControl w:val="0"/>
        <w:kinsoku/>
        <w:wordWrap/>
        <w:overflowPunct/>
        <w:topLinePunct w:val="0"/>
        <w:bidi w:val="0"/>
        <w:spacing w:line="360" w:lineRule="auto"/>
        <w:rPr>
          <w:rFonts w:hint="eastAsia" w:cs="宋体"/>
          <w:i/>
          <w:iCs/>
          <w:color w:val="auto"/>
          <w:szCs w:val="21"/>
          <w:highlight w:val="none"/>
        </w:rPr>
      </w:pPr>
      <w:r>
        <w:rPr>
          <w:rFonts w:hint="eastAsia" w:cs="宋体"/>
          <w:i/>
          <w:iCs/>
          <w:color w:val="auto"/>
          <w:szCs w:val="21"/>
          <w:highlight w:val="none"/>
        </w:rPr>
        <w:t>（按照采购文件评审标准提供相关材料。）</w:t>
      </w:r>
    </w:p>
    <w:p w14:paraId="685DDB2E">
      <w:pPr>
        <w:spacing w:line="360" w:lineRule="auto"/>
        <w:rPr>
          <w:rFonts w:hint="eastAsia"/>
          <w:color w:val="auto"/>
          <w:highlight w:val="none"/>
        </w:rPr>
      </w:pPr>
    </w:p>
    <w:p w14:paraId="7317E895">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93" w:name="_Toc25567"/>
      <w:r>
        <w:rPr>
          <w:rFonts w:hint="eastAsia" w:ascii="宋体" w:hAnsi="宋体" w:eastAsia="宋体"/>
          <w:color w:val="auto"/>
          <w:sz w:val="24"/>
          <w:szCs w:val="24"/>
          <w:highlight w:val="none"/>
        </w:rPr>
        <w:t>项目实施重点、难点分析</w:t>
      </w:r>
      <w:bookmarkEnd w:id="293"/>
    </w:p>
    <w:p w14:paraId="05A14156">
      <w:pPr>
        <w:keepNext w:val="0"/>
        <w:keepLines w:val="0"/>
        <w:pageBreakBefore w:val="0"/>
        <w:widowControl w:val="0"/>
        <w:kinsoku/>
        <w:wordWrap/>
        <w:overflowPunct/>
        <w:topLinePunct w:val="0"/>
        <w:bidi w:val="0"/>
        <w:spacing w:line="360" w:lineRule="auto"/>
        <w:rPr>
          <w:rFonts w:hint="eastAsia" w:cs="宋体"/>
          <w:i/>
          <w:iCs/>
          <w:color w:val="auto"/>
          <w:szCs w:val="21"/>
          <w:highlight w:val="none"/>
        </w:rPr>
      </w:pPr>
      <w:r>
        <w:rPr>
          <w:rFonts w:hint="eastAsia" w:cs="宋体"/>
          <w:i/>
          <w:iCs/>
          <w:color w:val="auto"/>
          <w:szCs w:val="21"/>
          <w:highlight w:val="none"/>
        </w:rPr>
        <w:t>（按照采购文件评审标准提供相关材料。）</w:t>
      </w:r>
    </w:p>
    <w:p w14:paraId="03005E62">
      <w:pPr>
        <w:spacing w:line="360" w:lineRule="auto"/>
        <w:rPr>
          <w:rFonts w:hint="eastAsia"/>
          <w:color w:val="auto"/>
          <w:highlight w:val="none"/>
        </w:rPr>
      </w:pPr>
    </w:p>
    <w:p w14:paraId="301E90EB">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94" w:name="_Toc25882"/>
      <w:r>
        <w:rPr>
          <w:rFonts w:hint="eastAsia" w:ascii="宋体" w:hAnsi="宋体" w:eastAsia="宋体"/>
          <w:color w:val="auto"/>
          <w:sz w:val="24"/>
          <w:szCs w:val="24"/>
          <w:highlight w:val="none"/>
        </w:rPr>
        <w:t>服务实施方案</w:t>
      </w:r>
      <w:bookmarkEnd w:id="294"/>
    </w:p>
    <w:p w14:paraId="698C5BDE">
      <w:pPr>
        <w:keepNext w:val="0"/>
        <w:keepLines w:val="0"/>
        <w:pageBreakBefore w:val="0"/>
        <w:widowControl w:val="0"/>
        <w:kinsoku/>
        <w:wordWrap/>
        <w:overflowPunct/>
        <w:topLinePunct w:val="0"/>
        <w:bidi w:val="0"/>
        <w:spacing w:line="360" w:lineRule="auto"/>
        <w:rPr>
          <w:rFonts w:hint="eastAsia" w:cs="宋体"/>
          <w:i/>
          <w:iCs/>
          <w:color w:val="auto"/>
          <w:szCs w:val="21"/>
          <w:highlight w:val="none"/>
        </w:rPr>
      </w:pPr>
      <w:r>
        <w:rPr>
          <w:rFonts w:hint="eastAsia" w:cs="宋体"/>
          <w:i/>
          <w:iCs/>
          <w:color w:val="auto"/>
          <w:szCs w:val="21"/>
          <w:highlight w:val="none"/>
        </w:rPr>
        <w:t>（按照采购文件评审标准提供相关材料。）</w:t>
      </w:r>
    </w:p>
    <w:p w14:paraId="55EF1230">
      <w:pPr>
        <w:spacing w:line="360" w:lineRule="auto"/>
        <w:rPr>
          <w:rFonts w:hint="eastAsia"/>
          <w:color w:val="auto"/>
          <w:highlight w:val="none"/>
        </w:rPr>
      </w:pPr>
    </w:p>
    <w:p w14:paraId="1A6293E7">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95" w:name="_Toc24192"/>
      <w:r>
        <w:rPr>
          <w:rFonts w:hint="eastAsia" w:ascii="宋体" w:hAnsi="宋体" w:eastAsia="宋体"/>
          <w:color w:val="auto"/>
          <w:sz w:val="24"/>
          <w:szCs w:val="24"/>
          <w:highlight w:val="none"/>
        </w:rPr>
        <w:t>服务质量保障</w:t>
      </w:r>
      <w:bookmarkEnd w:id="295"/>
    </w:p>
    <w:p w14:paraId="7A422644">
      <w:pPr>
        <w:keepNext w:val="0"/>
        <w:keepLines w:val="0"/>
        <w:pageBreakBefore w:val="0"/>
        <w:widowControl w:val="0"/>
        <w:kinsoku/>
        <w:wordWrap/>
        <w:overflowPunct/>
        <w:topLinePunct w:val="0"/>
        <w:bidi w:val="0"/>
        <w:spacing w:line="360" w:lineRule="auto"/>
        <w:rPr>
          <w:rFonts w:hint="eastAsia" w:cs="宋体"/>
          <w:i/>
          <w:iCs/>
          <w:color w:val="auto"/>
          <w:szCs w:val="21"/>
          <w:highlight w:val="none"/>
        </w:rPr>
      </w:pPr>
      <w:r>
        <w:rPr>
          <w:rFonts w:hint="eastAsia" w:cs="宋体"/>
          <w:i/>
          <w:iCs/>
          <w:color w:val="auto"/>
          <w:szCs w:val="21"/>
          <w:highlight w:val="none"/>
        </w:rPr>
        <w:t>（按照采购文件评审标准提供相关材料。）</w:t>
      </w:r>
    </w:p>
    <w:p w14:paraId="6A130288">
      <w:pPr>
        <w:spacing w:line="360" w:lineRule="auto"/>
        <w:rPr>
          <w:rFonts w:hint="eastAsia"/>
          <w:color w:val="auto"/>
          <w:highlight w:val="none"/>
        </w:rPr>
      </w:pPr>
    </w:p>
    <w:p w14:paraId="35CB2D45">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96" w:name="_Toc8572"/>
      <w:r>
        <w:rPr>
          <w:rFonts w:hint="eastAsia" w:ascii="宋体" w:hAnsi="宋体" w:eastAsia="宋体"/>
          <w:color w:val="auto"/>
          <w:sz w:val="24"/>
          <w:szCs w:val="24"/>
          <w:highlight w:val="none"/>
        </w:rPr>
        <w:t>紧急突发事件应对措施及预案</w:t>
      </w:r>
      <w:bookmarkEnd w:id="296"/>
    </w:p>
    <w:p w14:paraId="65F3478E">
      <w:pPr>
        <w:keepNext w:val="0"/>
        <w:keepLines w:val="0"/>
        <w:pageBreakBefore w:val="0"/>
        <w:widowControl w:val="0"/>
        <w:kinsoku/>
        <w:wordWrap/>
        <w:overflowPunct/>
        <w:topLinePunct w:val="0"/>
        <w:bidi w:val="0"/>
        <w:spacing w:line="360" w:lineRule="auto"/>
        <w:rPr>
          <w:rFonts w:hint="eastAsia" w:cs="宋体"/>
          <w:i/>
          <w:iCs/>
          <w:color w:val="auto"/>
          <w:szCs w:val="21"/>
          <w:highlight w:val="none"/>
        </w:rPr>
      </w:pPr>
      <w:r>
        <w:rPr>
          <w:rFonts w:hint="eastAsia" w:cs="宋体"/>
          <w:i/>
          <w:iCs/>
          <w:color w:val="auto"/>
          <w:szCs w:val="21"/>
          <w:highlight w:val="none"/>
        </w:rPr>
        <w:t>（按照采购文件评审标准提供相关材料。）</w:t>
      </w:r>
    </w:p>
    <w:p w14:paraId="53B4520D">
      <w:pPr>
        <w:spacing w:line="360" w:lineRule="auto"/>
        <w:rPr>
          <w:rFonts w:hint="eastAsia"/>
          <w:color w:val="auto"/>
          <w:highlight w:val="none"/>
        </w:rPr>
      </w:pPr>
    </w:p>
    <w:p w14:paraId="76B16515">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97" w:name="_Toc6069"/>
      <w:r>
        <w:rPr>
          <w:rFonts w:hint="eastAsia" w:ascii="宋体" w:hAnsi="宋体" w:eastAsia="宋体"/>
          <w:color w:val="auto"/>
          <w:sz w:val="24"/>
          <w:szCs w:val="24"/>
          <w:highlight w:val="none"/>
        </w:rPr>
        <w:t>服务团队人员资质</w:t>
      </w:r>
      <w:bookmarkEnd w:id="286"/>
      <w:bookmarkEnd w:id="287"/>
      <w:bookmarkEnd w:id="288"/>
      <w:bookmarkEnd w:id="297"/>
    </w:p>
    <w:p w14:paraId="2A60D19D">
      <w:pPr>
        <w:keepNext w:val="0"/>
        <w:keepLines w:val="0"/>
        <w:pageBreakBefore w:val="0"/>
        <w:widowControl w:val="0"/>
        <w:kinsoku/>
        <w:wordWrap/>
        <w:overflowPunct/>
        <w:topLinePunct w:val="0"/>
        <w:bidi w:val="0"/>
        <w:spacing w:line="360" w:lineRule="auto"/>
        <w:rPr>
          <w:rFonts w:hint="eastAsia" w:cs="宋体"/>
          <w:i/>
          <w:iCs/>
          <w:color w:val="auto"/>
          <w:szCs w:val="21"/>
          <w:highlight w:val="none"/>
        </w:rPr>
      </w:pPr>
      <w:r>
        <w:rPr>
          <w:rFonts w:hint="eastAsia" w:cs="宋体"/>
          <w:i/>
          <w:iCs/>
          <w:color w:val="auto"/>
          <w:szCs w:val="21"/>
          <w:highlight w:val="none"/>
        </w:rPr>
        <w:t>（按照采购文件评审标准提供相关材料。）</w:t>
      </w:r>
    </w:p>
    <w:p w14:paraId="0B588B7D">
      <w:pPr>
        <w:pStyle w:val="19"/>
        <w:keepNext w:val="0"/>
        <w:keepLines w:val="0"/>
        <w:pageBreakBefore w:val="0"/>
        <w:widowControl w:val="0"/>
        <w:kinsoku/>
        <w:wordWrap/>
        <w:overflowPunct/>
        <w:topLinePunct w:val="0"/>
        <w:bidi w:val="0"/>
        <w:spacing w:line="360" w:lineRule="auto"/>
        <w:rPr>
          <w:rFonts w:hint="eastAsia"/>
          <w:color w:val="auto"/>
          <w:highlight w:val="none"/>
        </w:rPr>
      </w:pPr>
    </w:p>
    <w:p w14:paraId="00CCC69E">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98" w:name="_Toc20848"/>
      <w:r>
        <w:rPr>
          <w:rFonts w:hint="eastAsia" w:ascii="宋体" w:hAnsi="宋体" w:eastAsia="宋体"/>
          <w:color w:val="auto"/>
          <w:sz w:val="24"/>
          <w:szCs w:val="24"/>
          <w:highlight w:val="none"/>
        </w:rPr>
        <w:t>其它重要事项说明及承诺</w:t>
      </w:r>
      <w:bookmarkEnd w:id="289"/>
      <w:bookmarkEnd w:id="290"/>
      <w:bookmarkEnd w:id="291"/>
      <w:bookmarkEnd w:id="298"/>
    </w:p>
    <w:p w14:paraId="55F73926">
      <w:pPr>
        <w:keepNext w:val="0"/>
        <w:keepLines w:val="0"/>
        <w:pageBreakBefore w:val="0"/>
        <w:widowControl w:val="0"/>
        <w:kinsoku/>
        <w:wordWrap/>
        <w:overflowPunct/>
        <w:topLinePunct w:val="0"/>
        <w:bidi w:val="0"/>
        <w:spacing w:line="360" w:lineRule="auto"/>
        <w:rPr>
          <w:rFonts w:hint="eastAsia"/>
          <w:color w:val="auto"/>
          <w:highlight w:val="none"/>
        </w:rPr>
      </w:pPr>
      <w:r>
        <w:rPr>
          <w:rFonts w:hint="eastAsia" w:cs="宋体"/>
          <w:i/>
          <w:iCs/>
          <w:color w:val="auto"/>
          <w:szCs w:val="21"/>
          <w:highlight w:val="none"/>
        </w:rPr>
        <w:t>(如有，请扼要叙述，格式自拟）</w:t>
      </w:r>
    </w:p>
    <w:p w14:paraId="2A0A9541">
      <w:pPr>
        <w:keepNext w:val="0"/>
        <w:keepLines w:val="0"/>
        <w:pageBreakBefore w:val="0"/>
        <w:widowControl w:val="0"/>
        <w:kinsoku/>
        <w:wordWrap/>
        <w:overflowPunct/>
        <w:topLinePunct w:val="0"/>
        <w:bidi w:val="0"/>
        <w:spacing w:line="360" w:lineRule="auto"/>
        <w:jc w:val="both"/>
        <w:rPr>
          <w:rFonts w:hint="default" w:eastAsia="宋体"/>
          <w:b/>
          <w:bCs/>
          <w:color w:val="auto"/>
          <w:sz w:val="24"/>
          <w:highlight w:val="none"/>
          <w:lang w:val="en-US" w:eastAsia="zh-CN"/>
        </w:rPr>
      </w:pPr>
      <w:r>
        <w:rPr>
          <w:rFonts w:hint="eastAsia"/>
          <w:b/>
          <w:bCs/>
          <w:color w:val="auto"/>
          <w:sz w:val="24"/>
          <w:highlight w:val="none"/>
          <w:lang w:val="en-US" w:eastAsia="zh-CN"/>
        </w:rPr>
        <w:t>确定评分点后，需要与评分点匹配</w:t>
      </w:r>
    </w:p>
    <w:p w14:paraId="7EF8F62E">
      <w:pPr>
        <w:keepNext w:val="0"/>
        <w:keepLines w:val="0"/>
        <w:pageBreakBefore w:val="0"/>
        <w:widowControl w:val="0"/>
        <w:kinsoku/>
        <w:wordWrap/>
        <w:overflowPunct/>
        <w:topLinePunct w:val="0"/>
        <w:bidi w:val="0"/>
        <w:spacing w:line="360" w:lineRule="auto"/>
        <w:rPr>
          <w:rFonts w:hint="eastAsia" w:cs="宋体"/>
          <w:b/>
          <w:bCs/>
          <w:color w:val="auto"/>
          <w:sz w:val="28"/>
          <w:szCs w:val="22"/>
          <w:highlight w:val="none"/>
        </w:rPr>
      </w:pPr>
      <w:r>
        <w:rPr>
          <w:rFonts w:cs="宋体"/>
          <w:b/>
          <w:bCs/>
          <w:color w:val="auto"/>
          <w:sz w:val="28"/>
          <w:szCs w:val="22"/>
          <w:highlight w:val="none"/>
        </w:rPr>
        <w:br w:type="page"/>
      </w:r>
    </w:p>
    <w:p w14:paraId="55789921">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299" w:name="_Toc316"/>
      <w:r>
        <w:rPr>
          <w:rFonts w:hint="eastAsia" w:ascii="宋体" w:hAnsi="宋体" w:eastAsia="宋体"/>
          <w:color w:val="auto"/>
          <w:sz w:val="24"/>
          <w:szCs w:val="24"/>
          <w:highlight w:val="none"/>
        </w:rPr>
        <w:t>采购代理服务费支付承诺书</w:t>
      </w:r>
      <w:bookmarkEnd w:id="299"/>
    </w:p>
    <w:p w14:paraId="37ADA310">
      <w:pPr>
        <w:pStyle w:val="19"/>
        <w:keepNext w:val="0"/>
        <w:keepLines w:val="0"/>
        <w:pageBreakBefore w:val="0"/>
        <w:widowControl w:val="0"/>
        <w:kinsoku/>
        <w:wordWrap/>
        <w:overflowPunct/>
        <w:topLinePunct w:val="0"/>
        <w:bidi w:val="0"/>
        <w:spacing w:before="114" w:line="360" w:lineRule="auto"/>
        <w:jc w:val="left"/>
        <w:rPr>
          <w:rFonts w:hint="eastAsia"/>
          <w:i/>
          <w:iCs/>
          <w:color w:val="auto"/>
          <w:szCs w:val="20"/>
          <w:highlight w:val="none"/>
        </w:rPr>
      </w:pPr>
      <w:r>
        <w:rPr>
          <w:rFonts w:hint="eastAsia"/>
          <w:i/>
          <w:iCs/>
          <w:color w:val="auto"/>
          <w:szCs w:val="20"/>
          <w:highlight w:val="none"/>
        </w:rPr>
        <w:t>（若采购人支付代理服务费，则无需出具此承诺书）</w:t>
      </w:r>
    </w:p>
    <w:p w14:paraId="3DCBC507">
      <w:pPr>
        <w:pStyle w:val="356"/>
        <w:keepNext w:val="0"/>
        <w:keepLines w:val="0"/>
        <w:pageBreakBefore w:val="0"/>
        <w:widowControl w:val="0"/>
        <w:kinsoku/>
        <w:wordWrap/>
        <w:overflowPunct/>
        <w:topLinePunct w:val="0"/>
        <w:autoSpaceDE/>
        <w:autoSpaceDN/>
        <w:bidi w:val="0"/>
        <w:spacing w:line="360" w:lineRule="auto"/>
        <w:ind w:firstLine="0" w:firstLineChars="0"/>
        <w:jc w:val="center"/>
        <w:rPr>
          <w:rFonts w:hint="eastAsia"/>
          <w:b/>
          <w:bCs/>
          <w:color w:val="auto"/>
          <w:sz w:val="28"/>
          <w:szCs w:val="28"/>
          <w:highlight w:val="none"/>
          <w:lang w:eastAsia="zh-CN"/>
        </w:rPr>
      </w:pPr>
      <w:r>
        <w:rPr>
          <w:rFonts w:hint="eastAsia"/>
          <w:b/>
          <w:bCs/>
          <w:color w:val="auto"/>
          <w:sz w:val="28"/>
          <w:szCs w:val="28"/>
          <w:highlight w:val="none"/>
          <w:lang w:eastAsia="zh-CN"/>
        </w:rPr>
        <w:t>采购代理服务费支付承诺书</w:t>
      </w:r>
    </w:p>
    <w:p w14:paraId="479F6C14">
      <w:pPr>
        <w:pStyle w:val="45"/>
        <w:keepNext w:val="0"/>
        <w:keepLines w:val="0"/>
        <w:pageBreakBefore w:val="0"/>
        <w:widowControl w:val="0"/>
        <w:kinsoku/>
        <w:wordWrap/>
        <w:overflowPunct/>
        <w:topLinePunct w:val="0"/>
        <w:bidi w:val="0"/>
        <w:spacing w:after="0" w:line="360" w:lineRule="auto"/>
        <w:ind w:left="0" w:leftChars="0" w:firstLine="0" w:firstLineChars="0"/>
        <w:rPr>
          <w:rFonts w:hint="eastAsia"/>
          <w:color w:val="auto"/>
          <w:sz w:val="24"/>
          <w:highlight w:val="none"/>
        </w:rPr>
      </w:pPr>
      <w:r>
        <w:rPr>
          <w:rFonts w:hint="eastAsia"/>
          <w:color w:val="auto"/>
          <w:sz w:val="24"/>
          <w:highlight w:val="none"/>
        </w:rPr>
        <w:t>致：公诚管理咨询有限公司</w:t>
      </w:r>
    </w:p>
    <w:p w14:paraId="12AA114C">
      <w:pPr>
        <w:pStyle w:val="45"/>
        <w:keepNext w:val="0"/>
        <w:keepLines w:val="0"/>
        <w:pageBreakBefore w:val="0"/>
        <w:widowControl w:val="0"/>
        <w:kinsoku/>
        <w:wordWrap/>
        <w:overflowPunct/>
        <w:topLinePunct w:val="0"/>
        <w:bidi w:val="0"/>
        <w:spacing w:after="0" w:line="360" w:lineRule="auto"/>
        <w:ind w:left="0" w:leftChars="0" w:firstLine="480"/>
        <w:rPr>
          <w:rFonts w:hint="eastAsia"/>
          <w:color w:val="auto"/>
          <w:sz w:val="24"/>
          <w:highlight w:val="none"/>
        </w:rPr>
      </w:pPr>
      <w:r>
        <w:rPr>
          <w:rFonts w:hint="eastAsia"/>
          <w:color w:val="auto"/>
          <w:sz w:val="24"/>
          <w:highlight w:val="none"/>
        </w:rPr>
        <w:t>我方</w:t>
      </w:r>
      <w:r>
        <w:rPr>
          <w:color w:val="auto"/>
          <w:sz w:val="24"/>
          <w:highlight w:val="none"/>
        </w:rPr>
        <w:t>作为投标</w:t>
      </w:r>
      <w:r>
        <w:rPr>
          <w:rFonts w:hint="eastAsia"/>
          <w:color w:val="auto"/>
          <w:sz w:val="24"/>
          <w:highlight w:val="none"/>
        </w:rPr>
        <w:t>（响应）供应商参加贵公司</w:t>
      </w:r>
      <w:r>
        <w:rPr>
          <w:color w:val="auto"/>
          <w:sz w:val="24"/>
          <w:highlight w:val="none"/>
        </w:rPr>
        <w:t>（公诚管理咨询有限公司）</w:t>
      </w:r>
      <w:r>
        <w:rPr>
          <w:rFonts w:hint="eastAsia"/>
          <w:color w:val="auto"/>
          <w:sz w:val="24"/>
          <w:highlight w:val="none"/>
        </w:rPr>
        <w:t>组织的</w:t>
      </w:r>
      <w:r>
        <w:rPr>
          <w:color w:val="auto"/>
          <w:sz w:val="24"/>
          <w:highlight w:val="none"/>
          <w:u w:val="single"/>
        </w:rPr>
        <w:t xml:space="preserve">       </w:t>
      </w:r>
      <w:r>
        <w:rPr>
          <w:rFonts w:hint="eastAsia"/>
          <w:color w:val="auto"/>
          <w:sz w:val="24"/>
          <w:highlight w:val="none"/>
          <w:u w:val="single"/>
        </w:rPr>
        <w:t>（项目名称）</w:t>
      </w:r>
      <w:r>
        <w:rPr>
          <w:color w:val="auto"/>
          <w:sz w:val="24"/>
          <w:highlight w:val="none"/>
        </w:rPr>
        <w:t>（项目编号：</w:t>
      </w:r>
      <w:r>
        <w:rPr>
          <w:color w:val="auto"/>
          <w:sz w:val="24"/>
          <w:highlight w:val="none"/>
          <w:u w:val="single"/>
        </w:rPr>
        <w:t xml:space="preserve">      </w:t>
      </w:r>
      <w:r>
        <w:rPr>
          <w:color w:val="auto"/>
          <w:sz w:val="24"/>
          <w:highlight w:val="none"/>
        </w:rPr>
        <w:t>）</w:t>
      </w:r>
      <w:r>
        <w:rPr>
          <w:rFonts w:hint="eastAsia"/>
          <w:color w:val="auto"/>
          <w:sz w:val="24"/>
          <w:highlight w:val="none"/>
        </w:rPr>
        <w:t>采购活动</w:t>
      </w:r>
      <w:r>
        <w:rPr>
          <w:color w:val="auto"/>
          <w:sz w:val="24"/>
          <w:highlight w:val="none"/>
        </w:rPr>
        <w:t>，若在本项目</w:t>
      </w:r>
      <w:r>
        <w:rPr>
          <w:rFonts w:hint="eastAsia"/>
          <w:color w:val="auto"/>
          <w:sz w:val="24"/>
          <w:highlight w:val="none"/>
        </w:rPr>
        <w:t>中获得</w:t>
      </w:r>
      <w:r>
        <w:rPr>
          <w:color w:val="auto"/>
          <w:sz w:val="24"/>
          <w:highlight w:val="none"/>
        </w:rPr>
        <w:t>中标</w:t>
      </w:r>
      <w:r>
        <w:rPr>
          <w:rFonts w:hint="eastAsia"/>
          <w:color w:val="auto"/>
          <w:sz w:val="24"/>
          <w:highlight w:val="none"/>
        </w:rPr>
        <w:t>（成交）资格</w:t>
      </w:r>
      <w:r>
        <w:rPr>
          <w:color w:val="auto"/>
          <w:sz w:val="24"/>
          <w:highlight w:val="none"/>
        </w:rPr>
        <w:t>，</w:t>
      </w:r>
      <w:r>
        <w:rPr>
          <w:rFonts w:hint="eastAsia"/>
          <w:color w:val="auto"/>
          <w:sz w:val="24"/>
          <w:highlight w:val="none"/>
        </w:rPr>
        <w:t>将</w:t>
      </w:r>
      <w:r>
        <w:rPr>
          <w:color w:val="auto"/>
          <w:sz w:val="24"/>
          <w:highlight w:val="none"/>
        </w:rPr>
        <w:t>同意支付采购代理服务费。</w:t>
      </w:r>
    </w:p>
    <w:p w14:paraId="1D7547E7">
      <w:pPr>
        <w:pStyle w:val="45"/>
        <w:keepNext w:val="0"/>
        <w:keepLines w:val="0"/>
        <w:pageBreakBefore w:val="0"/>
        <w:widowControl w:val="0"/>
        <w:kinsoku/>
        <w:wordWrap/>
        <w:overflowPunct/>
        <w:topLinePunct w:val="0"/>
        <w:bidi w:val="0"/>
        <w:spacing w:after="0" w:line="360" w:lineRule="auto"/>
        <w:ind w:left="0" w:leftChars="0" w:firstLine="480"/>
        <w:rPr>
          <w:rFonts w:hint="eastAsia"/>
          <w:color w:val="auto"/>
          <w:sz w:val="24"/>
          <w:highlight w:val="none"/>
        </w:rPr>
      </w:pPr>
      <w:r>
        <w:rPr>
          <w:rFonts w:hint="eastAsia"/>
          <w:color w:val="auto"/>
          <w:sz w:val="24"/>
          <w:highlight w:val="none"/>
        </w:rPr>
        <w:t>我方保证在贵公司发出《中标（成交）通知书》后</w:t>
      </w:r>
      <w:r>
        <w:rPr>
          <w:color w:val="auto"/>
          <w:sz w:val="24"/>
          <w:highlight w:val="none"/>
        </w:rPr>
        <w:t>3个工作日内向贵公司缴纳本采购文件</w:t>
      </w:r>
      <w:r>
        <w:rPr>
          <w:rFonts w:hint="eastAsia"/>
          <w:color w:val="auto"/>
          <w:sz w:val="24"/>
          <w:highlight w:val="none"/>
        </w:rPr>
        <w:t>规定</w:t>
      </w:r>
      <w:r>
        <w:rPr>
          <w:color w:val="auto"/>
          <w:sz w:val="24"/>
          <w:highlight w:val="none"/>
        </w:rPr>
        <w:t>的采购代理服务费。</w:t>
      </w:r>
    </w:p>
    <w:p w14:paraId="2807C32A">
      <w:pPr>
        <w:pStyle w:val="45"/>
        <w:keepNext w:val="0"/>
        <w:keepLines w:val="0"/>
        <w:pageBreakBefore w:val="0"/>
        <w:widowControl w:val="0"/>
        <w:kinsoku/>
        <w:wordWrap/>
        <w:overflowPunct/>
        <w:topLinePunct w:val="0"/>
        <w:bidi w:val="0"/>
        <w:spacing w:after="0" w:line="360" w:lineRule="auto"/>
        <w:ind w:left="0" w:leftChars="0" w:firstLine="480"/>
        <w:rPr>
          <w:rFonts w:hint="eastAsia"/>
          <w:color w:val="auto"/>
          <w:sz w:val="24"/>
          <w:highlight w:val="none"/>
        </w:rPr>
      </w:pPr>
      <w:r>
        <w:rPr>
          <w:rFonts w:hint="eastAsia"/>
          <w:color w:val="auto"/>
          <w:sz w:val="24"/>
          <w:highlight w:val="none"/>
        </w:rPr>
        <w:t>若我方未按前述期限支付采购代理服务费，贵公司有权直接在应付我方任何一笔款项中直接扣除。因前述事项发生争议，我方同意将争议提交北海国际仲裁院仲裁解决。</w:t>
      </w:r>
    </w:p>
    <w:p w14:paraId="2F4F2219">
      <w:pPr>
        <w:pStyle w:val="45"/>
        <w:keepNext w:val="0"/>
        <w:keepLines w:val="0"/>
        <w:pageBreakBefore w:val="0"/>
        <w:widowControl w:val="0"/>
        <w:kinsoku/>
        <w:wordWrap/>
        <w:overflowPunct/>
        <w:topLinePunct w:val="0"/>
        <w:bidi w:val="0"/>
        <w:spacing w:after="0" w:line="360" w:lineRule="auto"/>
        <w:ind w:left="0" w:leftChars="0" w:firstLine="480"/>
        <w:rPr>
          <w:rFonts w:hint="eastAsia"/>
          <w:color w:val="auto"/>
          <w:sz w:val="24"/>
          <w:highlight w:val="none"/>
        </w:rPr>
      </w:pPr>
      <w:r>
        <w:rPr>
          <w:rFonts w:hint="eastAsia"/>
          <w:color w:val="auto"/>
          <w:sz w:val="24"/>
          <w:highlight w:val="none"/>
        </w:rPr>
        <w:t>特此承诺！</w:t>
      </w:r>
    </w:p>
    <w:p w14:paraId="5306E4C1">
      <w:pPr>
        <w:pStyle w:val="45"/>
        <w:keepNext w:val="0"/>
        <w:keepLines w:val="0"/>
        <w:pageBreakBefore w:val="0"/>
        <w:widowControl w:val="0"/>
        <w:kinsoku/>
        <w:wordWrap/>
        <w:overflowPunct/>
        <w:topLinePunct w:val="0"/>
        <w:bidi w:val="0"/>
        <w:spacing w:after="0" w:line="360" w:lineRule="auto"/>
        <w:ind w:left="0" w:leftChars="0" w:firstLine="480"/>
        <w:rPr>
          <w:rFonts w:hint="eastAsia"/>
          <w:color w:val="auto"/>
          <w:sz w:val="24"/>
          <w:highlight w:val="none"/>
        </w:rPr>
      </w:pPr>
    </w:p>
    <w:p w14:paraId="052820DA">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r>
        <w:rPr>
          <w:rFonts w:hint="eastAsia"/>
          <w:color w:val="auto"/>
          <w:kern w:val="0"/>
          <w:highlight w:val="none"/>
          <w:lang w:eastAsia="zh-CN"/>
        </w:rPr>
        <w:t>供应商</w:t>
      </w:r>
      <w:r>
        <w:rPr>
          <w:rFonts w:hint="eastAsia"/>
          <w:color w:val="auto"/>
          <w:highlight w:val="none"/>
          <w:lang w:eastAsia="zh-CN"/>
        </w:rPr>
        <w:t>法定代表人或其授权委托人（签字或盖章）：</w:t>
      </w:r>
      <w:r>
        <w:rPr>
          <w:color w:val="auto"/>
          <w:highlight w:val="none"/>
          <w:u w:val="single"/>
          <w:lang w:eastAsia="zh-CN"/>
        </w:rPr>
        <w:t xml:space="preserve">                    .</w:t>
      </w:r>
    </w:p>
    <w:p w14:paraId="5266BF2E">
      <w:pPr>
        <w:pStyle w:val="356"/>
        <w:keepNext w:val="0"/>
        <w:keepLines w:val="0"/>
        <w:pageBreakBefore w:val="0"/>
        <w:widowControl w:val="0"/>
        <w:kinsoku/>
        <w:wordWrap/>
        <w:overflowPunct/>
        <w:topLinePunct w:val="0"/>
        <w:autoSpaceDE/>
        <w:autoSpaceDN/>
        <w:bidi w:val="0"/>
        <w:spacing w:line="360" w:lineRule="auto"/>
        <w:ind w:firstLine="0" w:firstLineChars="0"/>
        <w:jc w:val="right"/>
        <w:rPr>
          <w:rFonts w:hint="eastAsia"/>
          <w:color w:val="auto"/>
          <w:highlight w:val="none"/>
          <w:lang w:eastAsia="zh-CN"/>
        </w:rPr>
      </w:pPr>
      <w:r>
        <w:rPr>
          <w:rFonts w:hint="eastAsia"/>
          <w:color w:val="auto"/>
          <w:highlight w:val="none"/>
          <w:lang w:eastAsia="zh-CN"/>
        </w:rPr>
        <w:t>供应商名称（盖章）：</w:t>
      </w:r>
      <w:r>
        <w:rPr>
          <w:color w:val="auto"/>
          <w:highlight w:val="none"/>
          <w:u w:val="single"/>
          <w:lang w:eastAsia="zh-CN"/>
        </w:rPr>
        <w:t xml:space="preserve">                    .</w:t>
      </w:r>
    </w:p>
    <w:p w14:paraId="4BE455A0">
      <w:pPr>
        <w:pStyle w:val="356"/>
        <w:keepNext w:val="0"/>
        <w:keepLines w:val="0"/>
        <w:pageBreakBefore w:val="0"/>
        <w:widowControl w:val="0"/>
        <w:kinsoku/>
        <w:wordWrap/>
        <w:overflowPunct/>
        <w:topLinePunct w:val="0"/>
        <w:autoSpaceDE/>
        <w:autoSpaceDN/>
        <w:bidi w:val="0"/>
        <w:spacing w:line="360" w:lineRule="auto"/>
        <w:ind w:firstLine="4960" w:firstLineChars="2067"/>
        <w:jc w:val="right"/>
        <w:rPr>
          <w:rFonts w:hint="eastAsia"/>
          <w:color w:val="auto"/>
          <w:highlight w:val="none"/>
        </w:rPr>
      </w:pPr>
      <w:r>
        <w:rPr>
          <w:rFonts w:hint="eastAsia"/>
          <w:color w:val="auto"/>
          <w:highlight w:val="none"/>
        </w:rPr>
        <w:t>日期：</w:t>
      </w:r>
      <w:r>
        <w:rPr>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日</w:t>
      </w:r>
    </w:p>
    <w:p w14:paraId="13D519D8">
      <w:pPr>
        <w:pStyle w:val="19"/>
        <w:keepNext w:val="0"/>
        <w:keepLines w:val="0"/>
        <w:pageBreakBefore w:val="0"/>
        <w:widowControl w:val="0"/>
        <w:kinsoku/>
        <w:wordWrap/>
        <w:overflowPunct/>
        <w:topLinePunct w:val="0"/>
        <w:bidi w:val="0"/>
        <w:spacing w:line="360" w:lineRule="auto"/>
        <w:rPr>
          <w:rFonts w:hint="eastAsia"/>
          <w:color w:val="auto"/>
          <w:highlight w:val="none"/>
        </w:rPr>
      </w:pPr>
    </w:p>
    <w:p w14:paraId="66C971E5">
      <w:pPr>
        <w:keepNext w:val="0"/>
        <w:keepLines w:val="0"/>
        <w:pageBreakBefore w:val="0"/>
        <w:widowControl w:val="0"/>
        <w:kinsoku/>
        <w:wordWrap/>
        <w:overflowPunct/>
        <w:topLinePunct w:val="0"/>
        <w:bidi w:val="0"/>
        <w:spacing w:line="360" w:lineRule="auto"/>
        <w:ind w:firstLine="480" w:firstLineChars="200"/>
        <w:jc w:val="left"/>
        <w:rPr>
          <w:rFonts w:hint="eastAsia"/>
          <w:color w:val="auto"/>
          <w:sz w:val="24"/>
          <w:highlight w:val="none"/>
        </w:rPr>
      </w:pPr>
      <w:r>
        <w:rPr>
          <w:rFonts w:hint="eastAsia"/>
          <w:color w:val="auto"/>
          <w:sz w:val="24"/>
          <w:highlight w:val="none"/>
        </w:rPr>
        <w:t>附件：</w:t>
      </w:r>
    </w:p>
    <w:tbl>
      <w:tblPr>
        <w:tblStyle w:val="4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1"/>
        <w:gridCol w:w="1864"/>
        <w:gridCol w:w="6559"/>
      </w:tblGrid>
      <w:tr w14:paraId="2E462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95" w:type="dxa"/>
            <w:gridSpan w:val="2"/>
            <w:vAlign w:val="center"/>
          </w:tcPr>
          <w:p w14:paraId="385E53DD">
            <w:pPr>
              <w:pStyle w:val="19"/>
              <w:keepNext w:val="0"/>
              <w:keepLines w:val="0"/>
              <w:pageBreakBefore w:val="0"/>
              <w:widowControl w:val="0"/>
              <w:kinsoku/>
              <w:wordWrap/>
              <w:overflowPunct/>
              <w:topLinePunct w:val="0"/>
              <w:bidi w:val="0"/>
              <w:spacing w:line="360" w:lineRule="auto"/>
              <w:jc w:val="center"/>
              <w:rPr>
                <w:rFonts w:hint="eastAsia"/>
                <w:b/>
                <w:bCs/>
                <w:color w:val="auto"/>
                <w:sz w:val="24"/>
                <w:highlight w:val="none"/>
              </w:rPr>
            </w:pPr>
            <w:r>
              <w:rPr>
                <w:rFonts w:hint="eastAsia"/>
                <w:b/>
                <w:bCs/>
                <w:color w:val="auto"/>
                <w:sz w:val="24"/>
                <w:highlight w:val="none"/>
              </w:rPr>
              <w:t>项目</w:t>
            </w:r>
          </w:p>
        </w:tc>
        <w:tc>
          <w:tcPr>
            <w:tcW w:w="6559" w:type="dxa"/>
            <w:vAlign w:val="center"/>
          </w:tcPr>
          <w:p w14:paraId="77531309">
            <w:pPr>
              <w:pStyle w:val="19"/>
              <w:keepNext w:val="0"/>
              <w:keepLines w:val="0"/>
              <w:pageBreakBefore w:val="0"/>
              <w:widowControl w:val="0"/>
              <w:kinsoku/>
              <w:wordWrap/>
              <w:overflowPunct/>
              <w:topLinePunct w:val="0"/>
              <w:bidi w:val="0"/>
              <w:spacing w:line="360" w:lineRule="auto"/>
              <w:jc w:val="center"/>
              <w:rPr>
                <w:rFonts w:hint="eastAsia"/>
                <w:b/>
                <w:bCs/>
                <w:color w:val="auto"/>
                <w:sz w:val="24"/>
                <w:highlight w:val="none"/>
              </w:rPr>
            </w:pPr>
            <w:r>
              <w:rPr>
                <w:rFonts w:hint="eastAsia"/>
                <w:b/>
                <w:bCs/>
                <w:color w:val="auto"/>
                <w:sz w:val="24"/>
                <w:highlight w:val="none"/>
              </w:rPr>
              <w:t>内容</w:t>
            </w:r>
          </w:p>
        </w:tc>
      </w:tr>
      <w:tr w14:paraId="575B3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95" w:type="dxa"/>
            <w:gridSpan w:val="2"/>
            <w:vAlign w:val="center"/>
          </w:tcPr>
          <w:p w14:paraId="75E89C68">
            <w:pPr>
              <w:pStyle w:val="19"/>
              <w:keepNext w:val="0"/>
              <w:keepLines w:val="0"/>
              <w:pageBreakBefore w:val="0"/>
              <w:widowControl w:val="0"/>
              <w:kinsoku/>
              <w:wordWrap/>
              <w:overflowPunct/>
              <w:topLinePunct w:val="0"/>
              <w:bidi w:val="0"/>
              <w:spacing w:line="360" w:lineRule="auto"/>
              <w:jc w:val="center"/>
              <w:rPr>
                <w:rFonts w:hint="eastAsia"/>
                <w:color w:val="auto"/>
                <w:sz w:val="24"/>
                <w:highlight w:val="none"/>
              </w:rPr>
            </w:pPr>
            <w:r>
              <w:rPr>
                <w:rFonts w:hint="eastAsia"/>
                <w:color w:val="auto"/>
                <w:sz w:val="24"/>
                <w:highlight w:val="none"/>
              </w:rPr>
              <w:t>选择发票类型</w:t>
            </w:r>
          </w:p>
        </w:tc>
        <w:tc>
          <w:tcPr>
            <w:tcW w:w="6559" w:type="dxa"/>
            <w:vAlign w:val="center"/>
          </w:tcPr>
          <w:p w14:paraId="3F89A73E">
            <w:pPr>
              <w:pStyle w:val="19"/>
              <w:keepNext w:val="0"/>
              <w:keepLines w:val="0"/>
              <w:pageBreakBefore w:val="0"/>
              <w:widowControl w:val="0"/>
              <w:kinsoku/>
              <w:wordWrap/>
              <w:overflowPunct/>
              <w:topLinePunct w:val="0"/>
              <w:bidi w:val="0"/>
              <w:spacing w:line="360" w:lineRule="auto"/>
              <w:rPr>
                <w:rFonts w:hint="eastAsia"/>
                <w:color w:val="auto"/>
                <w:sz w:val="24"/>
                <w:highlight w:val="none"/>
              </w:rPr>
            </w:pPr>
            <w:r>
              <w:rPr>
                <w:rFonts w:hint="eastAsia"/>
                <w:color w:val="auto"/>
                <w:sz w:val="24"/>
                <w:highlight w:val="none"/>
              </w:rPr>
              <w:t>□数电发票（增值税专用发票）/</w:t>
            </w:r>
            <w:r>
              <w:rPr>
                <w:color w:val="auto"/>
                <w:sz w:val="24"/>
                <w:highlight w:val="none"/>
              </w:rPr>
              <w:t xml:space="preserve"> </w:t>
            </w:r>
            <w:r>
              <w:rPr>
                <w:rFonts w:hint="eastAsia"/>
                <w:color w:val="auto"/>
                <w:sz w:val="24"/>
                <w:highlight w:val="none"/>
              </w:rPr>
              <w:t>□数电发票（普通发票）</w:t>
            </w:r>
          </w:p>
        </w:tc>
      </w:tr>
      <w:tr w14:paraId="751D3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31" w:type="dxa"/>
            <w:vMerge w:val="restart"/>
            <w:vAlign w:val="center"/>
          </w:tcPr>
          <w:p w14:paraId="44A7E87E">
            <w:pPr>
              <w:pStyle w:val="19"/>
              <w:keepNext w:val="0"/>
              <w:keepLines w:val="0"/>
              <w:pageBreakBefore w:val="0"/>
              <w:widowControl w:val="0"/>
              <w:kinsoku/>
              <w:wordWrap/>
              <w:overflowPunct/>
              <w:topLinePunct w:val="0"/>
              <w:bidi w:val="0"/>
              <w:spacing w:line="360" w:lineRule="auto"/>
              <w:jc w:val="center"/>
              <w:rPr>
                <w:rFonts w:hint="eastAsia"/>
                <w:color w:val="auto"/>
                <w:sz w:val="24"/>
                <w:highlight w:val="none"/>
              </w:rPr>
            </w:pPr>
            <w:r>
              <w:rPr>
                <w:rFonts w:hint="eastAsia"/>
                <w:color w:val="auto"/>
                <w:sz w:val="24"/>
                <w:highlight w:val="none"/>
              </w:rPr>
              <w:t>发票内容</w:t>
            </w:r>
          </w:p>
        </w:tc>
        <w:tc>
          <w:tcPr>
            <w:tcW w:w="1864" w:type="dxa"/>
            <w:vAlign w:val="center"/>
          </w:tcPr>
          <w:p w14:paraId="55DEBB61">
            <w:pPr>
              <w:pStyle w:val="19"/>
              <w:keepNext w:val="0"/>
              <w:keepLines w:val="0"/>
              <w:pageBreakBefore w:val="0"/>
              <w:widowControl w:val="0"/>
              <w:kinsoku/>
              <w:wordWrap/>
              <w:overflowPunct/>
              <w:topLinePunct w:val="0"/>
              <w:bidi w:val="0"/>
              <w:spacing w:line="360" w:lineRule="auto"/>
              <w:jc w:val="center"/>
              <w:rPr>
                <w:rFonts w:hint="eastAsia"/>
                <w:color w:val="auto"/>
                <w:sz w:val="24"/>
                <w:highlight w:val="none"/>
              </w:rPr>
            </w:pPr>
            <w:r>
              <w:rPr>
                <w:rFonts w:hint="eastAsia"/>
                <w:color w:val="auto"/>
                <w:sz w:val="24"/>
                <w:highlight w:val="none"/>
              </w:rPr>
              <w:t>名称</w:t>
            </w:r>
          </w:p>
        </w:tc>
        <w:tc>
          <w:tcPr>
            <w:tcW w:w="6559" w:type="dxa"/>
            <w:vAlign w:val="center"/>
          </w:tcPr>
          <w:p w14:paraId="3C776EB7">
            <w:pPr>
              <w:pStyle w:val="19"/>
              <w:keepNext w:val="0"/>
              <w:keepLines w:val="0"/>
              <w:pageBreakBefore w:val="0"/>
              <w:widowControl w:val="0"/>
              <w:kinsoku/>
              <w:wordWrap/>
              <w:overflowPunct/>
              <w:topLinePunct w:val="0"/>
              <w:bidi w:val="0"/>
              <w:spacing w:line="360" w:lineRule="auto"/>
              <w:rPr>
                <w:rFonts w:hint="eastAsia"/>
                <w:color w:val="auto"/>
                <w:sz w:val="24"/>
                <w:highlight w:val="none"/>
              </w:rPr>
            </w:pPr>
          </w:p>
        </w:tc>
      </w:tr>
      <w:tr w14:paraId="3AD9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31" w:type="dxa"/>
            <w:vMerge w:val="continue"/>
            <w:vAlign w:val="center"/>
          </w:tcPr>
          <w:p w14:paraId="752C2F91">
            <w:pPr>
              <w:pStyle w:val="19"/>
              <w:keepNext w:val="0"/>
              <w:keepLines w:val="0"/>
              <w:pageBreakBefore w:val="0"/>
              <w:widowControl w:val="0"/>
              <w:kinsoku/>
              <w:wordWrap/>
              <w:overflowPunct/>
              <w:topLinePunct w:val="0"/>
              <w:bidi w:val="0"/>
              <w:spacing w:line="360" w:lineRule="auto"/>
              <w:jc w:val="center"/>
              <w:rPr>
                <w:rFonts w:hint="eastAsia"/>
                <w:color w:val="auto"/>
                <w:sz w:val="24"/>
                <w:highlight w:val="none"/>
              </w:rPr>
            </w:pPr>
          </w:p>
        </w:tc>
        <w:tc>
          <w:tcPr>
            <w:tcW w:w="1864" w:type="dxa"/>
            <w:vAlign w:val="center"/>
          </w:tcPr>
          <w:p w14:paraId="73089093">
            <w:pPr>
              <w:pStyle w:val="19"/>
              <w:keepNext w:val="0"/>
              <w:keepLines w:val="0"/>
              <w:pageBreakBefore w:val="0"/>
              <w:widowControl w:val="0"/>
              <w:kinsoku/>
              <w:wordWrap/>
              <w:overflowPunct/>
              <w:topLinePunct w:val="0"/>
              <w:bidi w:val="0"/>
              <w:spacing w:line="360" w:lineRule="auto"/>
              <w:jc w:val="center"/>
              <w:rPr>
                <w:rFonts w:hint="eastAsia"/>
                <w:color w:val="auto"/>
                <w:sz w:val="24"/>
                <w:highlight w:val="none"/>
              </w:rPr>
            </w:pPr>
            <w:r>
              <w:rPr>
                <w:rFonts w:hint="eastAsia"/>
                <w:color w:val="auto"/>
                <w:sz w:val="24"/>
                <w:highlight w:val="none"/>
              </w:rPr>
              <w:t>纳税人识别号</w:t>
            </w:r>
          </w:p>
        </w:tc>
        <w:tc>
          <w:tcPr>
            <w:tcW w:w="6559" w:type="dxa"/>
            <w:vAlign w:val="center"/>
          </w:tcPr>
          <w:p w14:paraId="1910D56E">
            <w:pPr>
              <w:pStyle w:val="19"/>
              <w:keepNext w:val="0"/>
              <w:keepLines w:val="0"/>
              <w:pageBreakBefore w:val="0"/>
              <w:widowControl w:val="0"/>
              <w:kinsoku/>
              <w:wordWrap/>
              <w:overflowPunct/>
              <w:topLinePunct w:val="0"/>
              <w:bidi w:val="0"/>
              <w:spacing w:line="360" w:lineRule="auto"/>
              <w:rPr>
                <w:rFonts w:hint="eastAsia"/>
                <w:color w:val="auto"/>
                <w:sz w:val="24"/>
                <w:highlight w:val="none"/>
              </w:rPr>
            </w:pPr>
          </w:p>
        </w:tc>
      </w:tr>
      <w:tr w14:paraId="7A7D6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trPr>
        <w:tc>
          <w:tcPr>
            <w:tcW w:w="9854" w:type="dxa"/>
            <w:gridSpan w:val="3"/>
            <w:vAlign w:val="center"/>
          </w:tcPr>
          <w:p w14:paraId="3B42BADD">
            <w:pPr>
              <w:pStyle w:val="19"/>
              <w:keepNext w:val="0"/>
              <w:keepLines w:val="0"/>
              <w:pageBreakBefore w:val="0"/>
              <w:widowControl w:val="0"/>
              <w:kinsoku/>
              <w:wordWrap/>
              <w:overflowPunct/>
              <w:topLinePunct w:val="0"/>
              <w:bidi w:val="0"/>
              <w:spacing w:line="360" w:lineRule="auto"/>
              <w:rPr>
                <w:rFonts w:hint="eastAsia"/>
                <w:color w:val="auto"/>
                <w:sz w:val="24"/>
                <w:highlight w:val="none"/>
              </w:rPr>
            </w:pPr>
            <w:r>
              <w:rPr>
                <w:color w:val="auto"/>
                <w:sz w:val="24"/>
                <w:highlight w:val="none"/>
              </w:rPr>
              <w:t>1.国家税务总局关于修改《中华人民共和国发票管理办法实施细则》的决定【https://fgk.chinatax.gov.cn/zcfgk/c100011/c5221006/content.html】-“电子发票与纸质发票的法律效力相同，任何单位和个人不得拒收。”</w:t>
            </w:r>
          </w:p>
          <w:p w14:paraId="02FFA14F">
            <w:pPr>
              <w:pStyle w:val="19"/>
              <w:keepNext w:val="0"/>
              <w:keepLines w:val="0"/>
              <w:pageBreakBefore w:val="0"/>
              <w:widowControl w:val="0"/>
              <w:kinsoku/>
              <w:wordWrap/>
              <w:overflowPunct/>
              <w:topLinePunct w:val="0"/>
              <w:bidi w:val="0"/>
              <w:spacing w:line="360" w:lineRule="auto"/>
              <w:rPr>
                <w:rFonts w:hint="eastAsia"/>
                <w:color w:val="auto"/>
                <w:sz w:val="24"/>
                <w:highlight w:val="none"/>
              </w:rPr>
            </w:pPr>
            <w:r>
              <w:rPr>
                <w:rFonts w:hint="eastAsia"/>
                <w:color w:val="auto"/>
                <w:sz w:val="24"/>
                <w:highlight w:val="none"/>
              </w:rPr>
              <w:t>2</w:t>
            </w:r>
            <w:r>
              <w:rPr>
                <w:color w:val="auto"/>
                <w:sz w:val="24"/>
                <w:highlight w:val="none"/>
              </w:rPr>
              <w:t>.</w:t>
            </w:r>
            <w:r>
              <w:rPr>
                <w:rFonts w:hint="eastAsia"/>
                <w:color w:val="auto"/>
                <w:sz w:val="24"/>
                <w:highlight w:val="none"/>
              </w:rPr>
              <w:t>数电发票开具之后将会通过邮件的形式发送至供应商邮件中，请供应商注意查收。</w:t>
            </w:r>
          </w:p>
        </w:tc>
      </w:tr>
    </w:tbl>
    <w:p w14:paraId="19E9B255">
      <w:pPr>
        <w:pStyle w:val="45"/>
        <w:keepNext w:val="0"/>
        <w:keepLines w:val="0"/>
        <w:pageBreakBefore w:val="0"/>
        <w:widowControl w:val="0"/>
        <w:kinsoku/>
        <w:wordWrap/>
        <w:overflowPunct/>
        <w:topLinePunct w:val="0"/>
        <w:bidi w:val="0"/>
        <w:spacing w:after="0" w:line="360" w:lineRule="auto"/>
        <w:ind w:left="2570" w:leftChars="1224"/>
        <w:rPr>
          <w:rFonts w:hint="eastAsia"/>
          <w:color w:val="auto"/>
          <w:szCs w:val="21"/>
          <w:highlight w:val="none"/>
          <w:u w:val="single"/>
        </w:rPr>
      </w:pPr>
    </w:p>
    <w:p w14:paraId="7FE159E1">
      <w:pPr>
        <w:keepNext w:val="0"/>
        <w:keepLines w:val="0"/>
        <w:pageBreakBefore w:val="0"/>
        <w:widowControl w:val="0"/>
        <w:kinsoku/>
        <w:wordWrap/>
        <w:overflowPunct/>
        <w:topLinePunct w:val="0"/>
        <w:bidi w:val="0"/>
        <w:spacing w:line="360" w:lineRule="auto"/>
        <w:rPr>
          <w:rFonts w:hint="eastAsia"/>
          <w:color w:val="auto"/>
          <w:szCs w:val="21"/>
          <w:highlight w:val="none"/>
        </w:rPr>
      </w:pPr>
      <w:r>
        <w:rPr>
          <w:color w:val="auto"/>
          <w:szCs w:val="21"/>
          <w:highlight w:val="none"/>
        </w:rPr>
        <w:br w:type="page"/>
      </w:r>
    </w:p>
    <w:p w14:paraId="658DE8EC">
      <w:pPr>
        <w:pStyle w:val="3"/>
        <w:keepNext w:val="0"/>
        <w:keepLines w:val="0"/>
        <w:pageBreakBefore w:val="0"/>
        <w:widowControl w:val="0"/>
        <w:numPr>
          <w:ilvl w:val="0"/>
          <w:numId w:val="23"/>
        </w:numPr>
        <w:kinsoku/>
        <w:wordWrap/>
        <w:overflowPunct/>
        <w:topLinePunct w:val="0"/>
        <w:bidi w:val="0"/>
        <w:spacing w:before="120" w:after="120" w:line="360" w:lineRule="auto"/>
        <w:rPr>
          <w:rFonts w:hint="eastAsia" w:ascii="宋体" w:hAnsi="宋体" w:eastAsia="宋体"/>
          <w:color w:val="auto"/>
          <w:sz w:val="24"/>
          <w:szCs w:val="24"/>
          <w:highlight w:val="none"/>
        </w:rPr>
      </w:pPr>
      <w:bookmarkStart w:id="300" w:name="_Toc1108"/>
      <w:r>
        <w:rPr>
          <w:rFonts w:hint="eastAsia" w:ascii="宋体" w:hAnsi="宋体" w:eastAsia="宋体"/>
          <w:color w:val="auto"/>
          <w:sz w:val="24"/>
          <w:szCs w:val="24"/>
          <w:highlight w:val="none"/>
        </w:rPr>
        <w:t>询问函、质疑函、投诉书格式</w:t>
      </w:r>
      <w:bookmarkEnd w:id="300"/>
    </w:p>
    <w:p w14:paraId="3BCCC3FA">
      <w:pPr>
        <w:keepNext w:val="0"/>
        <w:keepLines w:val="0"/>
        <w:pageBreakBefore w:val="0"/>
        <w:widowControl w:val="0"/>
        <w:kinsoku/>
        <w:wordWrap/>
        <w:overflowPunct/>
        <w:topLinePunct w:val="0"/>
        <w:bidi w:val="0"/>
        <w:spacing w:line="360" w:lineRule="auto"/>
        <w:jc w:val="left"/>
        <w:rPr>
          <w:rFonts w:hint="eastAsia"/>
          <w:color w:val="auto"/>
          <w:szCs w:val="21"/>
          <w:highlight w:val="none"/>
        </w:rPr>
      </w:pPr>
      <w:r>
        <w:rPr>
          <w:rFonts w:hint="eastAsia"/>
          <w:color w:val="auto"/>
          <w:szCs w:val="21"/>
          <w:highlight w:val="none"/>
        </w:rPr>
        <w:t>（</w:t>
      </w:r>
      <w:r>
        <w:rPr>
          <w:rFonts w:hint="eastAsia" w:cs="宋体"/>
          <w:i/>
          <w:iCs/>
          <w:color w:val="auto"/>
          <w:szCs w:val="21"/>
          <w:highlight w:val="none"/>
        </w:rPr>
        <w:t>以下格式文件为供应商提交询问函、质疑函、投诉函时使用，不属于响应文件格式的组成部分，供应商根据需要选用）</w:t>
      </w:r>
    </w:p>
    <w:p w14:paraId="2CDBDCBD">
      <w:pPr>
        <w:keepNext w:val="0"/>
        <w:keepLines w:val="0"/>
        <w:pageBreakBefore w:val="0"/>
        <w:widowControl w:val="0"/>
        <w:kinsoku/>
        <w:wordWrap/>
        <w:overflowPunct/>
        <w:topLinePunct w:val="0"/>
        <w:bidi w:val="0"/>
        <w:spacing w:line="360" w:lineRule="auto"/>
        <w:jc w:val="center"/>
        <w:rPr>
          <w:rFonts w:hint="eastAsia"/>
          <w:b/>
          <w:bCs/>
          <w:color w:val="auto"/>
          <w:sz w:val="28"/>
          <w:szCs w:val="28"/>
          <w:highlight w:val="none"/>
        </w:rPr>
      </w:pPr>
      <w:r>
        <w:rPr>
          <w:rFonts w:hint="eastAsia"/>
          <w:b/>
          <w:bCs/>
          <w:color w:val="auto"/>
          <w:sz w:val="28"/>
          <w:szCs w:val="28"/>
          <w:highlight w:val="none"/>
        </w:rPr>
        <w:t>询问函</w:t>
      </w:r>
    </w:p>
    <w:p w14:paraId="2C68CBB0">
      <w:pPr>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公诚管理咨询有限公司：</w:t>
      </w:r>
    </w:p>
    <w:p w14:paraId="5C37943E">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我单位准备参与</w:t>
      </w:r>
      <w:r>
        <w:rPr>
          <w:color w:val="auto"/>
          <w:szCs w:val="21"/>
          <w:highlight w:val="none"/>
          <w:u w:val="single"/>
        </w:rPr>
        <w:t xml:space="preserve">     </w:t>
      </w:r>
      <w:r>
        <w:rPr>
          <w:rFonts w:hint="eastAsia"/>
          <w:color w:val="auto"/>
          <w:szCs w:val="21"/>
          <w:highlight w:val="none"/>
          <w:u w:val="single"/>
        </w:rPr>
        <w:t>（项目名称）</w:t>
      </w:r>
      <w:r>
        <w:rPr>
          <w:color w:val="auto"/>
          <w:szCs w:val="21"/>
          <w:highlight w:val="none"/>
        </w:rPr>
        <w:t>（项目编</w:t>
      </w:r>
      <w:r>
        <w:rPr>
          <w:rFonts w:hint="eastAsia"/>
          <w:color w:val="auto"/>
          <w:szCs w:val="21"/>
          <w:highlight w:val="none"/>
        </w:rPr>
        <w:t>号：</w:t>
      </w:r>
      <w:r>
        <w:rPr>
          <w:color w:val="auto"/>
          <w:szCs w:val="21"/>
          <w:highlight w:val="none"/>
          <w:u w:val="single"/>
        </w:rPr>
        <w:t xml:space="preserve">       </w:t>
      </w:r>
      <w:r>
        <w:rPr>
          <w:color w:val="auto"/>
          <w:szCs w:val="21"/>
          <w:highlight w:val="none"/>
        </w:rPr>
        <w:t>）</w:t>
      </w:r>
      <w:r>
        <w:rPr>
          <w:rFonts w:hint="eastAsia"/>
          <w:color w:val="auto"/>
          <w:szCs w:val="21"/>
          <w:highlight w:val="none"/>
        </w:rPr>
        <w:t>的采购活动，现有以下几个内容（或条款）存在疑问（或无法理解），特提出询问。</w:t>
      </w:r>
    </w:p>
    <w:p w14:paraId="1CA07E8B">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rPr>
      </w:pPr>
      <w:r>
        <w:rPr>
          <w:rFonts w:hint="eastAsia"/>
          <w:color w:val="auto"/>
          <w:szCs w:val="21"/>
          <w:highlight w:val="none"/>
        </w:rPr>
        <w:t>一、</w:t>
      </w:r>
      <w:r>
        <w:rPr>
          <w:color w:val="auto"/>
          <w:szCs w:val="21"/>
          <w:highlight w:val="none"/>
          <w:u w:val="single"/>
        </w:rPr>
        <w:t xml:space="preserve">                    </w:t>
      </w:r>
      <w:r>
        <w:rPr>
          <w:color w:val="auto"/>
          <w:szCs w:val="21"/>
          <w:highlight w:val="none"/>
        </w:rPr>
        <w:t>（事项一）</w:t>
      </w:r>
    </w:p>
    <w:p w14:paraId="1FF027F1">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rPr>
      </w:pPr>
      <w:r>
        <w:rPr>
          <w:rFonts w:hint="eastAsia"/>
          <w:color w:val="auto"/>
          <w:szCs w:val="21"/>
          <w:highlight w:val="none"/>
        </w:rPr>
        <w:t>（1）</w:t>
      </w:r>
      <w:bookmarkStart w:id="301" w:name="_Hlk104040459"/>
      <w:r>
        <w:rPr>
          <w:color w:val="auto"/>
          <w:szCs w:val="21"/>
          <w:highlight w:val="none"/>
          <w:u w:val="single"/>
        </w:rPr>
        <w:t xml:space="preserve">                   </w:t>
      </w:r>
      <w:bookmarkEnd w:id="301"/>
      <w:r>
        <w:rPr>
          <w:color w:val="auto"/>
          <w:szCs w:val="21"/>
          <w:highlight w:val="none"/>
        </w:rPr>
        <w:t>（问题或条款内容）</w:t>
      </w:r>
    </w:p>
    <w:p w14:paraId="59D388BF">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rPr>
      </w:pPr>
      <w:r>
        <w:rPr>
          <w:rFonts w:hint="eastAsia"/>
          <w:color w:val="auto"/>
          <w:szCs w:val="21"/>
          <w:highlight w:val="none"/>
        </w:rPr>
        <w:t>（</w:t>
      </w:r>
      <w:r>
        <w:rPr>
          <w:color w:val="auto"/>
          <w:szCs w:val="21"/>
          <w:highlight w:val="none"/>
        </w:rPr>
        <w:t>2</w:t>
      </w:r>
      <w:r>
        <w:rPr>
          <w:rFonts w:hint="eastAsia"/>
          <w:color w:val="auto"/>
          <w:szCs w:val="21"/>
          <w:highlight w:val="none"/>
        </w:rPr>
        <w:t>）</w:t>
      </w:r>
      <w:r>
        <w:rPr>
          <w:color w:val="auto"/>
          <w:szCs w:val="21"/>
          <w:highlight w:val="none"/>
          <w:u w:val="single"/>
        </w:rPr>
        <w:t xml:space="preserve">                   </w:t>
      </w:r>
      <w:r>
        <w:rPr>
          <w:color w:val="auto"/>
          <w:szCs w:val="21"/>
          <w:highlight w:val="none"/>
        </w:rPr>
        <w:t>（说明疑问或无法理解原因）</w:t>
      </w:r>
    </w:p>
    <w:p w14:paraId="500B8F47">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rPr>
      </w:pPr>
      <w:r>
        <w:rPr>
          <w:rFonts w:hint="eastAsia"/>
          <w:color w:val="auto"/>
          <w:szCs w:val="21"/>
          <w:highlight w:val="none"/>
        </w:rPr>
        <w:t>（</w:t>
      </w:r>
      <w:r>
        <w:rPr>
          <w:color w:val="auto"/>
          <w:szCs w:val="21"/>
          <w:highlight w:val="none"/>
        </w:rPr>
        <w:t>3</w:t>
      </w:r>
      <w:r>
        <w:rPr>
          <w:rFonts w:hint="eastAsia"/>
          <w:color w:val="auto"/>
          <w:szCs w:val="21"/>
          <w:highlight w:val="none"/>
        </w:rPr>
        <w:t>）</w:t>
      </w:r>
      <w:r>
        <w:rPr>
          <w:color w:val="auto"/>
          <w:szCs w:val="21"/>
          <w:highlight w:val="none"/>
          <w:u w:val="single"/>
        </w:rPr>
        <w:t xml:space="preserve">                   </w:t>
      </w:r>
      <w:r>
        <w:rPr>
          <w:color w:val="auto"/>
          <w:szCs w:val="21"/>
          <w:highlight w:val="none"/>
        </w:rPr>
        <w:t xml:space="preserve">（建议） </w:t>
      </w:r>
    </w:p>
    <w:p w14:paraId="34EA7FCC">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rPr>
      </w:pPr>
      <w:r>
        <w:rPr>
          <w:color w:val="auto"/>
          <w:szCs w:val="21"/>
          <w:highlight w:val="none"/>
        </w:rPr>
        <w:t>二、</w:t>
      </w:r>
      <w:r>
        <w:rPr>
          <w:color w:val="auto"/>
          <w:szCs w:val="21"/>
          <w:highlight w:val="none"/>
          <w:u w:val="single"/>
        </w:rPr>
        <w:t xml:space="preserve">                    </w:t>
      </w:r>
      <w:r>
        <w:rPr>
          <w:color w:val="auto"/>
          <w:szCs w:val="21"/>
          <w:highlight w:val="none"/>
        </w:rPr>
        <w:t>（事项二）</w:t>
      </w:r>
    </w:p>
    <w:p w14:paraId="495E5F5C">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rPr>
      </w:pPr>
      <w:r>
        <w:rPr>
          <w:color w:val="auto"/>
          <w:szCs w:val="21"/>
          <w:highlight w:val="none"/>
        </w:rPr>
        <w:t>...</w:t>
      </w:r>
    </w:p>
    <w:p w14:paraId="098D346B">
      <w:pPr>
        <w:pStyle w:val="45"/>
        <w:keepNext w:val="0"/>
        <w:keepLines w:val="0"/>
        <w:pageBreakBefore w:val="0"/>
        <w:widowControl w:val="0"/>
        <w:kinsoku/>
        <w:wordWrap/>
        <w:overflowPunct/>
        <w:topLinePunct w:val="0"/>
        <w:bidi w:val="0"/>
        <w:spacing w:after="0" w:line="360" w:lineRule="auto"/>
        <w:ind w:left="0" w:leftChars="0"/>
        <w:rPr>
          <w:rFonts w:hint="eastAsia"/>
          <w:color w:val="auto"/>
          <w:szCs w:val="21"/>
          <w:highlight w:val="none"/>
        </w:rPr>
      </w:pPr>
      <w:r>
        <w:rPr>
          <w:rFonts w:hint="eastAsia"/>
          <w:color w:val="auto"/>
          <w:szCs w:val="21"/>
          <w:highlight w:val="none"/>
        </w:rPr>
        <w:t>随附相关证明材料如下：（目录）</w:t>
      </w:r>
    </w:p>
    <w:p w14:paraId="62C5E15B">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p>
    <w:p w14:paraId="51E5532F">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p>
    <w:p w14:paraId="50D65C43">
      <w:pPr>
        <w:keepNext w:val="0"/>
        <w:keepLines w:val="0"/>
        <w:pageBreakBefore w:val="0"/>
        <w:widowControl w:val="0"/>
        <w:kinsoku/>
        <w:wordWrap/>
        <w:overflowPunct/>
        <w:topLinePunct w:val="0"/>
        <w:bidi w:val="0"/>
        <w:spacing w:line="360" w:lineRule="auto"/>
        <w:jc w:val="right"/>
        <w:rPr>
          <w:rFonts w:hint="eastAsia"/>
          <w:color w:val="auto"/>
          <w:szCs w:val="21"/>
          <w:highlight w:val="none"/>
        </w:rPr>
      </w:pPr>
      <w:r>
        <w:rPr>
          <w:rFonts w:hint="eastAsia"/>
          <w:color w:val="auto"/>
          <w:szCs w:val="21"/>
          <w:highlight w:val="none"/>
        </w:rPr>
        <w:t>询问人（公章）：</w:t>
      </w:r>
      <w:r>
        <w:rPr>
          <w:rFonts w:hint="eastAsia" w:cs="仿宋"/>
          <w:color w:val="auto"/>
          <w:szCs w:val="21"/>
          <w:highlight w:val="none"/>
          <w:u w:val="dotted"/>
        </w:rPr>
        <w:t xml:space="preserve">                </w:t>
      </w:r>
      <w:r>
        <w:rPr>
          <w:rFonts w:cs="仿宋"/>
          <w:color w:val="auto"/>
          <w:szCs w:val="21"/>
          <w:highlight w:val="none"/>
          <w:u w:val="dotted"/>
        </w:rPr>
        <w:t>.</w:t>
      </w:r>
      <w:r>
        <w:rPr>
          <w:color w:val="auto"/>
          <w:szCs w:val="21"/>
          <w:highlight w:val="none"/>
        </w:rPr>
        <w:t xml:space="preserve"> </w:t>
      </w:r>
    </w:p>
    <w:p w14:paraId="7072BFDA">
      <w:pPr>
        <w:keepNext w:val="0"/>
        <w:keepLines w:val="0"/>
        <w:pageBreakBefore w:val="0"/>
        <w:widowControl w:val="0"/>
        <w:kinsoku/>
        <w:wordWrap/>
        <w:overflowPunct/>
        <w:topLinePunct w:val="0"/>
        <w:bidi w:val="0"/>
        <w:spacing w:line="360" w:lineRule="auto"/>
        <w:jc w:val="right"/>
        <w:rPr>
          <w:rFonts w:hint="eastAsia"/>
          <w:color w:val="auto"/>
          <w:szCs w:val="21"/>
          <w:highlight w:val="none"/>
        </w:rPr>
      </w:pPr>
      <w:r>
        <w:rPr>
          <w:rFonts w:hint="eastAsia"/>
          <w:color w:val="auto"/>
          <w:szCs w:val="21"/>
          <w:highlight w:val="none"/>
        </w:rPr>
        <w:t>法定代表人或其授权代表（签字或盖章）：</w:t>
      </w:r>
      <w:r>
        <w:rPr>
          <w:rFonts w:hint="eastAsia" w:cs="仿宋"/>
          <w:color w:val="auto"/>
          <w:szCs w:val="21"/>
          <w:highlight w:val="none"/>
          <w:u w:val="dotted"/>
        </w:rPr>
        <w:t xml:space="preserve">                </w:t>
      </w:r>
      <w:r>
        <w:rPr>
          <w:rFonts w:cs="仿宋"/>
          <w:color w:val="auto"/>
          <w:szCs w:val="21"/>
          <w:highlight w:val="none"/>
          <w:u w:val="dotted"/>
        </w:rPr>
        <w:t>.</w:t>
      </w:r>
    </w:p>
    <w:p w14:paraId="4B214778">
      <w:pPr>
        <w:keepNext w:val="0"/>
        <w:keepLines w:val="0"/>
        <w:pageBreakBefore w:val="0"/>
        <w:widowControl w:val="0"/>
        <w:kinsoku/>
        <w:wordWrap/>
        <w:overflowPunct/>
        <w:topLinePunct w:val="0"/>
        <w:bidi w:val="0"/>
        <w:spacing w:line="360" w:lineRule="auto"/>
        <w:jc w:val="right"/>
        <w:rPr>
          <w:rFonts w:hint="eastAsia"/>
          <w:color w:val="auto"/>
          <w:szCs w:val="21"/>
          <w:highlight w:val="none"/>
        </w:rPr>
      </w:pPr>
      <w:r>
        <w:rPr>
          <w:rFonts w:hint="eastAsia"/>
          <w:color w:val="auto"/>
          <w:szCs w:val="21"/>
          <w:highlight w:val="none"/>
        </w:rPr>
        <w:t>地址/邮编：</w:t>
      </w:r>
      <w:r>
        <w:rPr>
          <w:rFonts w:hint="eastAsia" w:cs="仿宋"/>
          <w:color w:val="auto"/>
          <w:szCs w:val="21"/>
          <w:highlight w:val="none"/>
          <w:u w:val="dotted"/>
        </w:rPr>
        <w:t xml:space="preserve">                </w:t>
      </w:r>
      <w:r>
        <w:rPr>
          <w:rFonts w:cs="仿宋"/>
          <w:color w:val="auto"/>
          <w:szCs w:val="21"/>
          <w:highlight w:val="none"/>
          <w:u w:val="dotted"/>
        </w:rPr>
        <w:t>.</w:t>
      </w:r>
    </w:p>
    <w:p w14:paraId="56E4B5CD">
      <w:pPr>
        <w:keepNext w:val="0"/>
        <w:keepLines w:val="0"/>
        <w:pageBreakBefore w:val="0"/>
        <w:widowControl w:val="0"/>
        <w:kinsoku/>
        <w:wordWrap/>
        <w:overflowPunct/>
        <w:topLinePunct w:val="0"/>
        <w:bidi w:val="0"/>
        <w:spacing w:line="360" w:lineRule="auto"/>
        <w:jc w:val="right"/>
        <w:rPr>
          <w:rFonts w:hint="eastAsia"/>
          <w:color w:val="auto"/>
          <w:szCs w:val="21"/>
          <w:highlight w:val="none"/>
        </w:rPr>
      </w:pPr>
      <w:r>
        <w:rPr>
          <w:rFonts w:hint="eastAsia"/>
          <w:color w:val="auto"/>
          <w:szCs w:val="21"/>
          <w:highlight w:val="none"/>
        </w:rPr>
        <w:t>电话/传真：</w:t>
      </w:r>
      <w:r>
        <w:rPr>
          <w:rFonts w:hint="eastAsia" w:cs="仿宋"/>
          <w:color w:val="auto"/>
          <w:szCs w:val="21"/>
          <w:highlight w:val="none"/>
          <w:u w:val="dotted"/>
        </w:rPr>
        <w:t xml:space="preserve">                </w:t>
      </w:r>
      <w:r>
        <w:rPr>
          <w:rFonts w:cs="仿宋"/>
          <w:color w:val="auto"/>
          <w:szCs w:val="21"/>
          <w:highlight w:val="none"/>
          <w:u w:val="dotted"/>
        </w:rPr>
        <w:t>.</w:t>
      </w:r>
    </w:p>
    <w:p w14:paraId="4D77B11F">
      <w:pPr>
        <w:keepNext w:val="0"/>
        <w:keepLines w:val="0"/>
        <w:pageBreakBefore w:val="0"/>
        <w:widowControl w:val="0"/>
        <w:kinsoku/>
        <w:wordWrap/>
        <w:overflowPunct/>
        <w:topLinePunct w:val="0"/>
        <w:bidi w:val="0"/>
        <w:spacing w:line="360" w:lineRule="auto"/>
        <w:jc w:val="right"/>
        <w:rPr>
          <w:rFonts w:hint="eastAsia"/>
          <w:color w:val="auto"/>
          <w:szCs w:val="21"/>
          <w:highlight w:val="none"/>
        </w:rPr>
      </w:pPr>
      <w:r>
        <w:rPr>
          <w:rFonts w:hint="eastAsia" w:cs="仿宋"/>
          <w:color w:val="auto"/>
          <w:szCs w:val="21"/>
          <w:highlight w:val="none"/>
        </w:rPr>
        <w:t>日期：</w:t>
      </w:r>
      <w:r>
        <w:rPr>
          <w:rFonts w:hint="eastAsia" w:cs="仿宋"/>
          <w:color w:val="auto"/>
          <w:szCs w:val="21"/>
          <w:highlight w:val="none"/>
          <w:u w:val="dotted"/>
        </w:rPr>
        <w:t xml:space="preserve">     </w:t>
      </w:r>
      <w:r>
        <w:rPr>
          <w:rFonts w:hint="eastAsia"/>
          <w:color w:val="auto"/>
          <w:szCs w:val="21"/>
          <w:highlight w:val="none"/>
        </w:rPr>
        <w:t>年</w:t>
      </w:r>
      <w:r>
        <w:rPr>
          <w:rFonts w:hint="eastAsia" w:cs="仿宋"/>
          <w:color w:val="auto"/>
          <w:szCs w:val="21"/>
          <w:highlight w:val="none"/>
          <w:u w:val="dotted"/>
        </w:rPr>
        <w:t xml:space="preserve">     </w:t>
      </w:r>
      <w:r>
        <w:rPr>
          <w:rFonts w:hint="eastAsia"/>
          <w:color w:val="auto"/>
          <w:szCs w:val="21"/>
          <w:highlight w:val="none"/>
        </w:rPr>
        <w:t>月</w:t>
      </w:r>
      <w:r>
        <w:rPr>
          <w:rFonts w:hint="eastAsia" w:cs="仿宋"/>
          <w:color w:val="auto"/>
          <w:szCs w:val="21"/>
          <w:highlight w:val="none"/>
          <w:u w:val="dotted"/>
        </w:rPr>
        <w:t xml:space="preserve">     </w:t>
      </w:r>
      <w:r>
        <w:rPr>
          <w:rFonts w:hint="eastAsia"/>
          <w:color w:val="auto"/>
          <w:szCs w:val="21"/>
          <w:highlight w:val="none"/>
        </w:rPr>
        <w:t>日</w:t>
      </w:r>
    </w:p>
    <w:p w14:paraId="1E0C942A">
      <w:pPr>
        <w:keepNext w:val="0"/>
        <w:keepLines w:val="0"/>
        <w:pageBreakBefore w:val="0"/>
        <w:widowControl w:val="0"/>
        <w:kinsoku/>
        <w:wordWrap/>
        <w:overflowPunct/>
        <w:topLinePunct w:val="0"/>
        <w:bidi w:val="0"/>
        <w:spacing w:line="360" w:lineRule="auto"/>
        <w:rPr>
          <w:rFonts w:hint="eastAsia"/>
          <w:color w:val="auto"/>
          <w:szCs w:val="21"/>
          <w:highlight w:val="none"/>
        </w:rPr>
      </w:pPr>
      <w:r>
        <w:rPr>
          <w:color w:val="auto"/>
          <w:szCs w:val="21"/>
          <w:highlight w:val="none"/>
        </w:rPr>
        <w:br w:type="page"/>
      </w:r>
    </w:p>
    <w:p w14:paraId="48F01B40">
      <w:pPr>
        <w:keepNext w:val="0"/>
        <w:keepLines w:val="0"/>
        <w:pageBreakBefore w:val="0"/>
        <w:widowControl w:val="0"/>
        <w:kinsoku/>
        <w:wordWrap/>
        <w:overflowPunct/>
        <w:topLinePunct w:val="0"/>
        <w:bidi w:val="0"/>
        <w:spacing w:line="360" w:lineRule="auto"/>
        <w:jc w:val="center"/>
        <w:rPr>
          <w:rFonts w:hint="eastAsia"/>
          <w:b/>
          <w:bCs/>
          <w:color w:val="auto"/>
          <w:sz w:val="28"/>
          <w:szCs w:val="28"/>
          <w:highlight w:val="none"/>
        </w:rPr>
      </w:pPr>
      <w:r>
        <w:rPr>
          <w:rFonts w:hint="eastAsia"/>
          <w:b/>
          <w:bCs/>
          <w:color w:val="auto"/>
          <w:sz w:val="28"/>
          <w:szCs w:val="28"/>
          <w:highlight w:val="none"/>
        </w:rPr>
        <w:t>质疑函</w:t>
      </w:r>
    </w:p>
    <w:p w14:paraId="74CB4112">
      <w:pPr>
        <w:pStyle w:val="126"/>
        <w:keepNext w:val="0"/>
        <w:keepLines w:val="0"/>
        <w:pageBreakBefore w:val="0"/>
        <w:widowControl w:val="0"/>
        <w:numPr>
          <w:ilvl w:val="2"/>
          <w:numId w:val="31"/>
        </w:numPr>
        <w:kinsoku/>
        <w:wordWrap/>
        <w:overflowPunct/>
        <w:topLinePunct w:val="0"/>
        <w:bidi w:val="0"/>
        <w:adjustRightInd w:val="0"/>
        <w:snapToGrid w:val="0"/>
        <w:spacing w:line="360" w:lineRule="auto"/>
        <w:ind w:left="0" w:firstLine="0"/>
        <w:rPr>
          <w:rFonts w:hint="eastAsia" w:ascii="宋体" w:hAnsi="宋体" w:cs="仿宋"/>
          <w:b/>
          <w:color w:val="auto"/>
          <w:szCs w:val="21"/>
          <w:highlight w:val="none"/>
        </w:rPr>
      </w:pPr>
      <w:r>
        <w:rPr>
          <w:rFonts w:hint="eastAsia" w:ascii="宋体" w:hAnsi="宋体" w:cs="仿宋"/>
          <w:b/>
          <w:color w:val="auto"/>
          <w:szCs w:val="21"/>
          <w:highlight w:val="none"/>
        </w:rPr>
        <w:t>质疑供应商基本信息</w:t>
      </w:r>
    </w:p>
    <w:p w14:paraId="1D0D7E6E">
      <w:pPr>
        <w:keepNext w:val="0"/>
        <w:keepLines w:val="0"/>
        <w:pageBreakBefore w:val="0"/>
        <w:widowControl w:val="0"/>
        <w:kinsoku/>
        <w:wordWrap/>
        <w:overflowPunct/>
        <w:topLinePunct w:val="0"/>
        <w:bidi w:val="0"/>
        <w:adjustRightInd w:val="0"/>
        <w:snapToGrid w:val="0"/>
        <w:spacing w:line="360" w:lineRule="auto"/>
        <w:rPr>
          <w:rFonts w:hint="eastAsia" w:cs="仿宋"/>
          <w:color w:val="auto"/>
          <w:szCs w:val="21"/>
          <w:highlight w:val="none"/>
          <w:u w:val="dotted"/>
        </w:rPr>
      </w:pPr>
      <w:r>
        <w:rPr>
          <w:rFonts w:hint="eastAsia" w:cs="仿宋"/>
          <w:color w:val="auto"/>
          <w:szCs w:val="21"/>
          <w:highlight w:val="none"/>
        </w:rPr>
        <w:t>质疑供应商：</w:t>
      </w:r>
      <w:r>
        <w:rPr>
          <w:rFonts w:hint="eastAsia" w:cs="仿宋"/>
          <w:color w:val="auto"/>
          <w:szCs w:val="21"/>
          <w:highlight w:val="none"/>
          <w:u w:val="dotted"/>
        </w:rPr>
        <w:t xml:space="preserve">                                    </w:t>
      </w:r>
      <w:r>
        <w:rPr>
          <w:rFonts w:cs="仿宋"/>
          <w:color w:val="auto"/>
          <w:szCs w:val="21"/>
          <w:highlight w:val="none"/>
          <w:u w:val="dotted"/>
        </w:rPr>
        <w:t xml:space="preserve">  </w:t>
      </w:r>
      <w:r>
        <w:rPr>
          <w:rFonts w:hint="eastAsia" w:cs="仿宋"/>
          <w:color w:val="auto"/>
          <w:szCs w:val="21"/>
          <w:highlight w:val="none"/>
          <w:u w:val="dotted"/>
        </w:rPr>
        <w:t xml:space="preserve">    </w:t>
      </w:r>
      <w:r>
        <w:rPr>
          <w:rFonts w:cs="仿宋"/>
          <w:color w:val="auto"/>
          <w:szCs w:val="21"/>
          <w:highlight w:val="none"/>
          <w:u w:val="dotted"/>
        </w:rPr>
        <w:t>.</w:t>
      </w:r>
    </w:p>
    <w:p w14:paraId="0CA30DF7">
      <w:pPr>
        <w:keepNext w:val="0"/>
        <w:keepLines w:val="0"/>
        <w:pageBreakBefore w:val="0"/>
        <w:widowControl w:val="0"/>
        <w:kinsoku/>
        <w:wordWrap/>
        <w:overflowPunct/>
        <w:topLinePunct w:val="0"/>
        <w:bidi w:val="0"/>
        <w:adjustRightInd w:val="0"/>
        <w:snapToGrid w:val="0"/>
        <w:spacing w:line="360" w:lineRule="auto"/>
        <w:rPr>
          <w:rFonts w:hint="eastAsia" w:cs="仿宋"/>
          <w:color w:val="auto"/>
          <w:szCs w:val="21"/>
          <w:highlight w:val="none"/>
        </w:rPr>
      </w:pPr>
      <w:r>
        <w:rPr>
          <w:rFonts w:hint="eastAsia" w:cs="仿宋"/>
          <w:color w:val="auto"/>
          <w:szCs w:val="21"/>
          <w:highlight w:val="none"/>
        </w:rPr>
        <w:t>地址：</w:t>
      </w:r>
      <w:r>
        <w:rPr>
          <w:rFonts w:hint="eastAsia" w:cs="仿宋"/>
          <w:color w:val="auto"/>
          <w:szCs w:val="21"/>
          <w:highlight w:val="none"/>
          <w:u w:val="dotted"/>
        </w:rPr>
        <w:t xml:space="preserve">                          </w:t>
      </w:r>
      <w:r>
        <w:rPr>
          <w:rFonts w:hint="eastAsia" w:cs="仿宋"/>
          <w:color w:val="auto"/>
          <w:szCs w:val="21"/>
          <w:highlight w:val="none"/>
        </w:rPr>
        <w:t>邮编：</w:t>
      </w:r>
      <w:r>
        <w:rPr>
          <w:rFonts w:hint="eastAsia" w:cs="仿宋"/>
          <w:color w:val="auto"/>
          <w:szCs w:val="21"/>
          <w:highlight w:val="none"/>
          <w:u w:val="dotted"/>
        </w:rPr>
        <w:t xml:space="preserve">                </w:t>
      </w:r>
      <w:r>
        <w:rPr>
          <w:rFonts w:cs="仿宋"/>
          <w:color w:val="auto"/>
          <w:szCs w:val="21"/>
          <w:highlight w:val="none"/>
          <w:u w:val="dotted"/>
        </w:rPr>
        <w:t>.</w:t>
      </w:r>
    </w:p>
    <w:p w14:paraId="5235D13D">
      <w:pPr>
        <w:keepNext w:val="0"/>
        <w:keepLines w:val="0"/>
        <w:pageBreakBefore w:val="0"/>
        <w:widowControl w:val="0"/>
        <w:kinsoku/>
        <w:wordWrap/>
        <w:overflowPunct/>
        <w:topLinePunct w:val="0"/>
        <w:bidi w:val="0"/>
        <w:adjustRightInd w:val="0"/>
        <w:snapToGrid w:val="0"/>
        <w:spacing w:line="360" w:lineRule="auto"/>
        <w:rPr>
          <w:rFonts w:hint="eastAsia" w:cs="仿宋"/>
          <w:color w:val="auto"/>
          <w:szCs w:val="21"/>
          <w:highlight w:val="none"/>
        </w:rPr>
      </w:pPr>
      <w:r>
        <w:rPr>
          <w:rFonts w:hint="eastAsia" w:cs="仿宋"/>
          <w:color w:val="auto"/>
          <w:szCs w:val="21"/>
          <w:highlight w:val="none"/>
        </w:rPr>
        <w:t>联系人：</w:t>
      </w:r>
      <w:r>
        <w:rPr>
          <w:rFonts w:hint="eastAsia" w:cs="仿宋"/>
          <w:color w:val="auto"/>
          <w:szCs w:val="21"/>
          <w:highlight w:val="none"/>
          <w:u w:val="dotted"/>
        </w:rPr>
        <w:t xml:space="preserve">                      </w:t>
      </w:r>
      <w:r>
        <w:rPr>
          <w:rFonts w:hint="eastAsia" w:cs="仿宋"/>
          <w:color w:val="auto"/>
          <w:szCs w:val="21"/>
          <w:highlight w:val="none"/>
        </w:rPr>
        <w:t>联系电话：</w:t>
      </w:r>
      <w:r>
        <w:rPr>
          <w:rFonts w:hint="eastAsia" w:cs="仿宋"/>
          <w:color w:val="auto"/>
          <w:szCs w:val="21"/>
          <w:highlight w:val="none"/>
          <w:u w:val="dotted"/>
        </w:rPr>
        <w:t xml:space="preserve">              </w:t>
      </w:r>
      <w:r>
        <w:rPr>
          <w:rFonts w:cs="仿宋"/>
          <w:color w:val="auto"/>
          <w:szCs w:val="21"/>
          <w:highlight w:val="none"/>
          <w:u w:val="dotted"/>
        </w:rPr>
        <w:t>.</w:t>
      </w:r>
    </w:p>
    <w:p w14:paraId="748B5F76">
      <w:pPr>
        <w:keepNext w:val="0"/>
        <w:keepLines w:val="0"/>
        <w:pageBreakBefore w:val="0"/>
        <w:widowControl w:val="0"/>
        <w:kinsoku/>
        <w:wordWrap/>
        <w:overflowPunct/>
        <w:topLinePunct w:val="0"/>
        <w:bidi w:val="0"/>
        <w:adjustRightInd w:val="0"/>
        <w:snapToGrid w:val="0"/>
        <w:spacing w:line="360" w:lineRule="auto"/>
        <w:rPr>
          <w:rFonts w:hint="eastAsia" w:cs="仿宋"/>
          <w:color w:val="auto"/>
          <w:szCs w:val="21"/>
          <w:highlight w:val="none"/>
          <w:u w:val="dotted"/>
        </w:rPr>
      </w:pPr>
      <w:r>
        <w:rPr>
          <w:rFonts w:hint="eastAsia" w:cs="仿宋"/>
          <w:color w:val="auto"/>
          <w:szCs w:val="21"/>
          <w:highlight w:val="none"/>
        </w:rPr>
        <w:t>授权代表：</w:t>
      </w:r>
      <w:r>
        <w:rPr>
          <w:rFonts w:hint="eastAsia" w:cs="仿宋"/>
          <w:color w:val="auto"/>
          <w:szCs w:val="21"/>
          <w:highlight w:val="none"/>
          <w:u w:val="dotted"/>
        </w:rPr>
        <w:t xml:space="preserve">                                     </w:t>
      </w:r>
      <w:r>
        <w:rPr>
          <w:rFonts w:cs="仿宋"/>
          <w:color w:val="auto"/>
          <w:szCs w:val="21"/>
          <w:highlight w:val="none"/>
          <w:u w:val="dotted"/>
        </w:rPr>
        <w:t xml:space="preserve"> </w:t>
      </w:r>
      <w:r>
        <w:rPr>
          <w:rFonts w:hint="eastAsia" w:cs="仿宋"/>
          <w:color w:val="auto"/>
          <w:szCs w:val="21"/>
          <w:highlight w:val="none"/>
          <w:u w:val="dotted"/>
        </w:rPr>
        <w:t xml:space="preserve">   </w:t>
      </w:r>
      <w:r>
        <w:rPr>
          <w:rFonts w:cs="仿宋"/>
          <w:color w:val="auto"/>
          <w:szCs w:val="21"/>
          <w:highlight w:val="none"/>
          <w:u w:val="dotted"/>
        </w:rPr>
        <w:t xml:space="preserve"> </w:t>
      </w:r>
      <w:r>
        <w:rPr>
          <w:rFonts w:hint="eastAsia" w:cs="仿宋"/>
          <w:color w:val="auto"/>
          <w:szCs w:val="21"/>
          <w:highlight w:val="none"/>
          <w:u w:val="dotted"/>
        </w:rPr>
        <w:t xml:space="preserve">  </w:t>
      </w:r>
      <w:r>
        <w:rPr>
          <w:rFonts w:cs="仿宋"/>
          <w:color w:val="auto"/>
          <w:szCs w:val="21"/>
          <w:highlight w:val="none"/>
          <w:u w:val="dotted"/>
        </w:rPr>
        <w:t>.</w:t>
      </w:r>
    </w:p>
    <w:p w14:paraId="71DD157C">
      <w:pPr>
        <w:keepNext w:val="0"/>
        <w:keepLines w:val="0"/>
        <w:pageBreakBefore w:val="0"/>
        <w:widowControl w:val="0"/>
        <w:kinsoku/>
        <w:wordWrap/>
        <w:overflowPunct/>
        <w:topLinePunct w:val="0"/>
        <w:bidi w:val="0"/>
        <w:adjustRightInd w:val="0"/>
        <w:snapToGrid w:val="0"/>
        <w:spacing w:line="360" w:lineRule="auto"/>
        <w:rPr>
          <w:rFonts w:hint="eastAsia" w:cs="仿宋"/>
          <w:color w:val="auto"/>
          <w:szCs w:val="21"/>
          <w:highlight w:val="none"/>
        </w:rPr>
      </w:pPr>
      <w:r>
        <w:rPr>
          <w:rFonts w:hint="eastAsia" w:cs="仿宋"/>
          <w:color w:val="auto"/>
          <w:szCs w:val="21"/>
          <w:highlight w:val="none"/>
        </w:rPr>
        <w:t>联系电话：</w:t>
      </w:r>
      <w:r>
        <w:rPr>
          <w:rFonts w:hint="eastAsia" w:cs="仿宋"/>
          <w:color w:val="auto"/>
          <w:szCs w:val="21"/>
          <w:highlight w:val="none"/>
          <w:u w:val="dotted"/>
        </w:rPr>
        <w:t xml:space="preserve">                                       </w:t>
      </w:r>
      <w:r>
        <w:rPr>
          <w:rFonts w:cs="仿宋"/>
          <w:color w:val="auto"/>
          <w:szCs w:val="21"/>
          <w:highlight w:val="none"/>
          <w:u w:val="dotted"/>
        </w:rPr>
        <w:t xml:space="preserve"> </w:t>
      </w:r>
      <w:r>
        <w:rPr>
          <w:rFonts w:hint="eastAsia" w:cs="仿宋"/>
          <w:color w:val="auto"/>
          <w:szCs w:val="21"/>
          <w:highlight w:val="none"/>
          <w:u w:val="dotted"/>
        </w:rPr>
        <w:t xml:space="preserve">    </w:t>
      </w:r>
      <w:r>
        <w:rPr>
          <w:rFonts w:cs="仿宋"/>
          <w:color w:val="auto"/>
          <w:szCs w:val="21"/>
          <w:highlight w:val="none"/>
          <w:u w:val="dotted"/>
        </w:rPr>
        <w:t>.</w:t>
      </w:r>
    </w:p>
    <w:p w14:paraId="5D45D3DB">
      <w:pPr>
        <w:keepNext w:val="0"/>
        <w:keepLines w:val="0"/>
        <w:pageBreakBefore w:val="0"/>
        <w:widowControl w:val="0"/>
        <w:kinsoku/>
        <w:wordWrap/>
        <w:overflowPunct/>
        <w:topLinePunct w:val="0"/>
        <w:bidi w:val="0"/>
        <w:adjustRightInd w:val="0"/>
        <w:snapToGrid w:val="0"/>
        <w:spacing w:line="360" w:lineRule="auto"/>
        <w:rPr>
          <w:rFonts w:hint="eastAsia" w:cs="仿宋"/>
          <w:color w:val="auto"/>
          <w:szCs w:val="21"/>
          <w:highlight w:val="none"/>
        </w:rPr>
      </w:pPr>
      <w:r>
        <w:rPr>
          <w:rFonts w:hint="eastAsia" w:cs="仿宋"/>
          <w:color w:val="auto"/>
          <w:szCs w:val="21"/>
          <w:highlight w:val="none"/>
        </w:rPr>
        <w:t>地址：</w:t>
      </w:r>
      <w:r>
        <w:rPr>
          <w:rFonts w:cs="仿宋"/>
          <w:color w:val="auto"/>
          <w:szCs w:val="21"/>
          <w:highlight w:val="none"/>
        </w:rPr>
        <w:t xml:space="preserve"> </w:t>
      </w:r>
      <w:r>
        <w:rPr>
          <w:rFonts w:hint="eastAsia" w:cs="仿宋"/>
          <w:color w:val="auto"/>
          <w:szCs w:val="21"/>
          <w:highlight w:val="none"/>
          <w:u w:val="dotted"/>
        </w:rPr>
        <w:t xml:space="preserve">                        </w:t>
      </w:r>
      <w:r>
        <w:rPr>
          <w:rFonts w:hint="eastAsia" w:cs="仿宋"/>
          <w:color w:val="auto"/>
          <w:szCs w:val="21"/>
          <w:highlight w:val="none"/>
        </w:rPr>
        <w:t>邮编：</w:t>
      </w:r>
      <w:r>
        <w:rPr>
          <w:rFonts w:hint="eastAsia" w:cs="仿宋"/>
          <w:color w:val="auto"/>
          <w:szCs w:val="21"/>
          <w:highlight w:val="none"/>
          <w:u w:val="dotted"/>
        </w:rPr>
        <w:t xml:space="preserve">                 </w:t>
      </w:r>
      <w:r>
        <w:rPr>
          <w:rFonts w:cs="仿宋"/>
          <w:color w:val="auto"/>
          <w:szCs w:val="21"/>
          <w:highlight w:val="none"/>
          <w:u w:val="dotted"/>
        </w:rPr>
        <w:t>.</w:t>
      </w:r>
    </w:p>
    <w:p w14:paraId="504F51AA">
      <w:pPr>
        <w:pStyle w:val="126"/>
        <w:keepNext w:val="0"/>
        <w:keepLines w:val="0"/>
        <w:pageBreakBefore w:val="0"/>
        <w:widowControl w:val="0"/>
        <w:numPr>
          <w:ilvl w:val="2"/>
          <w:numId w:val="31"/>
        </w:numPr>
        <w:kinsoku/>
        <w:wordWrap/>
        <w:overflowPunct/>
        <w:topLinePunct w:val="0"/>
        <w:bidi w:val="0"/>
        <w:adjustRightInd w:val="0"/>
        <w:snapToGrid w:val="0"/>
        <w:spacing w:line="360" w:lineRule="auto"/>
        <w:ind w:left="0" w:firstLine="0"/>
        <w:rPr>
          <w:rFonts w:hint="eastAsia" w:ascii="宋体" w:hAnsi="宋体" w:cs="仿宋"/>
          <w:b/>
          <w:color w:val="auto"/>
          <w:szCs w:val="21"/>
          <w:highlight w:val="none"/>
        </w:rPr>
      </w:pPr>
      <w:r>
        <w:rPr>
          <w:rFonts w:hint="eastAsia" w:ascii="宋体" w:hAnsi="宋体" w:cs="仿宋"/>
          <w:b/>
          <w:color w:val="auto"/>
          <w:szCs w:val="21"/>
          <w:highlight w:val="none"/>
        </w:rPr>
        <w:t>质疑项目基本情况</w:t>
      </w:r>
    </w:p>
    <w:p w14:paraId="40BE1E32">
      <w:pPr>
        <w:keepNext w:val="0"/>
        <w:keepLines w:val="0"/>
        <w:pageBreakBefore w:val="0"/>
        <w:widowControl w:val="0"/>
        <w:kinsoku/>
        <w:wordWrap/>
        <w:overflowPunct/>
        <w:topLinePunct w:val="0"/>
        <w:bidi w:val="0"/>
        <w:adjustRightInd w:val="0"/>
        <w:snapToGrid w:val="0"/>
        <w:spacing w:line="360" w:lineRule="auto"/>
        <w:rPr>
          <w:rFonts w:hint="eastAsia" w:cs="仿宋"/>
          <w:color w:val="auto"/>
          <w:szCs w:val="21"/>
          <w:highlight w:val="none"/>
        </w:rPr>
      </w:pPr>
      <w:r>
        <w:rPr>
          <w:rFonts w:hint="eastAsia" w:cs="仿宋"/>
          <w:color w:val="auto"/>
          <w:szCs w:val="21"/>
          <w:highlight w:val="none"/>
        </w:rPr>
        <w:t>质疑项目的名称：</w:t>
      </w:r>
      <w:r>
        <w:rPr>
          <w:rFonts w:hint="eastAsia" w:cs="仿宋"/>
          <w:color w:val="auto"/>
          <w:szCs w:val="21"/>
          <w:highlight w:val="none"/>
          <w:u w:val="dotted"/>
        </w:rPr>
        <w:t xml:space="preserve">                                      </w:t>
      </w:r>
      <w:r>
        <w:rPr>
          <w:rFonts w:cs="仿宋"/>
          <w:color w:val="auto"/>
          <w:szCs w:val="21"/>
          <w:highlight w:val="none"/>
          <w:u w:val="dotted"/>
        </w:rPr>
        <w:t>.</w:t>
      </w:r>
    </w:p>
    <w:p w14:paraId="2FC50A88">
      <w:pPr>
        <w:keepNext w:val="0"/>
        <w:keepLines w:val="0"/>
        <w:pageBreakBefore w:val="0"/>
        <w:widowControl w:val="0"/>
        <w:kinsoku/>
        <w:wordWrap/>
        <w:overflowPunct/>
        <w:topLinePunct w:val="0"/>
        <w:bidi w:val="0"/>
        <w:adjustRightInd w:val="0"/>
        <w:snapToGrid w:val="0"/>
        <w:spacing w:line="360" w:lineRule="auto"/>
        <w:rPr>
          <w:rFonts w:hint="eastAsia" w:cs="仿宋"/>
          <w:color w:val="auto"/>
          <w:szCs w:val="21"/>
          <w:highlight w:val="none"/>
        </w:rPr>
      </w:pPr>
      <w:r>
        <w:rPr>
          <w:rFonts w:hint="eastAsia" w:cs="仿宋"/>
          <w:color w:val="auto"/>
          <w:szCs w:val="21"/>
          <w:highlight w:val="none"/>
        </w:rPr>
        <w:t>质疑项目的编号：</w:t>
      </w:r>
      <w:r>
        <w:rPr>
          <w:rFonts w:hint="eastAsia" w:cs="仿宋"/>
          <w:color w:val="auto"/>
          <w:szCs w:val="21"/>
          <w:highlight w:val="none"/>
          <w:u w:val="dotted"/>
        </w:rPr>
        <w:t xml:space="preserve">               </w:t>
      </w:r>
      <w:r>
        <w:rPr>
          <w:rFonts w:hint="eastAsia" w:cs="仿宋"/>
          <w:color w:val="auto"/>
          <w:szCs w:val="21"/>
          <w:highlight w:val="none"/>
        </w:rPr>
        <w:t>包号：</w:t>
      </w:r>
      <w:r>
        <w:rPr>
          <w:rFonts w:hint="eastAsia" w:cs="仿宋"/>
          <w:color w:val="auto"/>
          <w:szCs w:val="21"/>
          <w:highlight w:val="none"/>
          <w:u w:val="dotted"/>
        </w:rPr>
        <w:t xml:space="preserve">                 </w:t>
      </w:r>
      <w:r>
        <w:rPr>
          <w:rFonts w:cs="仿宋"/>
          <w:color w:val="auto"/>
          <w:szCs w:val="21"/>
          <w:highlight w:val="none"/>
          <w:u w:val="dotted"/>
        </w:rPr>
        <w:t>.</w:t>
      </w:r>
    </w:p>
    <w:p w14:paraId="7BBA73F4">
      <w:pPr>
        <w:keepNext w:val="0"/>
        <w:keepLines w:val="0"/>
        <w:pageBreakBefore w:val="0"/>
        <w:widowControl w:val="0"/>
        <w:kinsoku/>
        <w:wordWrap/>
        <w:overflowPunct/>
        <w:topLinePunct w:val="0"/>
        <w:bidi w:val="0"/>
        <w:adjustRightInd w:val="0"/>
        <w:snapToGrid w:val="0"/>
        <w:spacing w:line="360" w:lineRule="auto"/>
        <w:rPr>
          <w:rFonts w:hint="eastAsia" w:cs="仿宋"/>
          <w:color w:val="auto"/>
          <w:szCs w:val="21"/>
          <w:highlight w:val="none"/>
          <w:u w:val="dotted"/>
        </w:rPr>
      </w:pPr>
      <w:r>
        <w:rPr>
          <w:rFonts w:hint="eastAsia" w:cs="仿宋"/>
          <w:color w:val="auto"/>
          <w:szCs w:val="21"/>
          <w:highlight w:val="none"/>
        </w:rPr>
        <w:t>采购人名称：</w:t>
      </w:r>
      <w:r>
        <w:rPr>
          <w:rFonts w:hint="eastAsia" w:cs="仿宋"/>
          <w:color w:val="auto"/>
          <w:szCs w:val="21"/>
          <w:highlight w:val="none"/>
          <w:u w:val="dotted"/>
        </w:rPr>
        <w:t xml:space="preserve">                                     </w:t>
      </w:r>
      <w:r>
        <w:rPr>
          <w:rFonts w:cs="仿宋"/>
          <w:color w:val="auto"/>
          <w:szCs w:val="21"/>
          <w:highlight w:val="none"/>
          <w:u w:val="dotted"/>
        </w:rPr>
        <w:t xml:space="preserve"> </w:t>
      </w:r>
      <w:r>
        <w:rPr>
          <w:rFonts w:hint="eastAsia" w:cs="仿宋"/>
          <w:color w:val="auto"/>
          <w:szCs w:val="21"/>
          <w:highlight w:val="none"/>
          <w:u w:val="dotted"/>
        </w:rPr>
        <w:t xml:space="preserve">    </w:t>
      </w:r>
      <w:r>
        <w:rPr>
          <w:rFonts w:cs="仿宋"/>
          <w:color w:val="auto"/>
          <w:szCs w:val="21"/>
          <w:highlight w:val="none"/>
          <w:u w:val="dotted"/>
        </w:rPr>
        <w:t>.</w:t>
      </w:r>
    </w:p>
    <w:p w14:paraId="6C1D7491">
      <w:pPr>
        <w:keepNext w:val="0"/>
        <w:keepLines w:val="0"/>
        <w:pageBreakBefore w:val="0"/>
        <w:widowControl w:val="0"/>
        <w:kinsoku/>
        <w:wordWrap/>
        <w:overflowPunct/>
        <w:topLinePunct w:val="0"/>
        <w:bidi w:val="0"/>
        <w:adjustRightInd w:val="0"/>
        <w:snapToGrid w:val="0"/>
        <w:spacing w:line="360" w:lineRule="auto"/>
        <w:rPr>
          <w:rFonts w:hint="eastAsia" w:cs="仿宋"/>
          <w:color w:val="auto"/>
          <w:szCs w:val="21"/>
          <w:highlight w:val="none"/>
        </w:rPr>
      </w:pPr>
      <w:r>
        <w:rPr>
          <w:rFonts w:hint="eastAsia" w:cs="仿宋"/>
          <w:color w:val="auto"/>
          <w:szCs w:val="21"/>
          <w:highlight w:val="none"/>
        </w:rPr>
        <w:t>采购文件获取日期：</w:t>
      </w:r>
      <w:r>
        <w:rPr>
          <w:rFonts w:hint="eastAsia" w:cs="仿宋"/>
          <w:color w:val="auto"/>
          <w:szCs w:val="21"/>
          <w:highlight w:val="none"/>
          <w:u w:val="dotted"/>
        </w:rPr>
        <w:t xml:space="preserve">                                </w:t>
      </w:r>
      <w:r>
        <w:rPr>
          <w:rFonts w:cs="仿宋"/>
          <w:color w:val="auto"/>
          <w:szCs w:val="21"/>
          <w:highlight w:val="none"/>
          <w:u w:val="dotted"/>
        </w:rPr>
        <w:t xml:space="preserve"> </w:t>
      </w:r>
      <w:r>
        <w:rPr>
          <w:rFonts w:hint="eastAsia" w:cs="仿宋"/>
          <w:color w:val="auto"/>
          <w:szCs w:val="21"/>
          <w:highlight w:val="none"/>
          <w:u w:val="dotted"/>
        </w:rPr>
        <w:t xml:space="preserve">   </w:t>
      </w:r>
      <w:r>
        <w:rPr>
          <w:rFonts w:cs="仿宋"/>
          <w:color w:val="auto"/>
          <w:szCs w:val="21"/>
          <w:highlight w:val="none"/>
          <w:u w:val="dotted"/>
        </w:rPr>
        <w:t>.</w:t>
      </w:r>
    </w:p>
    <w:p w14:paraId="2C0FC503">
      <w:pPr>
        <w:pStyle w:val="126"/>
        <w:keepNext w:val="0"/>
        <w:keepLines w:val="0"/>
        <w:pageBreakBefore w:val="0"/>
        <w:widowControl w:val="0"/>
        <w:numPr>
          <w:ilvl w:val="2"/>
          <w:numId w:val="31"/>
        </w:numPr>
        <w:kinsoku/>
        <w:wordWrap/>
        <w:overflowPunct/>
        <w:topLinePunct w:val="0"/>
        <w:bidi w:val="0"/>
        <w:adjustRightInd w:val="0"/>
        <w:snapToGrid w:val="0"/>
        <w:spacing w:line="360" w:lineRule="auto"/>
        <w:ind w:left="0" w:firstLine="0"/>
        <w:rPr>
          <w:rFonts w:hint="eastAsia" w:ascii="宋体" w:hAnsi="宋体" w:cs="仿宋"/>
          <w:b/>
          <w:color w:val="auto"/>
          <w:szCs w:val="21"/>
          <w:highlight w:val="none"/>
        </w:rPr>
      </w:pPr>
      <w:r>
        <w:rPr>
          <w:rFonts w:hint="eastAsia" w:ascii="宋体" w:hAnsi="宋体" w:cs="仿宋"/>
          <w:b/>
          <w:color w:val="auto"/>
          <w:szCs w:val="21"/>
          <w:highlight w:val="none"/>
        </w:rPr>
        <w:t>质疑事项具体内容</w:t>
      </w:r>
    </w:p>
    <w:p w14:paraId="5908B10D">
      <w:pPr>
        <w:keepNext w:val="0"/>
        <w:keepLines w:val="0"/>
        <w:pageBreakBefore w:val="0"/>
        <w:widowControl w:val="0"/>
        <w:kinsoku/>
        <w:wordWrap/>
        <w:overflowPunct/>
        <w:topLinePunct w:val="0"/>
        <w:bidi w:val="0"/>
        <w:adjustRightInd w:val="0"/>
        <w:snapToGrid w:val="0"/>
        <w:spacing w:line="360" w:lineRule="auto"/>
        <w:rPr>
          <w:rFonts w:hint="eastAsia" w:cs="仿宋"/>
          <w:color w:val="auto"/>
          <w:szCs w:val="21"/>
          <w:highlight w:val="none"/>
          <w:u w:val="dotted"/>
        </w:rPr>
      </w:pPr>
      <w:r>
        <w:rPr>
          <w:rFonts w:hint="eastAsia" w:cs="仿宋"/>
          <w:color w:val="auto"/>
          <w:szCs w:val="21"/>
          <w:highlight w:val="none"/>
        </w:rPr>
        <w:t>质疑事项1：</w:t>
      </w:r>
      <w:r>
        <w:rPr>
          <w:rFonts w:hint="eastAsia" w:cs="仿宋"/>
          <w:color w:val="auto"/>
          <w:szCs w:val="21"/>
          <w:highlight w:val="none"/>
          <w:u w:val="dotted"/>
        </w:rPr>
        <w:t xml:space="preserve">                                      </w:t>
      </w:r>
      <w:r>
        <w:rPr>
          <w:rFonts w:cs="仿宋"/>
          <w:color w:val="auto"/>
          <w:szCs w:val="21"/>
          <w:highlight w:val="none"/>
          <w:u w:val="dotted"/>
        </w:rPr>
        <w:t xml:space="preserve"> </w:t>
      </w:r>
      <w:r>
        <w:rPr>
          <w:rFonts w:hint="eastAsia" w:cs="仿宋"/>
          <w:color w:val="auto"/>
          <w:szCs w:val="21"/>
          <w:highlight w:val="none"/>
          <w:u w:val="dotted"/>
        </w:rPr>
        <w:t xml:space="preserve">   </w:t>
      </w:r>
      <w:r>
        <w:rPr>
          <w:rFonts w:cs="仿宋"/>
          <w:color w:val="auto"/>
          <w:szCs w:val="21"/>
          <w:highlight w:val="none"/>
          <w:u w:val="dotted"/>
        </w:rPr>
        <w:t>.</w:t>
      </w:r>
    </w:p>
    <w:p w14:paraId="78BDEA6E">
      <w:pPr>
        <w:keepNext w:val="0"/>
        <w:keepLines w:val="0"/>
        <w:pageBreakBefore w:val="0"/>
        <w:widowControl w:val="0"/>
        <w:kinsoku/>
        <w:wordWrap/>
        <w:overflowPunct/>
        <w:topLinePunct w:val="0"/>
        <w:bidi w:val="0"/>
        <w:adjustRightInd w:val="0"/>
        <w:snapToGrid w:val="0"/>
        <w:spacing w:line="360" w:lineRule="auto"/>
        <w:rPr>
          <w:rFonts w:hint="eastAsia" w:cs="仿宋"/>
          <w:color w:val="auto"/>
          <w:szCs w:val="21"/>
          <w:highlight w:val="none"/>
          <w:u w:val="dotted"/>
        </w:rPr>
      </w:pPr>
      <w:r>
        <w:rPr>
          <w:rFonts w:hint="eastAsia" w:cs="仿宋"/>
          <w:color w:val="auto"/>
          <w:szCs w:val="21"/>
          <w:highlight w:val="none"/>
        </w:rPr>
        <w:t>事实依据：</w:t>
      </w:r>
      <w:r>
        <w:rPr>
          <w:rFonts w:hint="eastAsia" w:cs="仿宋"/>
          <w:color w:val="auto"/>
          <w:szCs w:val="21"/>
          <w:highlight w:val="none"/>
          <w:u w:val="dotted"/>
        </w:rPr>
        <w:t xml:space="preserve">                                       </w:t>
      </w:r>
      <w:r>
        <w:rPr>
          <w:rFonts w:cs="仿宋"/>
          <w:color w:val="auto"/>
          <w:szCs w:val="21"/>
          <w:highlight w:val="none"/>
          <w:u w:val="dotted"/>
        </w:rPr>
        <w:t xml:space="preserve">  </w:t>
      </w:r>
      <w:r>
        <w:rPr>
          <w:rFonts w:hint="eastAsia" w:cs="仿宋"/>
          <w:color w:val="auto"/>
          <w:szCs w:val="21"/>
          <w:highlight w:val="none"/>
          <w:u w:val="dotted"/>
        </w:rPr>
        <w:t xml:space="preserve">   </w:t>
      </w:r>
      <w:r>
        <w:rPr>
          <w:rFonts w:cs="仿宋"/>
          <w:color w:val="auto"/>
          <w:szCs w:val="21"/>
          <w:highlight w:val="none"/>
          <w:u w:val="dotted"/>
        </w:rPr>
        <w:t>.</w:t>
      </w:r>
    </w:p>
    <w:p w14:paraId="555C35B6">
      <w:pPr>
        <w:keepNext w:val="0"/>
        <w:keepLines w:val="0"/>
        <w:pageBreakBefore w:val="0"/>
        <w:widowControl w:val="0"/>
        <w:kinsoku/>
        <w:wordWrap/>
        <w:overflowPunct/>
        <w:topLinePunct w:val="0"/>
        <w:bidi w:val="0"/>
        <w:adjustRightInd w:val="0"/>
        <w:snapToGrid w:val="0"/>
        <w:spacing w:line="360" w:lineRule="auto"/>
        <w:rPr>
          <w:rFonts w:hint="eastAsia" w:cs="仿宋"/>
          <w:color w:val="auto"/>
          <w:szCs w:val="21"/>
          <w:highlight w:val="none"/>
          <w:u w:val="dotted"/>
        </w:rPr>
      </w:pPr>
      <w:r>
        <w:rPr>
          <w:rFonts w:hint="eastAsia" w:cs="仿宋"/>
          <w:color w:val="auto"/>
          <w:szCs w:val="21"/>
          <w:highlight w:val="none"/>
        </w:rPr>
        <w:t>法律依据：</w:t>
      </w:r>
      <w:r>
        <w:rPr>
          <w:rFonts w:hint="eastAsia" w:cs="仿宋"/>
          <w:color w:val="auto"/>
          <w:szCs w:val="21"/>
          <w:highlight w:val="none"/>
          <w:u w:val="dotted"/>
        </w:rPr>
        <w:t xml:space="preserve">                                       </w:t>
      </w:r>
      <w:r>
        <w:rPr>
          <w:rFonts w:cs="仿宋"/>
          <w:color w:val="auto"/>
          <w:szCs w:val="21"/>
          <w:highlight w:val="none"/>
          <w:u w:val="dotted"/>
        </w:rPr>
        <w:t xml:space="preserve">  </w:t>
      </w:r>
      <w:r>
        <w:rPr>
          <w:rFonts w:hint="eastAsia" w:cs="仿宋"/>
          <w:color w:val="auto"/>
          <w:szCs w:val="21"/>
          <w:highlight w:val="none"/>
          <w:u w:val="dotted"/>
        </w:rPr>
        <w:t xml:space="preserve">   </w:t>
      </w:r>
      <w:r>
        <w:rPr>
          <w:rFonts w:cs="仿宋"/>
          <w:color w:val="auto"/>
          <w:szCs w:val="21"/>
          <w:highlight w:val="none"/>
          <w:u w:val="dotted"/>
        </w:rPr>
        <w:t>.</w:t>
      </w:r>
    </w:p>
    <w:p w14:paraId="466BE384">
      <w:pPr>
        <w:keepNext w:val="0"/>
        <w:keepLines w:val="0"/>
        <w:pageBreakBefore w:val="0"/>
        <w:widowControl w:val="0"/>
        <w:kinsoku/>
        <w:wordWrap/>
        <w:overflowPunct/>
        <w:topLinePunct w:val="0"/>
        <w:bidi w:val="0"/>
        <w:adjustRightInd w:val="0"/>
        <w:snapToGrid w:val="0"/>
        <w:spacing w:line="360" w:lineRule="auto"/>
        <w:rPr>
          <w:rFonts w:hint="eastAsia" w:cs="仿宋"/>
          <w:color w:val="auto"/>
          <w:szCs w:val="21"/>
          <w:highlight w:val="none"/>
          <w:u w:val="dotted"/>
        </w:rPr>
      </w:pPr>
      <w:r>
        <w:rPr>
          <w:rFonts w:hint="eastAsia" w:cs="仿宋"/>
          <w:color w:val="auto"/>
          <w:szCs w:val="21"/>
          <w:highlight w:val="none"/>
        </w:rPr>
        <w:t>质疑事项2</w:t>
      </w:r>
    </w:p>
    <w:p w14:paraId="37A61DCC">
      <w:pPr>
        <w:keepNext w:val="0"/>
        <w:keepLines w:val="0"/>
        <w:pageBreakBefore w:val="0"/>
        <w:widowControl w:val="0"/>
        <w:kinsoku/>
        <w:wordWrap/>
        <w:overflowPunct/>
        <w:topLinePunct w:val="0"/>
        <w:bidi w:val="0"/>
        <w:adjustRightInd w:val="0"/>
        <w:snapToGrid w:val="0"/>
        <w:spacing w:line="360" w:lineRule="auto"/>
        <w:rPr>
          <w:rFonts w:hint="eastAsia" w:cs="仿宋"/>
          <w:color w:val="auto"/>
          <w:szCs w:val="21"/>
          <w:highlight w:val="none"/>
        </w:rPr>
      </w:pPr>
      <w:r>
        <w:rPr>
          <w:rFonts w:hint="eastAsia" w:cs="仿宋"/>
          <w:color w:val="auto"/>
          <w:szCs w:val="21"/>
          <w:highlight w:val="none"/>
        </w:rPr>
        <w:t>……</w:t>
      </w:r>
    </w:p>
    <w:p w14:paraId="4FE1AED2">
      <w:pPr>
        <w:pStyle w:val="126"/>
        <w:keepNext w:val="0"/>
        <w:keepLines w:val="0"/>
        <w:pageBreakBefore w:val="0"/>
        <w:widowControl w:val="0"/>
        <w:numPr>
          <w:ilvl w:val="2"/>
          <w:numId w:val="31"/>
        </w:numPr>
        <w:kinsoku/>
        <w:wordWrap/>
        <w:overflowPunct/>
        <w:topLinePunct w:val="0"/>
        <w:bidi w:val="0"/>
        <w:adjustRightInd w:val="0"/>
        <w:snapToGrid w:val="0"/>
        <w:spacing w:line="360" w:lineRule="auto"/>
        <w:ind w:left="0" w:firstLine="0"/>
        <w:rPr>
          <w:rFonts w:hint="eastAsia" w:ascii="宋体" w:hAnsi="宋体" w:cs="仿宋"/>
          <w:b/>
          <w:color w:val="auto"/>
          <w:szCs w:val="21"/>
          <w:highlight w:val="none"/>
          <w:lang w:eastAsia="zh-CN"/>
        </w:rPr>
      </w:pPr>
      <w:r>
        <w:rPr>
          <w:rFonts w:hint="eastAsia" w:ascii="宋体" w:hAnsi="宋体" w:cs="仿宋"/>
          <w:b/>
          <w:color w:val="auto"/>
          <w:szCs w:val="21"/>
          <w:highlight w:val="none"/>
          <w:lang w:eastAsia="zh-CN"/>
        </w:rPr>
        <w:t>与质疑事项相关的质疑请求</w:t>
      </w:r>
    </w:p>
    <w:p w14:paraId="258E9EEA">
      <w:pPr>
        <w:keepNext w:val="0"/>
        <w:keepLines w:val="0"/>
        <w:pageBreakBefore w:val="0"/>
        <w:widowControl w:val="0"/>
        <w:kinsoku/>
        <w:wordWrap/>
        <w:overflowPunct/>
        <w:topLinePunct w:val="0"/>
        <w:bidi w:val="0"/>
        <w:adjustRightInd w:val="0"/>
        <w:snapToGrid w:val="0"/>
        <w:spacing w:line="360" w:lineRule="auto"/>
        <w:rPr>
          <w:rFonts w:hint="eastAsia" w:cs="仿宋"/>
          <w:color w:val="auto"/>
          <w:szCs w:val="21"/>
          <w:highlight w:val="none"/>
          <w:u w:val="dotted"/>
        </w:rPr>
      </w:pPr>
      <w:r>
        <w:rPr>
          <w:rFonts w:hint="eastAsia" w:cs="仿宋"/>
          <w:color w:val="auto"/>
          <w:szCs w:val="21"/>
          <w:highlight w:val="none"/>
        </w:rPr>
        <w:t>请求：</w:t>
      </w:r>
      <w:r>
        <w:rPr>
          <w:rFonts w:hint="eastAsia" w:cs="仿宋"/>
          <w:color w:val="auto"/>
          <w:szCs w:val="21"/>
          <w:highlight w:val="none"/>
          <w:u w:val="dotted"/>
        </w:rPr>
        <w:t xml:space="preserve">                                               </w:t>
      </w:r>
      <w:r>
        <w:rPr>
          <w:rFonts w:cs="仿宋"/>
          <w:color w:val="auto"/>
          <w:szCs w:val="21"/>
          <w:highlight w:val="none"/>
          <w:u w:val="dotted"/>
        </w:rPr>
        <w:t>.</w:t>
      </w:r>
    </w:p>
    <w:p w14:paraId="29A8235B">
      <w:pPr>
        <w:keepNext w:val="0"/>
        <w:keepLines w:val="0"/>
        <w:pageBreakBefore w:val="0"/>
        <w:widowControl w:val="0"/>
        <w:kinsoku/>
        <w:wordWrap/>
        <w:overflowPunct/>
        <w:topLinePunct w:val="0"/>
        <w:bidi w:val="0"/>
        <w:spacing w:line="360" w:lineRule="auto"/>
        <w:rPr>
          <w:rFonts w:hint="eastAsia"/>
          <w:color w:val="auto"/>
          <w:szCs w:val="21"/>
          <w:highlight w:val="none"/>
        </w:rPr>
      </w:pPr>
    </w:p>
    <w:p w14:paraId="5B42DA78">
      <w:pPr>
        <w:keepNext w:val="0"/>
        <w:keepLines w:val="0"/>
        <w:pageBreakBefore w:val="0"/>
        <w:widowControl w:val="0"/>
        <w:kinsoku/>
        <w:wordWrap/>
        <w:overflowPunct/>
        <w:topLinePunct w:val="0"/>
        <w:bidi w:val="0"/>
        <w:spacing w:line="360" w:lineRule="auto"/>
        <w:jc w:val="right"/>
        <w:rPr>
          <w:rFonts w:hint="eastAsia"/>
          <w:color w:val="auto"/>
          <w:szCs w:val="21"/>
          <w:highlight w:val="none"/>
        </w:rPr>
      </w:pPr>
      <w:r>
        <w:rPr>
          <w:rFonts w:hint="eastAsia"/>
          <w:color w:val="auto"/>
          <w:szCs w:val="21"/>
          <w:highlight w:val="none"/>
        </w:rPr>
        <w:t>签字（签章）：</w:t>
      </w:r>
      <w:r>
        <w:rPr>
          <w:rFonts w:hint="eastAsia" w:cs="仿宋"/>
          <w:color w:val="auto"/>
          <w:szCs w:val="21"/>
          <w:highlight w:val="none"/>
          <w:u w:val="dotted"/>
        </w:rPr>
        <w:t xml:space="preserve">       </w:t>
      </w:r>
      <w:r>
        <w:rPr>
          <w:rFonts w:cs="仿宋"/>
          <w:color w:val="auto"/>
          <w:szCs w:val="21"/>
          <w:highlight w:val="none"/>
          <w:u w:val="dotted"/>
        </w:rPr>
        <w:t xml:space="preserve"> </w:t>
      </w:r>
      <w:r>
        <w:rPr>
          <w:rFonts w:hint="eastAsia" w:cs="仿宋"/>
          <w:color w:val="auto"/>
          <w:szCs w:val="21"/>
          <w:highlight w:val="none"/>
          <w:u w:val="dotted"/>
        </w:rPr>
        <w:t xml:space="preserve">   </w:t>
      </w:r>
      <w:r>
        <w:rPr>
          <w:rFonts w:hint="eastAsia"/>
          <w:color w:val="auto"/>
          <w:szCs w:val="21"/>
          <w:highlight w:val="none"/>
        </w:rPr>
        <w:t>公章：</w:t>
      </w:r>
      <w:r>
        <w:rPr>
          <w:rFonts w:hint="eastAsia" w:cs="仿宋"/>
          <w:color w:val="auto"/>
          <w:szCs w:val="21"/>
          <w:highlight w:val="none"/>
          <w:u w:val="dotted"/>
        </w:rPr>
        <w:t xml:space="preserve">       </w:t>
      </w:r>
      <w:r>
        <w:rPr>
          <w:rFonts w:cs="仿宋"/>
          <w:color w:val="auto"/>
          <w:szCs w:val="21"/>
          <w:highlight w:val="none"/>
          <w:u w:val="dotted"/>
        </w:rPr>
        <w:t xml:space="preserve"> </w:t>
      </w:r>
      <w:r>
        <w:rPr>
          <w:rFonts w:hint="eastAsia" w:cs="仿宋"/>
          <w:color w:val="auto"/>
          <w:szCs w:val="21"/>
          <w:highlight w:val="none"/>
          <w:u w:val="dotted"/>
        </w:rPr>
        <w:t xml:space="preserve">   </w:t>
      </w:r>
      <w:r>
        <w:rPr>
          <w:rFonts w:cs="仿宋"/>
          <w:color w:val="auto"/>
          <w:szCs w:val="21"/>
          <w:highlight w:val="none"/>
          <w:u w:val="dotted"/>
        </w:rPr>
        <w:t>.</w:t>
      </w:r>
    </w:p>
    <w:p w14:paraId="030CEED1">
      <w:pPr>
        <w:keepNext w:val="0"/>
        <w:keepLines w:val="0"/>
        <w:pageBreakBefore w:val="0"/>
        <w:widowControl w:val="0"/>
        <w:kinsoku/>
        <w:wordWrap/>
        <w:overflowPunct/>
        <w:topLinePunct w:val="0"/>
        <w:bidi w:val="0"/>
        <w:spacing w:line="360" w:lineRule="auto"/>
        <w:jc w:val="right"/>
        <w:rPr>
          <w:rFonts w:hint="eastAsia" w:cs="仿宋"/>
          <w:color w:val="auto"/>
          <w:szCs w:val="21"/>
          <w:highlight w:val="none"/>
          <w:u w:val="dotted"/>
        </w:rPr>
      </w:pPr>
      <w:r>
        <w:rPr>
          <w:rFonts w:hint="eastAsia"/>
          <w:color w:val="auto"/>
          <w:szCs w:val="21"/>
          <w:highlight w:val="none"/>
        </w:rPr>
        <w:t>日期：</w:t>
      </w:r>
      <w:r>
        <w:rPr>
          <w:rFonts w:hint="eastAsia" w:cs="仿宋"/>
          <w:color w:val="auto"/>
          <w:szCs w:val="21"/>
          <w:highlight w:val="none"/>
          <w:u w:val="dotted"/>
        </w:rPr>
        <w:t xml:space="preserve">     </w:t>
      </w:r>
      <w:r>
        <w:rPr>
          <w:rFonts w:hint="eastAsia"/>
          <w:color w:val="auto"/>
          <w:szCs w:val="21"/>
          <w:highlight w:val="none"/>
        </w:rPr>
        <w:t>年</w:t>
      </w:r>
      <w:r>
        <w:rPr>
          <w:rFonts w:hint="eastAsia" w:cs="仿宋"/>
          <w:color w:val="auto"/>
          <w:szCs w:val="21"/>
          <w:highlight w:val="none"/>
          <w:u w:val="dotted"/>
        </w:rPr>
        <w:t xml:space="preserve">     </w:t>
      </w:r>
      <w:r>
        <w:rPr>
          <w:rFonts w:hint="eastAsia"/>
          <w:color w:val="auto"/>
          <w:szCs w:val="21"/>
          <w:highlight w:val="none"/>
        </w:rPr>
        <w:t>月</w:t>
      </w:r>
      <w:r>
        <w:rPr>
          <w:rFonts w:hint="eastAsia" w:cs="仿宋"/>
          <w:color w:val="auto"/>
          <w:szCs w:val="21"/>
          <w:highlight w:val="none"/>
          <w:u w:val="dotted"/>
        </w:rPr>
        <w:t xml:space="preserve">     </w:t>
      </w:r>
      <w:r>
        <w:rPr>
          <w:rFonts w:hint="eastAsia"/>
          <w:color w:val="auto"/>
          <w:szCs w:val="21"/>
          <w:highlight w:val="none"/>
        </w:rPr>
        <w:t>日</w:t>
      </w:r>
    </w:p>
    <w:p w14:paraId="03B906EC">
      <w:pPr>
        <w:pStyle w:val="45"/>
        <w:keepNext w:val="0"/>
        <w:keepLines w:val="0"/>
        <w:pageBreakBefore w:val="0"/>
        <w:widowControl w:val="0"/>
        <w:kinsoku/>
        <w:wordWrap/>
        <w:overflowPunct/>
        <w:topLinePunct w:val="0"/>
        <w:bidi w:val="0"/>
        <w:spacing w:line="360" w:lineRule="auto"/>
        <w:rPr>
          <w:rFonts w:hint="eastAsia"/>
          <w:color w:val="auto"/>
          <w:highlight w:val="none"/>
        </w:rPr>
      </w:pPr>
    </w:p>
    <w:p w14:paraId="41540AF3">
      <w:pPr>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质疑函制作说明：</w:t>
      </w:r>
    </w:p>
    <w:p w14:paraId="4B605368">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color w:val="auto"/>
          <w:szCs w:val="21"/>
          <w:highlight w:val="none"/>
        </w:rPr>
        <w:t>1.</w:t>
      </w:r>
      <w:r>
        <w:rPr>
          <w:rFonts w:hint="eastAsia"/>
          <w:color w:val="auto"/>
          <w:szCs w:val="21"/>
          <w:highlight w:val="none"/>
        </w:rPr>
        <w:t>供应商提出质疑时，应提交质疑函和必要的证明材料。</w:t>
      </w:r>
    </w:p>
    <w:p w14:paraId="06535066">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color w:val="auto"/>
          <w:szCs w:val="21"/>
          <w:highlight w:val="none"/>
        </w:rPr>
        <w:t>2.</w:t>
      </w:r>
      <w:r>
        <w:rPr>
          <w:rFonts w:hint="eastAsia"/>
          <w:color w:val="auto"/>
          <w:szCs w:val="21"/>
          <w:highlight w:val="none"/>
        </w:rPr>
        <w:t>质疑供应商若委托代理人进行质疑的，质疑函应按要求列明</w:t>
      </w:r>
      <w:r>
        <w:rPr>
          <w:color w:val="auto"/>
          <w:szCs w:val="21"/>
          <w:highlight w:val="none"/>
        </w:rPr>
        <w:t>“</w:t>
      </w:r>
      <w:r>
        <w:rPr>
          <w:rFonts w:hint="eastAsia"/>
          <w:color w:val="auto"/>
          <w:szCs w:val="21"/>
          <w:highlight w:val="none"/>
        </w:rPr>
        <w:t>授权代表</w:t>
      </w:r>
      <w:r>
        <w:rPr>
          <w:color w:val="auto"/>
          <w:szCs w:val="21"/>
          <w:highlight w:val="none"/>
        </w:rPr>
        <w:t>”</w:t>
      </w:r>
      <w:r>
        <w:rPr>
          <w:rFonts w:hint="eastAsia"/>
          <w:color w:val="auto"/>
          <w:szCs w:val="21"/>
          <w:highlight w:val="none"/>
        </w:rPr>
        <w:t>的有关内容，并在附件中提交由质疑供应商签署的授权委托书。授权委托书应载明代理人的姓名或者名称、代理事项、具体权限、期限和相关事项。</w:t>
      </w:r>
      <w:r>
        <w:rPr>
          <w:color w:val="auto"/>
          <w:szCs w:val="21"/>
          <w:highlight w:val="none"/>
        </w:rPr>
        <w:t xml:space="preserve"> </w:t>
      </w:r>
    </w:p>
    <w:p w14:paraId="1C2067FA">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color w:val="auto"/>
          <w:szCs w:val="21"/>
          <w:highlight w:val="none"/>
        </w:rPr>
        <w:t>3.</w:t>
      </w:r>
      <w:r>
        <w:rPr>
          <w:rFonts w:hint="eastAsia"/>
          <w:color w:val="auto"/>
          <w:szCs w:val="21"/>
          <w:highlight w:val="none"/>
        </w:rPr>
        <w:t>质疑供应商若对项目的某一分包进行质疑，质疑函中应列明具体分包号。</w:t>
      </w:r>
    </w:p>
    <w:p w14:paraId="77586803">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color w:val="auto"/>
          <w:szCs w:val="21"/>
          <w:highlight w:val="none"/>
        </w:rPr>
        <w:t>4.</w:t>
      </w:r>
      <w:r>
        <w:rPr>
          <w:rFonts w:hint="eastAsia"/>
          <w:color w:val="auto"/>
          <w:szCs w:val="21"/>
          <w:highlight w:val="none"/>
        </w:rPr>
        <w:t>质疑函的质疑事项应具体、明确，并有必要的事实依据和法律依据。</w:t>
      </w:r>
    </w:p>
    <w:p w14:paraId="0871FFA3">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color w:val="auto"/>
          <w:szCs w:val="21"/>
          <w:highlight w:val="none"/>
        </w:rPr>
        <w:t>5.</w:t>
      </w:r>
      <w:r>
        <w:rPr>
          <w:rFonts w:hint="eastAsia"/>
          <w:color w:val="auto"/>
          <w:szCs w:val="21"/>
          <w:highlight w:val="none"/>
        </w:rPr>
        <w:t>质疑函的质疑请求应与质疑事项相关。</w:t>
      </w:r>
    </w:p>
    <w:p w14:paraId="7CE7474D">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color w:val="auto"/>
          <w:szCs w:val="21"/>
          <w:highlight w:val="none"/>
        </w:rPr>
        <w:t>6.</w:t>
      </w:r>
      <w:r>
        <w:rPr>
          <w:rFonts w:hint="eastAsia"/>
          <w:color w:val="auto"/>
          <w:szCs w:val="21"/>
          <w:highlight w:val="none"/>
        </w:rPr>
        <w:t>质疑供应商为自然人的，质疑函应由本人签字；质疑供应商为法人或者其他组织的，质疑函应由法定代表人、主要负责人，或者其授权代表签字或者盖章，并加盖公章。</w:t>
      </w:r>
    </w:p>
    <w:p w14:paraId="541339F6">
      <w:pPr>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bookmarkStart w:id="302" w:name="_Hlk104040558"/>
      <w:r>
        <w:rPr>
          <w:color w:val="auto"/>
          <w:szCs w:val="21"/>
          <w:highlight w:val="none"/>
        </w:rPr>
        <w:t xml:space="preserve">7. </w:t>
      </w:r>
      <w:r>
        <w:rPr>
          <w:rFonts w:hint="eastAsia"/>
          <w:color w:val="auto"/>
          <w:szCs w:val="21"/>
          <w:highlight w:val="none"/>
        </w:rPr>
        <w:t>供应商应在提交的证明材料中对质疑点的内容作出相应的标识或以醒目的方式标明。</w:t>
      </w:r>
    </w:p>
    <w:bookmarkEnd w:id="302"/>
    <w:p w14:paraId="25993B0F">
      <w:pPr>
        <w:keepNext w:val="0"/>
        <w:keepLines w:val="0"/>
        <w:pageBreakBefore w:val="0"/>
        <w:widowControl w:val="0"/>
        <w:kinsoku/>
        <w:wordWrap/>
        <w:overflowPunct/>
        <w:topLinePunct w:val="0"/>
        <w:bidi w:val="0"/>
        <w:spacing w:line="360" w:lineRule="auto"/>
        <w:rPr>
          <w:rFonts w:hint="eastAsia"/>
          <w:b/>
          <w:bCs/>
          <w:color w:val="auto"/>
          <w:sz w:val="24"/>
          <w:highlight w:val="none"/>
        </w:rPr>
      </w:pPr>
      <w:r>
        <w:rPr>
          <w:b/>
          <w:bCs/>
          <w:color w:val="auto"/>
          <w:sz w:val="24"/>
          <w:highlight w:val="none"/>
        </w:rPr>
        <w:br w:type="page"/>
      </w:r>
    </w:p>
    <w:p w14:paraId="0446ED24">
      <w:pPr>
        <w:keepNext w:val="0"/>
        <w:keepLines w:val="0"/>
        <w:pageBreakBefore w:val="0"/>
        <w:widowControl w:val="0"/>
        <w:kinsoku/>
        <w:wordWrap/>
        <w:overflowPunct/>
        <w:topLinePunct w:val="0"/>
        <w:bidi w:val="0"/>
        <w:spacing w:line="360" w:lineRule="auto"/>
        <w:jc w:val="center"/>
        <w:rPr>
          <w:rFonts w:hint="eastAsia"/>
          <w:b/>
          <w:bCs/>
          <w:color w:val="auto"/>
          <w:sz w:val="28"/>
          <w:szCs w:val="28"/>
          <w:highlight w:val="none"/>
        </w:rPr>
      </w:pPr>
      <w:r>
        <w:rPr>
          <w:rFonts w:hint="eastAsia"/>
          <w:b/>
          <w:bCs/>
          <w:color w:val="auto"/>
          <w:sz w:val="28"/>
          <w:szCs w:val="28"/>
          <w:highlight w:val="none"/>
        </w:rPr>
        <w:t>投诉书</w:t>
      </w:r>
    </w:p>
    <w:p w14:paraId="09EE5263">
      <w:pPr>
        <w:pStyle w:val="19"/>
        <w:keepNext w:val="0"/>
        <w:keepLines w:val="0"/>
        <w:pageBreakBefore w:val="0"/>
        <w:widowControl w:val="0"/>
        <w:numPr>
          <w:ilvl w:val="2"/>
          <w:numId w:val="32"/>
        </w:numPr>
        <w:kinsoku/>
        <w:wordWrap/>
        <w:overflowPunct/>
        <w:topLinePunct w:val="0"/>
        <w:bidi w:val="0"/>
        <w:spacing w:line="360" w:lineRule="auto"/>
        <w:ind w:left="0" w:firstLine="0"/>
        <w:rPr>
          <w:rFonts w:hint="eastAsia"/>
          <w:b/>
          <w:bCs/>
          <w:color w:val="auto"/>
          <w:szCs w:val="20"/>
          <w:highlight w:val="none"/>
        </w:rPr>
      </w:pPr>
      <w:r>
        <w:rPr>
          <w:rFonts w:hint="eastAsia"/>
          <w:b/>
          <w:bCs/>
          <w:color w:val="auto"/>
          <w:szCs w:val="20"/>
          <w:highlight w:val="none"/>
        </w:rPr>
        <w:t>投诉相关主体基本情况</w:t>
      </w:r>
    </w:p>
    <w:p w14:paraId="52C16607">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投诉人：</w:t>
      </w:r>
      <w:r>
        <w:rPr>
          <w:rFonts w:hint="eastAsia" w:cs="仿宋"/>
          <w:color w:val="auto"/>
          <w:szCs w:val="21"/>
          <w:highlight w:val="none"/>
          <w:u w:val="dotted"/>
        </w:rPr>
        <w:t xml:space="preserve">                 </w:t>
      </w:r>
      <w:r>
        <w:rPr>
          <w:rFonts w:cs="仿宋"/>
          <w:color w:val="auto"/>
          <w:szCs w:val="21"/>
          <w:highlight w:val="none"/>
          <w:u w:val="dotted"/>
        </w:rPr>
        <w:t>.</w:t>
      </w:r>
    </w:p>
    <w:p w14:paraId="3A6C662A">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地 址：</w:t>
      </w:r>
      <w:r>
        <w:rPr>
          <w:rFonts w:hint="eastAsia" w:cs="仿宋"/>
          <w:color w:val="auto"/>
          <w:szCs w:val="21"/>
          <w:highlight w:val="none"/>
          <w:u w:val="dotted"/>
        </w:rPr>
        <w:t xml:space="preserve">                 </w:t>
      </w:r>
      <w:r>
        <w:rPr>
          <w:rFonts w:hint="eastAsia"/>
          <w:color w:val="auto"/>
          <w:szCs w:val="21"/>
          <w:highlight w:val="none"/>
        </w:rPr>
        <w:t>邮编：</w:t>
      </w:r>
      <w:r>
        <w:rPr>
          <w:rFonts w:hint="eastAsia" w:cs="仿宋"/>
          <w:color w:val="auto"/>
          <w:szCs w:val="21"/>
          <w:highlight w:val="none"/>
          <w:u w:val="dotted"/>
        </w:rPr>
        <w:t xml:space="preserve">                 </w:t>
      </w:r>
      <w:r>
        <w:rPr>
          <w:rFonts w:cs="仿宋"/>
          <w:color w:val="auto"/>
          <w:szCs w:val="21"/>
          <w:highlight w:val="none"/>
          <w:u w:val="dotted"/>
        </w:rPr>
        <w:t>.</w:t>
      </w:r>
    </w:p>
    <w:p w14:paraId="0692B52F">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法定代表人/主要负责人：</w:t>
      </w:r>
      <w:r>
        <w:rPr>
          <w:rFonts w:hint="eastAsia" w:cs="仿宋"/>
          <w:color w:val="auto"/>
          <w:szCs w:val="21"/>
          <w:highlight w:val="none"/>
          <w:u w:val="dotted"/>
        </w:rPr>
        <w:t xml:space="preserve">                 </w:t>
      </w:r>
      <w:r>
        <w:rPr>
          <w:rFonts w:cs="仿宋"/>
          <w:color w:val="auto"/>
          <w:szCs w:val="21"/>
          <w:highlight w:val="none"/>
          <w:u w:val="dotted"/>
        </w:rPr>
        <w:t>.</w:t>
      </w:r>
    </w:p>
    <w:p w14:paraId="04584A12">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联系电话：</w:t>
      </w:r>
      <w:r>
        <w:rPr>
          <w:rFonts w:hint="eastAsia" w:cs="仿宋"/>
          <w:color w:val="auto"/>
          <w:szCs w:val="21"/>
          <w:highlight w:val="none"/>
          <w:u w:val="dotted"/>
        </w:rPr>
        <w:t xml:space="preserve">                 </w:t>
      </w:r>
      <w:r>
        <w:rPr>
          <w:rFonts w:cs="仿宋"/>
          <w:color w:val="auto"/>
          <w:szCs w:val="21"/>
          <w:highlight w:val="none"/>
          <w:u w:val="dotted"/>
        </w:rPr>
        <w:t>.</w:t>
      </w:r>
    </w:p>
    <w:p w14:paraId="4592D7B3">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授权代表：</w:t>
      </w:r>
      <w:r>
        <w:rPr>
          <w:rFonts w:hint="eastAsia" w:cs="仿宋"/>
          <w:color w:val="auto"/>
          <w:szCs w:val="21"/>
          <w:highlight w:val="none"/>
          <w:u w:val="dotted"/>
        </w:rPr>
        <w:t xml:space="preserve">                 </w:t>
      </w:r>
      <w:r>
        <w:rPr>
          <w:rFonts w:hint="eastAsia"/>
          <w:color w:val="auto"/>
          <w:szCs w:val="21"/>
          <w:highlight w:val="none"/>
        </w:rPr>
        <w:t>联系电话：</w:t>
      </w:r>
      <w:r>
        <w:rPr>
          <w:rFonts w:hint="eastAsia" w:cs="仿宋"/>
          <w:color w:val="auto"/>
          <w:szCs w:val="21"/>
          <w:highlight w:val="none"/>
          <w:u w:val="dotted"/>
        </w:rPr>
        <w:t xml:space="preserve">                 </w:t>
      </w:r>
      <w:r>
        <w:rPr>
          <w:rFonts w:cs="仿宋"/>
          <w:color w:val="auto"/>
          <w:szCs w:val="21"/>
          <w:highlight w:val="none"/>
          <w:u w:val="dotted"/>
        </w:rPr>
        <w:t>.</w:t>
      </w:r>
    </w:p>
    <w:p w14:paraId="21FFB26F">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地址：</w:t>
      </w:r>
      <w:r>
        <w:rPr>
          <w:rFonts w:hint="eastAsia" w:cs="仿宋"/>
          <w:color w:val="auto"/>
          <w:szCs w:val="21"/>
          <w:highlight w:val="none"/>
          <w:u w:val="dotted"/>
        </w:rPr>
        <w:t xml:space="preserve">                 </w:t>
      </w:r>
      <w:r>
        <w:rPr>
          <w:rFonts w:hint="eastAsia"/>
          <w:color w:val="auto"/>
          <w:szCs w:val="21"/>
          <w:highlight w:val="none"/>
        </w:rPr>
        <w:t>邮编：</w:t>
      </w:r>
      <w:r>
        <w:rPr>
          <w:rFonts w:hint="eastAsia" w:cs="仿宋"/>
          <w:color w:val="auto"/>
          <w:szCs w:val="21"/>
          <w:highlight w:val="none"/>
          <w:u w:val="dotted"/>
        </w:rPr>
        <w:t xml:space="preserve">                 </w:t>
      </w:r>
      <w:r>
        <w:rPr>
          <w:rFonts w:cs="仿宋"/>
          <w:color w:val="auto"/>
          <w:szCs w:val="21"/>
          <w:highlight w:val="none"/>
          <w:u w:val="dotted"/>
        </w:rPr>
        <w:t>.</w:t>
      </w:r>
    </w:p>
    <w:p w14:paraId="6199925A">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被投诉人1：</w:t>
      </w:r>
      <w:r>
        <w:rPr>
          <w:rFonts w:hint="eastAsia" w:cs="仿宋"/>
          <w:color w:val="auto"/>
          <w:szCs w:val="21"/>
          <w:highlight w:val="none"/>
          <w:u w:val="dotted"/>
        </w:rPr>
        <w:t xml:space="preserve">                 </w:t>
      </w:r>
      <w:r>
        <w:rPr>
          <w:rFonts w:cs="仿宋"/>
          <w:color w:val="auto"/>
          <w:szCs w:val="21"/>
          <w:highlight w:val="none"/>
          <w:u w:val="dotted"/>
        </w:rPr>
        <w:t>.</w:t>
      </w:r>
    </w:p>
    <w:p w14:paraId="0A5FE096">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地址：</w:t>
      </w:r>
      <w:r>
        <w:rPr>
          <w:rFonts w:hint="eastAsia" w:cs="仿宋"/>
          <w:color w:val="auto"/>
          <w:szCs w:val="21"/>
          <w:highlight w:val="none"/>
          <w:u w:val="dotted"/>
        </w:rPr>
        <w:t xml:space="preserve">                 </w:t>
      </w:r>
      <w:r>
        <w:rPr>
          <w:rFonts w:hint="eastAsia"/>
          <w:color w:val="auto"/>
          <w:szCs w:val="21"/>
          <w:highlight w:val="none"/>
        </w:rPr>
        <w:t>邮编：</w:t>
      </w:r>
      <w:r>
        <w:rPr>
          <w:rFonts w:hint="eastAsia" w:cs="仿宋"/>
          <w:color w:val="auto"/>
          <w:szCs w:val="21"/>
          <w:highlight w:val="none"/>
          <w:u w:val="dotted"/>
        </w:rPr>
        <w:t xml:space="preserve">                 </w:t>
      </w:r>
      <w:r>
        <w:rPr>
          <w:rFonts w:cs="仿宋"/>
          <w:color w:val="auto"/>
          <w:szCs w:val="21"/>
          <w:highlight w:val="none"/>
          <w:u w:val="dotted"/>
        </w:rPr>
        <w:t>.</w:t>
      </w:r>
    </w:p>
    <w:p w14:paraId="140C0791">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联系人：</w:t>
      </w:r>
      <w:r>
        <w:rPr>
          <w:rFonts w:hint="eastAsia" w:cs="仿宋"/>
          <w:color w:val="auto"/>
          <w:szCs w:val="21"/>
          <w:highlight w:val="none"/>
          <w:u w:val="dotted"/>
        </w:rPr>
        <w:t xml:space="preserve">                 </w:t>
      </w:r>
      <w:r>
        <w:rPr>
          <w:rFonts w:hint="eastAsia"/>
          <w:color w:val="auto"/>
          <w:szCs w:val="21"/>
          <w:highlight w:val="none"/>
        </w:rPr>
        <w:t>联系电话：</w:t>
      </w:r>
      <w:r>
        <w:rPr>
          <w:rFonts w:hint="eastAsia" w:cs="仿宋"/>
          <w:color w:val="auto"/>
          <w:szCs w:val="21"/>
          <w:highlight w:val="none"/>
          <w:u w:val="dotted"/>
        </w:rPr>
        <w:t xml:space="preserve">                 </w:t>
      </w:r>
      <w:r>
        <w:rPr>
          <w:rFonts w:cs="仿宋"/>
          <w:color w:val="auto"/>
          <w:szCs w:val="21"/>
          <w:highlight w:val="none"/>
          <w:u w:val="dotted"/>
        </w:rPr>
        <w:t>.</w:t>
      </w:r>
    </w:p>
    <w:p w14:paraId="09C42B4A">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被投诉人2：</w:t>
      </w:r>
      <w:r>
        <w:rPr>
          <w:rFonts w:hint="eastAsia" w:cs="仿宋"/>
          <w:color w:val="auto"/>
          <w:szCs w:val="21"/>
          <w:highlight w:val="none"/>
          <w:u w:val="dotted"/>
        </w:rPr>
        <w:t xml:space="preserve">                 </w:t>
      </w:r>
      <w:r>
        <w:rPr>
          <w:rFonts w:cs="仿宋"/>
          <w:color w:val="auto"/>
          <w:szCs w:val="21"/>
          <w:highlight w:val="none"/>
          <w:u w:val="dotted"/>
        </w:rPr>
        <w:t>.</w:t>
      </w:r>
    </w:p>
    <w:p w14:paraId="158D35A5">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w:t>
      </w:r>
    </w:p>
    <w:p w14:paraId="7E6D0456">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相关供应商：</w:t>
      </w:r>
      <w:r>
        <w:rPr>
          <w:rFonts w:hint="eastAsia" w:cs="仿宋"/>
          <w:color w:val="auto"/>
          <w:szCs w:val="21"/>
          <w:highlight w:val="none"/>
          <w:u w:val="dotted"/>
        </w:rPr>
        <w:t xml:space="preserve">                 </w:t>
      </w:r>
      <w:r>
        <w:rPr>
          <w:rFonts w:cs="仿宋"/>
          <w:color w:val="auto"/>
          <w:szCs w:val="21"/>
          <w:highlight w:val="none"/>
          <w:u w:val="dotted"/>
        </w:rPr>
        <w:t>.</w:t>
      </w:r>
    </w:p>
    <w:p w14:paraId="6D7ED6C4">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地址：</w:t>
      </w:r>
      <w:r>
        <w:rPr>
          <w:rFonts w:hint="eastAsia" w:cs="仿宋"/>
          <w:color w:val="auto"/>
          <w:szCs w:val="21"/>
          <w:highlight w:val="none"/>
          <w:u w:val="dotted"/>
        </w:rPr>
        <w:t xml:space="preserve">                 </w:t>
      </w:r>
      <w:r>
        <w:rPr>
          <w:rFonts w:hint="eastAsia"/>
          <w:color w:val="auto"/>
          <w:szCs w:val="21"/>
          <w:highlight w:val="none"/>
        </w:rPr>
        <w:t>邮编：</w:t>
      </w:r>
      <w:r>
        <w:rPr>
          <w:rFonts w:hint="eastAsia" w:cs="仿宋"/>
          <w:color w:val="auto"/>
          <w:szCs w:val="21"/>
          <w:highlight w:val="none"/>
          <w:u w:val="dotted"/>
        </w:rPr>
        <w:t xml:space="preserve">                 </w:t>
      </w:r>
      <w:r>
        <w:rPr>
          <w:rFonts w:cs="仿宋"/>
          <w:color w:val="auto"/>
          <w:szCs w:val="21"/>
          <w:highlight w:val="none"/>
          <w:u w:val="dotted"/>
        </w:rPr>
        <w:t>.</w:t>
      </w:r>
    </w:p>
    <w:p w14:paraId="2DEDB55A">
      <w:pPr>
        <w:pStyle w:val="19"/>
        <w:keepNext w:val="0"/>
        <w:keepLines w:val="0"/>
        <w:pageBreakBefore w:val="0"/>
        <w:widowControl w:val="0"/>
        <w:kinsoku/>
        <w:wordWrap/>
        <w:overflowPunct/>
        <w:topLinePunct w:val="0"/>
        <w:bidi w:val="0"/>
        <w:spacing w:line="360" w:lineRule="auto"/>
        <w:rPr>
          <w:rFonts w:hint="eastAsia" w:cs="仿宋"/>
          <w:color w:val="auto"/>
          <w:szCs w:val="21"/>
          <w:highlight w:val="none"/>
          <w:u w:val="dotted"/>
        </w:rPr>
      </w:pPr>
      <w:r>
        <w:rPr>
          <w:rFonts w:hint="eastAsia"/>
          <w:color w:val="auto"/>
          <w:szCs w:val="21"/>
          <w:highlight w:val="none"/>
        </w:rPr>
        <w:t>联系人：</w:t>
      </w:r>
      <w:r>
        <w:rPr>
          <w:rFonts w:hint="eastAsia" w:cs="仿宋"/>
          <w:color w:val="auto"/>
          <w:szCs w:val="21"/>
          <w:highlight w:val="none"/>
          <w:u w:val="dotted"/>
        </w:rPr>
        <w:t xml:space="preserve">                 </w:t>
      </w:r>
      <w:r>
        <w:rPr>
          <w:rFonts w:hint="eastAsia"/>
          <w:color w:val="auto"/>
          <w:szCs w:val="21"/>
          <w:highlight w:val="none"/>
        </w:rPr>
        <w:t>联系电话：</w:t>
      </w:r>
      <w:r>
        <w:rPr>
          <w:rFonts w:hint="eastAsia" w:cs="仿宋"/>
          <w:color w:val="auto"/>
          <w:szCs w:val="21"/>
          <w:highlight w:val="none"/>
          <w:u w:val="dotted"/>
        </w:rPr>
        <w:t xml:space="preserve">                 </w:t>
      </w:r>
      <w:r>
        <w:rPr>
          <w:rFonts w:cs="仿宋"/>
          <w:color w:val="auto"/>
          <w:szCs w:val="21"/>
          <w:highlight w:val="none"/>
          <w:u w:val="dotted"/>
        </w:rPr>
        <w:t>.</w:t>
      </w:r>
    </w:p>
    <w:p w14:paraId="286DDA98">
      <w:pPr>
        <w:pStyle w:val="19"/>
        <w:keepNext w:val="0"/>
        <w:keepLines w:val="0"/>
        <w:pageBreakBefore w:val="0"/>
        <w:widowControl w:val="0"/>
        <w:numPr>
          <w:ilvl w:val="2"/>
          <w:numId w:val="32"/>
        </w:numPr>
        <w:kinsoku/>
        <w:wordWrap/>
        <w:overflowPunct/>
        <w:topLinePunct w:val="0"/>
        <w:bidi w:val="0"/>
        <w:spacing w:line="360" w:lineRule="auto"/>
        <w:ind w:left="0" w:firstLine="0"/>
        <w:rPr>
          <w:rFonts w:hint="eastAsia"/>
          <w:b/>
          <w:bCs/>
          <w:color w:val="auto"/>
          <w:szCs w:val="20"/>
          <w:highlight w:val="none"/>
        </w:rPr>
      </w:pPr>
      <w:r>
        <w:rPr>
          <w:rFonts w:hint="eastAsia"/>
          <w:b/>
          <w:bCs/>
          <w:color w:val="auto"/>
          <w:szCs w:val="20"/>
          <w:highlight w:val="none"/>
        </w:rPr>
        <w:t>投诉项目基本情况</w:t>
      </w:r>
    </w:p>
    <w:p w14:paraId="575686C7">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采购项目名称：</w:t>
      </w:r>
      <w:r>
        <w:rPr>
          <w:rFonts w:hint="eastAsia" w:cs="仿宋"/>
          <w:color w:val="auto"/>
          <w:szCs w:val="21"/>
          <w:highlight w:val="none"/>
          <w:u w:val="dotted"/>
        </w:rPr>
        <w:t xml:space="preserve">                 </w:t>
      </w:r>
      <w:r>
        <w:rPr>
          <w:rFonts w:cs="仿宋"/>
          <w:color w:val="auto"/>
          <w:szCs w:val="21"/>
          <w:highlight w:val="none"/>
          <w:u w:val="dotted"/>
        </w:rPr>
        <w:t>.</w:t>
      </w:r>
    </w:p>
    <w:p w14:paraId="2192D638">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采购项目编号：</w:t>
      </w:r>
      <w:r>
        <w:rPr>
          <w:rFonts w:hint="eastAsia" w:cs="仿宋"/>
          <w:color w:val="auto"/>
          <w:szCs w:val="21"/>
          <w:highlight w:val="none"/>
          <w:u w:val="dotted"/>
        </w:rPr>
        <w:t xml:space="preserve">                 </w:t>
      </w:r>
      <w:r>
        <w:rPr>
          <w:rFonts w:hint="eastAsia"/>
          <w:color w:val="auto"/>
          <w:szCs w:val="21"/>
          <w:highlight w:val="none"/>
        </w:rPr>
        <w:t>包号：</w:t>
      </w:r>
      <w:r>
        <w:rPr>
          <w:rFonts w:hint="eastAsia" w:cs="仿宋"/>
          <w:color w:val="auto"/>
          <w:szCs w:val="21"/>
          <w:highlight w:val="none"/>
          <w:u w:val="dotted"/>
        </w:rPr>
        <w:t xml:space="preserve">                 </w:t>
      </w:r>
      <w:r>
        <w:rPr>
          <w:rFonts w:cs="仿宋"/>
          <w:color w:val="auto"/>
          <w:szCs w:val="21"/>
          <w:highlight w:val="none"/>
          <w:u w:val="dotted"/>
        </w:rPr>
        <w:t>.</w:t>
      </w:r>
    </w:p>
    <w:p w14:paraId="03595692">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采购人名称：</w:t>
      </w:r>
      <w:r>
        <w:rPr>
          <w:rFonts w:hint="eastAsia" w:cs="仿宋"/>
          <w:color w:val="auto"/>
          <w:szCs w:val="21"/>
          <w:highlight w:val="none"/>
          <w:u w:val="dotted"/>
        </w:rPr>
        <w:t xml:space="preserve">                 </w:t>
      </w:r>
      <w:r>
        <w:rPr>
          <w:rFonts w:cs="仿宋"/>
          <w:color w:val="auto"/>
          <w:szCs w:val="21"/>
          <w:highlight w:val="none"/>
          <w:u w:val="dotted"/>
        </w:rPr>
        <w:t>.</w:t>
      </w:r>
    </w:p>
    <w:p w14:paraId="24B98D25">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代理机构名称：</w:t>
      </w:r>
      <w:r>
        <w:rPr>
          <w:rFonts w:hint="eastAsia" w:cs="仿宋"/>
          <w:color w:val="auto"/>
          <w:szCs w:val="21"/>
          <w:highlight w:val="none"/>
          <w:u w:val="dotted"/>
        </w:rPr>
        <w:t xml:space="preserve">                 </w:t>
      </w:r>
      <w:r>
        <w:rPr>
          <w:rFonts w:cs="仿宋"/>
          <w:color w:val="auto"/>
          <w:szCs w:val="21"/>
          <w:highlight w:val="none"/>
          <w:u w:val="dotted"/>
        </w:rPr>
        <w:t>.</w:t>
      </w:r>
    </w:p>
    <w:p w14:paraId="2E55B6F8">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采购文件公告：</w:t>
      </w:r>
      <w:r>
        <w:rPr>
          <w:rFonts w:hint="eastAsia"/>
          <w:color w:val="auto"/>
          <w:szCs w:val="21"/>
          <w:highlight w:val="none"/>
          <w:u w:val="single"/>
        </w:rPr>
        <w:t>是/否</w:t>
      </w:r>
      <w:r>
        <w:rPr>
          <w:rFonts w:hint="eastAsia"/>
          <w:color w:val="auto"/>
          <w:szCs w:val="21"/>
          <w:highlight w:val="none"/>
        </w:rPr>
        <w:t xml:space="preserve"> 公告期限：</w:t>
      </w:r>
      <w:r>
        <w:rPr>
          <w:rFonts w:hint="eastAsia" w:cs="仿宋"/>
          <w:color w:val="auto"/>
          <w:szCs w:val="21"/>
          <w:highlight w:val="none"/>
          <w:u w:val="dotted"/>
        </w:rPr>
        <w:t xml:space="preserve">                 </w:t>
      </w:r>
      <w:r>
        <w:rPr>
          <w:rFonts w:cs="仿宋"/>
          <w:color w:val="auto"/>
          <w:szCs w:val="21"/>
          <w:highlight w:val="none"/>
          <w:u w:val="dotted"/>
        </w:rPr>
        <w:t>.</w:t>
      </w:r>
    </w:p>
    <w:p w14:paraId="0072BABD">
      <w:pPr>
        <w:pStyle w:val="19"/>
        <w:keepNext w:val="0"/>
        <w:keepLines w:val="0"/>
        <w:pageBreakBefore w:val="0"/>
        <w:widowControl w:val="0"/>
        <w:kinsoku/>
        <w:wordWrap/>
        <w:overflowPunct/>
        <w:topLinePunct w:val="0"/>
        <w:bidi w:val="0"/>
        <w:spacing w:line="360" w:lineRule="auto"/>
        <w:rPr>
          <w:rFonts w:hint="eastAsia" w:cs="仿宋"/>
          <w:color w:val="auto"/>
          <w:szCs w:val="21"/>
          <w:highlight w:val="none"/>
          <w:u w:val="dotted"/>
        </w:rPr>
      </w:pPr>
      <w:r>
        <w:rPr>
          <w:rFonts w:hint="eastAsia"/>
          <w:color w:val="auto"/>
          <w:szCs w:val="21"/>
          <w:highlight w:val="none"/>
        </w:rPr>
        <w:t>采购结果公告：</w:t>
      </w:r>
      <w:r>
        <w:rPr>
          <w:rFonts w:hint="eastAsia"/>
          <w:color w:val="auto"/>
          <w:szCs w:val="21"/>
          <w:highlight w:val="none"/>
          <w:u w:val="single"/>
        </w:rPr>
        <w:t>是/否</w:t>
      </w:r>
      <w:r>
        <w:rPr>
          <w:rFonts w:hint="eastAsia"/>
          <w:color w:val="auto"/>
          <w:szCs w:val="21"/>
          <w:highlight w:val="none"/>
        </w:rPr>
        <w:t xml:space="preserve"> 公告期限：</w:t>
      </w:r>
      <w:r>
        <w:rPr>
          <w:rFonts w:hint="eastAsia" w:cs="仿宋"/>
          <w:color w:val="auto"/>
          <w:szCs w:val="21"/>
          <w:highlight w:val="none"/>
          <w:u w:val="dotted"/>
        </w:rPr>
        <w:t xml:space="preserve">                 </w:t>
      </w:r>
      <w:r>
        <w:rPr>
          <w:rFonts w:cs="仿宋"/>
          <w:color w:val="auto"/>
          <w:szCs w:val="21"/>
          <w:highlight w:val="none"/>
          <w:u w:val="dotted"/>
        </w:rPr>
        <w:t>.</w:t>
      </w:r>
    </w:p>
    <w:p w14:paraId="3A1CD529">
      <w:pPr>
        <w:pStyle w:val="19"/>
        <w:keepNext w:val="0"/>
        <w:keepLines w:val="0"/>
        <w:pageBreakBefore w:val="0"/>
        <w:widowControl w:val="0"/>
        <w:numPr>
          <w:ilvl w:val="2"/>
          <w:numId w:val="32"/>
        </w:numPr>
        <w:kinsoku/>
        <w:wordWrap/>
        <w:overflowPunct/>
        <w:topLinePunct w:val="0"/>
        <w:bidi w:val="0"/>
        <w:spacing w:line="360" w:lineRule="auto"/>
        <w:ind w:left="0" w:firstLine="0"/>
        <w:rPr>
          <w:rFonts w:hint="eastAsia"/>
          <w:b/>
          <w:bCs/>
          <w:color w:val="auto"/>
          <w:szCs w:val="20"/>
          <w:highlight w:val="none"/>
        </w:rPr>
      </w:pPr>
      <w:r>
        <w:rPr>
          <w:rFonts w:hint="eastAsia"/>
          <w:b/>
          <w:bCs/>
          <w:color w:val="auto"/>
          <w:szCs w:val="20"/>
          <w:highlight w:val="none"/>
        </w:rPr>
        <w:t>质疑基本情况</w:t>
      </w:r>
    </w:p>
    <w:p w14:paraId="57C2481E">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rPr>
        <w:t>投诉人于 ____年____月____日,向提出质疑，质疑事项为：</w:t>
      </w:r>
      <w:r>
        <w:rPr>
          <w:rFonts w:hint="eastAsia" w:cs="仿宋"/>
          <w:color w:val="auto"/>
          <w:szCs w:val="21"/>
          <w:highlight w:val="none"/>
          <w:u w:val="dotted"/>
        </w:rPr>
        <w:t xml:space="preserve">                 </w:t>
      </w:r>
      <w:r>
        <w:rPr>
          <w:rFonts w:cs="仿宋"/>
          <w:color w:val="auto"/>
          <w:szCs w:val="21"/>
          <w:highlight w:val="none"/>
          <w:u w:val="dotted"/>
        </w:rPr>
        <w:t>.</w:t>
      </w:r>
    </w:p>
    <w:p w14:paraId="306447D8">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1"/>
          <w:highlight w:val="none"/>
        </w:rPr>
      </w:pP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采购人/代理机构</w:t>
      </w:r>
      <w:r>
        <w:rPr>
          <w:rFonts w:hint="eastAsia"/>
          <w:color w:val="auto"/>
          <w:szCs w:val="21"/>
          <w:highlight w:val="none"/>
        </w:rPr>
        <w:t>于____年____月____日,就质疑事项作出了答复/没有在法定期限内作出答复。</w:t>
      </w:r>
    </w:p>
    <w:p w14:paraId="3BD21DD5">
      <w:pPr>
        <w:pStyle w:val="19"/>
        <w:keepNext w:val="0"/>
        <w:keepLines w:val="0"/>
        <w:pageBreakBefore w:val="0"/>
        <w:widowControl w:val="0"/>
        <w:numPr>
          <w:ilvl w:val="2"/>
          <w:numId w:val="32"/>
        </w:numPr>
        <w:kinsoku/>
        <w:wordWrap/>
        <w:overflowPunct/>
        <w:topLinePunct w:val="0"/>
        <w:bidi w:val="0"/>
        <w:spacing w:line="360" w:lineRule="auto"/>
        <w:ind w:left="0" w:firstLine="0"/>
        <w:rPr>
          <w:rFonts w:hint="eastAsia"/>
          <w:b/>
          <w:bCs/>
          <w:color w:val="auto"/>
          <w:szCs w:val="20"/>
          <w:highlight w:val="none"/>
        </w:rPr>
      </w:pPr>
      <w:r>
        <w:rPr>
          <w:rFonts w:hint="eastAsia"/>
          <w:b/>
          <w:bCs/>
          <w:color w:val="auto"/>
          <w:szCs w:val="20"/>
          <w:highlight w:val="none"/>
        </w:rPr>
        <w:t>投诉事项具体内容</w:t>
      </w:r>
    </w:p>
    <w:p w14:paraId="0FA898BD">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投诉事项 1：</w:t>
      </w:r>
      <w:r>
        <w:rPr>
          <w:rFonts w:hint="eastAsia" w:cs="仿宋"/>
          <w:color w:val="auto"/>
          <w:szCs w:val="21"/>
          <w:highlight w:val="none"/>
          <w:u w:val="dotted"/>
        </w:rPr>
        <w:t xml:space="preserve">                 </w:t>
      </w:r>
      <w:r>
        <w:rPr>
          <w:rFonts w:cs="仿宋"/>
          <w:color w:val="auto"/>
          <w:szCs w:val="21"/>
          <w:highlight w:val="none"/>
          <w:u w:val="dotted"/>
        </w:rPr>
        <w:t>.</w:t>
      </w:r>
    </w:p>
    <w:p w14:paraId="3AF6BE36">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事实依据：</w:t>
      </w:r>
      <w:r>
        <w:rPr>
          <w:rFonts w:hint="eastAsia" w:cs="仿宋"/>
          <w:color w:val="auto"/>
          <w:szCs w:val="21"/>
          <w:highlight w:val="none"/>
          <w:u w:val="dotted"/>
        </w:rPr>
        <w:t xml:space="preserve">              </w:t>
      </w:r>
      <w:r>
        <w:rPr>
          <w:rFonts w:cs="仿宋"/>
          <w:color w:val="auto"/>
          <w:szCs w:val="21"/>
          <w:highlight w:val="none"/>
          <w:u w:val="dotted"/>
        </w:rPr>
        <w:t xml:space="preserve"> </w:t>
      </w:r>
      <w:r>
        <w:rPr>
          <w:rFonts w:hint="eastAsia" w:cs="仿宋"/>
          <w:color w:val="auto"/>
          <w:szCs w:val="21"/>
          <w:highlight w:val="none"/>
          <w:u w:val="dotted"/>
        </w:rPr>
        <w:t xml:space="preserve">   </w:t>
      </w:r>
      <w:r>
        <w:rPr>
          <w:rFonts w:cs="仿宋"/>
          <w:color w:val="auto"/>
          <w:szCs w:val="21"/>
          <w:highlight w:val="none"/>
          <w:u w:val="dotted"/>
        </w:rPr>
        <w:t>.</w:t>
      </w:r>
    </w:p>
    <w:p w14:paraId="2C40C11F">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法律依据：</w:t>
      </w:r>
      <w:r>
        <w:rPr>
          <w:rFonts w:hint="eastAsia" w:cs="仿宋"/>
          <w:color w:val="auto"/>
          <w:szCs w:val="21"/>
          <w:highlight w:val="none"/>
          <w:u w:val="dotted"/>
        </w:rPr>
        <w:t xml:space="preserve">              </w:t>
      </w:r>
      <w:r>
        <w:rPr>
          <w:rFonts w:cs="仿宋"/>
          <w:color w:val="auto"/>
          <w:szCs w:val="21"/>
          <w:highlight w:val="none"/>
          <w:u w:val="dotted"/>
        </w:rPr>
        <w:t xml:space="preserve"> </w:t>
      </w:r>
      <w:r>
        <w:rPr>
          <w:rFonts w:hint="eastAsia" w:cs="仿宋"/>
          <w:color w:val="auto"/>
          <w:szCs w:val="21"/>
          <w:highlight w:val="none"/>
          <w:u w:val="dotted"/>
        </w:rPr>
        <w:t xml:space="preserve">   </w:t>
      </w:r>
      <w:r>
        <w:rPr>
          <w:rFonts w:cs="仿宋"/>
          <w:color w:val="auto"/>
          <w:szCs w:val="21"/>
          <w:highlight w:val="none"/>
          <w:u w:val="dotted"/>
        </w:rPr>
        <w:t>.</w:t>
      </w:r>
    </w:p>
    <w:p w14:paraId="076CB018">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投诉事项2：</w:t>
      </w:r>
      <w:r>
        <w:rPr>
          <w:rFonts w:hint="eastAsia" w:cs="仿宋"/>
          <w:color w:val="auto"/>
          <w:szCs w:val="21"/>
          <w:highlight w:val="none"/>
          <w:u w:val="dotted"/>
        </w:rPr>
        <w:t xml:space="preserve">                 </w:t>
      </w:r>
      <w:r>
        <w:rPr>
          <w:rFonts w:cs="仿宋"/>
          <w:color w:val="auto"/>
          <w:szCs w:val="21"/>
          <w:highlight w:val="none"/>
          <w:u w:val="dotted"/>
        </w:rPr>
        <w:t>.</w:t>
      </w:r>
    </w:p>
    <w:p w14:paraId="20611EB6">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w:t>
      </w:r>
    </w:p>
    <w:p w14:paraId="2813A5DD">
      <w:pPr>
        <w:pStyle w:val="19"/>
        <w:keepNext w:val="0"/>
        <w:keepLines w:val="0"/>
        <w:pageBreakBefore w:val="0"/>
        <w:widowControl w:val="0"/>
        <w:numPr>
          <w:ilvl w:val="2"/>
          <w:numId w:val="32"/>
        </w:numPr>
        <w:kinsoku/>
        <w:wordWrap/>
        <w:overflowPunct/>
        <w:topLinePunct w:val="0"/>
        <w:bidi w:val="0"/>
        <w:spacing w:line="360" w:lineRule="auto"/>
        <w:ind w:left="0" w:firstLine="0"/>
        <w:rPr>
          <w:rFonts w:hint="eastAsia"/>
          <w:b/>
          <w:bCs/>
          <w:color w:val="auto"/>
          <w:szCs w:val="20"/>
          <w:highlight w:val="none"/>
        </w:rPr>
      </w:pPr>
      <w:r>
        <w:rPr>
          <w:rFonts w:hint="eastAsia"/>
          <w:b/>
          <w:bCs/>
          <w:color w:val="auto"/>
          <w:szCs w:val="20"/>
          <w:highlight w:val="none"/>
        </w:rPr>
        <w:t>与投诉事项相关的投诉请求</w:t>
      </w:r>
    </w:p>
    <w:p w14:paraId="0074CB17">
      <w:pPr>
        <w:pStyle w:val="19"/>
        <w:keepNext w:val="0"/>
        <w:keepLines w:val="0"/>
        <w:pageBreakBefore w:val="0"/>
        <w:widowControl w:val="0"/>
        <w:kinsoku/>
        <w:wordWrap/>
        <w:overflowPunct/>
        <w:topLinePunct w:val="0"/>
        <w:bidi w:val="0"/>
        <w:spacing w:line="360" w:lineRule="auto"/>
        <w:rPr>
          <w:rFonts w:hint="eastAsia"/>
          <w:color w:val="auto"/>
          <w:szCs w:val="21"/>
          <w:highlight w:val="none"/>
        </w:rPr>
      </w:pPr>
      <w:r>
        <w:rPr>
          <w:rFonts w:hint="eastAsia"/>
          <w:color w:val="auto"/>
          <w:szCs w:val="21"/>
          <w:highlight w:val="none"/>
        </w:rPr>
        <w:t>请求：</w:t>
      </w:r>
      <w:r>
        <w:rPr>
          <w:rFonts w:hint="eastAsia" w:cs="仿宋"/>
          <w:color w:val="auto"/>
          <w:szCs w:val="21"/>
          <w:highlight w:val="none"/>
          <w:u w:val="dotted"/>
        </w:rPr>
        <w:t xml:space="preserve">                 </w:t>
      </w:r>
      <w:r>
        <w:rPr>
          <w:rFonts w:cs="仿宋"/>
          <w:color w:val="auto"/>
          <w:szCs w:val="21"/>
          <w:highlight w:val="none"/>
          <w:u w:val="dotted"/>
        </w:rPr>
        <w:t>.</w:t>
      </w:r>
    </w:p>
    <w:p w14:paraId="7C3C1CC1">
      <w:pPr>
        <w:pStyle w:val="19"/>
        <w:keepNext w:val="0"/>
        <w:keepLines w:val="0"/>
        <w:pageBreakBefore w:val="0"/>
        <w:widowControl w:val="0"/>
        <w:kinsoku/>
        <w:wordWrap/>
        <w:overflowPunct/>
        <w:topLinePunct w:val="0"/>
        <w:bidi w:val="0"/>
        <w:spacing w:line="360" w:lineRule="auto"/>
        <w:rPr>
          <w:rFonts w:hint="eastAsia"/>
          <w:color w:val="auto"/>
          <w:szCs w:val="20"/>
          <w:highlight w:val="none"/>
        </w:rPr>
      </w:pPr>
    </w:p>
    <w:p w14:paraId="1E650604">
      <w:pPr>
        <w:keepNext w:val="0"/>
        <w:keepLines w:val="0"/>
        <w:pageBreakBefore w:val="0"/>
        <w:widowControl w:val="0"/>
        <w:kinsoku/>
        <w:wordWrap/>
        <w:overflowPunct/>
        <w:topLinePunct w:val="0"/>
        <w:bidi w:val="0"/>
        <w:spacing w:line="360" w:lineRule="auto"/>
        <w:jc w:val="right"/>
        <w:rPr>
          <w:rFonts w:hint="eastAsia"/>
          <w:color w:val="auto"/>
          <w:szCs w:val="21"/>
          <w:highlight w:val="none"/>
        </w:rPr>
      </w:pPr>
      <w:r>
        <w:rPr>
          <w:rFonts w:hint="eastAsia"/>
          <w:color w:val="auto"/>
          <w:szCs w:val="21"/>
          <w:highlight w:val="none"/>
        </w:rPr>
        <w:t>签字（签章）：</w:t>
      </w:r>
      <w:r>
        <w:rPr>
          <w:rFonts w:hint="eastAsia" w:cs="仿宋"/>
          <w:color w:val="auto"/>
          <w:szCs w:val="21"/>
          <w:highlight w:val="none"/>
          <w:u w:val="dotted"/>
        </w:rPr>
        <w:t xml:space="preserve">       </w:t>
      </w:r>
      <w:r>
        <w:rPr>
          <w:rFonts w:cs="仿宋"/>
          <w:color w:val="auto"/>
          <w:szCs w:val="21"/>
          <w:highlight w:val="none"/>
          <w:u w:val="dotted"/>
        </w:rPr>
        <w:t xml:space="preserve"> </w:t>
      </w:r>
      <w:r>
        <w:rPr>
          <w:rFonts w:hint="eastAsia" w:cs="仿宋"/>
          <w:color w:val="auto"/>
          <w:szCs w:val="21"/>
          <w:highlight w:val="none"/>
          <w:u w:val="dotted"/>
        </w:rPr>
        <w:t xml:space="preserve">   </w:t>
      </w:r>
      <w:r>
        <w:rPr>
          <w:rFonts w:hint="eastAsia"/>
          <w:color w:val="auto"/>
          <w:szCs w:val="21"/>
          <w:highlight w:val="none"/>
        </w:rPr>
        <w:t>公章：</w:t>
      </w:r>
      <w:r>
        <w:rPr>
          <w:rFonts w:hint="eastAsia" w:cs="仿宋"/>
          <w:color w:val="auto"/>
          <w:szCs w:val="21"/>
          <w:highlight w:val="none"/>
          <w:u w:val="dotted"/>
        </w:rPr>
        <w:t xml:space="preserve">       </w:t>
      </w:r>
      <w:r>
        <w:rPr>
          <w:rFonts w:cs="仿宋"/>
          <w:color w:val="auto"/>
          <w:szCs w:val="21"/>
          <w:highlight w:val="none"/>
          <w:u w:val="dotted"/>
        </w:rPr>
        <w:t xml:space="preserve"> </w:t>
      </w:r>
      <w:r>
        <w:rPr>
          <w:rFonts w:hint="eastAsia" w:cs="仿宋"/>
          <w:color w:val="auto"/>
          <w:szCs w:val="21"/>
          <w:highlight w:val="none"/>
          <w:u w:val="dotted"/>
        </w:rPr>
        <w:t xml:space="preserve">   </w:t>
      </w:r>
      <w:r>
        <w:rPr>
          <w:rFonts w:cs="仿宋"/>
          <w:color w:val="auto"/>
          <w:szCs w:val="21"/>
          <w:highlight w:val="none"/>
          <w:u w:val="dotted"/>
        </w:rPr>
        <w:t>.</w:t>
      </w:r>
    </w:p>
    <w:p w14:paraId="17A4D93F">
      <w:pPr>
        <w:pStyle w:val="19"/>
        <w:keepNext w:val="0"/>
        <w:keepLines w:val="0"/>
        <w:pageBreakBefore w:val="0"/>
        <w:widowControl w:val="0"/>
        <w:kinsoku/>
        <w:wordWrap/>
        <w:overflowPunct/>
        <w:topLinePunct w:val="0"/>
        <w:bidi w:val="0"/>
        <w:spacing w:line="360" w:lineRule="auto"/>
        <w:jc w:val="right"/>
        <w:rPr>
          <w:rFonts w:hint="eastAsia"/>
          <w:color w:val="auto"/>
          <w:szCs w:val="20"/>
          <w:highlight w:val="none"/>
        </w:rPr>
      </w:pPr>
      <w:r>
        <w:rPr>
          <w:rFonts w:hint="eastAsia"/>
          <w:color w:val="auto"/>
          <w:szCs w:val="16"/>
          <w:highlight w:val="none"/>
        </w:rPr>
        <w:t>日期：</w:t>
      </w:r>
      <w:r>
        <w:rPr>
          <w:rFonts w:hint="eastAsia" w:cs="仿宋"/>
          <w:color w:val="auto"/>
          <w:szCs w:val="16"/>
          <w:highlight w:val="none"/>
          <w:u w:val="dotted"/>
        </w:rPr>
        <w:t xml:space="preserve">     </w:t>
      </w:r>
      <w:r>
        <w:rPr>
          <w:rFonts w:hint="eastAsia"/>
          <w:color w:val="auto"/>
          <w:szCs w:val="16"/>
          <w:highlight w:val="none"/>
        </w:rPr>
        <w:t>年</w:t>
      </w:r>
      <w:r>
        <w:rPr>
          <w:rFonts w:hint="eastAsia" w:cs="仿宋"/>
          <w:color w:val="auto"/>
          <w:szCs w:val="16"/>
          <w:highlight w:val="none"/>
          <w:u w:val="dotted"/>
        </w:rPr>
        <w:t xml:space="preserve">     </w:t>
      </w:r>
      <w:r>
        <w:rPr>
          <w:rFonts w:hint="eastAsia"/>
          <w:color w:val="auto"/>
          <w:szCs w:val="16"/>
          <w:highlight w:val="none"/>
        </w:rPr>
        <w:t>月</w:t>
      </w:r>
      <w:r>
        <w:rPr>
          <w:rFonts w:hint="eastAsia" w:cs="仿宋"/>
          <w:color w:val="auto"/>
          <w:szCs w:val="16"/>
          <w:highlight w:val="none"/>
          <w:u w:val="dotted"/>
        </w:rPr>
        <w:t xml:space="preserve">     </w:t>
      </w:r>
      <w:r>
        <w:rPr>
          <w:rFonts w:hint="eastAsia"/>
          <w:color w:val="auto"/>
          <w:szCs w:val="16"/>
          <w:highlight w:val="none"/>
        </w:rPr>
        <w:t>日</w:t>
      </w:r>
      <w:r>
        <w:rPr>
          <w:color w:val="auto"/>
          <w:sz w:val="16"/>
          <w:szCs w:val="15"/>
          <w:highlight w:val="none"/>
        </w:rPr>
        <w:cr/>
      </w:r>
    </w:p>
    <w:p w14:paraId="5FB2AC8A">
      <w:pPr>
        <w:pStyle w:val="19"/>
        <w:keepNext w:val="0"/>
        <w:keepLines w:val="0"/>
        <w:pageBreakBefore w:val="0"/>
        <w:widowControl w:val="0"/>
        <w:kinsoku/>
        <w:wordWrap/>
        <w:overflowPunct/>
        <w:topLinePunct w:val="0"/>
        <w:bidi w:val="0"/>
        <w:spacing w:line="360" w:lineRule="auto"/>
        <w:rPr>
          <w:rFonts w:hint="eastAsia"/>
          <w:color w:val="auto"/>
          <w:szCs w:val="20"/>
          <w:highlight w:val="none"/>
        </w:rPr>
      </w:pPr>
      <w:r>
        <w:rPr>
          <w:rFonts w:hint="eastAsia"/>
          <w:color w:val="auto"/>
          <w:szCs w:val="20"/>
          <w:highlight w:val="none"/>
        </w:rPr>
        <w:t>投诉书制作说明：</w:t>
      </w:r>
    </w:p>
    <w:p w14:paraId="295BB80F">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1.投诉人提起投诉时，应当提交投诉书和必要的证明材料，并按照被投诉人和与投诉事项有关的供应商数量提供投诉书副本。</w:t>
      </w:r>
    </w:p>
    <w:p w14:paraId="3D84C858">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3D7B4AE8">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3.投诉人若对项目的某一分包进行投诉，投诉书应列明具体分包号。</w:t>
      </w:r>
    </w:p>
    <w:p w14:paraId="1B6643BA">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4.投诉书应简要列明质疑事项，质疑函、质疑答复等作为附件材料提供。</w:t>
      </w:r>
    </w:p>
    <w:p w14:paraId="55D30532">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5.投诉书的投诉事项应具体、明确，并有必要的事实依据和法律依据。</w:t>
      </w:r>
    </w:p>
    <w:p w14:paraId="37C634CA">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6.投诉书的投诉请求应与投诉事项相关。</w:t>
      </w:r>
    </w:p>
    <w:p w14:paraId="31764CB6">
      <w:pPr>
        <w:pStyle w:val="19"/>
        <w:keepNext w:val="0"/>
        <w:keepLines w:val="0"/>
        <w:pageBreakBefore w:val="0"/>
        <w:widowControl w:val="0"/>
        <w:kinsoku/>
        <w:wordWrap/>
        <w:overflowPunct/>
        <w:topLinePunct w:val="0"/>
        <w:bidi w:val="0"/>
        <w:spacing w:line="360" w:lineRule="auto"/>
        <w:ind w:firstLine="420" w:firstLineChars="200"/>
        <w:rPr>
          <w:rFonts w:hint="eastAsia"/>
          <w:color w:val="auto"/>
          <w:szCs w:val="20"/>
          <w:highlight w:val="none"/>
        </w:rPr>
      </w:pPr>
      <w:r>
        <w:rPr>
          <w:rFonts w:hint="eastAsia"/>
          <w:color w:val="auto"/>
          <w:szCs w:val="20"/>
          <w:highlight w:val="none"/>
        </w:rPr>
        <w:t>7.投诉人为自然人的，投诉书应当由本人签字；投诉人为法人或者其他组织的，投诉书应当由法定代表人、主要负责人，或者其授权代表签字或者盖章，并加盖公章。</w:t>
      </w:r>
      <w:r>
        <w:rPr>
          <w:color w:val="auto"/>
          <w:szCs w:val="20"/>
          <w:highlight w:val="none"/>
        </w:rPr>
        <w:cr/>
      </w:r>
    </w:p>
    <w:sectPr>
      <w:pgSz w:w="11906" w:h="16838"/>
      <w:pgMar w:top="1134" w:right="1134" w:bottom="1134" w:left="1134" w:header="426" w:footer="992" w:gutter="0"/>
      <w:paperSrc w:first="7"/>
      <w:pgNumType w:fmt="decimal"/>
      <w:cols w:space="0" w:num="1"/>
      <w:titlePg/>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文鼎CS中黑">
    <w:altName w:val="黑体"/>
    <w:panose1 w:val="00000000000000000000"/>
    <w:charset w:val="86"/>
    <w:family w:val="modern"/>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SimSun-Identity-H">
    <w:altName w:val="宋体"/>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文鼎CS中黑">
    <w:altName w:val="@黑体"/>
    <w:panose1 w:val="00000000000000000000"/>
    <w:charset w:val="86"/>
    <w:family w:val="modern"/>
    <w:pitch w:val="default"/>
    <w:sig w:usb0="00000000" w:usb1="00000000" w:usb2="00000010" w:usb3="00000000" w:csb0="00040000" w:csb1="00000000"/>
  </w:font>
  <w:font w:name="@黑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体">
    <w:altName w:val="仿宋"/>
    <w:panose1 w:val="00000000000000000000"/>
    <w:charset w:val="86"/>
    <w:family w:val="roma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Futura-Heavy">
    <w:altName w:val="Arial"/>
    <w:panose1 w:val="00000000000000000000"/>
    <w:charset w:val="00"/>
    <w:family w:val="swiss"/>
    <w:pitch w:val="default"/>
    <w:sig w:usb0="00000000" w:usb1="00000000" w:usb2="00000000" w:usb3="00000000" w:csb0="000001FB" w:csb1="00000000"/>
  </w:font>
  <w:font w:name="Calibri Light">
    <w:panose1 w:val="020F0302020204030204"/>
    <w:charset w:val="00"/>
    <w:family w:val="swiss"/>
    <w:pitch w:val="default"/>
    <w:sig w:usb0="E4002EFF" w:usb1="C200247B" w:usb2="00000009" w:usb3="00000000" w:csb0="200001FF" w:csb1="00000000"/>
  </w:font>
  <w:font w:name="@宋体">
    <w:panose1 w:val="02010600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298D4">
    <w:pPr>
      <w:pStyle w:val="2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EDB211">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9EDB211">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C08F9">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87D21">
    <w:pPr>
      <w:pStyle w:val="2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38215E">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38215E">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4B712">
    <w:pPr>
      <w:pStyle w:val="29"/>
      <w:tabs>
        <w:tab w:val="clear" w:pos="4153"/>
        <w:tab w:val="clear" w:pos="8306"/>
      </w:tabs>
      <w:rPr>
        <w:rFonts w:hint="eastAsia" w:eastAsia="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EF85BF">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EEF85BF">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E4089">
    <w:pPr>
      <w:pStyle w:val="29"/>
      <w:rPr>
        <w:rFonts w:hint="eastAsia" w:eastAsia="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E7D9E3">
                          <w:pPr>
                            <w:pStyle w:val="29"/>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2E7D9E3">
                    <w:pPr>
                      <w:pStyle w:val="29"/>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EF41F">
    <w:pPr>
      <w:pStyle w:val="30"/>
      <w:jc w:val="left"/>
      <w:rPr>
        <w:rFonts w:hint="eastAsia"/>
      </w:rPr>
    </w:pPr>
    <w:r>
      <w:drawing>
        <wp:inline distT="0" distB="0" distL="0" distR="0">
          <wp:extent cx="752475" cy="3619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52475" cy="3619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EFAD5">
    <w:pPr>
      <w:pStyle w:val="3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03F74">
    <w:pPr>
      <w:pStyle w:val="30"/>
      <w:pBdr>
        <w:bottom w:val="none" w:color="auto" w:sz="0" w:space="0"/>
      </w:pBdr>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079FE">
    <w:pPr>
      <w:pStyle w:val="30"/>
      <w:jc w:val="left"/>
      <w:rPr>
        <w:rFonts w:hint="eastAsia"/>
      </w:rPr>
    </w:pPr>
    <w:r>
      <w:drawing>
        <wp:inline distT="0" distB="0" distL="0" distR="0">
          <wp:extent cx="752475" cy="3619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52475" cy="361950"/>
                  </a:xfrm>
                  <a:prstGeom prst="rect">
                    <a:avLst/>
                  </a:prstGeom>
                  <a:noFill/>
                  <a:ln>
                    <a:noFill/>
                  </a:ln>
                </pic:spPr>
              </pic:pic>
            </a:graphicData>
          </a:graphic>
        </wp:inline>
      </w:drawing>
    </w:r>
    <w: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E8EC4">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348"/>
      <w:lvlText w:val="%1、"/>
      <w:lvlJc w:val="left"/>
      <w:pPr>
        <w:tabs>
          <w:tab w:val="left" w:pos="786"/>
        </w:tabs>
        <w:ind w:left="786" w:hanging="360"/>
      </w:pPr>
      <w:rPr>
        <w:rFonts w:hint="eastAsia"/>
      </w:rPr>
    </w:lvl>
    <w:lvl w:ilvl="1" w:tentative="0">
      <w:start w:val="1"/>
      <w:numFmt w:val="decimal"/>
      <w:lvlText w:val="（%2）"/>
      <w:lvlJc w:val="left"/>
      <w:pPr>
        <w:tabs>
          <w:tab w:val="left" w:pos="1569"/>
        </w:tabs>
        <w:ind w:left="1569" w:hanging="720"/>
      </w:pPr>
      <w:rPr>
        <w:rFonts w:hint="eastAsia"/>
      </w:rPr>
    </w:lvl>
    <w:lvl w:ilvl="2" w:tentative="0">
      <w:start w:val="1"/>
      <w:numFmt w:val="decimal"/>
      <w:lvlText w:val="%3．"/>
      <w:lvlJc w:val="left"/>
      <w:pPr>
        <w:tabs>
          <w:tab w:val="left" w:pos="1629"/>
        </w:tabs>
        <w:ind w:left="1629" w:hanging="360"/>
      </w:pPr>
      <w:rPr>
        <w:rFonts w:hint="eastAsia"/>
      </w:rPr>
    </w:lvl>
    <w:lvl w:ilvl="3" w:tentative="0">
      <w:start w:val="1"/>
      <w:numFmt w:val="decimal"/>
      <w:lvlText w:val="%4."/>
      <w:lvlJc w:val="left"/>
      <w:pPr>
        <w:tabs>
          <w:tab w:val="left" w:pos="2109"/>
        </w:tabs>
        <w:ind w:left="2109" w:hanging="420"/>
      </w:pPr>
    </w:lvl>
    <w:lvl w:ilvl="4" w:tentative="0">
      <w:start w:val="1"/>
      <w:numFmt w:val="lowerLetter"/>
      <w:lvlText w:val="%5)"/>
      <w:lvlJc w:val="left"/>
      <w:pPr>
        <w:tabs>
          <w:tab w:val="left" w:pos="2529"/>
        </w:tabs>
        <w:ind w:left="2529" w:hanging="420"/>
      </w:pPr>
    </w:lvl>
    <w:lvl w:ilvl="5" w:tentative="0">
      <w:start w:val="1"/>
      <w:numFmt w:val="lowerRoman"/>
      <w:lvlText w:val="%6."/>
      <w:lvlJc w:val="right"/>
      <w:pPr>
        <w:tabs>
          <w:tab w:val="left" w:pos="2949"/>
        </w:tabs>
        <w:ind w:left="2949" w:hanging="420"/>
      </w:pPr>
    </w:lvl>
    <w:lvl w:ilvl="6" w:tentative="0">
      <w:start w:val="1"/>
      <w:numFmt w:val="decimal"/>
      <w:lvlText w:val="%7."/>
      <w:lvlJc w:val="left"/>
      <w:pPr>
        <w:tabs>
          <w:tab w:val="left" w:pos="3369"/>
        </w:tabs>
        <w:ind w:left="3369" w:hanging="420"/>
      </w:pPr>
    </w:lvl>
    <w:lvl w:ilvl="7" w:tentative="0">
      <w:start w:val="1"/>
      <w:numFmt w:val="lowerLetter"/>
      <w:lvlText w:val="%8)"/>
      <w:lvlJc w:val="left"/>
      <w:pPr>
        <w:tabs>
          <w:tab w:val="left" w:pos="3789"/>
        </w:tabs>
        <w:ind w:left="3789" w:hanging="420"/>
      </w:pPr>
    </w:lvl>
    <w:lvl w:ilvl="8" w:tentative="0">
      <w:start w:val="1"/>
      <w:numFmt w:val="lowerRoman"/>
      <w:lvlText w:val="%9."/>
      <w:lvlJc w:val="right"/>
      <w:pPr>
        <w:tabs>
          <w:tab w:val="left" w:pos="4209"/>
        </w:tabs>
        <w:ind w:left="4209" w:hanging="420"/>
      </w:pPr>
    </w:lvl>
  </w:abstractNum>
  <w:abstractNum w:abstractNumId="1">
    <w:nsid w:val="0AE645BF"/>
    <w:multiLevelType w:val="multilevel"/>
    <w:tmpl w:val="0AE645BF"/>
    <w:lvl w:ilvl="0" w:tentative="0">
      <w:start w:val="1"/>
      <w:numFmt w:val="decimal"/>
      <w:suff w:val="nothing"/>
      <w:lvlText w:val="%1"/>
      <w:lvlJc w:val="left"/>
      <w:pPr>
        <w:ind w:left="440" w:hanging="440"/>
      </w:pPr>
      <w:rPr>
        <w:rFonts w:hint="eastAsia" w:ascii="宋体" w:hAnsi="宋体" w:eastAsia="宋体" w:cs="宋体"/>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0C4576C5"/>
    <w:multiLevelType w:val="multilevel"/>
    <w:tmpl w:val="0C4576C5"/>
    <w:lvl w:ilvl="0" w:tentative="0">
      <w:start w:val="1"/>
      <w:numFmt w:val="decimal"/>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F057019"/>
    <w:multiLevelType w:val="multilevel"/>
    <w:tmpl w:val="0F057019"/>
    <w:lvl w:ilvl="0" w:tentative="0">
      <w:start w:val="1"/>
      <w:numFmt w:val="decimal"/>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210193F"/>
    <w:multiLevelType w:val="multilevel"/>
    <w:tmpl w:val="1210193F"/>
    <w:lvl w:ilvl="0" w:tentative="0">
      <w:start w:val="1"/>
      <w:numFmt w:val="decimal"/>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2312063"/>
    <w:multiLevelType w:val="multilevel"/>
    <w:tmpl w:val="12312063"/>
    <w:lvl w:ilvl="0" w:tentative="0">
      <w:start w:val="1"/>
      <w:numFmt w:val="decimal"/>
      <w:lvlText w:val="%1."/>
      <w:lvlJc w:val="left"/>
      <w:pPr>
        <w:ind w:left="840" w:hanging="420"/>
      </w:pPr>
      <w:rPr>
        <w:rFonts w:hint="eastAsia"/>
      </w:rPr>
    </w:lvl>
    <w:lvl w:ilvl="1" w:tentative="0">
      <w:start w:val="1"/>
      <w:numFmt w:val="decimal"/>
      <w:suff w:val="space"/>
      <w:lvlText w:val="%2."/>
      <w:lvlJc w:val="left"/>
      <w:pPr>
        <w:ind w:left="420" w:hanging="420"/>
      </w:pPr>
      <w:rPr>
        <w:rFonts w:hint="eastAsia"/>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133C0F05"/>
    <w:multiLevelType w:val="multilevel"/>
    <w:tmpl w:val="133C0F05"/>
    <w:lvl w:ilvl="0" w:tentative="0">
      <w:start w:val="1"/>
      <w:numFmt w:val="decimal"/>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B0666B9"/>
    <w:multiLevelType w:val="multilevel"/>
    <w:tmpl w:val="1B0666B9"/>
    <w:lvl w:ilvl="0" w:tentative="0">
      <w:start w:val="1"/>
      <w:numFmt w:val="decimal"/>
      <w:suff w:val="nothing"/>
      <w:lvlText w:val="%1"/>
      <w:lvlJc w:val="left"/>
      <w:pPr>
        <w:ind w:left="420" w:hanging="420"/>
      </w:pPr>
      <w:rPr>
        <w:rFonts w:hint="eastAsia"/>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6D568E3"/>
    <w:multiLevelType w:val="multilevel"/>
    <w:tmpl w:val="26D568E3"/>
    <w:lvl w:ilvl="0" w:tentative="0">
      <w:start w:val="1"/>
      <w:numFmt w:val="decimal"/>
      <w:suff w:val="nothing"/>
      <w:lvlText w:val="%1"/>
      <w:lvlJc w:val="left"/>
      <w:pPr>
        <w:ind w:left="420" w:hanging="420"/>
      </w:pPr>
      <w:rPr>
        <w:rFonts w:hint="eastAsia" w:ascii="宋体" w:hAnsi="宋体" w:eastAsia="宋体"/>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2D65252E"/>
    <w:multiLevelType w:val="multilevel"/>
    <w:tmpl w:val="2D65252E"/>
    <w:lvl w:ilvl="0" w:tentative="0">
      <w:start w:val="1"/>
      <w:numFmt w:val="decimal"/>
      <w:suff w:val="nothing"/>
      <w:lvlText w:val="%1"/>
      <w:lvlJc w:val="left"/>
      <w:pPr>
        <w:ind w:left="440" w:hanging="440"/>
      </w:pPr>
      <w:rPr>
        <w:rFonts w:hint="eastAsia" w:ascii="宋体" w:hAnsi="宋体" w:eastAsia="宋体" w:cs="宋体"/>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3AC30442"/>
    <w:multiLevelType w:val="multilevel"/>
    <w:tmpl w:val="3AC30442"/>
    <w:lvl w:ilvl="0" w:tentative="0">
      <w:start w:val="1"/>
      <w:numFmt w:val="decimal"/>
      <w:suff w:val="nothing"/>
      <w:lvlText w:val="%1"/>
      <w:lvlJc w:val="left"/>
      <w:pPr>
        <w:ind w:left="440" w:hanging="440"/>
      </w:pPr>
      <w:rPr>
        <w:rFonts w:hint="eastAsia" w:ascii="宋体" w:hAnsi="宋体" w:eastAsia="宋体"/>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3BF84A49"/>
    <w:multiLevelType w:val="multilevel"/>
    <w:tmpl w:val="3BF84A49"/>
    <w:lvl w:ilvl="0" w:tentative="0">
      <w:start w:val="1"/>
      <w:numFmt w:val="decimal"/>
      <w:lvlText w:val="%1."/>
      <w:lvlJc w:val="left"/>
      <w:pPr>
        <w:ind w:left="860" w:hanging="420"/>
      </w:pPr>
      <w:rPr>
        <w:rFonts w:hint="eastAsia"/>
      </w:rPr>
    </w:lvl>
    <w:lvl w:ilvl="1" w:tentative="0">
      <w:start w:val="1"/>
      <w:numFmt w:val="lowerLetter"/>
      <w:lvlText w:val="%2)"/>
      <w:lvlJc w:val="left"/>
      <w:pPr>
        <w:ind w:left="1280" w:hanging="420"/>
      </w:pPr>
    </w:lvl>
    <w:lvl w:ilvl="2" w:tentative="0">
      <w:start w:val="1"/>
      <w:numFmt w:val="lowerRoman"/>
      <w:lvlText w:val="%3."/>
      <w:lvlJc w:val="right"/>
      <w:pPr>
        <w:ind w:left="1700" w:hanging="420"/>
      </w:pPr>
    </w:lvl>
    <w:lvl w:ilvl="3" w:tentative="0">
      <w:start w:val="1"/>
      <w:numFmt w:val="decimal"/>
      <w:lvlText w:val="%4."/>
      <w:lvlJc w:val="left"/>
      <w:pPr>
        <w:ind w:left="2120" w:hanging="420"/>
      </w:pPr>
    </w:lvl>
    <w:lvl w:ilvl="4" w:tentative="0">
      <w:start w:val="1"/>
      <w:numFmt w:val="lowerLetter"/>
      <w:lvlText w:val="%5)"/>
      <w:lvlJc w:val="left"/>
      <w:pPr>
        <w:ind w:left="2540" w:hanging="420"/>
      </w:pPr>
    </w:lvl>
    <w:lvl w:ilvl="5" w:tentative="0">
      <w:start w:val="1"/>
      <w:numFmt w:val="lowerRoman"/>
      <w:lvlText w:val="%6."/>
      <w:lvlJc w:val="right"/>
      <w:pPr>
        <w:ind w:left="2960" w:hanging="420"/>
      </w:pPr>
    </w:lvl>
    <w:lvl w:ilvl="6" w:tentative="0">
      <w:start w:val="1"/>
      <w:numFmt w:val="decimal"/>
      <w:lvlText w:val="%7."/>
      <w:lvlJc w:val="left"/>
      <w:pPr>
        <w:ind w:left="3380" w:hanging="420"/>
      </w:pPr>
    </w:lvl>
    <w:lvl w:ilvl="7" w:tentative="0">
      <w:start w:val="1"/>
      <w:numFmt w:val="lowerLetter"/>
      <w:lvlText w:val="%8)"/>
      <w:lvlJc w:val="left"/>
      <w:pPr>
        <w:ind w:left="3800" w:hanging="420"/>
      </w:pPr>
    </w:lvl>
    <w:lvl w:ilvl="8" w:tentative="0">
      <w:start w:val="1"/>
      <w:numFmt w:val="lowerRoman"/>
      <w:lvlText w:val="%9."/>
      <w:lvlJc w:val="right"/>
      <w:pPr>
        <w:ind w:left="4220" w:hanging="420"/>
      </w:pPr>
    </w:lvl>
  </w:abstractNum>
  <w:abstractNum w:abstractNumId="12">
    <w:nsid w:val="4E18775B"/>
    <w:multiLevelType w:val="singleLevel"/>
    <w:tmpl w:val="4E18775B"/>
    <w:lvl w:ilvl="0" w:tentative="0">
      <w:start w:val="1"/>
      <w:numFmt w:val="decimal"/>
      <w:suff w:val="nothing"/>
      <w:lvlText w:val="（%1）"/>
      <w:lvlJc w:val="left"/>
    </w:lvl>
  </w:abstractNum>
  <w:abstractNum w:abstractNumId="13">
    <w:nsid w:val="4E2D4FF8"/>
    <w:multiLevelType w:val="multilevel"/>
    <w:tmpl w:val="4E2D4FF8"/>
    <w:lvl w:ilvl="0" w:tentative="0">
      <w:start w:val="1"/>
      <w:numFmt w:val="decimal"/>
      <w:suff w:val="nothing"/>
      <w:lvlText w:val="%1."/>
      <w:lvlJc w:val="left"/>
      <w:pPr>
        <w:ind w:left="440" w:hanging="440"/>
      </w:pPr>
      <w:rPr>
        <w:rFonts w:hint="eastAsia" w:ascii="宋体" w:hAnsi="宋体" w:eastAsia="宋体"/>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4">
    <w:nsid w:val="567D3923"/>
    <w:multiLevelType w:val="multilevel"/>
    <w:tmpl w:val="567D3923"/>
    <w:lvl w:ilvl="0" w:tentative="0">
      <w:start w:val="1"/>
      <w:numFmt w:val="decimal"/>
      <w:suff w:val="nothing"/>
      <w:lvlText w:val="%1"/>
      <w:lvlJc w:val="left"/>
      <w:pPr>
        <w:ind w:left="420" w:hanging="420"/>
      </w:pPr>
      <w:rPr>
        <w:rFonts w:hint="eastAsia"/>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6F00EAC"/>
    <w:multiLevelType w:val="multilevel"/>
    <w:tmpl w:val="56F00EAC"/>
    <w:lvl w:ilvl="0" w:tentative="0">
      <w:start w:val="1"/>
      <w:numFmt w:val="decimal"/>
      <w:lvlText w:val="%1."/>
      <w:lvlJc w:val="left"/>
      <w:pPr>
        <w:ind w:left="420" w:hanging="420"/>
      </w:pPr>
      <w:rPr>
        <w:rFonts w:hint="eastAsia"/>
      </w:rPr>
    </w:lvl>
    <w:lvl w:ilvl="1" w:tentative="0">
      <w:start w:val="1"/>
      <w:numFmt w:val="decimal"/>
      <w:suff w:val="space"/>
      <w:lvlText w:val="%2."/>
      <w:lvlJc w:val="left"/>
      <w:pPr>
        <w:ind w:left="420" w:hanging="4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5A5410B6"/>
    <w:multiLevelType w:val="singleLevel"/>
    <w:tmpl w:val="5A5410B6"/>
    <w:lvl w:ilvl="0" w:tentative="0">
      <w:start w:val="1"/>
      <w:numFmt w:val="decimal"/>
      <w:pStyle w:val="184"/>
      <w:suff w:val="space"/>
      <w:lvlText w:val="%1)"/>
      <w:lvlJc w:val="left"/>
    </w:lvl>
  </w:abstractNum>
  <w:abstractNum w:abstractNumId="17">
    <w:nsid w:val="5A5422B0"/>
    <w:multiLevelType w:val="singleLevel"/>
    <w:tmpl w:val="5A5422B0"/>
    <w:lvl w:ilvl="0" w:tentative="0">
      <w:start w:val="1"/>
      <w:numFmt w:val="decimal"/>
      <w:suff w:val="space"/>
      <w:lvlText w:val="%1)"/>
      <w:lvlJc w:val="left"/>
    </w:lvl>
  </w:abstractNum>
  <w:abstractNum w:abstractNumId="18">
    <w:nsid w:val="5B1874DF"/>
    <w:multiLevelType w:val="multilevel"/>
    <w:tmpl w:val="5B1874DF"/>
    <w:lvl w:ilvl="0" w:tentative="0">
      <w:start w:val="1"/>
      <w:numFmt w:val="chineseCountingThousand"/>
      <w:suff w:val="nothing"/>
      <w:lvlText w:val="%1、"/>
      <w:lvlJc w:val="left"/>
      <w:pPr>
        <w:ind w:left="720" w:hanging="720"/>
      </w:pPr>
      <w:rPr>
        <w:rFonts w:hint="default"/>
        <w:b w:val="0"/>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9">
    <w:nsid w:val="5C421F5D"/>
    <w:multiLevelType w:val="multilevel"/>
    <w:tmpl w:val="5C421F5D"/>
    <w:lvl w:ilvl="0" w:tentative="0">
      <w:start w:val="1"/>
      <w:numFmt w:val="decimal"/>
      <w:suff w:val="nothing"/>
      <w:lvlText w:val="%1"/>
      <w:lvlJc w:val="left"/>
      <w:pPr>
        <w:ind w:left="420" w:hanging="420"/>
      </w:pPr>
      <w:rPr>
        <w:rFonts w:hint="eastAsia"/>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619B49BE"/>
    <w:multiLevelType w:val="multilevel"/>
    <w:tmpl w:val="619B49BE"/>
    <w:lvl w:ilvl="0" w:tentative="0">
      <w:start w:val="1"/>
      <w:numFmt w:val="decimal"/>
      <w:suff w:val="nothing"/>
      <w:lvlText w:val="%1"/>
      <w:lvlJc w:val="left"/>
      <w:pPr>
        <w:ind w:left="420" w:hanging="420"/>
      </w:pPr>
      <w:rPr>
        <w:rFonts w:hint="eastAsia" w:ascii="宋体" w:hAnsi="宋体" w:eastAsia="宋体"/>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1">
    <w:nsid w:val="666F7FCA"/>
    <w:multiLevelType w:val="multilevel"/>
    <w:tmpl w:val="666F7FCA"/>
    <w:lvl w:ilvl="0" w:tentative="0">
      <w:start w:val="1"/>
      <w:numFmt w:val="chineseCountingThousand"/>
      <w:suff w:val="nothing"/>
      <w:lvlText w:val="%1、"/>
      <w:lvlJc w:val="left"/>
      <w:pPr>
        <w:ind w:left="420" w:hanging="420"/>
      </w:pPr>
      <w:rPr>
        <w:rFonts w:hint="eastAsia"/>
      </w:rPr>
    </w:lvl>
    <w:lvl w:ilvl="1" w:tentative="0">
      <w:start w:val="1"/>
      <w:numFmt w:val="decimal"/>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6A22726A"/>
    <w:multiLevelType w:val="multilevel"/>
    <w:tmpl w:val="6A22726A"/>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chineseCountingThousand"/>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6D203057"/>
    <w:multiLevelType w:val="multilevel"/>
    <w:tmpl w:val="6D203057"/>
    <w:lvl w:ilvl="0" w:tentative="0">
      <w:start w:val="1"/>
      <w:numFmt w:val="decimal"/>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6D300ACB"/>
    <w:multiLevelType w:val="multilevel"/>
    <w:tmpl w:val="6D300ACB"/>
    <w:lvl w:ilvl="0" w:tentative="0">
      <w:start w:val="1"/>
      <w:numFmt w:val="chineseCountingThousand"/>
      <w:suff w:val="nothing"/>
      <w:lvlText w:val="%1、"/>
      <w:lvlJc w:val="left"/>
      <w:pPr>
        <w:ind w:left="420" w:hanging="420"/>
      </w:pPr>
      <w:rPr>
        <w:rFonts w:hint="eastAsia"/>
      </w:rPr>
    </w:lvl>
    <w:lvl w:ilvl="1" w:tentative="0">
      <w:start w:val="1"/>
      <w:numFmt w:val="decimal"/>
      <w:lvlText w:val="（%2）"/>
      <w:lvlJc w:val="left"/>
      <w:pPr>
        <w:ind w:left="1140" w:hanging="720"/>
      </w:pPr>
      <w:rPr>
        <w:rFonts w:hint="default"/>
      </w:rPr>
    </w:lvl>
    <w:lvl w:ilvl="2" w:tentative="0">
      <w:start w:val="1"/>
      <w:numFmt w:val="japaneseCounting"/>
      <w:lvlText w:val="%3、"/>
      <w:lvlJc w:val="left"/>
      <w:pPr>
        <w:ind w:left="1296" w:hanging="456"/>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E3A6AA4"/>
    <w:multiLevelType w:val="multilevel"/>
    <w:tmpl w:val="6E3A6AA4"/>
    <w:lvl w:ilvl="0" w:tentative="0">
      <w:start w:val="1"/>
      <w:numFmt w:val="decimal"/>
      <w:suff w:val="nothing"/>
      <w:lvlText w:val="%1."/>
      <w:lvlJc w:val="left"/>
      <w:pPr>
        <w:ind w:left="440" w:hanging="440"/>
      </w:pPr>
      <w:rPr>
        <w:rFonts w:hint="eastAsia" w:ascii="宋体" w:hAnsi="宋体" w:eastAsia="宋体"/>
        <w:b w:val="0"/>
        <w:bCs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6F9C0858"/>
    <w:multiLevelType w:val="multilevel"/>
    <w:tmpl w:val="6F9C0858"/>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chineseCountingThousand"/>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45C42E1"/>
    <w:multiLevelType w:val="multilevel"/>
    <w:tmpl w:val="745C42E1"/>
    <w:lvl w:ilvl="0" w:tentative="0">
      <w:start w:val="1"/>
      <w:numFmt w:val="chineseCountingThousand"/>
      <w:lvlText w:val="格式%1："/>
      <w:lvlJc w:val="left"/>
      <w:pPr>
        <w:ind w:left="420" w:hanging="420"/>
      </w:pPr>
      <w:rPr>
        <w:rFonts w:hint="eastAsia"/>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74618A2"/>
    <w:multiLevelType w:val="multilevel"/>
    <w:tmpl w:val="774618A2"/>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suff w:val="nothing"/>
      <w:lvlText w:val="%4."/>
      <w:lvlJc w:val="left"/>
      <w:pPr>
        <w:ind w:left="2120" w:hanging="440"/>
      </w:pPr>
      <w:rPr>
        <w:rFonts w:hint="eastAsia"/>
      </w:r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9">
    <w:nsid w:val="77D90384"/>
    <w:multiLevelType w:val="multilevel"/>
    <w:tmpl w:val="77D90384"/>
    <w:lvl w:ilvl="0" w:tentative="0">
      <w:start w:val="1"/>
      <w:numFmt w:val="decimal"/>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AF15434"/>
    <w:multiLevelType w:val="multilevel"/>
    <w:tmpl w:val="7AF15434"/>
    <w:lvl w:ilvl="0" w:tentative="0">
      <w:start w:val="1"/>
      <w:numFmt w:val="decimal"/>
      <w:suff w:val="nothing"/>
      <w:lvlText w:val="%1"/>
      <w:lvlJc w:val="left"/>
      <w:pPr>
        <w:ind w:left="846" w:hanging="420"/>
      </w:pPr>
      <w:rPr>
        <w:rFonts w:hint="eastAsia" w:ascii="宋体" w:hAnsi="宋体" w:eastAsia="宋体"/>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D5E521F"/>
    <w:multiLevelType w:val="multilevel"/>
    <w:tmpl w:val="7D5E521F"/>
    <w:lvl w:ilvl="0" w:tentative="0">
      <w:start w:val="1"/>
      <w:numFmt w:val="decimal"/>
      <w:suff w:val="nothing"/>
      <w:lvlText w:val="%1"/>
      <w:lvlJc w:val="left"/>
      <w:pPr>
        <w:ind w:left="420" w:hanging="420"/>
      </w:pPr>
      <w:rPr>
        <w:rFonts w:hint="eastAsia"/>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6"/>
  </w:num>
  <w:num w:numId="2">
    <w:abstractNumId w:val="17"/>
  </w:num>
  <w:num w:numId="3">
    <w:abstractNumId w:val="0"/>
  </w:num>
  <w:num w:numId="4">
    <w:abstractNumId w:val="18"/>
  </w:num>
  <w:num w:numId="5">
    <w:abstractNumId w:val="11"/>
  </w:num>
  <w:num w:numId="6">
    <w:abstractNumId w:val="12"/>
  </w:num>
  <w:num w:numId="7">
    <w:abstractNumId w:val="21"/>
  </w:num>
  <w:num w:numId="8">
    <w:abstractNumId w:val="30"/>
  </w:num>
  <w:num w:numId="9">
    <w:abstractNumId w:val="15"/>
  </w:num>
  <w:num w:numId="10">
    <w:abstractNumId w:val="2"/>
  </w:num>
  <w:num w:numId="11">
    <w:abstractNumId w:val="3"/>
  </w:num>
  <w:num w:numId="12">
    <w:abstractNumId w:val="23"/>
  </w:num>
  <w:num w:numId="13">
    <w:abstractNumId w:val="29"/>
  </w:num>
  <w:num w:numId="14">
    <w:abstractNumId w:val="24"/>
  </w:num>
  <w:num w:numId="15">
    <w:abstractNumId w:val="6"/>
  </w:num>
  <w:num w:numId="16">
    <w:abstractNumId w:val="5"/>
  </w:num>
  <w:num w:numId="17">
    <w:abstractNumId w:val="31"/>
  </w:num>
  <w:num w:numId="18">
    <w:abstractNumId w:val="4"/>
  </w:num>
  <w:num w:numId="19">
    <w:abstractNumId w:val="19"/>
  </w:num>
  <w:num w:numId="20">
    <w:abstractNumId w:val="8"/>
  </w:num>
  <w:num w:numId="21">
    <w:abstractNumId w:val="14"/>
  </w:num>
  <w:num w:numId="22">
    <w:abstractNumId w:val="7"/>
  </w:num>
  <w:num w:numId="23">
    <w:abstractNumId w:val="27"/>
  </w:num>
  <w:num w:numId="24">
    <w:abstractNumId w:val="10"/>
  </w:num>
  <w:num w:numId="25">
    <w:abstractNumId w:val="28"/>
  </w:num>
  <w:num w:numId="26">
    <w:abstractNumId w:val="20"/>
  </w:num>
  <w:num w:numId="27">
    <w:abstractNumId w:val="13"/>
  </w:num>
  <w:num w:numId="28">
    <w:abstractNumId w:val="1"/>
  </w:num>
  <w:num w:numId="29">
    <w:abstractNumId w:val="9"/>
  </w:num>
  <w:num w:numId="30">
    <w:abstractNumId w:val="25"/>
  </w:num>
  <w:num w:numId="31">
    <w:abstractNumId w:val="22"/>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5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1299"/>
    <w:rsid w:val="000013E9"/>
    <w:rsid w:val="000014E0"/>
    <w:rsid w:val="00001DEF"/>
    <w:rsid w:val="00002E8D"/>
    <w:rsid w:val="0000458A"/>
    <w:rsid w:val="000049CB"/>
    <w:rsid w:val="00005782"/>
    <w:rsid w:val="000062C0"/>
    <w:rsid w:val="000067C9"/>
    <w:rsid w:val="00006825"/>
    <w:rsid w:val="00006A9D"/>
    <w:rsid w:val="00006BE5"/>
    <w:rsid w:val="00007CAD"/>
    <w:rsid w:val="00010D87"/>
    <w:rsid w:val="00011353"/>
    <w:rsid w:val="00011415"/>
    <w:rsid w:val="00011A79"/>
    <w:rsid w:val="00012202"/>
    <w:rsid w:val="00014487"/>
    <w:rsid w:val="00014747"/>
    <w:rsid w:val="0001495F"/>
    <w:rsid w:val="00014AFF"/>
    <w:rsid w:val="00015A31"/>
    <w:rsid w:val="00016569"/>
    <w:rsid w:val="00016832"/>
    <w:rsid w:val="00017A1F"/>
    <w:rsid w:val="00017B50"/>
    <w:rsid w:val="00017E08"/>
    <w:rsid w:val="000212B0"/>
    <w:rsid w:val="0002137D"/>
    <w:rsid w:val="00021F2F"/>
    <w:rsid w:val="0002232A"/>
    <w:rsid w:val="00022618"/>
    <w:rsid w:val="00023112"/>
    <w:rsid w:val="00024146"/>
    <w:rsid w:val="00024375"/>
    <w:rsid w:val="00024B1B"/>
    <w:rsid w:val="00024BB3"/>
    <w:rsid w:val="00024CC4"/>
    <w:rsid w:val="00025171"/>
    <w:rsid w:val="000251E1"/>
    <w:rsid w:val="00025393"/>
    <w:rsid w:val="00025785"/>
    <w:rsid w:val="00025E0B"/>
    <w:rsid w:val="000261C9"/>
    <w:rsid w:val="00026FB2"/>
    <w:rsid w:val="00027182"/>
    <w:rsid w:val="00027202"/>
    <w:rsid w:val="00030A1C"/>
    <w:rsid w:val="00030D45"/>
    <w:rsid w:val="00030D4D"/>
    <w:rsid w:val="00030F86"/>
    <w:rsid w:val="000310FE"/>
    <w:rsid w:val="000314DF"/>
    <w:rsid w:val="000317C3"/>
    <w:rsid w:val="0003189D"/>
    <w:rsid w:val="00031A00"/>
    <w:rsid w:val="0003271D"/>
    <w:rsid w:val="000329F6"/>
    <w:rsid w:val="00032D7B"/>
    <w:rsid w:val="00033B87"/>
    <w:rsid w:val="00034C17"/>
    <w:rsid w:val="00034E6A"/>
    <w:rsid w:val="0003611C"/>
    <w:rsid w:val="000361B8"/>
    <w:rsid w:val="0003698E"/>
    <w:rsid w:val="0004008F"/>
    <w:rsid w:val="00040531"/>
    <w:rsid w:val="00040CE9"/>
    <w:rsid w:val="00041F76"/>
    <w:rsid w:val="00042B47"/>
    <w:rsid w:val="00043057"/>
    <w:rsid w:val="00043669"/>
    <w:rsid w:val="00043BF7"/>
    <w:rsid w:val="00044007"/>
    <w:rsid w:val="00044050"/>
    <w:rsid w:val="000446FF"/>
    <w:rsid w:val="00044EA3"/>
    <w:rsid w:val="00045842"/>
    <w:rsid w:val="00045BB9"/>
    <w:rsid w:val="00046212"/>
    <w:rsid w:val="00046238"/>
    <w:rsid w:val="000467E4"/>
    <w:rsid w:val="00046832"/>
    <w:rsid w:val="0004786C"/>
    <w:rsid w:val="00047FD2"/>
    <w:rsid w:val="000514CA"/>
    <w:rsid w:val="000515C4"/>
    <w:rsid w:val="000516CA"/>
    <w:rsid w:val="00051973"/>
    <w:rsid w:val="000523E0"/>
    <w:rsid w:val="00053B89"/>
    <w:rsid w:val="00053BB7"/>
    <w:rsid w:val="0005400D"/>
    <w:rsid w:val="000547C9"/>
    <w:rsid w:val="0005601C"/>
    <w:rsid w:val="00056379"/>
    <w:rsid w:val="0005678F"/>
    <w:rsid w:val="00057683"/>
    <w:rsid w:val="00057C25"/>
    <w:rsid w:val="000616F5"/>
    <w:rsid w:val="00061989"/>
    <w:rsid w:val="00062459"/>
    <w:rsid w:val="0006253D"/>
    <w:rsid w:val="0006262D"/>
    <w:rsid w:val="00062AE0"/>
    <w:rsid w:val="00062C84"/>
    <w:rsid w:val="00062E05"/>
    <w:rsid w:val="00063481"/>
    <w:rsid w:val="000650B6"/>
    <w:rsid w:val="00065688"/>
    <w:rsid w:val="00065E2F"/>
    <w:rsid w:val="00066159"/>
    <w:rsid w:val="00066997"/>
    <w:rsid w:val="00066C93"/>
    <w:rsid w:val="00066CBD"/>
    <w:rsid w:val="00066E7F"/>
    <w:rsid w:val="00066EBC"/>
    <w:rsid w:val="000675B7"/>
    <w:rsid w:val="00067C5A"/>
    <w:rsid w:val="00070803"/>
    <w:rsid w:val="00070C6A"/>
    <w:rsid w:val="00071193"/>
    <w:rsid w:val="000711C4"/>
    <w:rsid w:val="0007231D"/>
    <w:rsid w:val="00072BCE"/>
    <w:rsid w:val="000731F5"/>
    <w:rsid w:val="00073C42"/>
    <w:rsid w:val="00074C41"/>
    <w:rsid w:val="00074E7B"/>
    <w:rsid w:val="00075121"/>
    <w:rsid w:val="00076E5F"/>
    <w:rsid w:val="000770F5"/>
    <w:rsid w:val="00077D51"/>
    <w:rsid w:val="00077EB9"/>
    <w:rsid w:val="00080CB0"/>
    <w:rsid w:val="00080DAE"/>
    <w:rsid w:val="00081520"/>
    <w:rsid w:val="00081655"/>
    <w:rsid w:val="00081972"/>
    <w:rsid w:val="00081CB1"/>
    <w:rsid w:val="00081CDB"/>
    <w:rsid w:val="00081FC3"/>
    <w:rsid w:val="000838FE"/>
    <w:rsid w:val="0008531F"/>
    <w:rsid w:val="00085947"/>
    <w:rsid w:val="0008596C"/>
    <w:rsid w:val="00085EB6"/>
    <w:rsid w:val="0008635E"/>
    <w:rsid w:val="00086A33"/>
    <w:rsid w:val="00087DB8"/>
    <w:rsid w:val="00087DE3"/>
    <w:rsid w:val="00090865"/>
    <w:rsid w:val="00090B77"/>
    <w:rsid w:val="000914E6"/>
    <w:rsid w:val="000916F7"/>
    <w:rsid w:val="00091A06"/>
    <w:rsid w:val="00091ABB"/>
    <w:rsid w:val="000921B9"/>
    <w:rsid w:val="00093A9E"/>
    <w:rsid w:val="00093D6F"/>
    <w:rsid w:val="0009477C"/>
    <w:rsid w:val="000965F8"/>
    <w:rsid w:val="000968A7"/>
    <w:rsid w:val="000969AD"/>
    <w:rsid w:val="00096C3A"/>
    <w:rsid w:val="00096C8A"/>
    <w:rsid w:val="000972C0"/>
    <w:rsid w:val="00097A9C"/>
    <w:rsid w:val="00097C2A"/>
    <w:rsid w:val="000A0647"/>
    <w:rsid w:val="000A18C9"/>
    <w:rsid w:val="000A1D27"/>
    <w:rsid w:val="000A24C1"/>
    <w:rsid w:val="000A2B41"/>
    <w:rsid w:val="000A2C52"/>
    <w:rsid w:val="000A2D7C"/>
    <w:rsid w:val="000A41BE"/>
    <w:rsid w:val="000A4B7E"/>
    <w:rsid w:val="000A4C69"/>
    <w:rsid w:val="000A4D91"/>
    <w:rsid w:val="000A5185"/>
    <w:rsid w:val="000A5607"/>
    <w:rsid w:val="000A5A49"/>
    <w:rsid w:val="000A5B1C"/>
    <w:rsid w:val="000A6E1A"/>
    <w:rsid w:val="000B0280"/>
    <w:rsid w:val="000B0E60"/>
    <w:rsid w:val="000B17A0"/>
    <w:rsid w:val="000B2335"/>
    <w:rsid w:val="000B25C8"/>
    <w:rsid w:val="000B265C"/>
    <w:rsid w:val="000B2C61"/>
    <w:rsid w:val="000B2E22"/>
    <w:rsid w:val="000B3166"/>
    <w:rsid w:val="000B37BC"/>
    <w:rsid w:val="000B3955"/>
    <w:rsid w:val="000B3CC6"/>
    <w:rsid w:val="000B42D3"/>
    <w:rsid w:val="000B4536"/>
    <w:rsid w:val="000B4976"/>
    <w:rsid w:val="000B4CF2"/>
    <w:rsid w:val="000B525E"/>
    <w:rsid w:val="000B568A"/>
    <w:rsid w:val="000B599C"/>
    <w:rsid w:val="000B5B67"/>
    <w:rsid w:val="000B60DF"/>
    <w:rsid w:val="000B62D4"/>
    <w:rsid w:val="000B6305"/>
    <w:rsid w:val="000B6441"/>
    <w:rsid w:val="000B657B"/>
    <w:rsid w:val="000B68E0"/>
    <w:rsid w:val="000B7DC9"/>
    <w:rsid w:val="000B7E65"/>
    <w:rsid w:val="000C000B"/>
    <w:rsid w:val="000C080E"/>
    <w:rsid w:val="000C0882"/>
    <w:rsid w:val="000C08EC"/>
    <w:rsid w:val="000C0E13"/>
    <w:rsid w:val="000C0E80"/>
    <w:rsid w:val="000C173C"/>
    <w:rsid w:val="000C1B44"/>
    <w:rsid w:val="000C2898"/>
    <w:rsid w:val="000C2CF5"/>
    <w:rsid w:val="000C33C4"/>
    <w:rsid w:val="000C373F"/>
    <w:rsid w:val="000C3A15"/>
    <w:rsid w:val="000C3E4D"/>
    <w:rsid w:val="000C3F26"/>
    <w:rsid w:val="000C4A44"/>
    <w:rsid w:val="000C4B63"/>
    <w:rsid w:val="000C4C06"/>
    <w:rsid w:val="000C4E00"/>
    <w:rsid w:val="000C56E2"/>
    <w:rsid w:val="000C57E5"/>
    <w:rsid w:val="000C5A60"/>
    <w:rsid w:val="000C5E46"/>
    <w:rsid w:val="000C618E"/>
    <w:rsid w:val="000C67FA"/>
    <w:rsid w:val="000C6921"/>
    <w:rsid w:val="000C6CE6"/>
    <w:rsid w:val="000C70B9"/>
    <w:rsid w:val="000C76A5"/>
    <w:rsid w:val="000D0141"/>
    <w:rsid w:val="000D0DFA"/>
    <w:rsid w:val="000D2563"/>
    <w:rsid w:val="000D3152"/>
    <w:rsid w:val="000D32E4"/>
    <w:rsid w:val="000D37D7"/>
    <w:rsid w:val="000D3DE1"/>
    <w:rsid w:val="000D3E55"/>
    <w:rsid w:val="000D4D2C"/>
    <w:rsid w:val="000D5492"/>
    <w:rsid w:val="000D5C95"/>
    <w:rsid w:val="000D657A"/>
    <w:rsid w:val="000D6625"/>
    <w:rsid w:val="000D726F"/>
    <w:rsid w:val="000D7D5D"/>
    <w:rsid w:val="000E131B"/>
    <w:rsid w:val="000E1422"/>
    <w:rsid w:val="000E1853"/>
    <w:rsid w:val="000E1926"/>
    <w:rsid w:val="000E1E79"/>
    <w:rsid w:val="000E208F"/>
    <w:rsid w:val="000E244A"/>
    <w:rsid w:val="000E28EA"/>
    <w:rsid w:val="000E2BE4"/>
    <w:rsid w:val="000E3541"/>
    <w:rsid w:val="000E3697"/>
    <w:rsid w:val="000E3F00"/>
    <w:rsid w:val="000E4163"/>
    <w:rsid w:val="000E4B71"/>
    <w:rsid w:val="000E4D99"/>
    <w:rsid w:val="000E5885"/>
    <w:rsid w:val="000E5B4E"/>
    <w:rsid w:val="000E5E95"/>
    <w:rsid w:val="000E6CBC"/>
    <w:rsid w:val="000E7149"/>
    <w:rsid w:val="000E79F3"/>
    <w:rsid w:val="000E7A1B"/>
    <w:rsid w:val="000E7C3C"/>
    <w:rsid w:val="000E7CE1"/>
    <w:rsid w:val="000E7F94"/>
    <w:rsid w:val="000F0A27"/>
    <w:rsid w:val="000F0C8C"/>
    <w:rsid w:val="000F10F4"/>
    <w:rsid w:val="000F1CDA"/>
    <w:rsid w:val="000F1DB6"/>
    <w:rsid w:val="000F25FE"/>
    <w:rsid w:val="000F2702"/>
    <w:rsid w:val="000F2D39"/>
    <w:rsid w:val="000F3035"/>
    <w:rsid w:val="000F3622"/>
    <w:rsid w:val="000F3FD3"/>
    <w:rsid w:val="000F4ECC"/>
    <w:rsid w:val="000F52D8"/>
    <w:rsid w:val="000F53C7"/>
    <w:rsid w:val="000F603C"/>
    <w:rsid w:val="000F6823"/>
    <w:rsid w:val="000F76B5"/>
    <w:rsid w:val="000F7A04"/>
    <w:rsid w:val="001000C5"/>
    <w:rsid w:val="00100911"/>
    <w:rsid w:val="00100CEA"/>
    <w:rsid w:val="00101332"/>
    <w:rsid w:val="001015EC"/>
    <w:rsid w:val="001015FE"/>
    <w:rsid w:val="001020E5"/>
    <w:rsid w:val="0010239E"/>
    <w:rsid w:val="00102768"/>
    <w:rsid w:val="00102F9A"/>
    <w:rsid w:val="00104419"/>
    <w:rsid w:val="001047CE"/>
    <w:rsid w:val="001061BE"/>
    <w:rsid w:val="0010636C"/>
    <w:rsid w:val="001066A3"/>
    <w:rsid w:val="00106D93"/>
    <w:rsid w:val="00107907"/>
    <w:rsid w:val="00107EC5"/>
    <w:rsid w:val="00110592"/>
    <w:rsid w:val="001106E4"/>
    <w:rsid w:val="001108DD"/>
    <w:rsid w:val="00111610"/>
    <w:rsid w:val="001116C5"/>
    <w:rsid w:val="001118E8"/>
    <w:rsid w:val="00111E6D"/>
    <w:rsid w:val="0011203B"/>
    <w:rsid w:val="00112150"/>
    <w:rsid w:val="001126BF"/>
    <w:rsid w:val="0011294C"/>
    <w:rsid w:val="0011317A"/>
    <w:rsid w:val="00113445"/>
    <w:rsid w:val="00113C4D"/>
    <w:rsid w:val="00113E73"/>
    <w:rsid w:val="00114630"/>
    <w:rsid w:val="00115A76"/>
    <w:rsid w:val="00115AC2"/>
    <w:rsid w:val="00116666"/>
    <w:rsid w:val="00117C77"/>
    <w:rsid w:val="00117F10"/>
    <w:rsid w:val="001207F1"/>
    <w:rsid w:val="00120989"/>
    <w:rsid w:val="0012149D"/>
    <w:rsid w:val="00121891"/>
    <w:rsid w:val="00121EA4"/>
    <w:rsid w:val="00122C52"/>
    <w:rsid w:val="00123C4A"/>
    <w:rsid w:val="00123F3C"/>
    <w:rsid w:val="00124563"/>
    <w:rsid w:val="00125200"/>
    <w:rsid w:val="001256CE"/>
    <w:rsid w:val="0012631E"/>
    <w:rsid w:val="00126DFA"/>
    <w:rsid w:val="0012791F"/>
    <w:rsid w:val="00127B0A"/>
    <w:rsid w:val="00130FA5"/>
    <w:rsid w:val="0013103E"/>
    <w:rsid w:val="0013169E"/>
    <w:rsid w:val="0013199B"/>
    <w:rsid w:val="00131F68"/>
    <w:rsid w:val="0013226D"/>
    <w:rsid w:val="00132558"/>
    <w:rsid w:val="00132D24"/>
    <w:rsid w:val="00133282"/>
    <w:rsid w:val="00133495"/>
    <w:rsid w:val="001334D9"/>
    <w:rsid w:val="00133A3A"/>
    <w:rsid w:val="00133E05"/>
    <w:rsid w:val="00133FCC"/>
    <w:rsid w:val="001341F5"/>
    <w:rsid w:val="00134432"/>
    <w:rsid w:val="00134651"/>
    <w:rsid w:val="001348EA"/>
    <w:rsid w:val="0013537A"/>
    <w:rsid w:val="0013564B"/>
    <w:rsid w:val="00136A0D"/>
    <w:rsid w:val="00136A61"/>
    <w:rsid w:val="00136AA0"/>
    <w:rsid w:val="00136DE9"/>
    <w:rsid w:val="00136DF7"/>
    <w:rsid w:val="001375C3"/>
    <w:rsid w:val="00140499"/>
    <w:rsid w:val="001407E5"/>
    <w:rsid w:val="001421D6"/>
    <w:rsid w:val="00142621"/>
    <w:rsid w:val="0014280C"/>
    <w:rsid w:val="00142B41"/>
    <w:rsid w:val="001432A1"/>
    <w:rsid w:val="0014393F"/>
    <w:rsid w:val="00143BF2"/>
    <w:rsid w:val="001452A6"/>
    <w:rsid w:val="00145D3E"/>
    <w:rsid w:val="00146063"/>
    <w:rsid w:val="00146FD3"/>
    <w:rsid w:val="00147137"/>
    <w:rsid w:val="0014722F"/>
    <w:rsid w:val="0014739F"/>
    <w:rsid w:val="00147508"/>
    <w:rsid w:val="00147FAC"/>
    <w:rsid w:val="00150920"/>
    <w:rsid w:val="001516F6"/>
    <w:rsid w:val="0015254C"/>
    <w:rsid w:val="001525AE"/>
    <w:rsid w:val="001531DF"/>
    <w:rsid w:val="0015380E"/>
    <w:rsid w:val="00153B59"/>
    <w:rsid w:val="0015479B"/>
    <w:rsid w:val="00155446"/>
    <w:rsid w:val="00155595"/>
    <w:rsid w:val="00156181"/>
    <w:rsid w:val="00156873"/>
    <w:rsid w:val="00157933"/>
    <w:rsid w:val="00161ACE"/>
    <w:rsid w:val="00162251"/>
    <w:rsid w:val="00162375"/>
    <w:rsid w:val="00162D90"/>
    <w:rsid w:val="0016377A"/>
    <w:rsid w:val="001648AD"/>
    <w:rsid w:val="001651FF"/>
    <w:rsid w:val="00165809"/>
    <w:rsid w:val="00166F1F"/>
    <w:rsid w:val="00166FC8"/>
    <w:rsid w:val="00167834"/>
    <w:rsid w:val="00170F9A"/>
    <w:rsid w:val="00171130"/>
    <w:rsid w:val="0017116E"/>
    <w:rsid w:val="0017153A"/>
    <w:rsid w:val="0017155F"/>
    <w:rsid w:val="00171844"/>
    <w:rsid w:val="00171A10"/>
    <w:rsid w:val="00171C6E"/>
    <w:rsid w:val="0017249E"/>
    <w:rsid w:val="0017250E"/>
    <w:rsid w:val="001725FC"/>
    <w:rsid w:val="001726FC"/>
    <w:rsid w:val="001728B1"/>
    <w:rsid w:val="00172A27"/>
    <w:rsid w:val="00172A3D"/>
    <w:rsid w:val="00172BEA"/>
    <w:rsid w:val="00172D13"/>
    <w:rsid w:val="00172ED7"/>
    <w:rsid w:val="001730CF"/>
    <w:rsid w:val="001737B6"/>
    <w:rsid w:val="001739AE"/>
    <w:rsid w:val="00173B14"/>
    <w:rsid w:val="0017651C"/>
    <w:rsid w:val="001767CC"/>
    <w:rsid w:val="00176EC1"/>
    <w:rsid w:val="00177B98"/>
    <w:rsid w:val="00177E75"/>
    <w:rsid w:val="001805DC"/>
    <w:rsid w:val="00181402"/>
    <w:rsid w:val="00181B65"/>
    <w:rsid w:val="0018293F"/>
    <w:rsid w:val="00183129"/>
    <w:rsid w:val="0018323B"/>
    <w:rsid w:val="00183317"/>
    <w:rsid w:val="00184A1B"/>
    <w:rsid w:val="00186215"/>
    <w:rsid w:val="00186737"/>
    <w:rsid w:val="001869BE"/>
    <w:rsid w:val="00187141"/>
    <w:rsid w:val="00187B61"/>
    <w:rsid w:val="0019037F"/>
    <w:rsid w:val="0019130F"/>
    <w:rsid w:val="00191C18"/>
    <w:rsid w:val="00191FFC"/>
    <w:rsid w:val="001920D2"/>
    <w:rsid w:val="0019244A"/>
    <w:rsid w:val="001926AD"/>
    <w:rsid w:val="001927EC"/>
    <w:rsid w:val="001933D5"/>
    <w:rsid w:val="001944E3"/>
    <w:rsid w:val="001947BE"/>
    <w:rsid w:val="001948B1"/>
    <w:rsid w:val="00195200"/>
    <w:rsid w:val="001963ED"/>
    <w:rsid w:val="00196844"/>
    <w:rsid w:val="00197CA9"/>
    <w:rsid w:val="001A00C0"/>
    <w:rsid w:val="001A0FE4"/>
    <w:rsid w:val="001A0FF1"/>
    <w:rsid w:val="001A15C1"/>
    <w:rsid w:val="001A18C3"/>
    <w:rsid w:val="001A27D1"/>
    <w:rsid w:val="001A2A04"/>
    <w:rsid w:val="001A2AA1"/>
    <w:rsid w:val="001A3019"/>
    <w:rsid w:val="001A4672"/>
    <w:rsid w:val="001A4821"/>
    <w:rsid w:val="001A58A3"/>
    <w:rsid w:val="001A6824"/>
    <w:rsid w:val="001A6B25"/>
    <w:rsid w:val="001A6F55"/>
    <w:rsid w:val="001A7C19"/>
    <w:rsid w:val="001A7D36"/>
    <w:rsid w:val="001B078D"/>
    <w:rsid w:val="001B086F"/>
    <w:rsid w:val="001B16DD"/>
    <w:rsid w:val="001B16F7"/>
    <w:rsid w:val="001B1A44"/>
    <w:rsid w:val="001B1EDF"/>
    <w:rsid w:val="001B24F2"/>
    <w:rsid w:val="001B2A67"/>
    <w:rsid w:val="001B2E0C"/>
    <w:rsid w:val="001B3125"/>
    <w:rsid w:val="001B341E"/>
    <w:rsid w:val="001B40EE"/>
    <w:rsid w:val="001B66F6"/>
    <w:rsid w:val="001B6FD5"/>
    <w:rsid w:val="001B706E"/>
    <w:rsid w:val="001B7AFC"/>
    <w:rsid w:val="001B7BC9"/>
    <w:rsid w:val="001B7C21"/>
    <w:rsid w:val="001C0AE1"/>
    <w:rsid w:val="001C181A"/>
    <w:rsid w:val="001C2468"/>
    <w:rsid w:val="001C2864"/>
    <w:rsid w:val="001C349A"/>
    <w:rsid w:val="001C378F"/>
    <w:rsid w:val="001C3B45"/>
    <w:rsid w:val="001C3D05"/>
    <w:rsid w:val="001C3D5B"/>
    <w:rsid w:val="001C4990"/>
    <w:rsid w:val="001C4C75"/>
    <w:rsid w:val="001C536B"/>
    <w:rsid w:val="001C5451"/>
    <w:rsid w:val="001C56AE"/>
    <w:rsid w:val="001C76BC"/>
    <w:rsid w:val="001C7AF5"/>
    <w:rsid w:val="001D0859"/>
    <w:rsid w:val="001D11FE"/>
    <w:rsid w:val="001D1502"/>
    <w:rsid w:val="001D176D"/>
    <w:rsid w:val="001D1E0B"/>
    <w:rsid w:val="001D1ED0"/>
    <w:rsid w:val="001D2545"/>
    <w:rsid w:val="001D2637"/>
    <w:rsid w:val="001D2A67"/>
    <w:rsid w:val="001D2C12"/>
    <w:rsid w:val="001D2D8E"/>
    <w:rsid w:val="001D3439"/>
    <w:rsid w:val="001D3C53"/>
    <w:rsid w:val="001D3C58"/>
    <w:rsid w:val="001D4AEC"/>
    <w:rsid w:val="001D4E79"/>
    <w:rsid w:val="001D5347"/>
    <w:rsid w:val="001D547A"/>
    <w:rsid w:val="001D552D"/>
    <w:rsid w:val="001D63EA"/>
    <w:rsid w:val="001D671C"/>
    <w:rsid w:val="001D7311"/>
    <w:rsid w:val="001D79E3"/>
    <w:rsid w:val="001E0BCE"/>
    <w:rsid w:val="001E0C0D"/>
    <w:rsid w:val="001E1819"/>
    <w:rsid w:val="001E1BF0"/>
    <w:rsid w:val="001E277B"/>
    <w:rsid w:val="001E293C"/>
    <w:rsid w:val="001E2C9F"/>
    <w:rsid w:val="001E3E7B"/>
    <w:rsid w:val="001E41B9"/>
    <w:rsid w:val="001E41E3"/>
    <w:rsid w:val="001E4E28"/>
    <w:rsid w:val="001E6BCB"/>
    <w:rsid w:val="001E6BDE"/>
    <w:rsid w:val="001E72AF"/>
    <w:rsid w:val="001E7413"/>
    <w:rsid w:val="001E7CA0"/>
    <w:rsid w:val="001F07E3"/>
    <w:rsid w:val="001F12E2"/>
    <w:rsid w:val="001F1970"/>
    <w:rsid w:val="001F21E7"/>
    <w:rsid w:val="001F2AF0"/>
    <w:rsid w:val="001F2B14"/>
    <w:rsid w:val="001F2F8C"/>
    <w:rsid w:val="001F3479"/>
    <w:rsid w:val="001F385A"/>
    <w:rsid w:val="001F39FD"/>
    <w:rsid w:val="001F4EBF"/>
    <w:rsid w:val="001F4FFD"/>
    <w:rsid w:val="001F503D"/>
    <w:rsid w:val="001F54C6"/>
    <w:rsid w:val="001F605D"/>
    <w:rsid w:val="001F68E8"/>
    <w:rsid w:val="001F71F7"/>
    <w:rsid w:val="00201680"/>
    <w:rsid w:val="00201791"/>
    <w:rsid w:val="0020276E"/>
    <w:rsid w:val="00202D37"/>
    <w:rsid w:val="002039A6"/>
    <w:rsid w:val="00204780"/>
    <w:rsid w:val="0020484F"/>
    <w:rsid w:val="002048B9"/>
    <w:rsid w:val="00204910"/>
    <w:rsid w:val="00204AD8"/>
    <w:rsid w:val="00204F87"/>
    <w:rsid w:val="00205266"/>
    <w:rsid w:val="00205AA6"/>
    <w:rsid w:val="00205E5C"/>
    <w:rsid w:val="00206042"/>
    <w:rsid w:val="00206864"/>
    <w:rsid w:val="002070FE"/>
    <w:rsid w:val="002103E0"/>
    <w:rsid w:val="0021054D"/>
    <w:rsid w:val="002107EF"/>
    <w:rsid w:val="002108CA"/>
    <w:rsid w:val="002118B7"/>
    <w:rsid w:val="0021328C"/>
    <w:rsid w:val="002137B9"/>
    <w:rsid w:val="00214285"/>
    <w:rsid w:val="002149C2"/>
    <w:rsid w:val="00214CE6"/>
    <w:rsid w:val="00214F90"/>
    <w:rsid w:val="00215378"/>
    <w:rsid w:val="00215702"/>
    <w:rsid w:val="00216A3B"/>
    <w:rsid w:val="00216F1A"/>
    <w:rsid w:val="00217896"/>
    <w:rsid w:val="002179B4"/>
    <w:rsid w:val="00217ABB"/>
    <w:rsid w:val="00217F42"/>
    <w:rsid w:val="002202B0"/>
    <w:rsid w:val="00220543"/>
    <w:rsid w:val="00220A59"/>
    <w:rsid w:val="00220B43"/>
    <w:rsid w:val="00221666"/>
    <w:rsid w:val="00221A01"/>
    <w:rsid w:val="00221AB0"/>
    <w:rsid w:val="00221B6E"/>
    <w:rsid w:val="00221FFB"/>
    <w:rsid w:val="00222358"/>
    <w:rsid w:val="002224CF"/>
    <w:rsid w:val="002225C3"/>
    <w:rsid w:val="002227B3"/>
    <w:rsid w:val="002228F0"/>
    <w:rsid w:val="00222E00"/>
    <w:rsid w:val="00223110"/>
    <w:rsid w:val="00223649"/>
    <w:rsid w:val="00224A65"/>
    <w:rsid w:val="00224B13"/>
    <w:rsid w:val="00224BE9"/>
    <w:rsid w:val="002256B7"/>
    <w:rsid w:val="002264A7"/>
    <w:rsid w:val="002278DD"/>
    <w:rsid w:val="00227BF7"/>
    <w:rsid w:val="00230074"/>
    <w:rsid w:val="00230FFD"/>
    <w:rsid w:val="00231021"/>
    <w:rsid w:val="002310C9"/>
    <w:rsid w:val="00233133"/>
    <w:rsid w:val="00233322"/>
    <w:rsid w:val="00234CB7"/>
    <w:rsid w:val="00235715"/>
    <w:rsid w:val="00235941"/>
    <w:rsid w:val="00235944"/>
    <w:rsid w:val="00235A20"/>
    <w:rsid w:val="002361DD"/>
    <w:rsid w:val="002365BA"/>
    <w:rsid w:val="00236A36"/>
    <w:rsid w:val="00236AC5"/>
    <w:rsid w:val="00236F21"/>
    <w:rsid w:val="00237008"/>
    <w:rsid w:val="002372BC"/>
    <w:rsid w:val="002402C0"/>
    <w:rsid w:val="00240457"/>
    <w:rsid w:val="00240D79"/>
    <w:rsid w:val="00240EF4"/>
    <w:rsid w:val="00241290"/>
    <w:rsid w:val="002417D9"/>
    <w:rsid w:val="00241BDE"/>
    <w:rsid w:val="002424A2"/>
    <w:rsid w:val="00242768"/>
    <w:rsid w:val="00244261"/>
    <w:rsid w:val="00244BD1"/>
    <w:rsid w:val="00244C05"/>
    <w:rsid w:val="002452E7"/>
    <w:rsid w:val="002454E1"/>
    <w:rsid w:val="00245BE8"/>
    <w:rsid w:val="00245C8B"/>
    <w:rsid w:val="00245EE8"/>
    <w:rsid w:val="00246539"/>
    <w:rsid w:val="00247DB5"/>
    <w:rsid w:val="00247E4A"/>
    <w:rsid w:val="00247F9D"/>
    <w:rsid w:val="002509A5"/>
    <w:rsid w:val="00251304"/>
    <w:rsid w:val="00251444"/>
    <w:rsid w:val="0025232D"/>
    <w:rsid w:val="002528F9"/>
    <w:rsid w:val="00252BA1"/>
    <w:rsid w:val="00252C81"/>
    <w:rsid w:val="0025350A"/>
    <w:rsid w:val="002543A8"/>
    <w:rsid w:val="002552CA"/>
    <w:rsid w:val="00256C38"/>
    <w:rsid w:val="00256DD3"/>
    <w:rsid w:val="00256F70"/>
    <w:rsid w:val="002575FC"/>
    <w:rsid w:val="0026015F"/>
    <w:rsid w:val="00260C55"/>
    <w:rsid w:val="002617A5"/>
    <w:rsid w:val="00262C86"/>
    <w:rsid w:val="002632EB"/>
    <w:rsid w:val="002633EC"/>
    <w:rsid w:val="002634FE"/>
    <w:rsid w:val="0026365B"/>
    <w:rsid w:val="0026367D"/>
    <w:rsid w:val="00263C45"/>
    <w:rsid w:val="00263CF0"/>
    <w:rsid w:val="0026526A"/>
    <w:rsid w:val="00266182"/>
    <w:rsid w:val="002667B2"/>
    <w:rsid w:val="00266929"/>
    <w:rsid w:val="00266C2B"/>
    <w:rsid w:val="00266D87"/>
    <w:rsid w:val="0026731E"/>
    <w:rsid w:val="00270214"/>
    <w:rsid w:val="0027060F"/>
    <w:rsid w:val="002709ED"/>
    <w:rsid w:val="00270F61"/>
    <w:rsid w:val="0027135E"/>
    <w:rsid w:val="002717E5"/>
    <w:rsid w:val="0027195B"/>
    <w:rsid w:val="00271BD4"/>
    <w:rsid w:val="00272339"/>
    <w:rsid w:val="00273824"/>
    <w:rsid w:val="00274993"/>
    <w:rsid w:val="002757ED"/>
    <w:rsid w:val="0027591F"/>
    <w:rsid w:val="002759E4"/>
    <w:rsid w:val="002805B6"/>
    <w:rsid w:val="00281088"/>
    <w:rsid w:val="002813C9"/>
    <w:rsid w:val="0028182A"/>
    <w:rsid w:val="00281E3C"/>
    <w:rsid w:val="00281E52"/>
    <w:rsid w:val="0028295F"/>
    <w:rsid w:val="00282B55"/>
    <w:rsid w:val="00283E3D"/>
    <w:rsid w:val="0028437D"/>
    <w:rsid w:val="00285131"/>
    <w:rsid w:val="0028530E"/>
    <w:rsid w:val="0028555C"/>
    <w:rsid w:val="002859D5"/>
    <w:rsid w:val="00285B30"/>
    <w:rsid w:val="00285F40"/>
    <w:rsid w:val="0028627B"/>
    <w:rsid w:val="002866D1"/>
    <w:rsid w:val="0028708A"/>
    <w:rsid w:val="00287122"/>
    <w:rsid w:val="0028741B"/>
    <w:rsid w:val="00290082"/>
    <w:rsid w:val="00290B90"/>
    <w:rsid w:val="002912A9"/>
    <w:rsid w:val="002918BF"/>
    <w:rsid w:val="00292E50"/>
    <w:rsid w:val="00293033"/>
    <w:rsid w:val="00293321"/>
    <w:rsid w:val="00294024"/>
    <w:rsid w:val="00294C06"/>
    <w:rsid w:val="002951F5"/>
    <w:rsid w:val="00295311"/>
    <w:rsid w:val="0029551B"/>
    <w:rsid w:val="00296450"/>
    <w:rsid w:val="0029663D"/>
    <w:rsid w:val="002969F2"/>
    <w:rsid w:val="00296F36"/>
    <w:rsid w:val="002A2080"/>
    <w:rsid w:val="002A2572"/>
    <w:rsid w:val="002A30D1"/>
    <w:rsid w:val="002A3220"/>
    <w:rsid w:val="002A3B53"/>
    <w:rsid w:val="002A3E2E"/>
    <w:rsid w:val="002A50F4"/>
    <w:rsid w:val="002A5D07"/>
    <w:rsid w:val="002A5FCB"/>
    <w:rsid w:val="002A64CD"/>
    <w:rsid w:val="002A7307"/>
    <w:rsid w:val="002A7C08"/>
    <w:rsid w:val="002B0B09"/>
    <w:rsid w:val="002B10C9"/>
    <w:rsid w:val="002B10CE"/>
    <w:rsid w:val="002B14AE"/>
    <w:rsid w:val="002B1614"/>
    <w:rsid w:val="002B18D4"/>
    <w:rsid w:val="002B1DB2"/>
    <w:rsid w:val="002B26E7"/>
    <w:rsid w:val="002B3373"/>
    <w:rsid w:val="002B35DE"/>
    <w:rsid w:val="002B38BB"/>
    <w:rsid w:val="002B3FBB"/>
    <w:rsid w:val="002B537E"/>
    <w:rsid w:val="002B5917"/>
    <w:rsid w:val="002B5B72"/>
    <w:rsid w:val="002B5B98"/>
    <w:rsid w:val="002B6353"/>
    <w:rsid w:val="002B639C"/>
    <w:rsid w:val="002B6CEC"/>
    <w:rsid w:val="002B6E11"/>
    <w:rsid w:val="002B75BE"/>
    <w:rsid w:val="002C0DF3"/>
    <w:rsid w:val="002C26FC"/>
    <w:rsid w:val="002C297A"/>
    <w:rsid w:val="002C3102"/>
    <w:rsid w:val="002C3B66"/>
    <w:rsid w:val="002C3BC2"/>
    <w:rsid w:val="002C3D13"/>
    <w:rsid w:val="002C5326"/>
    <w:rsid w:val="002C5484"/>
    <w:rsid w:val="002C64AB"/>
    <w:rsid w:val="002C64FB"/>
    <w:rsid w:val="002C7CC5"/>
    <w:rsid w:val="002D0808"/>
    <w:rsid w:val="002D099B"/>
    <w:rsid w:val="002D0E84"/>
    <w:rsid w:val="002D0F33"/>
    <w:rsid w:val="002D200B"/>
    <w:rsid w:val="002D205B"/>
    <w:rsid w:val="002D21C8"/>
    <w:rsid w:val="002D2497"/>
    <w:rsid w:val="002D2F5D"/>
    <w:rsid w:val="002D2FCB"/>
    <w:rsid w:val="002D3F1C"/>
    <w:rsid w:val="002D42F3"/>
    <w:rsid w:val="002D45F6"/>
    <w:rsid w:val="002D46C7"/>
    <w:rsid w:val="002D4D1D"/>
    <w:rsid w:val="002D54EA"/>
    <w:rsid w:val="002D599C"/>
    <w:rsid w:val="002D5B89"/>
    <w:rsid w:val="002D5C89"/>
    <w:rsid w:val="002D5FC4"/>
    <w:rsid w:val="002D6AE9"/>
    <w:rsid w:val="002D78FC"/>
    <w:rsid w:val="002D7A61"/>
    <w:rsid w:val="002D7ED4"/>
    <w:rsid w:val="002D7F19"/>
    <w:rsid w:val="002E09F2"/>
    <w:rsid w:val="002E10ED"/>
    <w:rsid w:val="002E16B5"/>
    <w:rsid w:val="002E18C1"/>
    <w:rsid w:val="002E1D86"/>
    <w:rsid w:val="002E2145"/>
    <w:rsid w:val="002E244B"/>
    <w:rsid w:val="002E294B"/>
    <w:rsid w:val="002E2E94"/>
    <w:rsid w:val="002E3921"/>
    <w:rsid w:val="002E3ED2"/>
    <w:rsid w:val="002E4558"/>
    <w:rsid w:val="002E4E75"/>
    <w:rsid w:val="002E6666"/>
    <w:rsid w:val="002E680E"/>
    <w:rsid w:val="002E6DA1"/>
    <w:rsid w:val="002E7399"/>
    <w:rsid w:val="002E76D5"/>
    <w:rsid w:val="002F01B0"/>
    <w:rsid w:val="002F08AB"/>
    <w:rsid w:val="002F0F17"/>
    <w:rsid w:val="002F14BD"/>
    <w:rsid w:val="002F29D7"/>
    <w:rsid w:val="002F33B5"/>
    <w:rsid w:val="002F367A"/>
    <w:rsid w:val="002F42C4"/>
    <w:rsid w:val="002F4322"/>
    <w:rsid w:val="002F59DF"/>
    <w:rsid w:val="002F621E"/>
    <w:rsid w:val="002F64A4"/>
    <w:rsid w:val="002F6AC8"/>
    <w:rsid w:val="002F6E79"/>
    <w:rsid w:val="002F7093"/>
    <w:rsid w:val="002F7815"/>
    <w:rsid w:val="002F78AA"/>
    <w:rsid w:val="002F79EF"/>
    <w:rsid w:val="002F7BBC"/>
    <w:rsid w:val="003003F7"/>
    <w:rsid w:val="003004FE"/>
    <w:rsid w:val="00301A61"/>
    <w:rsid w:val="00301E6C"/>
    <w:rsid w:val="003027ED"/>
    <w:rsid w:val="0030287A"/>
    <w:rsid w:val="00302C17"/>
    <w:rsid w:val="00302F9A"/>
    <w:rsid w:val="003032FC"/>
    <w:rsid w:val="00303339"/>
    <w:rsid w:val="00303D76"/>
    <w:rsid w:val="0030415F"/>
    <w:rsid w:val="003044FC"/>
    <w:rsid w:val="00304AF4"/>
    <w:rsid w:val="003058FB"/>
    <w:rsid w:val="00305CF9"/>
    <w:rsid w:val="0030611E"/>
    <w:rsid w:val="00306595"/>
    <w:rsid w:val="003067BD"/>
    <w:rsid w:val="00307266"/>
    <w:rsid w:val="003075ED"/>
    <w:rsid w:val="0030793B"/>
    <w:rsid w:val="00307C42"/>
    <w:rsid w:val="0031072C"/>
    <w:rsid w:val="00310D15"/>
    <w:rsid w:val="00311B3A"/>
    <w:rsid w:val="00311E8B"/>
    <w:rsid w:val="0031214F"/>
    <w:rsid w:val="00312784"/>
    <w:rsid w:val="00312860"/>
    <w:rsid w:val="00312DC6"/>
    <w:rsid w:val="00313071"/>
    <w:rsid w:val="00313C7E"/>
    <w:rsid w:val="00313CE7"/>
    <w:rsid w:val="0031412C"/>
    <w:rsid w:val="003149B3"/>
    <w:rsid w:val="00314E91"/>
    <w:rsid w:val="00315387"/>
    <w:rsid w:val="003160F8"/>
    <w:rsid w:val="00316639"/>
    <w:rsid w:val="0031742B"/>
    <w:rsid w:val="0031782C"/>
    <w:rsid w:val="00317941"/>
    <w:rsid w:val="00317C39"/>
    <w:rsid w:val="00317D95"/>
    <w:rsid w:val="003212B1"/>
    <w:rsid w:val="0032136F"/>
    <w:rsid w:val="003214F4"/>
    <w:rsid w:val="00321F32"/>
    <w:rsid w:val="00323606"/>
    <w:rsid w:val="00323E2C"/>
    <w:rsid w:val="00323F20"/>
    <w:rsid w:val="0032434F"/>
    <w:rsid w:val="0032521C"/>
    <w:rsid w:val="0032555A"/>
    <w:rsid w:val="003258DE"/>
    <w:rsid w:val="00325FAE"/>
    <w:rsid w:val="0032776A"/>
    <w:rsid w:val="00327B32"/>
    <w:rsid w:val="00327BA9"/>
    <w:rsid w:val="0033011D"/>
    <w:rsid w:val="00331BED"/>
    <w:rsid w:val="00331CE0"/>
    <w:rsid w:val="00331E23"/>
    <w:rsid w:val="0033260D"/>
    <w:rsid w:val="00332979"/>
    <w:rsid w:val="00332E25"/>
    <w:rsid w:val="00333111"/>
    <w:rsid w:val="00333983"/>
    <w:rsid w:val="00333CAB"/>
    <w:rsid w:val="00333D61"/>
    <w:rsid w:val="0033440B"/>
    <w:rsid w:val="00334D4F"/>
    <w:rsid w:val="0033519C"/>
    <w:rsid w:val="0033603A"/>
    <w:rsid w:val="0033603C"/>
    <w:rsid w:val="00336A3B"/>
    <w:rsid w:val="00337264"/>
    <w:rsid w:val="00340381"/>
    <w:rsid w:val="00340907"/>
    <w:rsid w:val="00340AF3"/>
    <w:rsid w:val="00340B2C"/>
    <w:rsid w:val="00341F68"/>
    <w:rsid w:val="003420EA"/>
    <w:rsid w:val="0034244F"/>
    <w:rsid w:val="00342DA5"/>
    <w:rsid w:val="003435AE"/>
    <w:rsid w:val="00344982"/>
    <w:rsid w:val="00344B54"/>
    <w:rsid w:val="00345C01"/>
    <w:rsid w:val="00347263"/>
    <w:rsid w:val="003472D4"/>
    <w:rsid w:val="003472E3"/>
    <w:rsid w:val="00347889"/>
    <w:rsid w:val="00347AF5"/>
    <w:rsid w:val="00347C5E"/>
    <w:rsid w:val="00350469"/>
    <w:rsid w:val="003512A4"/>
    <w:rsid w:val="003512EC"/>
    <w:rsid w:val="00351335"/>
    <w:rsid w:val="00351BA2"/>
    <w:rsid w:val="00351D7A"/>
    <w:rsid w:val="00351DE7"/>
    <w:rsid w:val="00353D90"/>
    <w:rsid w:val="003540AF"/>
    <w:rsid w:val="0035416E"/>
    <w:rsid w:val="0035563D"/>
    <w:rsid w:val="003561A5"/>
    <w:rsid w:val="003563BF"/>
    <w:rsid w:val="00357459"/>
    <w:rsid w:val="00357636"/>
    <w:rsid w:val="00357A5A"/>
    <w:rsid w:val="003611AF"/>
    <w:rsid w:val="0036181A"/>
    <w:rsid w:val="00361B25"/>
    <w:rsid w:val="00362367"/>
    <w:rsid w:val="00362BDA"/>
    <w:rsid w:val="00362CB9"/>
    <w:rsid w:val="00362EB6"/>
    <w:rsid w:val="00363A98"/>
    <w:rsid w:val="00363ADB"/>
    <w:rsid w:val="00364230"/>
    <w:rsid w:val="003643E8"/>
    <w:rsid w:val="00364528"/>
    <w:rsid w:val="00364787"/>
    <w:rsid w:val="003648C6"/>
    <w:rsid w:val="00365B33"/>
    <w:rsid w:val="003662D9"/>
    <w:rsid w:val="003664B0"/>
    <w:rsid w:val="00366B7F"/>
    <w:rsid w:val="00366C7A"/>
    <w:rsid w:val="00366EF4"/>
    <w:rsid w:val="003673A0"/>
    <w:rsid w:val="00367EF7"/>
    <w:rsid w:val="00370428"/>
    <w:rsid w:val="0037060C"/>
    <w:rsid w:val="00370D82"/>
    <w:rsid w:val="00371571"/>
    <w:rsid w:val="00371C35"/>
    <w:rsid w:val="00371FC2"/>
    <w:rsid w:val="00372570"/>
    <w:rsid w:val="003740C4"/>
    <w:rsid w:val="00374B7E"/>
    <w:rsid w:val="003758F3"/>
    <w:rsid w:val="00375E16"/>
    <w:rsid w:val="00376035"/>
    <w:rsid w:val="0037610B"/>
    <w:rsid w:val="003768C3"/>
    <w:rsid w:val="00376D82"/>
    <w:rsid w:val="00376F54"/>
    <w:rsid w:val="0037737E"/>
    <w:rsid w:val="003778D2"/>
    <w:rsid w:val="00377FED"/>
    <w:rsid w:val="00380003"/>
    <w:rsid w:val="003806EA"/>
    <w:rsid w:val="0038177E"/>
    <w:rsid w:val="00382088"/>
    <w:rsid w:val="003824EE"/>
    <w:rsid w:val="00382E0E"/>
    <w:rsid w:val="00382F89"/>
    <w:rsid w:val="0038360E"/>
    <w:rsid w:val="00383762"/>
    <w:rsid w:val="00383DAF"/>
    <w:rsid w:val="00383FB7"/>
    <w:rsid w:val="00384551"/>
    <w:rsid w:val="003854D6"/>
    <w:rsid w:val="003859E9"/>
    <w:rsid w:val="00386417"/>
    <w:rsid w:val="0038660E"/>
    <w:rsid w:val="00386D06"/>
    <w:rsid w:val="00386DA0"/>
    <w:rsid w:val="003871AC"/>
    <w:rsid w:val="003902EC"/>
    <w:rsid w:val="003903E5"/>
    <w:rsid w:val="00390E31"/>
    <w:rsid w:val="00390EA9"/>
    <w:rsid w:val="00391212"/>
    <w:rsid w:val="003915F7"/>
    <w:rsid w:val="00392205"/>
    <w:rsid w:val="00393FFE"/>
    <w:rsid w:val="00394E5B"/>
    <w:rsid w:val="00394EAE"/>
    <w:rsid w:val="00395569"/>
    <w:rsid w:val="00395C04"/>
    <w:rsid w:val="00395CC7"/>
    <w:rsid w:val="003961D7"/>
    <w:rsid w:val="00397584"/>
    <w:rsid w:val="00397A94"/>
    <w:rsid w:val="00397C8F"/>
    <w:rsid w:val="003A0411"/>
    <w:rsid w:val="003A1D62"/>
    <w:rsid w:val="003A22E4"/>
    <w:rsid w:val="003A24BE"/>
    <w:rsid w:val="003A2541"/>
    <w:rsid w:val="003A2E7E"/>
    <w:rsid w:val="003A38FE"/>
    <w:rsid w:val="003A39B8"/>
    <w:rsid w:val="003A3CA6"/>
    <w:rsid w:val="003A4112"/>
    <w:rsid w:val="003A4150"/>
    <w:rsid w:val="003A45FD"/>
    <w:rsid w:val="003A4CB1"/>
    <w:rsid w:val="003A588C"/>
    <w:rsid w:val="003A6003"/>
    <w:rsid w:val="003A60AA"/>
    <w:rsid w:val="003A653A"/>
    <w:rsid w:val="003A6737"/>
    <w:rsid w:val="003A6D16"/>
    <w:rsid w:val="003A778E"/>
    <w:rsid w:val="003A7C07"/>
    <w:rsid w:val="003A7EBC"/>
    <w:rsid w:val="003B00E6"/>
    <w:rsid w:val="003B0417"/>
    <w:rsid w:val="003B04C0"/>
    <w:rsid w:val="003B051C"/>
    <w:rsid w:val="003B0631"/>
    <w:rsid w:val="003B0B48"/>
    <w:rsid w:val="003B2FC1"/>
    <w:rsid w:val="003B387F"/>
    <w:rsid w:val="003B40FE"/>
    <w:rsid w:val="003B48F7"/>
    <w:rsid w:val="003B49C2"/>
    <w:rsid w:val="003B51A7"/>
    <w:rsid w:val="003B5328"/>
    <w:rsid w:val="003B5360"/>
    <w:rsid w:val="003B5691"/>
    <w:rsid w:val="003B5868"/>
    <w:rsid w:val="003B5BD3"/>
    <w:rsid w:val="003B650F"/>
    <w:rsid w:val="003B66DF"/>
    <w:rsid w:val="003B6814"/>
    <w:rsid w:val="003B6FA6"/>
    <w:rsid w:val="003B7FC6"/>
    <w:rsid w:val="003C0720"/>
    <w:rsid w:val="003C0BCF"/>
    <w:rsid w:val="003C109A"/>
    <w:rsid w:val="003C185F"/>
    <w:rsid w:val="003C18D3"/>
    <w:rsid w:val="003C2275"/>
    <w:rsid w:val="003C282E"/>
    <w:rsid w:val="003C2EA8"/>
    <w:rsid w:val="003C2FA6"/>
    <w:rsid w:val="003C3651"/>
    <w:rsid w:val="003C3B27"/>
    <w:rsid w:val="003C3C69"/>
    <w:rsid w:val="003C3FBD"/>
    <w:rsid w:val="003C4046"/>
    <w:rsid w:val="003C69DC"/>
    <w:rsid w:val="003C6D32"/>
    <w:rsid w:val="003C712A"/>
    <w:rsid w:val="003C77FA"/>
    <w:rsid w:val="003D0404"/>
    <w:rsid w:val="003D0CC8"/>
    <w:rsid w:val="003D0E0C"/>
    <w:rsid w:val="003D18D3"/>
    <w:rsid w:val="003D1E21"/>
    <w:rsid w:val="003D1F42"/>
    <w:rsid w:val="003D245D"/>
    <w:rsid w:val="003D2CFA"/>
    <w:rsid w:val="003D3ACD"/>
    <w:rsid w:val="003D3E81"/>
    <w:rsid w:val="003D5706"/>
    <w:rsid w:val="003D58A0"/>
    <w:rsid w:val="003D5B01"/>
    <w:rsid w:val="003D5FC2"/>
    <w:rsid w:val="003D602E"/>
    <w:rsid w:val="003D6BB7"/>
    <w:rsid w:val="003D7C1C"/>
    <w:rsid w:val="003E045B"/>
    <w:rsid w:val="003E0842"/>
    <w:rsid w:val="003E08A6"/>
    <w:rsid w:val="003E140C"/>
    <w:rsid w:val="003E1BE3"/>
    <w:rsid w:val="003E23BD"/>
    <w:rsid w:val="003E2B98"/>
    <w:rsid w:val="003E39C6"/>
    <w:rsid w:val="003E3C1A"/>
    <w:rsid w:val="003E3FD6"/>
    <w:rsid w:val="003E60CE"/>
    <w:rsid w:val="003E6286"/>
    <w:rsid w:val="003E67C6"/>
    <w:rsid w:val="003E6DBD"/>
    <w:rsid w:val="003E6FA7"/>
    <w:rsid w:val="003E734A"/>
    <w:rsid w:val="003E7D18"/>
    <w:rsid w:val="003F0E64"/>
    <w:rsid w:val="003F1862"/>
    <w:rsid w:val="003F1CC2"/>
    <w:rsid w:val="003F1CCD"/>
    <w:rsid w:val="003F327C"/>
    <w:rsid w:val="003F4022"/>
    <w:rsid w:val="003F458A"/>
    <w:rsid w:val="003F4FFA"/>
    <w:rsid w:val="003F5244"/>
    <w:rsid w:val="003F579F"/>
    <w:rsid w:val="003F6103"/>
    <w:rsid w:val="003F61E6"/>
    <w:rsid w:val="003F65DB"/>
    <w:rsid w:val="003F67D5"/>
    <w:rsid w:val="003F685D"/>
    <w:rsid w:val="003F6C0B"/>
    <w:rsid w:val="003F719B"/>
    <w:rsid w:val="003F7640"/>
    <w:rsid w:val="00400C6B"/>
    <w:rsid w:val="00400F2E"/>
    <w:rsid w:val="00400F77"/>
    <w:rsid w:val="004019E8"/>
    <w:rsid w:val="00401D69"/>
    <w:rsid w:val="00401F57"/>
    <w:rsid w:val="00402A26"/>
    <w:rsid w:val="00402FEC"/>
    <w:rsid w:val="004033CF"/>
    <w:rsid w:val="00403E56"/>
    <w:rsid w:val="004041B0"/>
    <w:rsid w:val="00404239"/>
    <w:rsid w:val="00404EB0"/>
    <w:rsid w:val="00405202"/>
    <w:rsid w:val="004056F1"/>
    <w:rsid w:val="0040574B"/>
    <w:rsid w:val="00406045"/>
    <w:rsid w:val="004068F8"/>
    <w:rsid w:val="004073EC"/>
    <w:rsid w:val="00407468"/>
    <w:rsid w:val="00407909"/>
    <w:rsid w:val="00410D13"/>
    <w:rsid w:val="004121E2"/>
    <w:rsid w:val="00412934"/>
    <w:rsid w:val="00412BE8"/>
    <w:rsid w:val="00412DA7"/>
    <w:rsid w:val="00413965"/>
    <w:rsid w:val="004139FF"/>
    <w:rsid w:val="00413EA2"/>
    <w:rsid w:val="00413EF1"/>
    <w:rsid w:val="00414A6F"/>
    <w:rsid w:val="00415077"/>
    <w:rsid w:val="004150F0"/>
    <w:rsid w:val="00415371"/>
    <w:rsid w:val="004158C1"/>
    <w:rsid w:val="00415D8F"/>
    <w:rsid w:val="0041632B"/>
    <w:rsid w:val="00416D7F"/>
    <w:rsid w:val="00416E11"/>
    <w:rsid w:val="00417070"/>
    <w:rsid w:val="004174C7"/>
    <w:rsid w:val="004179DC"/>
    <w:rsid w:val="004179E6"/>
    <w:rsid w:val="00417EFA"/>
    <w:rsid w:val="00420328"/>
    <w:rsid w:val="00420D96"/>
    <w:rsid w:val="0042169C"/>
    <w:rsid w:val="004223BB"/>
    <w:rsid w:val="004225C3"/>
    <w:rsid w:val="0042279E"/>
    <w:rsid w:val="00422FA5"/>
    <w:rsid w:val="00423300"/>
    <w:rsid w:val="0042332D"/>
    <w:rsid w:val="004235F6"/>
    <w:rsid w:val="004239C7"/>
    <w:rsid w:val="004242A4"/>
    <w:rsid w:val="00424E86"/>
    <w:rsid w:val="0042509D"/>
    <w:rsid w:val="004250EF"/>
    <w:rsid w:val="004253F5"/>
    <w:rsid w:val="0042550B"/>
    <w:rsid w:val="00425E3F"/>
    <w:rsid w:val="004266F8"/>
    <w:rsid w:val="0043041E"/>
    <w:rsid w:val="00430787"/>
    <w:rsid w:val="00430A91"/>
    <w:rsid w:val="004313DA"/>
    <w:rsid w:val="0043173F"/>
    <w:rsid w:val="00432B46"/>
    <w:rsid w:val="004334E5"/>
    <w:rsid w:val="00433792"/>
    <w:rsid w:val="0043389A"/>
    <w:rsid w:val="00433BB1"/>
    <w:rsid w:val="00433C2C"/>
    <w:rsid w:val="00433F7A"/>
    <w:rsid w:val="0043402B"/>
    <w:rsid w:val="0043464C"/>
    <w:rsid w:val="0043493F"/>
    <w:rsid w:val="00434D28"/>
    <w:rsid w:val="00434F5A"/>
    <w:rsid w:val="00435186"/>
    <w:rsid w:val="00437920"/>
    <w:rsid w:val="004400BF"/>
    <w:rsid w:val="00440226"/>
    <w:rsid w:val="0044198A"/>
    <w:rsid w:val="00441CA2"/>
    <w:rsid w:val="00442060"/>
    <w:rsid w:val="004424D4"/>
    <w:rsid w:val="0044394B"/>
    <w:rsid w:val="00443ECC"/>
    <w:rsid w:val="00443F27"/>
    <w:rsid w:val="00443F64"/>
    <w:rsid w:val="004443D6"/>
    <w:rsid w:val="0044452D"/>
    <w:rsid w:val="004448A5"/>
    <w:rsid w:val="00444EB8"/>
    <w:rsid w:val="004456DE"/>
    <w:rsid w:val="004458D2"/>
    <w:rsid w:val="00445A8D"/>
    <w:rsid w:val="00445CCA"/>
    <w:rsid w:val="00445DDC"/>
    <w:rsid w:val="00445E5A"/>
    <w:rsid w:val="0044683C"/>
    <w:rsid w:val="00446C11"/>
    <w:rsid w:val="004476C2"/>
    <w:rsid w:val="004476E9"/>
    <w:rsid w:val="004501A2"/>
    <w:rsid w:val="00450AF0"/>
    <w:rsid w:val="0045104D"/>
    <w:rsid w:val="0045119E"/>
    <w:rsid w:val="0045143C"/>
    <w:rsid w:val="00451440"/>
    <w:rsid w:val="004523D0"/>
    <w:rsid w:val="004534FB"/>
    <w:rsid w:val="00453922"/>
    <w:rsid w:val="00454753"/>
    <w:rsid w:val="004551FE"/>
    <w:rsid w:val="004554EB"/>
    <w:rsid w:val="00455B36"/>
    <w:rsid w:val="00455B8F"/>
    <w:rsid w:val="00456F7C"/>
    <w:rsid w:val="0045742C"/>
    <w:rsid w:val="00457E2A"/>
    <w:rsid w:val="00457E5C"/>
    <w:rsid w:val="0046096F"/>
    <w:rsid w:val="00461578"/>
    <w:rsid w:val="004619F6"/>
    <w:rsid w:val="004622F3"/>
    <w:rsid w:val="0046263B"/>
    <w:rsid w:val="004635B9"/>
    <w:rsid w:val="0046381C"/>
    <w:rsid w:val="00463F6C"/>
    <w:rsid w:val="004648E0"/>
    <w:rsid w:val="00464AE3"/>
    <w:rsid w:val="00465077"/>
    <w:rsid w:val="00465931"/>
    <w:rsid w:val="0046632C"/>
    <w:rsid w:val="00466593"/>
    <w:rsid w:val="00466CE9"/>
    <w:rsid w:val="00467143"/>
    <w:rsid w:val="00467304"/>
    <w:rsid w:val="00467658"/>
    <w:rsid w:val="00467A9A"/>
    <w:rsid w:val="00471040"/>
    <w:rsid w:val="00471439"/>
    <w:rsid w:val="004715C1"/>
    <w:rsid w:val="00471DF8"/>
    <w:rsid w:val="0047230A"/>
    <w:rsid w:val="00472AF6"/>
    <w:rsid w:val="00472F0D"/>
    <w:rsid w:val="00472F4B"/>
    <w:rsid w:val="00473F2B"/>
    <w:rsid w:val="00473FC6"/>
    <w:rsid w:val="00474313"/>
    <w:rsid w:val="004744FB"/>
    <w:rsid w:val="00476878"/>
    <w:rsid w:val="00476CC1"/>
    <w:rsid w:val="00477472"/>
    <w:rsid w:val="00477D7A"/>
    <w:rsid w:val="0048068A"/>
    <w:rsid w:val="0048150F"/>
    <w:rsid w:val="004825C0"/>
    <w:rsid w:val="00482875"/>
    <w:rsid w:val="0048305F"/>
    <w:rsid w:val="004830FF"/>
    <w:rsid w:val="0048330A"/>
    <w:rsid w:val="00483B48"/>
    <w:rsid w:val="00483E95"/>
    <w:rsid w:val="00483EF9"/>
    <w:rsid w:val="004845A1"/>
    <w:rsid w:val="00484611"/>
    <w:rsid w:val="00484BCD"/>
    <w:rsid w:val="00485159"/>
    <w:rsid w:val="004857FE"/>
    <w:rsid w:val="00485E6B"/>
    <w:rsid w:val="00486145"/>
    <w:rsid w:val="00487D68"/>
    <w:rsid w:val="00487EB1"/>
    <w:rsid w:val="004908D8"/>
    <w:rsid w:val="00490A10"/>
    <w:rsid w:val="00491685"/>
    <w:rsid w:val="00491A13"/>
    <w:rsid w:val="004920E6"/>
    <w:rsid w:val="004929D9"/>
    <w:rsid w:val="00492FA1"/>
    <w:rsid w:val="00493962"/>
    <w:rsid w:val="00493BED"/>
    <w:rsid w:val="0049583C"/>
    <w:rsid w:val="00496531"/>
    <w:rsid w:val="0049686A"/>
    <w:rsid w:val="00496970"/>
    <w:rsid w:val="00496C0A"/>
    <w:rsid w:val="00497A02"/>
    <w:rsid w:val="00497DA0"/>
    <w:rsid w:val="00497EFD"/>
    <w:rsid w:val="004A0B7A"/>
    <w:rsid w:val="004A0CAD"/>
    <w:rsid w:val="004A1D26"/>
    <w:rsid w:val="004A280B"/>
    <w:rsid w:val="004A2C1B"/>
    <w:rsid w:val="004A2D20"/>
    <w:rsid w:val="004A2E0F"/>
    <w:rsid w:val="004A36EA"/>
    <w:rsid w:val="004A3825"/>
    <w:rsid w:val="004A3DD7"/>
    <w:rsid w:val="004A41C1"/>
    <w:rsid w:val="004A41C7"/>
    <w:rsid w:val="004A422B"/>
    <w:rsid w:val="004A430F"/>
    <w:rsid w:val="004A4976"/>
    <w:rsid w:val="004A50D1"/>
    <w:rsid w:val="004A5726"/>
    <w:rsid w:val="004A617F"/>
    <w:rsid w:val="004A6F40"/>
    <w:rsid w:val="004B030E"/>
    <w:rsid w:val="004B04AB"/>
    <w:rsid w:val="004B0B03"/>
    <w:rsid w:val="004B1BD7"/>
    <w:rsid w:val="004B1EEA"/>
    <w:rsid w:val="004B21CB"/>
    <w:rsid w:val="004B2238"/>
    <w:rsid w:val="004B282F"/>
    <w:rsid w:val="004B30D2"/>
    <w:rsid w:val="004B36B6"/>
    <w:rsid w:val="004B3B41"/>
    <w:rsid w:val="004B41DE"/>
    <w:rsid w:val="004B4412"/>
    <w:rsid w:val="004B4A5E"/>
    <w:rsid w:val="004B4D90"/>
    <w:rsid w:val="004B54DE"/>
    <w:rsid w:val="004B5AAE"/>
    <w:rsid w:val="004B5FB2"/>
    <w:rsid w:val="004B73B2"/>
    <w:rsid w:val="004C030D"/>
    <w:rsid w:val="004C0968"/>
    <w:rsid w:val="004C17E3"/>
    <w:rsid w:val="004C1EE1"/>
    <w:rsid w:val="004C270C"/>
    <w:rsid w:val="004C2C6A"/>
    <w:rsid w:val="004C2D36"/>
    <w:rsid w:val="004C39EB"/>
    <w:rsid w:val="004C3CE0"/>
    <w:rsid w:val="004C3D5A"/>
    <w:rsid w:val="004C4535"/>
    <w:rsid w:val="004C5D9B"/>
    <w:rsid w:val="004C5DBF"/>
    <w:rsid w:val="004C6910"/>
    <w:rsid w:val="004C759D"/>
    <w:rsid w:val="004C7649"/>
    <w:rsid w:val="004C79AD"/>
    <w:rsid w:val="004D04BA"/>
    <w:rsid w:val="004D04D1"/>
    <w:rsid w:val="004D11A1"/>
    <w:rsid w:val="004D190F"/>
    <w:rsid w:val="004D299A"/>
    <w:rsid w:val="004D315D"/>
    <w:rsid w:val="004D394C"/>
    <w:rsid w:val="004D4A84"/>
    <w:rsid w:val="004D4E63"/>
    <w:rsid w:val="004D55BE"/>
    <w:rsid w:val="004D5671"/>
    <w:rsid w:val="004D574C"/>
    <w:rsid w:val="004D59DE"/>
    <w:rsid w:val="004D5C9F"/>
    <w:rsid w:val="004D5F96"/>
    <w:rsid w:val="004D780A"/>
    <w:rsid w:val="004D7E64"/>
    <w:rsid w:val="004E0352"/>
    <w:rsid w:val="004E040B"/>
    <w:rsid w:val="004E0BCC"/>
    <w:rsid w:val="004E1B97"/>
    <w:rsid w:val="004E2C8A"/>
    <w:rsid w:val="004E4649"/>
    <w:rsid w:val="004E4F94"/>
    <w:rsid w:val="004E4FC3"/>
    <w:rsid w:val="004E57D8"/>
    <w:rsid w:val="004E5AB8"/>
    <w:rsid w:val="004E6195"/>
    <w:rsid w:val="004E7FA8"/>
    <w:rsid w:val="004F02B1"/>
    <w:rsid w:val="004F169E"/>
    <w:rsid w:val="004F1782"/>
    <w:rsid w:val="004F1B37"/>
    <w:rsid w:val="004F25F1"/>
    <w:rsid w:val="004F30A5"/>
    <w:rsid w:val="004F33A6"/>
    <w:rsid w:val="004F3580"/>
    <w:rsid w:val="004F3E35"/>
    <w:rsid w:val="004F3ED5"/>
    <w:rsid w:val="004F4A30"/>
    <w:rsid w:val="004F5553"/>
    <w:rsid w:val="004F5872"/>
    <w:rsid w:val="004F599F"/>
    <w:rsid w:val="004F5CF2"/>
    <w:rsid w:val="004F64F0"/>
    <w:rsid w:val="004F695E"/>
    <w:rsid w:val="004F74DC"/>
    <w:rsid w:val="004F7512"/>
    <w:rsid w:val="005010AD"/>
    <w:rsid w:val="00501235"/>
    <w:rsid w:val="00501547"/>
    <w:rsid w:val="00501791"/>
    <w:rsid w:val="00501EC0"/>
    <w:rsid w:val="005024C6"/>
    <w:rsid w:val="00502589"/>
    <w:rsid w:val="005025F9"/>
    <w:rsid w:val="00502F06"/>
    <w:rsid w:val="00502FD4"/>
    <w:rsid w:val="00503A40"/>
    <w:rsid w:val="00503A63"/>
    <w:rsid w:val="005042AE"/>
    <w:rsid w:val="00504D62"/>
    <w:rsid w:val="00505854"/>
    <w:rsid w:val="00506323"/>
    <w:rsid w:val="00506631"/>
    <w:rsid w:val="0050782E"/>
    <w:rsid w:val="005105E4"/>
    <w:rsid w:val="005108F3"/>
    <w:rsid w:val="00510B1B"/>
    <w:rsid w:val="005113A8"/>
    <w:rsid w:val="00511AB9"/>
    <w:rsid w:val="005120FC"/>
    <w:rsid w:val="005122E5"/>
    <w:rsid w:val="005125D8"/>
    <w:rsid w:val="005129B9"/>
    <w:rsid w:val="00512F24"/>
    <w:rsid w:val="00513024"/>
    <w:rsid w:val="005134E0"/>
    <w:rsid w:val="005134EC"/>
    <w:rsid w:val="0051386C"/>
    <w:rsid w:val="00513A9C"/>
    <w:rsid w:val="00513D00"/>
    <w:rsid w:val="0051469B"/>
    <w:rsid w:val="00515AE1"/>
    <w:rsid w:val="00515C92"/>
    <w:rsid w:val="005172BC"/>
    <w:rsid w:val="00517A48"/>
    <w:rsid w:val="00517C17"/>
    <w:rsid w:val="00517E5D"/>
    <w:rsid w:val="00517F0D"/>
    <w:rsid w:val="0052024A"/>
    <w:rsid w:val="00521D35"/>
    <w:rsid w:val="005223C4"/>
    <w:rsid w:val="005224A2"/>
    <w:rsid w:val="0052258C"/>
    <w:rsid w:val="00522980"/>
    <w:rsid w:val="00523A4B"/>
    <w:rsid w:val="00524609"/>
    <w:rsid w:val="00524FBF"/>
    <w:rsid w:val="00525088"/>
    <w:rsid w:val="00525091"/>
    <w:rsid w:val="0052514B"/>
    <w:rsid w:val="005252D1"/>
    <w:rsid w:val="005258F9"/>
    <w:rsid w:val="005263DF"/>
    <w:rsid w:val="00526677"/>
    <w:rsid w:val="00526757"/>
    <w:rsid w:val="00527C48"/>
    <w:rsid w:val="00530194"/>
    <w:rsid w:val="005302EA"/>
    <w:rsid w:val="00530D73"/>
    <w:rsid w:val="005311CB"/>
    <w:rsid w:val="005318C5"/>
    <w:rsid w:val="00531F3F"/>
    <w:rsid w:val="005320F0"/>
    <w:rsid w:val="0053253D"/>
    <w:rsid w:val="00532E6B"/>
    <w:rsid w:val="00533A35"/>
    <w:rsid w:val="0053430F"/>
    <w:rsid w:val="005348F4"/>
    <w:rsid w:val="00534C4D"/>
    <w:rsid w:val="005354DC"/>
    <w:rsid w:val="00535F92"/>
    <w:rsid w:val="00535FAB"/>
    <w:rsid w:val="00536D58"/>
    <w:rsid w:val="00537866"/>
    <w:rsid w:val="005405C0"/>
    <w:rsid w:val="0054060B"/>
    <w:rsid w:val="005413CB"/>
    <w:rsid w:val="00541A6D"/>
    <w:rsid w:val="00541E39"/>
    <w:rsid w:val="00542B10"/>
    <w:rsid w:val="00542CC2"/>
    <w:rsid w:val="0054307B"/>
    <w:rsid w:val="005430B2"/>
    <w:rsid w:val="00543B9C"/>
    <w:rsid w:val="005440E3"/>
    <w:rsid w:val="00544E6A"/>
    <w:rsid w:val="00544F98"/>
    <w:rsid w:val="0054526C"/>
    <w:rsid w:val="00545DC2"/>
    <w:rsid w:val="00546ACF"/>
    <w:rsid w:val="00546D64"/>
    <w:rsid w:val="00546E39"/>
    <w:rsid w:val="00547004"/>
    <w:rsid w:val="0054732C"/>
    <w:rsid w:val="00547B03"/>
    <w:rsid w:val="00547DBD"/>
    <w:rsid w:val="00547E01"/>
    <w:rsid w:val="00550D1C"/>
    <w:rsid w:val="0055128E"/>
    <w:rsid w:val="0055151E"/>
    <w:rsid w:val="00551BBA"/>
    <w:rsid w:val="00551DC5"/>
    <w:rsid w:val="00551DD3"/>
    <w:rsid w:val="00551E70"/>
    <w:rsid w:val="00552875"/>
    <w:rsid w:val="005533D6"/>
    <w:rsid w:val="0055360C"/>
    <w:rsid w:val="005536BC"/>
    <w:rsid w:val="0055389F"/>
    <w:rsid w:val="0055417B"/>
    <w:rsid w:val="00554552"/>
    <w:rsid w:val="00554606"/>
    <w:rsid w:val="00554D0C"/>
    <w:rsid w:val="0055518E"/>
    <w:rsid w:val="00555923"/>
    <w:rsid w:val="00555F11"/>
    <w:rsid w:val="00556069"/>
    <w:rsid w:val="005564A7"/>
    <w:rsid w:val="00557182"/>
    <w:rsid w:val="00557992"/>
    <w:rsid w:val="00560009"/>
    <w:rsid w:val="00560574"/>
    <w:rsid w:val="005609B8"/>
    <w:rsid w:val="005612E8"/>
    <w:rsid w:val="00561762"/>
    <w:rsid w:val="00561A62"/>
    <w:rsid w:val="00561DBF"/>
    <w:rsid w:val="00562260"/>
    <w:rsid w:val="005626F9"/>
    <w:rsid w:val="00562933"/>
    <w:rsid w:val="00563165"/>
    <w:rsid w:val="00563450"/>
    <w:rsid w:val="005634CA"/>
    <w:rsid w:val="00563804"/>
    <w:rsid w:val="005640A0"/>
    <w:rsid w:val="00565099"/>
    <w:rsid w:val="005665EC"/>
    <w:rsid w:val="005669F6"/>
    <w:rsid w:val="00566E3F"/>
    <w:rsid w:val="005706E5"/>
    <w:rsid w:val="005713A3"/>
    <w:rsid w:val="00571629"/>
    <w:rsid w:val="00572C4D"/>
    <w:rsid w:val="00573950"/>
    <w:rsid w:val="00573FCD"/>
    <w:rsid w:val="005740A7"/>
    <w:rsid w:val="005746BE"/>
    <w:rsid w:val="005748B6"/>
    <w:rsid w:val="005753EC"/>
    <w:rsid w:val="005754DE"/>
    <w:rsid w:val="00575739"/>
    <w:rsid w:val="00575874"/>
    <w:rsid w:val="00575D4C"/>
    <w:rsid w:val="005761C3"/>
    <w:rsid w:val="00576C3B"/>
    <w:rsid w:val="00576DFD"/>
    <w:rsid w:val="00576EA8"/>
    <w:rsid w:val="00576F31"/>
    <w:rsid w:val="00580539"/>
    <w:rsid w:val="0058098B"/>
    <w:rsid w:val="005812C9"/>
    <w:rsid w:val="005812E9"/>
    <w:rsid w:val="00581949"/>
    <w:rsid w:val="00581E65"/>
    <w:rsid w:val="00582772"/>
    <w:rsid w:val="00583B34"/>
    <w:rsid w:val="00583BDF"/>
    <w:rsid w:val="00584CDC"/>
    <w:rsid w:val="00584E5A"/>
    <w:rsid w:val="00585028"/>
    <w:rsid w:val="00585229"/>
    <w:rsid w:val="0058585F"/>
    <w:rsid w:val="00585E0C"/>
    <w:rsid w:val="005868AF"/>
    <w:rsid w:val="00586965"/>
    <w:rsid w:val="005911BD"/>
    <w:rsid w:val="00591C9B"/>
    <w:rsid w:val="00591FD4"/>
    <w:rsid w:val="005923FE"/>
    <w:rsid w:val="005924F0"/>
    <w:rsid w:val="005926BB"/>
    <w:rsid w:val="00592C62"/>
    <w:rsid w:val="00592F77"/>
    <w:rsid w:val="0059304B"/>
    <w:rsid w:val="005936F5"/>
    <w:rsid w:val="0059423C"/>
    <w:rsid w:val="00594271"/>
    <w:rsid w:val="0059479C"/>
    <w:rsid w:val="00594B49"/>
    <w:rsid w:val="00595F44"/>
    <w:rsid w:val="00595FCB"/>
    <w:rsid w:val="0059649F"/>
    <w:rsid w:val="0059676A"/>
    <w:rsid w:val="0059754D"/>
    <w:rsid w:val="00597987"/>
    <w:rsid w:val="005979D9"/>
    <w:rsid w:val="005A0018"/>
    <w:rsid w:val="005A0B70"/>
    <w:rsid w:val="005A14A8"/>
    <w:rsid w:val="005A1A3B"/>
    <w:rsid w:val="005A2C33"/>
    <w:rsid w:val="005A2EB6"/>
    <w:rsid w:val="005A2F3E"/>
    <w:rsid w:val="005A2FCA"/>
    <w:rsid w:val="005A3A3F"/>
    <w:rsid w:val="005A441E"/>
    <w:rsid w:val="005A635F"/>
    <w:rsid w:val="005A690E"/>
    <w:rsid w:val="005A6961"/>
    <w:rsid w:val="005A7093"/>
    <w:rsid w:val="005A75C4"/>
    <w:rsid w:val="005A7ECC"/>
    <w:rsid w:val="005B0E28"/>
    <w:rsid w:val="005B1C51"/>
    <w:rsid w:val="005B1EC7"/>
    <w:rsid w:val="005B2267"/>
    <w:rsid w:val="005B2BD0"/>
    <w:rsid w:val="005B2C70"/>
    <w:rsid w:val="005B31B9"/>
    <w:rsid w:val="005B3B48"/>
    <w:rsid w:val="005B43F7"/>
    <w:rsid w:val="005B4AD9"/>
    <w:rsid w:val="005B4B33"/>
    <w:rsid w:val="005B514C"/>
    <w:rsid w:val="005B5E68"/>
    <w:rsid w:val="005B6931"/>
    <w:rsid w:val="005B7313"/>
    <w:rsid w:val="005B7BD6"/>
    <w:rsid w:val="005B7E67"/>
    <w:rsid w:val="005C26BA"/>
    <w:rsid w:val="005C439F"/>
    <w:rsid w:val="005C4569"/>
    <w:rsid w:val="005C477C"/>
    <w:rsid w:val="005C4C1E"/>
    <w:rsid w:val="005C4D0E"/>
    <w:rsid w:val="005C5463"/>
    <w:rsid w:val="005C5F5B"/>
    <w:rsid w:val="005C60FC"/>
    <w:rsid w:val="005C6425"/>
    <w:rsid w:val="005C6EDD"/>
    <w:rsid w:val="005C7BF5"/>
    <w:rsid w:val="005D0274"/>
    <w:rsid w:val="005D07C1"/>
    <w:rsid w:val="005D07DC"/>
    <w:rsid w:val="005D14B9"/>
    <w:rsid w:val="005D1ADD"/>
    <w:rsid w:val="005D1BEF"/>
    <w:rsid w:val="005D2E92"/>
    <w:rsid w:val="005D2F3B"/>
    <w:rsid w:val="005D30E4"/>
    <w:rsid w:val="005D3627"/>
    <w:rsid w:val="005D3BCA"/>
    <w:rsid w:val="005D428A"/>
    <w:rsid w:val="005D47BD"/>
    <w:rsid w:val="005D6E45"/>
    <w:rsid w:val="005D711C"/>
    <w:rsid w:val="005D71F1"/>
    <w:rsid w:val="005E1289"/>
    <w:rsid w:val="005E17BF"/>
    <w:rsid w:val="005E19DE"/>
    <w:rsid w:val="005E297D"/>
    <w:rsid w:val="005E33F5"/>
    <w:rsid w:val="005E42E6"/>
    <w:rsid w:val="005E4E17"/>
    <w:rsid w:val="005E54A8"/>
    <w:rsid w:val="005E5C5D"/>
    <w:rsid w:val="005E5D86"/>
    <w:rsid w:val="005E6AE7"/>
    <w:rsid w:val="005E7EFC"/>
    <w:rsid w:val="005F0043"/>
    <w:rsid w:val="005F072F"/>
    <w:rsid w:val="005F080A"/>
    <w:rsid w:val="005F0B69"/>
    <w:rsid w:val="005F0BF4"/>
    <w:rsid w:val="005F1396"/>
    <w:rsid w:val="005F1E1B"/>
    <w:rsid w:val="005F2169"/>
    <w:rsid w:val="005F2B52"/>
    <w:rsid w:val="005F2EFD"/>
    <w:rsid w:val="005F2FCD"/>
    <w:rsid w:val="005F4358"/>
    <w:rsid w:val="005F462B"/>
    <w:rsid w:val="005F5543"/>
    <w:rsid w:val="005F5AC1"/>
    <w:rsid w:val="005F659C"/>
    <w:rsid w:val="005F7011"/>
    <w:rsid w:val="005F750F"/>
    <w:rsid w:val="005F7A9E"/>
    <w:rsid w:val="005F7CFF"/>
    <w:rsid w:val="006003CE"/>
    <w:rsid w:val="00600D9F"/>
    <w:rsid w:val="00601541"/>
    <w:rsid w:val="006017D7"/>
    <w:rsid w:val="00601880"/>
    <w:rsid w:val="00601AC5"/>
    <w:rsid w:val="00602605"/>
    <w:rsid w:val="00602C45"/>
    <w:rsid w:val="00602DDF"/>
    <w:rsid w:val="006030B2"/>
    <w:rsid w:val="00603105"/>
    <w:rsid w:val="0060361A"/>
    <w:rsid w:val="00603A5B"/>
    <w:rsid w:val="00603E40"/>
    <w:rsid w:val="00604B22"/>
    <w:rsid w:val="0060500C"/>
    <w:rsid w:val="00605905"/>
    <w:rsid w:val="00605A7F"/>
    <w:rsid w:val="00605C38"/>
    <w:rsid w:val="00606159"/>
    <w:rsid w:val="00606583"/>
    <w:rsid w:val="00606D07"/>
    <w:rsid w:val="006071A6"/>
    <w:rsid w:val="0060744F"/>
    <w:rsid w:val="00607A09"/>
    <w:rsid w:val="00610072"/>
    <w:rsid w:val="00611709"/>
    <w:rsid w:val="00611D19"/>
    <w:rsid w:val="00611E04"/>
    <w:rsid w:val="006127EE"/>
    <w:rsid w:val="00613122"/>
    <w:rsid w:val="00613875"/>
    <w:rsid w:val="006139D7"/>
    <w:rsid w:val="00613AE8"/>
    <w:rsid w:val="00614A92"/>
    <w:rsid w:val="00615AAC"/>
    <w:rsid w:val="00615BB7"/>
    <w:rsid w:val="00615D60"/>
    <w:rsid w:val="0061609A"/>
    <w:rsid w:val="00616629"/>
    <w:rsid w:val="006168B6"/>
    <w:rsid w:val="00616F5D"/>
    <w:rsid w:val="0062028E"/>
    <w:rsid w:val="0062102F"/>
    <w:rsid w:val="00621AD5"/>
    <w:rsid w:val="006223F1"/>
    <w:rsid w:val="006224BA"/>
    <w:rsid w:val="00622FEF"/>
    <w:rsid w:val="0062312F"/>
    <w:rsid w:val="0062341C"/>
    <w:rsid w:val="00623CC4"/>
    <w:rsid w:val="006245BB"/>
    <w:rsid w:val="00624C81"/>
    <w:rsid w:val="006250E8"/>
    <w:rsid w:val="00625BA2"/>
    <w:rsid w:val="00626580"/>
    <w:rsid w:val="00626605"/>
    <w:rsid w:val="00626C6E"/>
    <w:rsid w:val="00626E86"/>
    <w:rsid w:val="00627CAA"/>
    <w:rsid w:val="00630642"/>
    <w:rsid w:val="00630C95"/>
    <w:rsid w:val="00630ECE"/>
    <w:rsid w:val="00631218"/>
    <w:rsid w:val="00631B64"/>
    <w:rsid w:val="00632F9C"/>
    <w:rsid w:val="0063322A"/>
    <w:rsid w:val="0063361C"/>
    <w:rsid w:val="00633739"/>
    <w:rsid w:val="00634EF7"/>
    <w:rsid w:val="00635562"/>
    <w:rsid w:val="00635D7B"/>
    <w:rsid w:val="00635E1D"/>
    <w:rsid w:val="0063629A"/>
    <w:rsid w:val="00636BF3"/>
    <w:rsid w:val="006374EB"/>
    <w:rsid w:val="00637D3A"/>
    <w:rsid w:val="006402A1"/>
    <w:rsid w:val="00640B34"/>
    <w:rsid w:val="00640DC0"/>
    <w:rsid w:val="006411AA"/>
    <w:rsid w:val="006416CF"/>
    <w:rsid w:val="006418A2"/>
    <w:rsid w:val="00641EF7"/>
    <w:rsid w:val="006422B7"/>
    <w:rsid w:val="0064254A"/>
    <w:rsid w:val="00642689"/>
    <w:rsid w:val="00642CA9"/>
    <w:rsid w:val="00642CD7"/>
    <w:rsid w:val="00642DA8"/>
    <w:rsid w:val="006433F2"/>
    <w:rsid w:val="0064384A"/>
    <w:rsid w:val="00643DDF"/>
    <w:rsid w:val="00643E3A"/>
    <w:rsid w:val="00644BEA"/>
    <w:rsid w:val="00644F51"/>
    <w:rsid w:val="0064534D"/>
    <w:rsid w:val="006454AC"/>
    <w:rsid w:val="00645DC5"/>
    <w:rsid w:val="00645FA7"/>
    <w:rsid w:val="006468F1"/>
    <w:rsid w:val="0064755C"/>
    <w:rsid w:val="00650699"/>
    <w:rsid w:val="006524D2"/>
    <w:rsid w:val="00652949"/>
    <w:rsid w:val="00652AEF"/>
    <w:rsid w:val="00652DB7"/>
    <w:rsid w:val="00652FB8"/>
    <w:rsid w:val="006564EF"/>
    <w:rsid w:val="006566A7"/>
    <w:rsid w:val="00656790"/>
    <w:rsid w:val="006567F3"/>
    <w:rsid w:val="006569EB"/>
    <w:rsid w:val="006573D6"/>
    <w:rsid w:val="00657526"/>
    <w:rsid w:val="006607AD"/>
    <w:rsid w:val="00660954"/>
    <w:rsid w:val="00660CEB"/>
    <w:rsid w:val="00661A0C"/>
    <w:rsid w:val="006621D4"/>
    <w:rsid w:val="006624CC"/>
    <w:rsid w:val="00662584"/>
    <w:rsid w:val="006630C6"/>
    <w:rsid w:val="00663199"/>
    <w:rsid w:val="006638A6"/>
    <w:rsid w:val="0066394B"/>
    <w:rsid w:val="0066431B"/>
    <w:rsid w:val="00664791"/>
    <w:rsid w:val="006652A6"/>
    <w:rsid w:val="0066563B"/>
    <w:rsid w:val="0066609D"/>
    <w:rsid w:val="006667E5"/>
    <w:rsid w:val="00666B84"/>
    <w:rsid w:val="006678D6"/>
    <w:rsid w:val="00670394"/>
    <w:rsid w:val="00670B3F"/>
    <w:rsid w:val="00670CE8"/>
    <w:rsid w:val="0067113E"/>
    <w:rsid w:val="00672198"/>
    <w:rsid w:val="0067302F"/>
    <w:rsid w:val="006736E1"/>
    <w:rsid w:val="006740C2"/>
    <w:rsid w:val="006756FC"/>
    <w:rsid w:val="00676991"/>
    <w:rsid w:val="00677D69"/>
    <w:rsid w:val="00677EC4"/>
    <w:rsid w:val="00680085"/>
    <w:rsid w:val="0068087E"/>
    <w:rsid w:val="006808DD"/>
    <w:rsid w:val="00680E0A"/>
    <w:rsid w:val="00681448"/>
    <w:rsid w:val="00681812"/>
    <w:rsid w:val="00681AF3"/>
    <w:rsid w:val="00681E34"/>
    <w:rsid w:val="00682995"/>
    <w:rsid w:val="006830EE"/>
    <w:rsid w:val="0068396B"/>
    <w:rsid w:val="00684B04"/>
    <w:rsid w:val="00684D26"/>
    <w:rsid w:val="00684EA0"/>
    <w:rsid w:val="0068505B"/>
    <w:rsid w:val="00686CBA"/>
    <w:rsid w:val="00687212"/>
    <w:rsid w:val="00687364"/>
    <w:rsid w:val="00687522"/>
    <w:rsid w:val="00687EC6"/>
    <w:rsid w:val="0069073E"/>
    <w:rsid w:val="00691CC3"/>
    <w:rsid w:val="00692397"/>
    <w:rsid w:val="00692635"/>
    <w:rsid w:val="0069306F"/>
    <w:rsid w:val="00693E7E"/>
    <w:rsid w:val="00693F26"/>
    <w:rsid w:val="0069553E"/>
    <w:rsid w:val="00695A34"/>
    <w:rsid w:val="00696288"/>
    <w:rsid w:val="00696B65"/>
    <w:rsid w:val="00696D9D"/>
    <w:rsid w:val="006970EC"/>
    <w:rsid w:val="00697163"/>
    <w:rsid w:val="00697332"/>
    <w:rsid w:val="00697C29"/>
    <w:rsid w:val="006A0402"/>
    <w:rsid w:val="006A096D"/>
    <w:rsid w:val="006A1069"/>
    <w:rsid w:val="006A10E1"/>
    <w:rsid w:val="006A247F"/>
    <w:rsid w:val="006A24E1"/>
    <w:rsid w:val="006A28B5"/>
    <w:rsid w:val="006A462E"/>
    <w:rsid w:val="006A60D5"/>
    <w:rsid w:val="006A7072"/>
    <w:rsid w:val="006A7356"/>
    <w:rsid w:val="006A73B0"/>
    <w:rsid w:val="006A772E"/>
    <w:rsid w:val="006A7BBD"/>
    <w:rsid w:val="006B0025"/>
    <w:rsid w:val="006B0465"/>
    <w:rsid w:val="006B05B5"/>
    <w:rsid w:val="006B0D13"/>
    <w:rsid w:val="006B12C7"/>
    <w:rsid w:val="006B1329"/>
    <w:rsid w:val="006B1FB2"/>
    <w:rsid w:val="006B354D"/>
    <w:rsid w:val="006B3859"/>
    <w:rsid w:val="006B468A"/>
    <w:rsid w:val="006B5373"/>
    <w:rsid w:val="006B54A2"/>
    <w:rsid w:val="006B55B7"/>
    <w:rsid w:val="006B566F"/>
    <w:rsid w:val="006B5813"/>
    <w:rsid w:val="006B590D"/>
    <w:rsid w:val="006B5D52"/>
    <w:rsid w:val="006B604B"/>
    <w:rsid w:val="006B6456"/>
    <w:rsid w:val="006B7BAA"/>
    <w:rsid w:val="006B7E7B"/>
    <w:rsid w:val="006C10FC"/>
    <w:rsid w:val="006C1343"/>
    <w:rsid w:val="006C145B"/>
    <w:rsid w:val="006C19C5"/>
    <w:rsid w:val="006C2B22"/>
    <w:rsid w:val="006C3030"/>
    <w:rsid w:val="006C32A9"/>
    <w:rsid w:val="006C367A"/>
    <w:rsid w:val="006C375D"/>
    <w:rsid w:val="006C3980"/>
    <w:rsid w:val="006C45ED"/>
    <w:rsid w:val="006C4BFB"/>
    <w:rsid w:val="006C4C03"/>
    <w:rsid w:val="006C573A"/>
    <w:rsid w:val="006C6541"/>
    <w:rsid w:val="006C77F9"/>
    <w:rsid w:val="006D0C4C"/>
    <w:rsid w:val="006D0E89"/>
    <w:rsid w:val="006D0F69"/>
    <w:rsid w:val="006D1CAA"/>
    <w:rsid w:val="006D1F3B"/>
    <w:rsid w:val="006D2039"/>
    <w:rsid w:val="006D244D"/>
    <w:rsid w:val="006D2613"/>
    <w:rsid w:val="006D2E2D"/>
    <w:rsid w:val="006D58A2"/>
    <w:rsid w:val="006D5C45"/>
    <w:rsid w:val="006D5E20"/>
    <w:rsid w:val="006D65A0"/>
    <w:rsid w:val="006D6621"/>
    <w:rsid w:val="006D6CC0"/>
    <w:rsid w:val="006D712A"/>
    <w:rsid w:val="006E005F"/>
    <w:rsid w:val="006E02A8"/>
    <w:rsid w:val="006E02AB"/>
    <w:rsid w:val="006E07F9"/>
    <w:rsid w:val="006E0DC9"/>
    <w:rsid w:val="006E0EC1"/>
    <w:rsid w:val="006E15A2"/>
    <w:rsid w:val="006E181B"/>
    <w:rsid w:val="006E261A"/>
    <w:rsid w:val="006E2765"/>
    <w:rsid w:val="006E287E"/>
    <w:rsid w:val="006E47A0"/>
    <w:rsid w:val="006E5238"/>
    <w:rsid w:val="006E5D41"/>
    <w:rsid w:val="006E5D5C"/>
    <w:rsid w:val="006E5F74"/>
    <w:rsid w:val="006E6AB9"/>
    <w:rsid w:val="006E6C67"/>
    <w:rsid w:val="006E6E14"/>
    <w:rsid w:val="006E73B9"/>
    <w:rsid w:val="006E7D0E"/>
    <w:rsid w:val="006E7EA9"/>
    <w:rsid w:val="006F02AD"/>
    <w:rsid w:val="006F0BA5"/>
    <w:rsid w:val="006F1132"/>
    <w:rsid w:val="006F1245"/>
    <w:rsid w:val="006F138A"/>
    <w:rsid w:val="006F16AA"/>
    <w:rsid w:val="006F1918"/>
    <w:rsid w:val="006F245E"/>
    <w:rsid w:val="006F3212"/>
    <w:rsid w:val="006F349D"/>
    <w:rsid w:val="006F37DF"/>
    <w:rsid w:val="006F40CC"/>
    <w:rsid w:val="006F4A1E"/>
    <w:rsid w:val="006F63CD"/>
    <w:rsid w:val="006F670A"/>
    <w:rsid w:val="006F6A92"/>
    <w:rsid w:val="006F6C80"/>
    <w:rsid w:val="00700A1C"/>
    <w:rsid w:val="00700E96"/>
    <w:rsid w:val="0070171D"/>
    <w:rsid w:val="007018FF"/>
    <w:rsid w:val="00701B4F"/>
    <w:rsid w:val="00701C67"/>
    <w:rsid w:val="00702027"/>
    <w:rsid w:val="00702298"/>
    <w:rsid w:val="007022BE"/>
    <w:rsid w:val="00702490"/>
    <w:rsid w:val="007025BC"/>
    <w:rsid w:val="00702D16"/>
    <w:rsid w:val="00702DC4"/>
    <w:rsid w:val="00702E10"/>
    <w:rsid w:val="00703173"/>
    <w:rsid w:val="00703E4E"/>
    <w:rsid w:val="0070450A"/>
    <w:rsid w:val="0070483D"/>
    <w:rsid w:val="00705CF0"/>
    <w:rsid w:val="00705D24"/>
    <w:rsid w:val="007064D3"/>
    <w:rsid w:val="007067F3"/>
    <w:rsid w:val="00707453"/>
    <w:rsid w:val="00707F7A"/>
    <w:rsid w:val="00710AB2"/>
    <w:rsid w:val="00710FA4"/>
    <w:rsid w:val="007117AC"/>
    <w:rsid w:val="00711B02"/>
    <w:rsid w:val="00711CAE"/>
    <w:rsid w:val="007120D1"/>
    <w:rsid w:val="00712385"/>
    <w:rsid w:val="0071308F"/>
    <w:rsid w:val="00713E64"/>
    <w:rsid w:val="007140E2"/>
    <w:rsid w:val="007142DF"/>
    <w:rsid w:val="00714603"/>
    <w:rsid w:val="00714867"/>
    <w:rsid w:val="007203ED"/>
    <w:rsid w:val="007205D7"/>
    <w:rsid w:val="00720C24"/>
    <w:rsid w:val="00720E00"/>
    <w:rsid w:val="0072172C"/>
    <w:rsid w:val="007222C3"/>
    <w:rsid w:val="00722950"/>
    <w:rsid w:val="00722E0B"/>
    <w:rsid w:val="00723001"/>
    <w:rsid w:val="0072311E"/>
    <w:rsid w:val="00723631"/>
    <w:rsid w:val="00723E38"/>
    <w:rsid w:val="00724144"/>
    <w:rsid w:val="007241FB"/>
    <w:rsid w:val="00725EF1"/>
    <w:rsid w:val="00727317"/>
    <w:rsid w:val="007279BD"/>
    <w:rsid w:val="00727AB9"/>
    <w:rsid w:val="00727AEA"/>
    <w:rsid w:val="00727D30"/>
    <w:rsid w:val="0073017F"/>
    <w:rsid w:val="00731674"/>
    <w:rsid w:val="00731849"/>
    <w:rsid w:val="007319F9"/>
    <w:rsid w:val="00731A10"/>
    <w:rsid w:val="00731CB9"/>
    <w:rsid w:val="00732B1B"/>
    <w:rsid w:val="00733B7A"/>
    <w:rsid w:val="00733BD6"/>
    <w:rsid w:val="0073499C"/>
    <w:rsid w:val="00734E4B"/>
    <w:rsid w:val="00734EAB"/>
    <w:rsid w:val="00734EB3"/>
    <w:rsid w:val="00735162"/>
    <w:rsid w:val="007357B8"/>
    <w:rsid w:val="00736012"/>
    <w:rsid w:val="0073665A"/>
    <w:rsid w:val="0073779D"/>
    <w:rsid w:val="00737E0C"/>
    <w:rsid w:val="00737F23"/>
    <w:rsid w:val="0074084F"/>
    <w:rsid w:val="00740C17"/>
    <w:rsid w:val="00741081"/>
    <w:rsid w:val="00741F72"/>
    <w:rsid w:val="0074318A"/>
    <w:rsid w:val="00743270"/>
    <w:rsid w:val="00743414"/>
    <w:rsid w:val="007440D1"/>
    <w:rsid w:val="00744745"/>
    <w:rsid w:val="00744D45"/>
    <w:rsid w:val="00744E1B"/>
    <w:rsid w:val="007451DC"/>
    <w:rsid w:val="00745790"/>
    <w:rsid w:val="007459CA"/>
    <w:rsid w:val="00745D29"/>
    <w:rsid w:val="007463B2"/>
    <w:rsid w:val="00746A40"/>
    <w:rsid w:val="00747EC2"/>
    <w:rsid w:val="0075019E"/>
    <w:rsid w:val="00750D23"/>
    <w:rsid w:val="007514ED"/>
    <w:rsid w:val="00751A69"/>
    <w:rsid w:val="0075287B"/>
    <w:rsid w:val="0075327C"/>
    <w:rsid w:val="0075376C"/>
    <w:rsid w:val="00753D61"/>
    <w:rsid w:val="00753DF0"/>
    <w:rsid w:val="00753E5C"/>
    <w:rsid w:val="00754230"/>
    <w:rsid w:val="00754737"/>
    <w:rsid w:val="0075569B"/>
    <w:rsid w:val="007559BC"/>
    <w:rsid w:val="007559F0"/>
    <w:rsid w:val="00755FF0"/>
    <w:rsid w:val="0075610B"/>
    <w:rsid w:val="00756178"/>
    <w:rsid w:val="007568E8"/>
    <w:rsid w:val="00756CC7"/>
    <w:rsid w:val="0076072E"/>
    <w:rsid w:val="0076146E"/>
    <w:rsid w:val="00761A14"/>
    <w:rsid w:val="007626F7"/>
    <w:rsid w:val="00763FB1"/>
    <w:rsid w:val="00764520"/>
    <w:rsid w:val="0076476F"/>
    <w:rsid w:val="00765115"/>
    <w:rsid w:val="00765E85"/>
    <w:rsid w:val="00765F31"/>
    <w:rsid w:val="007663C3"/>
    <w:rsid w:val="00766940"/>
    <w:rsid w:val="00767837"/>
    <w:rsid w:val="0076793E"/>
    <w:rsid w:val="00767E98"/>
    <w:rsid w:val="0077003E"/>
    <w:rsid w:val="007702F3"/>
    <w:rsid w:val="00770ACF"/>
    <w:rsid w:val="00771367"/>
    <w:rsid w:val="007714AD"/>
    <w:rsid w:val="00771D83"/>
    <w:rsid w:val="00772881"/>
    <w:rsid w:val="00773AB9"/>
    <w:rsid w:val="007754A7"/>
    <w:rsid w:val="00776BB7"/>
    <w:rsid w:val="00776E1C"/>
    <w:rsid w:val="007770FE"/>
    <w:rsid w:val="00777F98"/>
    <w:rsid w:val="00780069"/>
    <w:rsid w:val="00780418"/>
    <w:rsid w:val="0078127F"/>
    <w:rsid w:val="0078155F"/>
    <w:rsid w:val="007825DE"/>
    <w:rsid w:val="007828D8"/>
    <w:rsid w:val="00783643"/>
    <w:rsid w:val="0078391A"/>
    <w:rsid w:val="00783CF1"/>
    <w:rsid w:val="00784F9E"/>
    <w:rsid w:val="00784FFC"/>
    <w:rsid w:val="00785492"/>
    <w:rsid w:val="00785C46"/>
    <w:rsid w:val="00786741"/>
    <w:rsid w:val="00787E6A"/>
    <w:rsid w:val="00790322"/>
    <w:rsid w:val="0079045A"/>
    <w:rsid w:val="00790E66"/>
    <w:rsid w:val="00791B5A"/>
    <w:rsid w:val="00792338"/>
    <w:rsid w:val="007925F1"/>
    <w:rsid w:val="00792BDC"/>
    <w:rsid w:val="007942C1"/>
    <w:rsid w:val="00794D49"/>
    <w:rsid w:val="007951CF"/>
    <w:rsid w:val="00795920"/>
    <w:rsid w:val="00795E18"/>
    <w:rsid w:val="0079612C"/>
    <w:rsid w:val="00796218"/>
    <w:rsid w:val="007962B9"/>
    <w:rsid w:val="00796382"/>
    <w:rsid w:val="00797E06"/>
    <w:rsid w:val="007A0310"/>
    <w:rsid w:val="007A0CBD"/>
    <w:rsid w:val="007A1455"/>
    <w:rsid w:val="007A1632"/>
    <w:rsid w:val="007A16A9"/>
    <w:rsid w:val="007A2165"/>
    <w:rsid w:val="007A2864"/>
    <w:rsid w:val="007A2CB9"/>
    <w:rsid w:val="007A4269"/>
    <w:rsid w:val="007A4566"/>
    <w:rsid w:val="007A473D"/>
    <w:rsid w:val="007A4FE8"/>
    <w:rsid w:val="007A525C"/>
    <w:rsid w:val="007A54FD"/>
    <w:rsid w:val="007A583C"/>
    <w:rsid w:val="007A59BC"/>
    <w:rsid w:val="007A5C56"/>
    <w:rsid w:val="007A5E1E"/>
    <w:rsid w:val="007A5E9B"/>
    <w:rsid w:val="007A6551"/>
    <w:rsid w:val="007A6650"/>
    <w:rsid w:val="007A6813"/>
    <w:rsid w:val="007A6936"/>
    <w:rsid w:val="007A7C1A"/>
    <w:rsid w:val="007A7DC6"/>
    <w:rsid w:val="007B07E5"/>
    <w:rsid w:val="007B0A40"/>
    <w:rsid w:val="007B0C9E"/>
    <w:rsid w:val="007B0F18"/>
    <w:rsid w:val="007B0FBE"/>
    <w:rsid w:val="007B3944"/>
    <w:rsid w:val="007B3A12"/>
    <w:rsid w:val="007B5D98"/>
    <w:rsid w:val="007B5FB7"/>
    <w:rsid w:val="007B64F6"/>
    <w:rsid w:val="007B65CF"/>
    <w:rsid w:val="007B6D48"/>
    <w:rsid w:val="007B6D55"/>
    <w:rsid w:val="007B7143"/>
    <w:rsid w:val="007B7792"/>
    <w:rsid w:val="007C0EC3"/>
    <w:rsid w:val="007C11FC"/>
    <w:rsid w:val="007C12E4"/>
    <w:rsid w:val="007C14C4"/>
    <w:rsid w:val="007C177A"/>
    <w:rsid w:val="007C222D"/>
    <w:rsid w:val="007C2257"/>
    <w:rsid w:val="007C2B97"/>
    <w:rsid w:val="007C3530"/>
    <w:rsid w:val="007C3881"/>
    <w:rsid w:val="007C3E23"/>
    <w:rsid w:val="007C4051"/>
    <w:rsid w:val="007C5035"/>
    <w:rsid w:val="007C57B9"/>
    <w:rsid w:val="007C58E4"/>
    <w:rsid w:val="007C617F"/>
    <w:rsid w:val="007C63F0"/>
    <w:rsid w:val="007C690F"/>
    <w:rsid w:val="007D1DE8"/>
    <w:rsid w:val="007D2925"/>
    <w:rsid w:val="007D2D12"/>
    <w:rsid w:val="007D2D2F"/>
    <w:rsid w:val="007D2F74"/>
    <w:rsid w:val="007D2F93"/>
    <w:rsid w:val="007D3284"/>
    <w:rsid w:val="007D368D"/>
    <w:rsid w:val="007D36A0"/>
    <w:rsid w:val="007D4020"/>
    <w:rsid w:val="007D4184"/>
    <w:rsid w:val="007D4410"/>
    <w:rsid w:val="007D4AD5"/>
    <w:rsid w:val="007D4C2F"/>
    <w:rsid w:val="007D4DF6"/>
    <w:rsid w:val="007D55DF"/>
    <w:rsid w:val="007D7800"/>
    <w:rsid w:val="007E036B"/>
    <w:rsid w:val="007E0426"/>
    <w:rsid w:val="007E05E1"/>
    <w:rsid w:val="007E1569"/>
    <w:rsid w:val="007E1CEC"/>
    <w:rsid w:val="007E217B"/>
    <w:rsid w:val="007E2682"/>
    <w:rsid w:val="007E34C1"/>
    <w:rsid w:val="007E375B"/>
    <w:rsid w:val="007E3895"/>
    <w:rsid w:val="007E396E"/>
    <w:rsid w:val="007E3A20"/>
    <w:rsid w:val="007E3ECF"/>
    <w:rsid w:val="007E44EC"/>
    <w:rsid w:val="007E451E"/>
    <w:rsid w:val="007E45C3"/>
    <w:rsid w:val="007E4BFA"/>
    <w:rsid w:val="007E4FE7"/>
    <w:rsid w:val="007E54F4"/>
    <w:rsid w:val="007E5AEC"/>
    <w:rsid w:val="007E5E93"/>
    <w:rsid w:val="007E62AD"/>
    <w:rsid w:val="007E7284"/>
    <w:rsid w:val="007E74AC"/>
    <w:rsid w:val="007E7733"/>
    <w:rsid w:val="007E7BA6"/>
    <w:rsid w:val="007F02B8"/>
    <w:rsid w:val="007F08F4"/>
    <w:rsid w:val="007F1491"/>
    <w:rsid w:val="007F1508"/>
    <w:rsid w:val="007F17CE"/>
    <w:rsid w:val="007F1949"/>
    <w:rsid w:val="007F19E1"/>
    <w:rsid w:val="007F2485"/>
    <w:rsid w:val="007F2762"/>
    <w:rsid w:val="007F27A7"/>
    <w:rsid w:val="007F2833"/>
    <w:rsid w:val="007F28B6"/>
    <w:rsid w:val="007F2C2F"/>
    <w:rsid w:val="007F310C"/>
    <w:rsid w:val="007F3748"/>
    <w:rsid w:val="007F37A2"/>
    <w:rsid w:val="007F3A58"/>
    <w:rsid w:val="007F3C06"/>
    <w:rsid w:val="007F4235"/>
    <w:rsid w:val="007F4263"/>
    <w:rsid w:val="007F458F"/>
    <w:rsid w:val="007F51E0"/>
    <w:rsid w:val="007F55B6"/>
    <w:rsid w:val="007F6006"/>
    <w:rsid w:val="007F6279"/>
    <w:rsid w:val="007F64FE"/>
    <w:rsid w:val="007F6DE5"/>
    <w:rsid w:val="007F74AF"/>
    <w:rsid w:val="007F761A"/>
    <w:rsid w:val="007F7C40"/>
    <w:rsid w:val="008009C5"/>
    <w:rsid w:val="00800D68"/>
    <w:rsid w:val="008011E0"/>
    <w:rsid w:val="00801839"/>
    <w:rsid w:val="0080191F"/>
    <w:rsid w:val="00802E11"/>
    <w:rsid w:val="008030B2"/>
    <w:rsid w:val="00803FBC"/>
    <w:rsid w:val="008042B7"/>
    <w:rsid w:val="008044FD"/>
    <w:rsid w:val="00804D3A"/>
    <w:rsid w:val="008050F5"/>
    <w:rsid w:val="00805120"/>
    <w:rsid w:val="00805464"/>
    <w:rsid w:val="00805929"/>
    <w:rsid w:val="00805AB7"/>
    <w:rsid w:val="00805F13"/>
    <w:rsid w:val="0080715E"/>
    <w:rsid w:val="00810018"/>
    <w:rsid w:val="00810AE9"/>
    <w:rsid w:val="00810B03"/>
    <w:rsid w:val="0081143C"/>
    <w:rsid w:val="008116EF"/>
    <w:rsid w:val="008122AD"/>
    <w:rsid w:val="0081268E"/>
    <w:rsid w:val="008126B1"/>
    <w:rsid w:val="008129E9"/>
    <w:rsid w:val="00812FBC"/>
    <w:rsid w:val="00813358"/>
    <w:rsid w:val="00813654"/>
    <w:rsid w:val="00813AFF"/>
    <w:rsid w:val="00813C5C"/>
    <w:rsid w:val="00813E88"/>
    <w:rsid w:val="00814638"/>
    <w:rsid w:val="00814BF6"/>
    <w:rsid w:val="0081683C"/>
    <w:rsid w:val="00816944"/>
    <w:rsid w:val="00817388"/>
    <w:rsid w:val="0081740E"/>
    <w:rsid w:val="008174E1"/>
    <w:rsid w:val="008175B6"/>
    <w:rsid w:val="00817894"/>
    <w:rsid w:val="00817ABD"/>
    <w:rsid w:val="00817E8F"/>
    <w:rsid w:val="00817FA1"/>
    <w:rsid w:val="008209EF"/>
    <w:rsid w:val="00820DBF"/>
    <w:rsid w:val="00820FD8"/>
    <w:rsid w:val="008222F0"/>
    <w:rsid w:val="00823BE6"/>
    <w:rsid w:val="00824B8F"/>
    <w:rsid w:val="00824EB6"/>
    <w:rsid w:val="00824F23"/>
    <w:rsid w:val="00825B0D"/>
    <w:rsid w:val="00825B92"/>
    <w:rsid w:val="00825FCE"/>
    <w:rsid w:val="008264D2"/>
    <w:rsid w:val="0082671A"/>
    <w:rsid w:val="00827936"/>
    <w:rsid w:val="00827B51"/>
    <w:rsid w:val="00827E6E"/>
    <w:rsid w:val="00830680"/>
    <w:rsid w:val="008306AC"/>
    <w:rsid w:val="0083146D"/>
    <w:rsid w:val="00831BD6"/>
    <w:rsid w:val="00832B18"/>
    <w:rsid w:val="00833CB2"/>
    <w:rsid w:val="00834B59"/>
    <w:rsid w:val="00834C4C"/>
    <w:rsid w:val="00836467"/>
    <w:rsid w:val="008366F1"/>
    <w:rsid w:val="00837FCF"/>
    <w:rsid w:val="008401E8"/>
    <w:rsid w:val="00841297"/>
    <w:rsid w:val="00841D28"/>
    <w:rsid w:val="008421BA"/>
    <w:rsid w:val="008433C4"/>
    <w:rsid w:val="00843B53"/>
    <w:rsid w:val="00844159"/>
    <w:rsid w:val="008442F4"/>
    <w:rsid w:val="008464B8"/>
    <w:rsid w:val="00847C2F"/>
    <w:rsid w:val="00847CD2"/>
    <w:rsid w:val="008514C9"/>
    <w:rsid w:val="00851A08"/>
    <w:rsid w:val="0085229D"/>
    <w:rsid w:val="008524EA"/>
    <w:rsid w:val="008527C2"/>
    <w:rsid w:val="008527DA"/>
    <w:rsid w:val="008535B8"/>
    <w:rsid w:val="00853DCF"/>
    <w:rsid w:val="00855964"/>
    <w:rsid w:val="00855A8A"/>
    <w:rsid w:val="00856041"/>
    <w:rsid w:val="00857163"/>
    <w:rsid w:val="008573DF"/>
    <w:rsid w:val="00857712"/>
    <w:rsid w:val="00857716"/>
    <w:rsid w:val="00860180"/>
    <w:rsid w:val="008601B7"/>
    <w:rsid w:val="0086159D"/>
    <w:rsid w:val="00861CA6"/>
    <w:rsid w:val="008624B4"/>
    <w:rsid w:val="0086262A"/>
    <w:rsid w:val="00862AED"/>
    <w:rsid w:val="00862BD4"/>
    <w:rsid w:val="00863187"/>
    <w:rsid w:val="00863647"/>
    <w:rsid w:val="00863E57"/>
    <w:rsid w:val="00864361"/>
    <w:rsid w:val="008644E4"/>
    <w:rsid w:val="00864E82"/>
    <w:rsid w:val="008665BE"/>
    <w:rsid w:val="00870327"/>
    <w:rsid w:val="00870FA6"/>
    <w:rsid w:val="008713A8"/>
    <w:rsid w:val="008728A1"/>
    <w:rsid w:val="008729D4"/>
    <w:rsid w:val="00872D4D"/>
    <w:rsid w:val="00872D65"/>
    <w:rsid w:val="0087311B"/>
    <w:rsid w:val="008733F4"/>
    <w:rsid w:val="0087392B"/>
    <w:rsid w:val="00874205"/>
    <w:rsid w:val="00874284"/>
    <w:rsid w:val="00874477"/>
    <w:rsid w:val="00874C5C"/>
    <w:rsid w:val="008758C5"/>
    <w:rsid w:val="00875A1C"/>
    <w:rsid w:val="00875DF8"/>
    <w:rsid w:val="00877061"/>
    <w:rsid w:val="008805D8"/>
    <w:rsid w:val="008807C9"/>
    <w:rsid w:val="0088094D"/>
    <w:rsid w:val="00881C74"/>
    <w:rsid w:val="00882714"/>
    <w:rsid w:val="008840C0"/>
    <w:rsid w:val="00884FEC"/>
    <w:rsid w:val="00885418"/>
    <w:rsid w:val="00885B25"/>
    <w:rsid w:val="00885DEE"/>
    <w:rsid w:val="00885F72"/>
    <w:rsid w:val="0088625D"/>
    <w:rsid w:val="00886573"/>
    <w:rsid w:val="00886687"/>
    <w:rsid w:val="00886FFC"/>
    <w:rsid w:val="00890363"/>
    <w:rsid w:val="00890D49"/>
    <w:rsid w:val="008911E9"/>
    <w:rsid w:val="008912A6"/>
    <w:rsid w:val="008912F3"/>
    <w:rsid w:val="00891739"/>
    <w:rsid w:val="0089191D"/>
    <w:rsid w:val="00891C1C"/>
    <w:rsid w:val="00891EDC"/>
    <w:rsid w:val="0089282B"/>
    <w:rsid w:val="00892A05"/>
    <w:rsid w:val="00892EEF"/>
    <w:rsid w:val="008931D3"/>
    <w:rsid w:val="00893248"/>
    <w:rsid w:val="0089355B"/>
    <w:rsid w:val="00893A0F"/>
    <w:rsid w:val="00893A3D"/>
    <w:rsid w:val="00893F71"/>
    <w:rsid w:val="0089422B"/>
    <w:rsid w:val="008942D2"/>
    <w:rsid w:val="00894DB6"/>
    <w:rsid w:val="00895318"/>
    <w:rsid w:val="0089567F"/>
    <w:rsid w:val="008965B8"/>
    <w:rsid w:val="00896C43"/>
    <w:rsid w:val="00896FA0"/>
    <w:rsid w:val="008A04D6"/>
    <w:rsid w:val="008A0D94"/>
    <w:rsid w:val="008A2292"/>
    <w:rsid w:val="008A24A0"/>
    <w:rsid w:val="008A25A6"/>
    <w:rsid w:val="008A2AF1"/>
    <w:rsid w:val="008A32CB"/>
    <w:rsid w:val="008A3829"/>
    <w:rsid w:val="008A3C17"/>
    <w:rsid w:val="008A42B8"/>
    <w:rsid w:val="008A4E54"/>
    <w:rsid w:val="008A5E6B"/>
    <w:rsid w:val="008A5F70"/>
    <w:rsid w:val="008A64B4"/>
    <w:rsid w:val="008A6956"/>
    <w:rsid w:val="008A6A70"/>
    <w:rsid w:val="008A6C38"/>
    <w:rsid w:val="008A7156"/>
    <w:rsid w:val="008A791E"/>
    <w:rsid w:val="008A79DF"/>
    <w:rsid w:val="008A79F8"/>
    <w:rsid w:val="008A7FFD"/>
    <w:rsid w:val="008B019A"/>
    <w:rsid w:val="008B0C08"/>
    <w:rsid w:val="008B0CFB"/>
    <w:rsid w:val="008B0EFD"/>
    <w:rsid w:val="008B1620"/>
    <w:rsid w:val="008B199F"/>
    <w:rsid w:val="008B1A1C"/>
    <w:rsid w:val="008B217B"/>
    <w:rsid w:val="008B28B3"/>
    <w:rsid w:val="008B367F"/>
    <w:rsid w:val="008B38DD"/>
    <w:rsid w:val="008B4205"/>
    <w:rsid w:val="008B44AB"/>
    <w:rsid w:val="008B498E"/>
    <w:rsid w:val="008B54E7"/>
    <w:rsid w:val="008B54EC"/>
    <w:rsid w:val="008B5C34"/>
    <w:rsid w:val="008B614A"/>
    <w:rsid w:val="008B699D"/>
    <w:rsid w:val="008B6D84"/>
    <w:rsid w:val="008B7011"/>
    <w:rsid w:val="008B7146"/>
    <w:rsid w:val="008B74CD"/>
    <w:rsid w:val="008C0749"/>
    <w:rsid w:val="008C15A3"/>
    <w:rsid w:val="008C170F"/>
    <w:rsid w:val="008C1D04"/>
    <w:rsid w:val="008C20DD"/>
    <w:rsid w:val="008C22F4"/>
    <w:rsid w:val="008C2A6D"/>
    <w:rsid w:val="008C30CA"/>
    <w:rsid w:val="008C3437"/>
    <w:rsid w:val="008C40EF"/>
    <w:rsid w:val="008C4135"/>
    <w:rsid w:val="008C4B45"/>
    <w:rsid w:val="008C5061"/>
    <w:rsid w:val="008C51A5"/>
    <w:rsid w:val="008C53CF"/>
    <w:rsid w:val="008C57F4"/>
    <w:rsid w:val="008C5E42"/>
    <w:rsid w:val="008C675D"/>
    <w:rsid w:val="008C67F4"/>
    <w:rsid w:val="008C6B42"/>
    <w:rsid w:val="008C6BBC"/>
    <w:rsid w:val="008C723F"/>
    <w:rsid w:val="008C735E"/>
    <w:rsid w:val="008C773C"/>
    <w:rsid w:val="008C78F3"/>
    <w:rsid w:val="008C7D1C"/>
    <w:rsid w:val="008D0AAA"/>
    <w:rsid w:val="008D0E0F"/>
    <w:rsid w:val="008D160C"/>
    <w:rsid w:val="008D16DA"/>
    <w:rsid w:val="008D2102"/>
    <w:rsid w:val="008D2175"/>
    <w:rsid w:val="008D2407"/>
    <w:rsid w:val="008D3918"/>
    <w:rsid w:val="008D3ADB"/>
    <w:rsid w:val="008D41A2"/>
    <w:rsid w:val="008D43C8"/>
    <w:rsid w:val="008D534F"/>
    <w:rsid w:val="008D5577"/>
    <w:rsid w:val="008D6043"/>
    <w:rsid w:val="008D690F"/>
    <w:rsid w:val="008D69E6"/>
    <w:rsid w:val="008D76F5"/>
    <w:rsid w:val="008D7CC8"/>
    <w:rsid w:val="008E056D"/>
    <w:rsid w:val="008E12F2"/>
    <w:rsid w:val="008E145E"/>
    <w:rsid w:val="008E1983"/>
    <w:rsid w:val="008E1FE9"/>
    <w:rsid w:val="008E20A5"/>
    <w:rsid w:val="008E243A"/>
    <w:rsid w:val="008E2635"/>
    <w:rsid w:val="008E26D3"/>
    <w:rsid w:val="008E322A"/>
    <w:rsid w:val="008E3248"/>
    <w:rsid w:val="008E3552"/>
    <w:rsid w:val="008E38CE"/>
    <w:rsid w:val="008E38DE"/>
    <w:rsid w:val="008E3D47"/>
    <w:rsid w:val="008E3FBE"/>
    <w:rsid w:val="008E40CB"/>
    <w:rsid w:val="008E4C43"/>
    <w:rsid w:val="008E50E0"/>
    <w:rsid w:val="008E5336"/>
    <w:rsid w:val="008E5E5C"/>
    <w:rsid w:val="008E6352"/>
    <w:rsid w:val="008E686E"/>
    <w:rsid w:val="008E688A"/>
    <w:rsid w:val="008E7136"/>
    <w:rsid w:val="008E7A11"/>
    <w:rsid w:val="008F00D4"/>
    <w:rsid w:val="008F03D9"/>
    <w:rsid w:val="008F0C02"/>
    <w:rsid w:val="008F0D93"/>
    <w:rsid w:val="008F1C09"/>
    <w:rsid w:val="008F29ED"/>
    <w:rsid w:val="008F2B48"/>
    <w:rsid w:val="008F366E"/>
    <w:rsid w:val="008F3E77"/>
    <w:rsid w:val="008F4E27"/>
    <w:rsid w:val="008F5399"/>
    <w:rsid w:val="008F5640"/>
    <w:rsid w:val="008F597C"/>
    <w:rsid w:val="008F607E"/>
    <w:rsid w:val="008F76A6"/>
    <w:rsid w:val="008F76D2"/>
    <w:rsid w:val="008F7F02"/>
    <w:rsid w:val="00900416"/>
    <w:rsid w:val="009009F1"/>
    <w:rsid w:val="00900B47"/>
    <w:rsid w:val="00900E2D"/>
    <w:rsid w:val="00900ED3"/>
    <w:rsid w:val="00901015"/>
    <w:rsid w:val="00901092"/>
    <w:rsid w:val="00901CB7"/>
    <w:rsid w:val="009024A8"/>
    <w:rsid w:val="00902570"/>
    <w:rsid w:val="0090265E"/>
    <w:rsid w:val="00903073"/>
    <w:rsid w:val="009030C1"/>
    <w:rsid w:val="00903204"/>
    <w:rsid w:val="00903E03"/>
    <w:rsid w:val="00904866"/>
    <w:rsid w:val="00905469"/>
    <w:rsid w:val="00905AA6"/>
    <w:rsid w:val="00905ED5"/>
    <w:rsid w:val="00906338"/>
    <w:rsid w:val="00907AE5"/>
    <w:rsid w:val="00910C20"/>
    <w:rsid w:val="00910EA0"/>
    <w:rsid w:val="0091123A"/>
    <w:rsid w:val="0091182C"/>
    <w:rsid w:val="00911BF8"/>
    <w:rsid w:val="00912633"/>
    <w:rsid w:val="0091351C"/>
    <w:rsid w:val="009143E9"/>
    <w:rsid w:val="00914540"/>
    <w:rsid w:val="0091593E"/>
    <w:rsid w:val="00915C32"/>
    <w:rsid w:val="00915E0D"/>
    <w:rsid w:val="00916A3F"/>
    <w:rsid w:val="00917352"/>
    <w:rsid w:val="00917FFB"/>
    <w:rsid w:val="009204C3"/>
    <w:rsid w:val="009206FC"/>
    <w:rsid w:val="0092078F"/>
    <w:rsid w:val="0092089A"/>
    <w:rsid w:val="00920A18"/>
    <w:rsid w:val="00920EBF"/>
    <w:rsid w:val="00920F1A"/>
    <w:rsid w:val="00921415"/>
    <w:rsid w:val="00921A03"/>
    <w:rsid w:val="009220BE"/>
    <w:rsid w:val="00922192"/>
    <w:rsid w:val="00922A4C"/>
    <w:rsid w:val="00922A68"/>
    <w:rsid w:val="00923068"/>
    <w:rsid w:val="009238D4"/>
    <w:rsid w:val="00923A00"/>
    <w:rsid w:val="00924D50"/>
    <w:rsid w:val="00924F43"/>
    <w:rsid w:val="00926020"/>
    <w:rsid w:val="0092628A"/>
    <w:rsid w:val="0092688E"/>
    <w:rsid w:val="00926DE4"/>
    <w:rsid w:val="00927363"/>
    <w:rsid w:val="009274F8"/>
    <w:rsid w:val="00930867"/>
    <w:rsid w:val="009309BD"/>
    <w:rsid w:val="009310C0"/>
    <w:rsid w:val="00932023"/>
    <w:rsid w:val="009322EE"/>
    <w:rsid w:val="00932AE6"/>
    <w:rsid w:val="0093324C"/>
    <w:rsid w:val="00933645"/>
    <w:rsid w:val="009337FE"/>
    <w:rsid w:val="0093421A"/>
    <w:rsid w:val="0093530E"/>
    <w:rsid w:val="00935442"/>
    <w:rsid w:val="00936237"/>
    <w:rsid w:val="009366AA"/>
    <w:rsid w:val="0093670A"/>
    <w:rsid w:val="00936A31"/>
    <w:rsid w:val="00936F7C"/>
    <w:rsid w:val="00937121"/>
    <w:rsid w:val="009372C1"/>
    <w:rsid w:val="00937807"/>
    <w:rsid w:val="00937B86"/>
    <w:rsid w:val="00940289"/>
    <w:rsid w:val="009402EE"/>
    <w:rsid w:val="00941201"/>
    <w:rsid w:val="00941B41"/>
    <w:rsid w:val="00941F01"/>
    <w:rsid w:val="009425F4"/>
    <w:rsid w:val="00942655"/>
    <w:rsid w:val="00942695"/>
    <w:rsid w:val="00942707"/>
    <w:rsid w:val="009430FD"/>
    <w:rsid w:val="00943C71"/>
    <w:rsid w:val="00943E6B"/>
    <w:rsid w:val="009447A2"/>
    <w:rsid w:val="0094508D"/>
    <w:rsid w:val="009454CA"/>
    <w:rsid w:val="00945718"/>
    <w:rsid w:val="009462B5"/>
    <w:rsid w:val="0094686F"/>
    <w:rsid w:val="00946E16"/>
    <w:rsid w:val="00947650"/>
    <w:rsid w:val="00947C3A"/>
    <w:rsid w:val="00950742"/>
    <w:rsid w:val="00951481"/>
    <w:rsid w:val="00951924"/>
    <w:rsid w:val="00951C33"/>
    <w:rsid w:val="00951CAD"/>
    <w:rsid w:val="00952109"/>
    <w:rsid w:val="00952A4B"/>
    <w:rsid w:val="00952D71"/>
    <w:rsid w:val="00953E33"/>
    <w:rsid w:val="00953E50"/>
    <w:rsid w:val="0095442A"/>
    <w:rsid w:val="009546CE"/>
    <w:rsid w:val="0095582F"/>
    <w:rsid w:val="00955D17"/>
    <w:rsid w:val="00956123"/>
    <w:rsid w:val="0095656F"/>
    <w:rsid w:val="00956A88"/>
    <w:rsid w:val="00956CB0"/>
    <w:rsid w:val="0095710F"/>
    <w:rsid w:val="009575DB"/>
    <w:rsid w:val="00960166"/>
    <w:rsid w:val="009604E1"/>
    <w:rsid w:val="00960873"/>
    <w:rsid w:val="00961ADD"/>
    <w:rsid w:val="00961E3E"/>
    <w:rsid w:val="00961FF5"/>
    <w:rsid w:val="00962655"/>
    <w:rsid w:val="00962B12"/>
    <w:rsid w:val="00963A64"/>
    <w:rsid w:val="00963D31"/>
    <w:rsid w:val="00964E30"/>
    <w:rsid w:val="0096547D"/>
    <w:rsid w:val="00965F61"/>
    <w:rsid w:val="009662E5"/>
    <w:rsid w:val="00970513"/>
    <w:rsid w:val="00970D02"/>
    <w:rsid w:val="00970DD5"/>
    <w:rsid w:val="00970E16"/>
    <w:rsid w:val="009710A4"/>
    <w:rsid w:val="00971370"/>
    <w:rsid w:val="00972508"/>
    <w:rsid w:val="00972B12"/>
    <w:rsid w:val="00974AA6"/>
    <w:rsid w:val="00974CC4"/>
    <w:rsid w:val="00974F09"/>
    <w:rsid w:val="00974F80"/>
    <w:rsid w:val="00976782"/>
    <w:rsid w:val="0097717C"/>
    <w:rsid w:val="00981A32"/>
    <w:rsid w:val="009835E2"/>
    <w:rsid w:val="00983C70"/>
    <w:rsid w:val="00983D1A"/>
    <w:rsid w:val="009842E3"/>
    <w:rsid w:val="009846C8"/>
    <w:rsid w:val="00984D0E"/>
    <w:rsid w:val="009850F8"/>
    <w:rsid w:val="00985655"/>
    <w:rsid w:val="00986771"/>
    <w:rsid w:val="00986956"/>
    <w:rsid w:val="00986991"/>
    <w:rsid w:val="009869BA"/>
    <w:rsid w:val="00986EFA"/>
    <w:rsid w:val="009870C5"/>
    <w:rsid w:val="00987107"/>
    <w:rsid w:val="009877D1"/>
    <w:rsid w:val="009907AE"/>
    <w:rsid w:val="00991185"/>
    <w:rsid w:val="00991422"/>
    <w:rsid w:val="009916F7"/>
    <w:rsid w:val="00992476"/>
    <w:rsid w:val="009926E4"/>
    <w:rsid w:val="00992B53"/>
    <w:rsid w:val="00992D96"/>
    <w:rsid w:val="0099301F"/>
    <w:rsid w:val="0099371F"/>
    <w:rsid w:val="00993D81"/>
    <w:rsid w:val="00993FE4"/>
    <w:rsid w:val="00994518"/>
    <w:rsid w:val="009945AA"/>
    <w:rsid w:val="0099468D"/>
    <w:rsid w:val="00994851"/>
    <w:rsid w:val="00994F29"/>
    <w:rsid w:val="009950CD"/>
    <w:rsid w:val="00995DA1"/>
    <w:rsid w:val="00995F7F"/>
    <w:rsid w:val="009961D6"/>
    <w:rsid w:val="00996342"/>
    <w:rsid w:val="0099698C"/>
    <w:rsid w:val="00996AA7"/>
    <w:rsid w:val="0099714D"/>
    <w:rsid w:val="00997218"/>
    <w:rsid w:val="00997A1F"/>
    <w:rsid w:val="00997CC5"/>
    <w:rsid w:val="00997DDC"/>
    <w:rsid w:val="009A073F"/>
    <w:rsid w:val="009A0AAF"/>
    <w:rsid w:val="009A0E76"/>
    <w:rsid w:val="009A126B"/>
    <w:rsid w:val="009A148C"/>
    <w:rsid w:val="009A1707"/>
    <w:rsid w:val="009A1A3C"/>
    <w:rsid w:val="009A1B6F"/>
    <w:rsid w:val="009A2208"/>
    <w:rsid w:val="009A241E"/>
    <w:rsid w:val="009A35DC"/>
    <w:rsid w:val="009A36B4"/>
    <w:rsid w:val="009A3CAE"/>
    <w:rsid w:val="009A3E95"/>
    <w:rsid w:val="009A4C0F"/>
    <w:rsid w:val="009A528E"/>
    <w:rsid w:val="009A5616"/>
    <w:rsid w:val="009A57CB"/>
    <w:rsid w:val="009A5950"/>
    <w:rsid w:val="009A6299"/>
    <w:rsid w:val="009A6DEF"/>
    <w:rsid w:val="009A7605"/>
    <w:rsid w:val="009A764E"/>
    <w:rsid w:val="009B07B9"/>
    <w:rsid w:val="009B0A4B"/>
    <w:rsid w:val="009B0FE0"/>
    <w:rsid w:val="009B104F"/>
    <w:rsid w:val="009B1848"/>
    <w:rsid w:val="009B2952"/>
    <w:rsid w:val="009B31C9"/>
    <w:rsid w:val="009B337B"/>
    <w:rsid w:val="009B3B82"/>
    <w:rsid w:val="009B41BE"/>
    <w:rsid w:val="009B4410"/>
    <w:rsid w:val="009B4607"/>
    <w:rsid w:val="009B4A0A"/>
    <w:rsid w:val="009B513F"/>
    <w:rsid w:val="009B55C7"/>
    <w:rsid w:val="009B5646"/>
    <w:rsid w:val="009B582E"/>
    <w:rsid w:val="009B5BFA"/>
    <w:rsid w:val="009B5F75"/>
    <w:rsid w:val="009B602E"/>
    <w:rsid w:val="009B6DC9"/>
    <w:rsid w:val="009B78F2"/>
    <w:rsid w:val="009C0025"/>
    <w:rsid w:val="009C148E"/>
    <w:rsid w:val="009C2603"/>
    <w:rsid w:val="009C3007"/>
    <w:rsid w:val="009C3711"/>
    <w:rsid w:val="009C3942"/>
    <w:rsid w:val="009C4042"/>
    <w:rsid w:val="009C4C14"/>
    <w:rsid w:val="009C59E6"/>
    <w:rsid w:val="009C5B67"/>
    <w:rsid w:val="009C5C89"/>
    <w:rsid w:val="009C60CE"/>
    <w:rsid w:val="009C61F8"/>
    <w:rsid w:val="009C642E"/>
    <w:rsid w:val="009C67EF"/>
    <w:rsid w:val="009C6E74"/>
    <w:rsid w:val="009C7042"/>
    <w:rsid w:val="009C780F"/>
    <w:rsid w:val="009C78A4"/>
    <w:rsid w:val="009C7A14"/>
    <w:rsid w:val="009D00D1"/>
    <w:rsid w:val="009D0B9C"/>
    <w:rsid w:val="009D0CA6"/>
    <w:rsid w:val="009D106F"/>
    <w:rsid w:val="009D1E80"/>
    <w:rsid w:val="009D23E4"/>
    <w:rsid w:val="009D2800"/>
    <w:rsid w:val="009D2C3E"/>
    <w:rsid w:val="009D34D0"/>
    <w:rsid w:val="009D35E3"/>
    <w:rsid w:val="009D361E"/>
    <w:rsid w:val="009D408F"/>
    <w:rsid w:val="009D4337"/>
    <w:rsid w:val="009D450B"/>
    <w:rsid w:val="009D4A8D"/>
    <w:rsid w:val="009D4E19"/>
    <w:rsid w:val="009D5814"/>
    <w:rsid w:val="009D675F"/>
    <w:rsid w:val="009D7560"/>
    <w:rsid w:val="009D7698"/>
    <w:rsid w:val="009D76F9"/>
    <w:rsid w:val="009D774B"/>
    <w:rsid w:val="009D7D4D"/>
    <w:rsid w:val="009E057E"/>
    <w:rsid w:val="009E1101"/>
    <w:rsid w:val="009E1581"/>
    <w:rsid w:val="009E1695"/>
    <w:rsid w:val="009E19CE"/>
    <w:rsid w:val="009E2758"/>
    <w:rsid w:val="009E28B2"/>
    <w:rsid w:val="009E388F"/>
    <w:rsid w:val="009E3D66"/>
    <w:rsid w:val="009E4865"/>
    <w:rsid w:val="009E4E7E"/>
    <w:rsid w:val="009E5042"/>
    <w:rsid w:val="009E5469"/>
    <w:rsid w:val="009E59D5"/>
    <w:rsid w:val="009E6EA8"/>
    <w:rsid w:val="009E7A32"/>
    <w:rsid w:val="009F06C5"/>
    <w:rsid w:val="009F0EAB"/>
    <w:rsid w:val="009F1C7F"/>
    <w:rsid w:val="009F1E26"/>
    <w:rsid w:val="009F1FB1"/>
    <w:rsid w:val="009F2234"/>
    <w:rsid w:val="009F2329"/>
    <w:rsid w:val="009F30CC"/>
    <w:rsid w:val="009F3E6A"/>
    <w:rsid w:val="009F4E97"/>
    <w:rsid w:val="009F5572"/>
    <w:rsid w:val="009F5E37"/>
    <w:rsid w:val="009F5EB9"/>
    <w:rsid w:val="009F692D"/>
    <w:rsid w:val="009F6CCA"/>
    <w:rsid w:val="00A01866"/>
    <w:rsid w:val="00A01A11"/>
    <w:rsid w:val="00A01DFC"/>
    <w:rsid w:val="00A02274"/>
    <w:rsid w:val="00A0293F"/>
    <w:rsid w:val="00A03503"/>
    <w:rsid w:val="00A0362B"/>
    <w:rsid w:val="00A03CBF"/>
    <w:rsid w:val="00A0483D"/>
    <w:rsid w:val="00A05455"/>
    <w:rsid w:val="00A059C5"/>
    <w:rsid w:val="00A05A89"/>
    <w:rsid w:val="00A05BE7"/>
    <w:rsid w:val="00A05FB3"/>
    <w:rsid w:val="00A0735D"/>
    <w:rsid w:val="00A07CD5"/>
    <w:rsid w:val="00A1023B"/>
    <w:rsid w:val="00A11766"/>
    <w:rsid w:val="00A11B08"/>
    <w:rsid w:val="00A12C66"/>
    <w:rsid w:val="00A13EB3"/>
    <w:rsid w:val="00A161C1"/>
    <w:rsid w:val="00A16239"/>
    <w:rsid w:val="00A17156"/>
    <w:rsid w:val="00A17781"/>
    <w:rsid w:val="00A20242"/>
    <w:rsid w:val="00A20310"/>
    <w:rsid w:val="00A20742"/>
    <w:rsid w:val="00A240ED"/>
    <w:rsid w:val="00A2461F"/>
    <w:rsid w:val="00A247BF"/>
    <w:rsid w:val="00A25015"/>
    <w:rsid w:val="00A2531A"/>
    <w:rsid w:val="00A25B68"/>
    <w:rsid w:val="00A2603B"/>
    <w:rsid w:val="00A260E4"/>
    <w:rsid w:val="00A2676D"/>
    <w:rsid w:val="00A267CA"/>
    <w:rsid w:val="00A26A69"/>
    <w:rsid w:val="00A27187"/>
    <w:rsid w:val="00A271B5"/>
    <w:rsid w:val="00A27C3B"/>
    <w:rsid w:val="00A27DE8"/>
    <w:rsid w:val="00A27E16"/>
    <w:rsid w:val="00A303E5"/>
    <w:rsid w:val="00A314CE"/>
    <w:rsid w:val="00A32411"/>
    <w:rsid w:val="00A324E0"/>
    <w:rsid w:val="00A33CE2"/>
    <w:rsid w:val="00A34EC2"/>
    <w:rsid w:val="00A351FE"/>
    <w:rsid w:val="00A358D5"/>
    <w:rsid w:val="00A37A30"/>
    <w:rsid w:val="00A40BD1"/>
    <w:rsid w:val="00A40F1E"/>
    <w:rsid w:val="00A41915"/>
    <w:rsid w:val="00A41B8C"/>
    <w:rsid w:val="00A42731"/>
    <w:rsid w:val="00A42FA2"/>
    <w:rsid w:val="00A4316F"/>
    <w:rsid w:val="00A43D99"/>
    <w:rsid w:val="00A44177"/>
    <w:rsid w:val="00A44F4E"/>
    <w:rsid w:val="00A45A33"/>
    <w:rsid w:val="00A4669F"/>
    <w:rsid w:val="00A466A6"/>
    <w:rsid w:val="00A470E5"/>
    <w:rsid w:val="00A47D47"/>
    <w:rsid w:val="00A50F7B"/>
    <w:rsid w:val="00A51474"/>
    <w:rsid w:val="00A51561"/>
    <w:rsid w:val="00A51DA5"/>
    <w:rsid w:val="00A522B0"/>
    <w:rsid w:val="00A52619"/>
    <w:rsid w:val="00A52BD2"/>
    <w:rsid w:val="00A5472F"/>
    <w:rsid w:val="00A54867"/>
    <w:rsid w:val="00A54C0E"/>
    <w:rsid w:val="00A54DF5"/>
    <w:rsid w:val="00A55B58"/>
    <w:rsid w:val="00A56DF1"/>
    <w:rsid w:val="00A56E3C"/>
    <w:rsid w:val="00A579AB"/>
    <w:rsid w:val="00A57ED4"/>
    <w:rsid w:val="00A603E3"/>
    <w:rsid w:val="00A607C1"/>
    <w:rsid w:val="00A60BB1"/>
    <w:rsid w:val="00A6173E"/>
    <w:rsid w:val="00A62032"/>
    <w:rsid w:val="00A62081"/>
    <w:rsid w:val="00A6256F"/>
    <w:rsid w:val="00A62948"/>
    <w:rsid w:val="00A63678"/>
    <w:rsid w:val="00A6372B"/>
    <w:rsid w:val="00A64758"/>
    <w:rsid w:val="00A648A0"/>
    <w:rsid w:val="00A64A87"/>
    <w:rsid w:val="00A65604"/>
    <w:rsid w:val="00A6591F"/>
    <w:rsid w:val="00A65995"/>
    <w:rsid w:val="00A65CCA"/>
    <w:rsid w:val="00A65E35"/>
    <w:rsid w:val="00A65F31"/>
    <w:rsid w:val="00A66189"/>
    <w:rsid w:val="00A66405"/>
    <w:rsid w:val="00A665E5"/>
    <w:rsid w:val="00A666FC"/>
    <w:rsid w:val="00A6789F"/>
    <w:rsid w:val="00A7056E"/>
    <w:rsid w:val="00A70EF8"/>
    <w:rsid w:val="00A711FE"/>
    <w:rsid w:val="00A712FC"/>
    <w:rsid w:val="00A71CF1"/>
    <w:rsid w:val="00A7276B"/>
    <w:rsid w:val="00A728F4"/>
    <w:rsid w:val="00A729CC"/>
    <w:rsid w:val="00A72E3F"/>
    <w:rsid w:val="00A736B4"/>
    <w:rsid w:val="00A73758"/>
    <w:rsid w:val="00A73ED1"/>
    <w:rsid w:val="00A743F5"/>
    <w:rsid w:val="00A745A8"/>
    <w:rsid w:val="00A7494C"/>
    <w:rsid w:val="00A750F6"/>
    <w:rsid w:val="00A75573"/>
    <w:rsid w:val="00A77907"/>
    <w:rsid w:val="00A77CFA"/>
    <w:rsid w:val="00A77EA1"/>
    <w:rsid w:val="00A8090F"/>
    <w:rsid w:val="00A8173D"/>
    <w:rsid w:val="00A81FBF"/>
    <w:rsid w:val="00A82BE3"/>
    <w:rsid w:val="00A82DE4"/>
    <w:rsid w:val="00A83A06"/>
    <w:rsid w:val="00A83AD1"/>
    <w:rsid w:val="00A840D5"/>
    <w:rsid w:val="00A86862"/>
    <w:rsid w:val="00A8784D"/>
    <w:rsid w:val="00A91339"/>
    <w:rsid w:val="00A9198E"/>
    <w:rsid w:val="00A9208D"/>
    <w:rsid w:val="00A922C9"/>
    <w:rsid w:val="00A92A6C"/>
    <w:rsid w:val="00A9343B"/>
    <w:rsid w:val="00A946CE"/>
    <w:rsid w:val="00A947A3"/>
    <w:rsid w:val="00A94D00"/>
    <w:rsid w:val="00A94E71"/>
    <w:rsid w:val="00A95045"/>
    <w:rsid w:val="00A950D7"/>
    <w:rsid w:val="00A95111"/>
    <w:rsid w:val="00A95224"/>
    <w:rsid w:val="00A95793"/>
    <w:rsid w:val="00A958B7"/>
    <w:rsid w:val="00A95FA1"/>
    <w:rsid w:val="00A963BA"/>
    <w:rsid w:val="00A965BD"/>
    <w:rsid w:val="00A96A72"/>
    <w:rsid w:val="00A97183"/>
    <w:rsid w:val="00A972EB"/>
    <w:rsid w:val="00A97D07"/>
    <w:rsid w:val="00AA0994"/>
    <w:rsid w:val="00AA1897"/>
    <w:rsid w:val="00AA1A32"/>
    <w:rsid w:val="00AA1B46"/>
    <w:rsid w:val="00AA217D"/>
    <w:rsid w:val="00AA265A"/>
    <w:rsid w:val="00AA2B19"/>
    <w:rsid w:val="00AA2BCB"/>
    <w:rsid w:val="00AA31A3"/>
    <w:rsid w:val="00AA360A"/>
    <w:rsid w:val="00AA3BB3"/>
    <w:rsid w:val="00AA3F3B"/>
    <w:rsid w:val="00AA4681"/>
    <w:rsid w:val="00AA49F4"/>
    <w:rsid w:val="00AA4DCB"/>
    <w:rsid w:val="00AA522E"/>
    <w:rsid w:val="00AA5526"/>
    <w:rsid w:val="00AA5BFA"/>
    <w:rsid w:val="00AA6AD3"/>
    <w:rsid w:val="00AA7475"/>
    <w:rsid w:val="00AA7DC5"/>
    <w:rsid w:val="00AB0115"/>
    <w:rsid w:val="00AB0C63"/>
    <w:rsid w:val="00AB0F80"/>
    <w:rsid w:val="00AB10E6"/>
    <w:rsid w:val="00AB1937"/>
    <w:rsid w:val="00AB22BE"/>
    <w:rsid w:val="00AB2621"/>
    <w:rsid w:val="00AB2F08"/>
    <w:rsid w:val="00AB37D6"/>
    <w:rsid w:val="00AB3BAD"/>
    <w:rsid w:val="00AB4172"/>
    <w:rsid w:val="00AB4568"/>
    <w:rsid w:val="00AB46E2"/>
    <w:rsid w:val="00AB5672"/>
    <w:rsid w:val="00AB6EF9"/>
    <w:rsid w:val="00AB7BAF"/>
    <w:rsid w:val="00AC0E30"/>
    <w:rsid w:val="00AC1F28"/>
    <w:rsid w:val="00AC4585"/>
    <w:rsid w:val="00AC4791"/>
    <w:rsid w:val="00AC47E2"/>
    <w:rsid w:val="00AC49EE"/>
    <w:rsid w:val="00AC51F3"/>
    <w:rsid w:val="00AC5230"/>
    <w:rsid w:val="00AC55BB"/>
    <w:rsid w:val="00AC573F"/>
    <w:rsid w:val="00AC623A"/>
    <w:rsid w:val="00AC66BC"/>
    <w:rsid w:val="00AC6A4D"/>
    <w:rsid w:val="00AC720A"/>
    <w:rsid w:val="00AC7500"/>
    <w:rsid w:val="00AC79AE"/>
    <w:rsid w:val="00AC7FBE"/>
    <w:rsid w:val="00AD0297"/>
    <w:rsid w:val="00AD1227"/>
    <w:rsid w:val="00AD15B5"/>
    <w:rsid w:val="00AD259A"/>
    <w:rsid w:val="00AD34BF"/>
    <w:rsid w:val="00AD35CB"/>
    <w:rsid w:val="00AD416F"/>
    <w:rsid w:val="00AD6015"/>
    <w:rsid w:val="00AD631B"/>
    <w:rsid w:val="00AD635A"/>
    <w:rsid w:val="00AD648C"/>
    <w:rsid w:val="00AD6DE9"/>
    <w:rsid w:val="00AD7108"/>
    <w:rsid w:val="00AD7B3D"/>
    <w:rsid w:val="00AE00E3"/>
    <w:rsid w:val="00AE03A0"/>
    <w:rsid w:val="00AE082D"/>
    <w:rsid w:val="00AE12BB"/>
    <w:rsid w:val="00AE1FC2"/>
    <w:rsid w:val="00AE2145"/>
    <w:rsid w:val="00AE2327"/>
    <w:rsid w:val="00AE28E4"/>
    <w:rsid w:val="00AE2C48"/>
    <w:rsid w:val="00AE35EA"/>
    <w:rsid w:val="00AE3BCE"/>
    <w:rsid w:val="00AE43BC"/>
    <w:rsid w:val="00AE4487"/>
    <w:rsid w:val="00AE5131"/>
    <w:rsid w:val="00AE51F2"/>
    <w:rsid w:val="00AE5D01"/>
    <w:rsid w:val="00AE64B7"/>
    <w:rsid w:val="00AE65E0"/>
    <w:rsid w:val="00AE7762"/>
    <w:rsid w:val="00AE7CA0"/>
    <w:rsid w:val="00AE7F7F"/>
    <w:rsid w:val="00AF01E7"/>
    <w:rsid w:val="00AF365C"/>
    <w:rsid w:val="00AF3B0A"/>
    <w:rsid w:val="00AF3B6C"/>
    <w:rsid w:val="00AF3BF6"/>
    <w:rsid w:val="00AF4104"/>
    <w:rsid w:val="00AF5A8D"/>
    <w:rsid w:val="00AF6465"/>
    <w:rsid w:val="00AF6543"/>
    <w:rsid w:val="00AF689F"/>
    <w:rsid w:val="00AF7163"/>
    <w:rsid w:val="00AF7487"/>
    <w:rsid w:val="00AF7DD3"/>
    <w:rsid w:val="00AF7EE3"/>
    <w:rsid w:val="00AF7F7E"/>
    <w:rsid w:val="00B01569"/>
    <w:rsid w:val="00B0235F"/>
    <w:rsid w:val="00B023A8"/>
    <w:rsid w:val="00B02E0A"/>
    <w:rsid w:val="00B02E54"/>
    <w:rsid w:val="00B03961"/>
    <w:rsid w:val="00B03E75"/>
    <w:rsid w:val="00B04802"/>
    <w:rsid w:val="00B05CAF"/>
    <w:rsid w:val="00B06AC1"/>
    <w:rsid w:val="00B07A78"/>
    <w:rsid w:val="00B121EF"/>
    <w:rsid w:val="00B13A7F"/>
    <w:rsid w:val="00B144AD"/>
    <w:rsid w:val="00B1455A"/>
    <w:rsid w:val="00B146EE"/>
    <w:rsid w:val="00B14932"/>
    <w:rsid w:val="00B14A04"/>
    <w:rsid w:val="00B14A39"/>
    <w:rsid w:val="00B153D9"/>
    <w:rsid w:val="00B156BA"/>
    <w:rsid w:val="00B15AF7"/>
    <w:rsid w:val="00B15CE2"/>
    <w:rsid w:val="00B161D5"/>
    <w:rsid w:val="00B1622E"/>
    <w:rsid w:val="00B16701"/>
    <w:rsid w:val="00B173AE"/>
    <w:rsid w:val="00B176BA"/>
    <w:rsid w:val="00B17778"/>
    <w:rsid w:val="00B206F5"/>
    <w:rsid w:val="00B20B30"/>
    <w:rsid w:val="00B20CDA"/>
    <w:rsid w:val="00B20D28"/>
    <w:rsid w:val="00B21333"/>
    <w:rsid w:val="00B21C80"/>
    <w:rsid w:val="00B227DD"/>
    <w:rsid w:val="00B23520"/>
    <w:rsid w:val="00B23557"/>
    <w:rsid w:val="00B236D2"/>
    <w:rsid w:val="00B23DD1"/>
    <w:rsid w:val="00B2434A"/>
    <w:rsid w:val="00B248A5"/>
    <w:rsid w:val="00B24CC3"/>
    <w:rsid w:val="00B24D77"/>
    <w:rsid w:val="00B24E41"/>
    <w:rsid w:val="00B24F46"/>
    <w:rsid w:val="00B257A6"/>
    <w:rsid w:val="00B25923"/>
    <w:rsid w:val="00B259F5"/>
    <w:rsid w:val="00B25B6D"/>
    <w:rsid w:val="00B26548"/>
    <w:rsid w:val="00B265E6"/>
    <w:rsid w:val="00B26D3C"/>
    <w:rsid w:val="00B26EA1"/>
    <w:rsid w:val="00B26F4A"/>
    <w:rsid w:val="00B27B02"/>
    <w:rsid w:val="00B301C3"/>
    <w:rsid w:val="00B307EB"/>
    <w:rsid w:val="00B30890"/>
    <w:rsid w:val="00B30A1F"/>
    <w:rsid w:val="00B30A51"/>
    <w:rsid w:val="00B30C36"/>
    <w:rsid w:val="00B30D7B"/>
    <w:rsid w:val="00B30FD6"/>
    <w:rsid w:val="00B3126F"/>
    <w:rsid w:val="00B3142D"/>
    <w:rsid w:val="00B316DF"/>
    <w:rsid w:val="00B31D80"/>
    <w:rsid w:val="00B31F47"/>
    <w:rsid w:val="00B32FD1"/>
    <w:rsid w:val="00B348FE"/>
    <w:rsid w:val="00B34B07"/>
    <w:rsid w:val="00B34B89"/>
    <w:rsid w:val="00B35585"/>
    <w:rsid w:val="00B35A4F"/>
    <w:rsid w:val="00B35D54"/>
    <w:rsid w:val="00B36333"/>
    <w:rsid w:val="00B36D99"/>
    <w:rsid w:val="00B36F1D"/>
    <w:rsid w:val="00B40392"/>
    <w:rsid w:val="00B4077F"/>
    <w:rsid w:val="00B40795"/>
    <w:rsid w:val="00B40817"/>
    <w:rsid w:val="00B40B90"/>
    <w:rsid w:val="00B41810"/>
    <w:rsid w:val="00B41C29"/>
    <w:rsid w:val="00B420B5"/>
    <w:rsid w:val="00B42290"/>
    <w:rsid w:val="00B4251E"/>
    <w:rsid w:val="00B42AA2"/>
    <w:rsid w:val="00B42BFB"/>
    <w:rsid w:val="00B42C38"/>
    <w:rsid w:val="00B43153"/>
    <w:rsid w:val="00B43BD7"/>
    <w:rsid w:val="00B43FB4"/>
    <w:rsid w:val="00B444B1"/>
    <w:rsid w:val="00B45B3C"/>
    <w:rsid w:val="00B45FBA"/>
    <w:rsid w:val="00B46241"/>
    <w:rsid w:val="00B4657B"/>
    <w:rsid w:val="00B469A5"/>
    <w:rsid w:val="00B46CE0"/>
    <w:rsid w:val="00B4711D"/>
    <w:rsid w:val="00B47EC7"/>
    <w:rsid w:val="00B50660"/>
    <w:rsid w:val="00B50C4A"/>
    <w:rsid w:val="00B50CAB"/>
    <w:rsid w:val="00B50F81"/>
    <w:rsid w:val="00B5118B"/>
    <w:rsid w:val="00B512A7"/>
    <w:rsid w:val="00B514DB"/>
    <w:rsid w:val="00B523AD"/>
    <w:rsid w:val="00B528ED"/>
    <w:rsid w:val="00B52FD9"/>
    <w:rsid w:val="00B5340E"/>
    <w:rsid w:val="00B536C8"/>
    <w:rsid w:val="00B5380B"/>
    <w:rsid w:val="00B54018"/>
    <w:rsid w:val="00B542E9"/>
    <w:rsid w:val="00B5510B"/>
    <w:rsid w:val="00B55756"/>
    <w:rsid w:val="00B55B26"/>
    <w:rsid w:val="00B55BB1"/>
    <w:rsid w:val="00B57B9C"/>
    <w:rsid w:val="00B60145"/>
    <w:rsid w:val="00B60815"/>
    <w:rsid w:val="00B619F6"/>
    <w:rsid w:val="00B620E5"/>
    <w:rsid w:val="00B62B41"/>
    <w:rsid w:val="00B64048"/>
    <w:rsid w:val="00B642FE"/>
    <w:rsid w:val="00B646D0"/>
    <w:rsid w:val="00B660C3"/>
    <w:rsid w:val="00B661ED"/>
    <w:rsid w:val="00B664C4"/>
    <w:rsid w:val="00B66835"/>
    <w:rsid w:val="00B67C15"/>
    <w:rsid w:val="00B70789"/>
    <w:rsid w:val="00B708CE"/>
    <w:rsid w:val="00B70FD3"/>
    <w:rsid w:val="00B7141A"/>
    <w:rsid w:val="00B715FD"/>
    <w:rsid w:val="00B72D41"/>
    <w:rsid w:val="00B73010"/>
    <w:rsid w:val="00B73BFE"/>
    <w:rsid w:val="00B7432B"/>
    <w:rsid w:val="00B752BE"/>
    <w:rsid w:val="00B75521"/>
    <w:rsid w:val="00B7579B"/>
    <w:rsid w:val="00B75CE6"/>
    <w:rsid w:val="00B7690D"/>
    <w:rsid w:val="00B76966"/>
    <w:rsid w:val="00B779C7"/>
    <w:rsid w:val="00B8104F"/>
    <w:rsid w:val="00B812B2"/>
    <w:rsid w:val="00B816E9"/>
    <w:rsid w:val="00B81A39"/>
    <w:rsid w:val="00B81C4F"/>
    <w:rsid w:val="00B82431"/>
    <w:rsid w:val="00B82FE4"/>
    <w:rsid w:val="00B834F9"/>
    <w:rsid w:val="00B83D15"/>
    <w:rsid w:val="00B83EF9"/>
    <w:rsid w:val="00B845F5"/>
    <w:rsid w:val="00B84D71"/>
    <w:rsid w:val="00B85368"/>
    <w:rsid w:val="00B85841"/>
    <w:rsid w:val="00B85DA7"/>
    <w:rsid w:val="00B86C25"/>
    <w:rsid w:val="00B87EA0"/>
    <w:rsid w:val="00B9111E"/>
    <w:rsid w:val="00B91841"/>
    <w:rsid w:val="00B92417"/>
    <w:rsid w:val="00B924FE"/>
    <w:rsid w:val="00B9275C"/>
    <w:rsid w:val="00B93179"/>
    <w:rsid w:val="00B93505"/>
    <w:rsid w:val="00B937D9"/>
    <w:rsid w:val="00B93FD6"/>
    <w:rsid w:val="00B9404A"/>
    <w:rsid w:val="00B9628B"/>
    <w:rsid w:val="00B96BA6"/>
    <w:rsid w:val="00BA061F"/>
    <w:rsid w:val="00BA0631"/>
    <w:rsid w:val="00BA076F"/>
    <w:rsid w:val="00BA0CEE"/>
    <w:rsid w:val="00BA0E33"/>
    <w:rsid w:val="00BA113F"/>
    <w:rsid w:val="00BA18B3"/>
    <w:rsid w:val="00BA1B65"/>
    <w:rsid w:val="00BA1CDB"/>
    <w:rsid w:val="00BA1D60"/>
    <w:rsid w:val="00BA1FE7"/>
    <w:rsid w:val="00BA35AD"/>
    <w:rsid w:val="00BA3608"/>
    <w:rsid w:val="00BA37CF"/>
    <w:rsid w:val="00BA3D4A"/>
    <w:rsid w:val="00BA3D62"/>
    <w:rsid w:val="00BA4691"/>
    <w:rsid w:val="00BA4881"/>
    <w:rsid w:val="00BA4F87"/>
    <w:rsid w:val="00BA5D09"/>
    <w:rsid w:val="00BA783C"/>
    <w:rsid w:val="00BB10DF"/>
    <w:rsid w:val="00BB1DD6"/>
    <w:rsid w:val="00BB25C5"/>
    <w:rsid w:val="00BB2B17"/>
    <w:rsid w:val="00BB2C36"/>
    <w:rsid w:val="00BB346B"/>
    <w:rsid w:val="00BB3B2F"/>
    <w:rsid w:val="00BB41F8"/>
    <w:rsid w:val="00BB47CC"/>
    <w:rsid w:val="00BB4EA8"/>
    <w:rsid w:val="00BB5213"/>
    <w:rsid w:val="00BB5246"/>
    <w:rsid w:val="00BB5499"/>
    <w:rsid w:val="00BB57F9"/>
    <w:rsid w:val="00BB6520"/>
    <w:rsid w:val="00BB7065"/>
    <w:rsid w:val="00BB709D"/>
    <w:rsid w:val="00BB722F"/>
    <w:rsid w:val="00BB723E"/>
    <w:rsid w:val="00BB7268"/>
    <w:rsid w:val="00BB7663"/>
    <w:rsid w:val="00BB76EC"/>
    <w:rsid w:val="00BB7BF0"/>
    <w:rsid w:val="00BC0189"/>
    <w:rsid w:val="00BC093A"/>
    <w:rsid w:val="00BC0BA5"/>
    <w:rsid w:val="00BC0FF7"/>
    <w:rsid w:val="00BC18D2"/>
    <w:rsid w:val="00BC196F"/>
    <w:rsid w:val="00BC1DEF"/>
    <w:rsid w:val="00BC2904"/>
    <w:rsid w:val="00BC2F6A"/>
    <w:rsid w:val="00BC30EB"/>
    <w:rsid w:val="00BC4127"/>
    <w:rsid w:val="00BC42CA"/>
    <w:rsid w:val="00BC4852"/>
    <w:rsid w:val="00BC48BF"/>
    <w:rsid w:val="00BC4925"/>
    <w:rsid w:val="00BC4B64"/>
    <w:rsid w:val="00BC4D70"/>
    <w:rsid w:val="00BC4F57"/>
    <w:rsid w:val="00BC4F62"/>
    <w:rsid w:val="00BC52D3"/>
    <w:rsid w:val="00BC5EAB"/>
    <w:rsid w:val="00BC5FA8"/>
    <w:rsid w:val="00BC6246"/>
    <w:rsid w:val="00BC64FB"/>
    <w:rsid w:val="00BC6F23"/>
    <w:rsid w:val="00BD0064"/>
    <w:rsid w:val="00BD0292"/>
    <w:rsid w:val="00BD0333"/>
    <w:rsid w:val="00BD04AE"/>
    <w:rsid w:val="00BD1081"/>
    <w:rsid w:val="00BD1452"/>
    <w:rsid w:val="00BD18BD"/>
    <w:rsid w:val="00BD230B"/>
    <w:rsid w:val="00BD23C9"/>
    <w:rsid w:val="00BD2DCE"/>
    <w:rsid w:val="00BD2DF6"/>
    <w:rsid w:val="00BD327E"/>
    <w:rsid w:val="00BD4361"/>
    <w:rsid w:val="00BD43BD"/>
    <w:rsid w:val="00BD5F69"/>
    <w:rsid w:val="00BD73A1"/>
    <w:rsid w:val="00BD744D"/>
    <w:rsid w:val="00BD7B49"/>
    <w:rsid w:val="00BE16C7"/>
    <w:rsid w:val="00BE1707"/>
    <w:rsid w:val="00BE1747"/>
    <w:rsid w:val="00BE1B80"/>
    <w:rsid w:val="00BE1CC4"/>
    <w:rsid w:val="00BE2408"/>
    <w:rsid w:val="00BE27C9"/>
    <w:rsid w:val="00BE289C"/>
    <w:rsid w:val="00BE28B9"/>
    <w:rsid w:val="00BE28F0"/>
    <w:rsid w:val="00BE3185"/>
    <w:rsid w:val="00BE34B9"/>
    <w:rsid w:val="00BE3643"/>
    <w:rsid w:val="00BE3ACB"/>
    <w:rsid w:val="00BE3D2C"/>
    <w:rsid w:val="00BE3E7D"/>
    <w:rsid w:val="00BE41FA"/>
    <w:rsid w:val="00BE421A"/>
    <w:rsid w:val="00BE42BD"/>
    <w:rsid w:val="00BE48FD"/>
    <w:rsid w:val="00BE633B"/>
    <w:rsid w:val="00BE6C8C"/>
    <w:rsid w:val="00BE6E02"/>
    <w:rsid w:val="00BE6FDF"/>
    <w:rsid w:val="00BE7C59"/>
    <w:rsid w:val="00BF0082"/>
    <w:rsid w:val="00BF0551"/>
    <w:rsid w:val="00BF119A"/>
    <w:rsid w:val="00BF2229"/>
    <w:rsid w:val="00BF2BEA"/>
    <w:rsid w:val="00BF3143"/>
    <w:rsid w:val="00BF5752"/>
    <w:rsid w:val="00BF5A36"/>
    <w:rsid w:val="00BF5C69"/>
    <w:rsid w:val="00BF5DE8"/>
    <w:rsid w:val="00BF72F9"/>
    <w:rsid w:val="00BF744C"/>
    <w:rsid w:val="00BF7E5B"/>
    <w:rsid w:val="00C00270"/>
    <w:rsid w:val="00C00552"/>
    <w:rsid w:val="00C005A6"/>
    <w:rsid w:val="00C0078F"/>
    <w:rsid w:val="00C00BD2"/>
    <w:rsid w:val="00C01005"/>
    <w:rsid w:val="00C0138A"/>
    <w:rsid w:val="00C018F2"/>
    <w:rsid w:val="00C01C4F"/>
    <w:rsid w:val="00C02033"/>
    <w:rsid w:val="00C03216"/>
    <w:rsid w:val="00C03402"/>
    <w:rsid w:val="00C036A6"/>
    <w:rsid w:val="00C03876"/>
    <w:rsid w:val="00C03B39"/>
    <w:rsid w:val="00C03F9E"/>
    <w:rsid w:val="00C04458"/>
    <w:rsid w:val="00C04A67"/>
    <w:rsid w:val="00C04EA4"/>
    <w:rsid w:val="00C0586A"/>
    <w:rsid w:val="00C05FED"/>
    <w:rsid w:val="00C060F1"/>
    <w:rsid w:val="00C06425"/>
    <w:rsid w:val="00C064AB"/>
    <w:rsid w:val="00C06ACC"/>
    <w:rsid w:val="00C06D90"/>
    <w:rsid w:val="00C07EF7"/>
    <w:rsid w:val="00C10034"/>
    <w:rsid w:val="00C1088B"/>
    <w:rsid w:val="00C11D77"/>
    <w:rsid w:val="00C125A0"/>
    <w:rsid w:val="00C12743"/>
    <w:rsid w:val="00C12F94"/>
    <w:rsid w:val="00C139AE"/>
    <w:rsid w:val="00C146B6"/>
    <w:rsid w:val="00C14976"/>
    <w:rsid w:val="00C149CF"/>
    <w:rsid w:val="00C14BB5"/>
    <w:rsid w:val="00C14C0F"/>
    <w:rsid w:val="00C15568"/>
    <w:rsid w:val="00C15F7F"/>
    <w:rsid w:val="00C16B2E"/>
    <w:rsid w:val="00C17256"/>
    <w:rsid w:val="00C17562"/>
    <w:rsid w:val="00C176B4"/>
    <w:rsid w:val="00C17918"/>
    <w:rsid w:val="00C17B66"/>
    <w:rsid w:val="00C20062"/>
    <w:rsid w:val="00C2030A"/>
    <w:rsid w:val="00C20899"/>
    <w:rsid w:val="00C21DC3"/>
    <w:rsid w:val="00C222D1"/>
    <w:rsid w:val="00C22E48"/>
    <w:rsid w:val="00C23D8E"/>
    <w:rsid w:val="00C24A3B"/>
    <w:rsid w:val="00C24DD9"/>
    <w:rsid w:val="00C25318"/>
    <w:rsid w:val="00C2536A"/>
    <w:rsid w:val="00C25507"/>
    <w:rsid w:val="00C2583F"/>
    <w:rsid w:val="00C269BC"/>
    <w:rsid w:val="00C271C8"/>
    <w:rsid w:val="00C2781B"/>
    <w:rsid w:val="00C27986"/>
    <w:rsid w:val="00C27BC8"/>
    <w:rsid w:val="00C306C0"/>
    <w:rsid w:val="00C308BD"/>
    <w:rsid w:val="00C308D6"/>
    <w:rsid w:val="00C3266D"/>
    <w:rsid w:val="00C32BC4"/>
    <w:rsid w:val="00C331FC"/>
    <w:rsid w:val="00C3328D"/>
    <w:rsid w:val="00C33D6C"/>
    <w:rsid w:val="00C34017"/>
    <w:rsid w:val="00C344E1"/>
    <w:rsid w:val="00C34D97"/>
    <w:rsid w:val="00C34DDD"/>
    <w:rsid w:val="00C350C7"/>
    <w:rsid w:val="00C358A7"/>
    <w:rsid w:val="00C363F4"/>
    <w:rsid w:val="00C3661C"/>
    <w:rsid w:val="00C36BC7"/>
    <w:rsid w:val="00C36BCD"/>
    <w:rsid w:val="00C37458"/>
    <w:rsid w:val="00C37472"/>
    <w:rsid w:val="00C378B1"/>
    <w:rsid w:val="00C37E4C"/>
    <w:rsid w:val="00C400D0"/>
    <w:rsid w:val="00C408CE"/>
    <w:rsid w:val="00C4091B"/>
    <w:rsid w:val="00C41509"/>
    <w:rsid w:val="00C423C2"/>
    <w:rsid w:val="00C427F1"/>
    <w:rsid w:val="00C42B56"/>
    <w:rsid w:val="00C42D4E"/>
    <w:rsid w:val="00C42FB7"/>
    <w:rsid w:val="00C439AE"/>
    <w:rsid w:val="00C44099"/>
    <w:rsid w:val="00C4434B"/>
    <w:rsid w:val="00C456CC"/>
    <w:rsid w:val="00C45714"/>
    <w:rsid w:val="00C46449"/>
    <w:rsid w:val="00C466C1"/>
    <w:rsid w:val="00C46A35"/>
    <w:rsid w:val="00C47881"/>
    <w:rsid w:val="00C51A35"/>
    <w:rsid w:val="00C51C57"/>
    <w:rsid w:val="00C52277"/>
    <w:rsid w:val="00C5261F"/>
    <w:rsid w:val="00C53087"/>
    <w:rsid w:val="00C533B8"/>
    <w:rsid w:val="00C536C6"/>
    <w:rsid w:val="00C53A04"/>
    <w:rsid w:val="00C53EE9"/>
    <w:rsid w:val="00C54B01"/>
    <w:rsid w:val="00C54C35"/>
    <w:rsid w:val="00C550AC"/>
    <w:rsid w:val="00C554E5"/>
    <w:rsid w:val="00C55D2D"/>
    <w:rsid w:val="00C56076"/>
    <w:rsid w:val="00C56653"/>
    <w:rsid w:val="00C56AAD"/>
    <w:rsid w:val="00C60E18"/>
    <w:rsid w:val="00C61873"/>
    <w:rsid w:val="00C6190D"/>
    <w:rsid w:val="00C61B88"/>
    <w:rsid w:val="00C62376"/>
    <w:rsid w:val="00C6264B"/>
    <w:rsid w:val="00C62654"/>
    <w:rsid w:val="00C62B7D"/>
    <w:rsid w:val="00C63725"/>
    <w:rsid w:val="00C6519B"/>
    <w:rsid w:val="00C65F9A"/>
    <w:rsid w:val="00C669F0"/>
    <w:rsid w:val="00C66B65"/>
    <w:rsid w:val="00C66F6E"/>
    <w:rsid w:val="00C66FB0"/>
    <w:rsid w:val="00C673B7"/>
    <w:rsid w:val="00C67932"/>
    <w:rsid w:val="00C67A24"/>
    <w:rsid w:val="00C72511"/>
    <w:rsid w:val="00C72915"/>
    <w:rsid w:val="00C72A7C"/>
    <w:rsid w:val="00C7318E"/>
    <w:rsid w:val="00C73688"/>
    <w:rsid w:val="00C73B81"/>
    <w:rsid w:val="00C73FDC"/>
    <w:rsid w:val="00C74409"/>
    <w:rsid w:val="00C74BE2"/>
    <w:rsid w:val="00C74C9B"/>
    <w:rsid w:val="00C74E6E"/>
    <w:rsid w:val="00C75038"/>
    <w:rsid w:val="00C75750"/>
    <w:rsid w:val="00C75808"/>
    <w:rsid w:val="00C76A76"/>
    <w:rsid w:val="00C774C2"/>
    <w:rsid w:val="00C80147"/>
    <w:rsid w:val="00C80739"/>
    <w:rsid w:val="00C80AFE"/>
    <w:rsid w:val="00C817BA"/>
    <w:rsid w:val="00C81E26"/>
    <w:rsid w:val="00C81E65"/>
    <w:rsid w:val="00C82054"/>
    <w:rsid w:val="00C83102"/>
    <w:rsid w:val="00C83425"/>
    <w:rsid w:val="00C83CCA"/>
    <w:rsid w:val="00C840D5"/>
    <w:rsid w:val="00C84FB6"/>
    <w:rsid w:val="00C86E40"/>
    <w:rsid w:val="00C87389"/>
    <w:rsid w:val="00C878A4"/>
    <w:rsid w:val="00C87B46"/>
    <w:rsid w:val="00C90EDB"/>
    <w:rsid w:val="00C90F4D"/>
    <w:rsid w:val="00C91066"/>
    <w:rsid w:val="00C91743"/>
    <w:rsid w:val="00C91C82"/>
    <w:rsid w:val="00C91D86"/>
    <w:rsid w:val="00C921AA"/>
    <w:rsid w:val="00C924F9"/>
    <w:rsid w:val="00C93540"/>
    <w:rsid w:val="00C935F6"/>
    <w:rsid w:val="00C93DE8"/>
    <w:rsid w:val="00C95252"/>
    <w:rsid w:val="00C95947"/>
    <w:rsid w:val="00C959FB"/>
    <w:rsid w:val="00C968DE"/>
    <w:rsid w:val="00C968EB"/>
    <w:rsid w:val="00CA0322"/>
    <w:rsid w:val="00CA0480"/>
    <w:rsid w:val="00CA08CD"/>
    <w:rsid w:val="00CA16CF"/>
    <w:rsid w:val="00CA1D11"/>
    <w:rsid w:val="00CA207C"/>
    <w:rsid w:val="00CA29BC"/>
    <w:rsid w:val="00CA322C"/>
    <w:rsid w:val="00CA386C"/>
    <w:rsid w:val="00CA408F"/>
    <w:rsid w:val="00CA41D3"/>
    <w:rsid w:val="00CA4C78"/>
    <w:rsid w:val="00CA4E7F"/>
    <w:rsid w:val="00CA574C"/>
    <w:rsid w:val="00CA5BD9"/>
    <w:rsid w:val="00CA6087"/>
    <w:rsid w:val="00CA6506"/>
    <w:rsid w:val="00CA76C3"/>
    <w:rsid w:val="00CA794F"/>
    <w:rsid w:val="00CB0241"/>
    <w:rsid w:val="00CB0E5B"/>
    <w:rsid w:val="00CB1B56"/>
    <w:rsid w:val="00CB1FE4"/>
    <w:rsid w:val="00CB26C9"/>
    <w:rsid w:val="00CB3051"/>
    <w:rsid w:val="00CB3C7D"/>
    <w:rsid w:val="00CB3D5F"/>
    <w:rsid w:val="00CB3FB0"/>
    <w:rsid w:val="00CB57CD"/>
    <w:rsid w:val="00CB7414"/>
    <w:rsid w:val="00CB7605"/>
    <w:rsid w:val="00CB7701"/>
    <w:rsid w:val="00CC02DE"/>
    <w:rsid w:val="00CC31DF"/>
    <w:rsid w:val="00CC3267"/>
    <w:rsid w:val="00CC3BA3"/>
    <w:rsid w:val="00CC3C6E"/>
    <w:rsid w:val="00CC3C8A"/>
    <w:rsid w:val="00CC3CBE"/>
    <w:rsid w:val="00CC3F71"/>
    <w:rsid w:val="00CC4070"/>
    <w:rsid w:val="00CC4273"/>
    <w:rsid w:val="00CC4C00"/>
    <w:rsid w:val="00CC517C"/>
    <w:rsid w:val="00CC53D3"/>
    <w:rsid w:val="00CC5554"/>
    <w:rsid w:val="00CC6328"/>
    <w:rsid w:val="00CC70A9"/>
    <w:rsid w:val="00CC715A"/>
    <w:rsid w:val="00CC77F3"/>
    <w:rsid w:val="00CD0114"/>
    <w:rsid w:val="00CD044F"/>
    <w:rsid w:val="00CD2702"/>
    <w:rsid w:val="00CD2E89"/>
    <w:rsid w:val="00CD2FEB"/>
    <w:rsid w:val="00CD3236"/>
    <w:rsid w:val="00CD36CA"/>
    <w:rsid w:val="00CD3F4C"/>
    <w:rsid w:val="00CD43DF"/>
    <w:rsid w:val="00CD441D"/>
    <w:rsid w:val="00CD4584"/>
    <w:rsid w:val="00CD5689"/>
    <w:rsid w:val="00CD56E3"/>
    <w:rsid w:val="00CD572E"/>
    <w:rsid w:val="00CD5A5E"/>
    <w:rsid w:val="00CD6629"/>
    <w:rsid w:val="00CD6AFB"/>
    <w:rsid w:val="00CD6EF0"/>
    <w:rsid w:val="00CD6FCE"/>
    <w:rsid w:val="00CD7891"/>
    <w:rsid w:val="00CD7995"/>
    <w:rsid w:val="00CD7B71"/>
    <w:rsid w:val="00CE042F"/>
    <w:rsid w:val="00CE0449"/>
    <w:rsid w:val="00CE122A"/>
    <w:rsid w:val="00CE12AC"/>
    <w:rsid w:val="00CE15F3"/>
    <w:rsid w:val="00CE1A92"/>
    <w:rsid w:val="00CE1CE3"/>
    <w:rsid w:val="00CE1EC3"/>
    <w:rsid w:val="00CE1EF8"/>
    <w:rsid w:val="00CE2807"/>
    <w:rsid w:val="00CE2EBC"/>
    <w:rsid w:val="00CE30B7"/>
    <w:rsid w:val="00CE3655"/>
    <w:rsid w:val="00CE3AF0"/>
    <w:rsid w:val="00CE407D"/>
    <w:rsid w:val="00CE4A32"/>
    <w:rsid w:val="00CE4AF5"/>
    <w:rsid w:val="00CE4C2E"/>
    <w:rsid w:val="00CE59C6"/>
    <w:rsid w:val="00CE5C03"/>
    <w:rsid w:val="00CE6A0E"/>
    <w:rsid w:val="00CE752B"/>
    <w:rsid w:val="00CE7A03"/>
    <w:rsid w:val="00CF0BBD"/>
    <w:rsid w:val="00CF157E"/>
    <w:rsid w:val="00CF1BA1"/>
    <w:rsid w:val="00CF1BFA"/>
    <w:rsid w:val="00CF1C3C"/>
    <w:rsid w:val="00CF205D"/>
    <w:rsid w:val="00CF244B"/>
    <w:rsid w:val="00CF35E4"/>
    <w:rsid w:val="00CF3D5C"/>
    <w:rsid w:val="00CF653C"/>
    <w:rsid w:val="00CF6D0A"/>
    <w:rsid w:val="00CF7074"/>
    <w:rsid w:val="00CF75D4"/>
    <w:rsid w:val="00CF77FB"/>
    <w:rsid w:val="00CF7BCC"/>
    <w:rsid w:val="00D005E0"/>
    <w:rsid w:val="00D00755"/>
    <w:rsid w:val="00D008F6"/>
    <w:rsid w:val="00D010D8"/>
    <w:rsid w:val="00D01199"/>
    <w:rsid w:val="00D0154D"/>
    <w:rsid w:val="00D01EB4"/>
    <w:rsid w:val="00D021BF"/>
    <w:rsid w:val="00D03BAD"/>
    <w:rsid w:val="00D03E61"/>
    <w:rsid w:val="00D04563"/>
    <w:rsid w:val="00D05531"/>
    <w:rsid w:val="00D059CC"/>
    <w:rsid w:val="00D05A51"/>
    <w:rsid w:val="00D061ED"/>
    <w:rsid w:val="00D06598"/>
    <w:rsid w:val="00D07313"/>
    <w:rsid w:val="00D07791"/>
    <w:rsid w:val="00D079AC"/>
    <w:rsid w:val="00D07B37"/>
    <w:rsid w:val="00D104EC"/>
    <w:rsid w:val="00D10B98"/>
    <w:rsid w:val="00D11992"/>
    <w:rsid w:val="00D11F0F"/>
    <w:rsid w:val="00D1275E"/>
    <w:rsid w:val="00D12F45"/>
    <w:rsid w:val="00D14DB1"/>
    <w:rsid w:val="00D14F0D"/>
    <w:rsid w:val="00D150EB"/>
    <w:rsid w:val="00D15261"/>
    <w:rsid w:val="00D1638E"/>
    <w:rsid w:val="00D16D76"/>
    <w:rsid w:val="00D16ED8"/>
    <w:rsid w:val="00D1796A"/>
    <w:rsid w:val="00D17C19"/>
    <w:rsid w:val="00D17E53"/>
    <w:rsid w:val="00D2119C"/>
    <w:rsid w:val="00D21319"/>
    <w:rsid w:val="00D2142B"/>
    <w:rsid w:val="00D22462"/>
    <w:rsid w:val="00D22C59"/>
    <w:rsid w:val="00D22E55"/>
    <w:rsid w:val="00D231E9"/>
    <w:rsid w:val="00D23539"/>
    <w:rsid w:val="00D24164"/>
    <w:rsid w:val="00D256D2"/>
    <w:rsid w:val="00D25931"/>
    <w:rsid w:val="00D25ACF"/>
    <w:rsid w:val="00D26D9F"/>
    <w:rsid w:val="00D2742F"/>
    <w:rsid w:val="00D276F0"/>
    <w:rsid w:val="00D27A9C"/>
    <w:rsid w:val="00D27BFA"/>
    <w:rsid w:val="00D27C4D"/>
    <w:rsid w:val="00D30AE3"/>
    <w:rsid w:val="00D30CC3"/>
    <w:rsid w:val="00D311CF"/>
    <w:rsid w:val="00D31348"/>
    <w:rsid w:val="00D31B30"/>
    <w:rsid w:val="00D320A7"/>
    <w:rsid w:val="00D322A8"/>
    <w:rsid w:val="00D32335"/>
    <w:rsid w:val="00D323E3"/>
    <w:rsid w:val="00D32EC9"/>
    <w:rsid w:val="00D33B05"/>
    <w:rsid w:val="00D33E32"/>
    <w:rsid w:val="00D33F2E"/>
    <w:rsid w:val="00D33FD9"/>
    <w:rsid w:val="00D3457C"/>
    <w:rsid w:val="00D357F0"/>
    <w:rsid w:val="00D37410"/>
    <w:rsid w:val="00D4013D"/>
    <w:rsid w:val="00D401AF"/>
    <w:rsid w:val="00D414F9"/>
    <w:rsid w:val="00D41502"/>
    <w:rsid w:val="00D4167B"/>
    <w:rsid w:val="00D416E5"/>
    <w:rsid w:val="00D42621"/>
    <w:rsid w:val="00D428B3"/>
    <w:rsid w:val="00D42F9F"/>
    <w:rsid w:val="00D431C4"/>
    <w:rsid w:val="00D444D8"/>
    <w:rsid w:val="00D45926"/>
    <w:rsid w:val="00D45F89"/>
    <w:rsid w:val="00D460B0"/>
    <w:rsid w:val="00D46CC6"/>
    <w:rsid w:val="00D46DAD"/>
    <w:rsid w:val="00D47128"/>
    <w:rsid w:val="00D471FE"/>
    <w:rsid w:val="00D475F5"/>
    <w:rsid w:val="00D47AEE"/>
    <w:rsid w:val="00D501B5"/>
    <w:rsid w:val="00D50338"/>
    <w:rsid w:val="00D51612"/>
    <w:rsid w:val="00D51650"/>
    <w:rsid w:val="00D5297C"/>
    <w:rsid w:val="00D52D4F"/>
    <w:rsid w:val="00D53095"/>
    <w:rsid w:val="00D53C35"/>
    <w:rsid w:val="00D54644"/>
    <w:rsid w:val="00D54A94"/>
    <w:rsid w:val="00D557D5"/>
    <w:rsid w:val="00D55C59"/>
    <w:rsid w:val="00D5682E"/>
    <w:rsid w:val="00D570DF"/>
    <w:rsid w:val="00D572F6"/>
    <w:rsid w:val="00D575D5"/>
    <w:rsid w:val="00D57B16"/>
    <w:rsid w:val="00D57DBA"/>
    <w:rsid w:val="00D57F9C"/>
    <w:rsid w:val="00D6180D"/>
    <w:rsid w:val="00D61E9C"/>
    <w:rsid w:val="00D622EA"/>
    <w:rsid w:val="00D62905"/>
    <w:rsid w:val="00D62B37"/>
    <w:rsid w:val="00D63712"/>
    <w:rsid w:val="00D63C22"/>
    <w:rsid w:val="00D64FE0"/>
    <w:rsid w:val="00D65CC4"/>
    <w:rsid w:val="00D6706B"/>
    <w:rsid w:val="00D67B5E"/>
    <w:rsid w:val="00D703C9"/>
    <w:rsid w:val="00D71700"/>
    <w:rsid w:val="00D71795"/>
    <w:rsid w:val="00D71AA0"/>
    <w:rsid w:val="00D73642"/>
    <w:rsid w:val="00D74258"/>
    <w:rsid w:val="00D7435E"/>
    <w:rsid w:val="00D74E6C"/>
    <w:rsid w:val="00D7505B"/>
    <w:rsid w:val="00D755A2"/>
    <w:rsid w:val="00D7703D"/>
    <w:rsid w:val="00D77244"/>
    <w:rsid w:val="00D8179C"/>
    <w:rsid w:val="00D821B5"/>
    <w:rsid w:val="00D821C3"/>
    <w:rsid w:val="00D82E25"/>
    <w:rsid w:val="00D836E5"/>
    <w:rsid w:val="00D854EB"/>
    <w:rsid w:val="00D85703"/>
    <w:rsid w:val="00D85DE1"/>
    <w:rsid w:val="00D8615D"/>
    <w:rsid w:val="00D865B3"/>
    <w:rsid w:val="00D86E06"/>
    <w:rsid w:val="00D87458"/>
    <w:rsid w:val="00D87888"/>
    <w:rsid w:val="00D87A1C"/>
    <w:rsid w:val="00D905B9"/>
    <w:rsid w:val="00D9081A"/>
    <w:rsid w:val="00D919BB"/>
    <w:rsid w:val="00D91E97"/>
    <w:rsid w:val="00D936C1"/>
    <w:rsid w:val="00D939C3"/>
    <w:rsid w:val="00D942A2"/>
    <w:rsid w:val="00D9468A"/>
    <w:rsid w:val="00D95F01"/>
    <w:rsid w:val="00D95FBF"/>
    <w:rsid w:val="00D97119"/>
    <w:rsid w:val="00D972A1"/>
    <w:rsid w:val="00D97A9C"/>
    <w:rsid w:val="00DA01D3"/>
    <w:rsid w:val="00DA0606"/>
    <w:rsid w:val="00DA0A33"/>
    <w:rsid w:val="00DA149E"/>
    <w:rsid w:val="00DA2F51"/>
    <w:rsid w:val="00DA37D6"/>
    <w:rsid w:val="00DA3979"/>
    <w:rsid w:val="00DA4D43"/>
    <w:rsid w:val="00DA5433"/>
    <w:rsid w:val="00DA5F42"/>
    <w:rsid w:val="00DA6058"/>
    <w:rsid w:val="00DA6516"/>
    <w:rsid w:val="00DA7510"/>
    <w:rsid w:val="00DA789D"/>
    <w:rsid w:val="00DB084C"/>
    <w:rsid w:val="00DB0A1A"/>
    <w:rsid w:val="00DB0B3F"/>
    <w:rsid w:val="00DB1755"/>
    <w:rsid w:val="00DB1891"/>
    <w:rsid w:val="00DB1973"/>
    <w:rsid w:val="00DB1B51"/>
    <w:rsid w:val="00DB1E5D"/>
    <w:rsid w:val="00DB275A"/>
    <w:rsid w:val="00DB29C8"/>
    <w:rsid w:val="00DB39E4"/>
    <w:rsid w:val="00DB3A52"/>
    <w:rsid w:val="00DB3C39"/>
    <w:rsid w:val="00DB414A"/>
    <w:rsid w:val="00DB42B4"/>
    <w:rsid w:val="00DB493B"/>
    <w:rsid w:val="00DB4B6D"/>
    <w:rsid w:val="00DB500B"/>
    <w:rsid w:val="00DB5BC2"/>
    <w:rsid w:val="00DB621A"/>
    <w:rsid w:val="00DB65D3"/>
    <w:rsid w:val="00DB6AE4"/>
    <w:rsid w:val="00DB6E10"/>
    <w:rsid w:val="00DB72C5"/>
    <w:rsid w:val="00DB7B97"/>
    <w:rsid w:val="00DC0162"/>
    <w:rsid w:val="00DC033E"/>
    <w:rsid w:val="00DC0881"/>
    <w:rsid w:val="00DC0A6E"/>
    <w:rsid w:val="00DC0ADC"/>
    <w:rsid w:val="00DC0CA5"/>
    <w:rsid w:val="00DC0FE9"/>
    <w:rsid w:val="00DC2231"/>
    <w:rsid w:val="00DC2509"/>
    <w:rsid w:val="00DC2669"/>
    <w:rsid w:val="00DC27A4"/>
    <w:rsid w:val="00DC3889"/>
    <w:rsid w:val="00DC394D"/>
    <w:rsid w:val="00DC47E0"/>
    <w:rsid w:val="00DC6F86"/>
    <w:rsid w:val="00DC72F3"/>
    <w:rsid w:val="00DC770F"/>
    <w:rsid w:val="00DD088D"/>
    <w:rsid w:val="00DD1BBC"/>
    <w:rsid w:val="00DD1F0A"/>
    <w:rsid w:val="00DD2D2D"/>
    <w:rsid w:val="00DD33DD"/>
    <w:rsid w:val="00DD349F"/>
    <w:rsid w:val="00DD3798"/>
    <w:rsid w:val="00DD3954"/>
    <w:rsid w:val="00DD3A4C"/>
    <w:rsid w:val="00DD3B58"/>
    <w:rsid w:val="00DD3E1B"/>
    <w:rsid w:val="00DD44FD"/>
    <w:rsid w:val="00DD4D46"/>
    <w:rsid w:val="00DD57F7"/>
    <w:rsid w:val="00DD5B8C"/>
    <w:rsid w:val="00DD63C5"/>
    <w:rsid w:val="00DD70C3"/>
    <w:rsid w:val="00DD722C"/>
    <w:rsid w:val="00DE0344"/>
    <w:rsid w:val="00DE06B5"/>
    <w:rsid w:val="00DE1AF0"/>
    <w:rsid w:val="00DE29A8"/>
    <w:rsid w:val="00DE2A98"/>
    <w:rsid w:val="00DE3351"/>
    <w:rsid w:val="00DE447D"/>
    <w:rsid w:val="00DE4E31"/>
    <w:rsid w:val="00DE52C1"/>
    <w:rsid w:val="00DE58A1"/>
    <w:rsid w:val="00DE5B89"/>
    <w:rsid w:val="00DE5C48"/>
    <w:rsid w:val="00DE5EBC"/>
    <w:rsid w:val="00DE625F"/>
    <w:rsid w:val="00DE6653"/>
    <w:rsid w:val="00DE6951"/>
    <w:rsid w:val="00DE7A9A"/>
    <w:rsid w:val="00DE7BCF"/>
    <w:rsid w:val="00DF0AF7"/>
    <w:rsid w:val="00DF113B"/>
    <w:rsid w:val="00DF12C3"/>
    <w:rsid w:val="00DF166D"/>
    <w:rsid w:val="00DF1983"/>
    <w:rsid w:val="00DF2109"/>
    <w:rsid w:val="00DF34CC"/>
    <w:rsid w:val="00DF4110"/>
    <w:rsid w:val="00DF4A75"/>
    <w:rsid w:val="00DF4C05"/>
    <w:rsid w:val="00DF528F"/>
    <w:rsid w:val="00DF5317"/>
    <w:rsid w:val="00DF5761"/>
    <w:rsid w:val="00DF586A"/>
    <w:rsid w:val="00DF5F9C"/>
    <w:rsid w:val="00DF64F5"/>
    <w:rsid w:val="00DF6A35"/>
    <w:rsid w:val="00DF6E36"/>
    <w:rsid w:val="00E00537"/>
    <w:rsid w:val="00E008D2"/>
    <w:rsid w:val="00E0144A"/>
    <w:rsid w:val="00E02743"/>
    <w:rsid w:val="00E0369D"/>
    <w:rsid w:val="00E038E5"/>
    <w:rsid w:val="00E03BF3"/>
    <w:rsid w:val="00E03C79"/>
    <w:rsid w:val="00E040A0"/>
    <w:rsid w:val="00E04396"/>
    <w:rsid w:val="00E0443A"/>
    <w:rsid w:val="00E048D6"/>
    <w:rsid w:val="00E05A7B"/>
    <w:rsid w:val="00E05FB1"/>
    <w:rsid w:val="00E06541"/>
    <w:rsid w:val="00E06DA1"/>
    <w:rsid w:val="00E07BE4"/>
    <w:rsid w:val="00E07E5E"/>
    <w:rsid w:val="00E100BA"/>
    <w:rsid w:val="00E10EBA"/>
    <w:rsid w:val="00E11938"/>
    <w:rsid w:val="00E1196A"/>
    <w:rsid w:val="00E11AFD"/>
    <w:rsid w:val="00E12B6C"/>
    <w:rsid w:val="00E12CDB"/>
    <w:rsid w:val="00E12CF8"/>
    <w:rsid w:val="00E1301F"/>
    <w:rsid w:val="00E13327"/>
    <w:rsid w:val="00E13629"/>
    <w:rsid w:val="00E1432B"/>
    <w:rsid w:val="00E14AEF"/>
    <w:rsid w:val="00E14D47"/>
    <w:rsid w:val="00E14D64"/>
    <w:rsid w:val="00E152CE"/>
    <w:rsid w:val="00E15E98"/>
    <w:rsid w:val="00E15FD8"/>
    <w:rsid w:val="00E16949"/>
    <w:rsid w:val="00E16D70"/>
    <w:rsid w:val="00E16F8B"/>
    <w:rsid w:val="00E17577"/>
    <w:rsid w:val="00E17CDB"/>
    <w:rsid w:val="00E17E15"/>
    <w:rsid w:val="00E2089E"/>
    <w:rsid w:val="00E20BDD"/>
    <w:rsid w:val="00E20C15"/>
    <w:rsid w:val="00E20F60"/>
    <w:rsid w:val="00E211AA"/>
    <w:rsid w:val="00E213B2"/>
    <w:rsid w:val="00E220F9"/>
    <w:rsid w:val="00E225FE"/>
    <w:rsid w:val="00E22D2E"/>
    <w:rsid w:val="00E232A5"/>
    <w:rsid w:val="00E23412"/>
    <w:rsid w:val="00E237D4"/>
    <w:rsid w:val="00E23BAB"/>
    <w:rsid w:val="00E23BC3"/>
    <w:rsid w:val="00E23C4E"/>
    <w:rsid w:val="00E25269"/>
    <w:rsid w:val="00E254FB"/>
    <w:rsid w:val="00E264C4"/>
    <w:rsid w:val="00E264CD"/>
    <w:rsid w:val="00E26A23"/>
    <w:rsid w:val="00E26CAE"/>
    <w:rsid w:val="00E26D26"/>
    <w:rsid w:val="00E2761E"/>
    <w:rsid w:val="00E27EED"/>
    <w:rsid w:val="00E3051A"/>
    <w:rsid w:val="00E310F6"/>
    <w:rsid w:val="00E31547"/>
    <w:rsid w:val="00E3196E"/>
    <w:rsid w:val="00E31EEF"/>
    <w:rsid w:val="00E3224E"/>
    <w:rsid w:val="00E330BA"/>
    <w:rsid w:val="00E33364"/>
    <w:rsid w:val="00E33B5A"/>
    <w:rsid w:val="00E33D31"/>
    <w:rsid w:val="00E346FF"/>
    <w:rsid w:val="00E347D8"/>
    <w:rsid w:val="00E34AD5"/>
    <w:rsid w:val="00E34C3B"/>
    <w:rsid w:val="00E350D9"/>
    <w:rsid w:val="00E35FDC"/>
    <w:rsid w:val="00E36300"/>
    <w:rsid w:val="00E36BE5"/>
    <w:rsid w:val="00E372EA"/>
    <w:rsid w:val="00E376A8"/>
    <w:rsid w:val="00E37908"/>
    <w:rsid w:val="00E37FEB"/>
    <w:rsid w:val="00E40BDB"/>
    <w:rsid w:val="00E40CCF"/>
    <w:rsid w:val="00E43641"/>
    <w:rsid w:val="00E44308"/>
    <w:rsid w:val="00E445B6"/>
    <w:rsid w:val="00E44668"/>
    <w:rsid w:val="00E44A16"/>
    <w:rsid w:val="00E4575A"/>
    <w:rsid w:val="00E4622E"/>
    <w:rsid w:val="00E463C9"/>
    <w:rsid w:val="00E464B7"/>
    <w:rsid w:val="00E467FD"/>
    <w:rsid w:val="00E47A43"/>
    <w:rsid w:val="00E47C25"/>
    <w:rsid w:val="00E47D8D"/>
    <w:rsid w:val="00E5087F"/>
    <w:rsid w:val="00E513BC"/>
    <w:rsid w:val="00E516E8"/>
    <w:rsid w:val="00E51E46"/>
    <w:rsid w:val="00E51F62"/>
    <w:rsid w:val="00E52601"/>
    <w:rsid w:val="00E52C34"/>
    <w:rsid w:val="00E52E9A"/>
    <w:rsid w:val="00E53B63"/>
    <w:rsid w:val="00E53C42"/>
    <w:rsid w:val="00E5475A"/>
    <w:rsid w:val="00E54F76"/>
    <w:rsid w:val="00E56A1B"/>
    <w:rsid w:val="00E56B25"/>
    <w:rsid w:val="00E573AD"/>
    <w:rsid w:val="00E57E3C"/>
    <w:rsid w:val="00E60467"/>
    <w:rsid w:val="00E609F0"/>
    <w:rsid w:val="00E6120C"/>
    <w:rsid w:val="00E62418"/>
    <w:rsid w:val="00E6282B"/>
    <w:rsid w:val="00E62BE5"/>
    <w:rsid w:val="00E62BF6"/>
    <w:rsid w:val="00E62DBD"/>
    <w:rsid w:val="00E63229"/>
    <w:rsid w:val="00E64D84"/>
    <w:rsid w:val="00E64F98"/>
    <w:rsid w:val="00E650B8"/>
    <w:rsid w:val="00E65113"/>
    <w:rsid w:val="00E66FEA"/>
    <w:rsid w:val="00E67727"/>
    <w:rsid w:val="00E67A4E"/>
    <w:rsid w:val="00E67E54"/>
    <w:rsid w:val="00E70CBF"/>
    <w:rsid w:val="00E71014"/>
    <w:rsid w:val="00E721D2"/>
    <w:rsid w:val="00E72BF3"/>
    <w:rsid w:val="00E72FAC"/>
    <w:rsid w:val="00E733B6"/>
    <w:rsid w:val="00E73995"/>
    <w:rsid w:val="00E73A3F"/>
    <w:rsid w:val="00E75145"/>
    <w:rsid w:val="00E75914"/>
    <w:rsid w:val="00E76324"/>
    <w:rsid w:val="00E763D3"/>
    <w:rsid w:val="00E77B23"/>
    <w:rsid w:val="00E77E1E"/>
    <w:rsid w:val="00E80602"/>
    <w:rsid w:val="00E80E9C"/>
    <w:rsid w:val="00E8147F"/>
    <w:rsid w:val="00E82095"/>
    <w:rsid w:val="00E82459"/>
    <w:rsid w:val="00E832EC"/>
    <w:rsid w:val="00E83742"/>
    <w:rsid w:val="00E83930"/>
    <w:rsid w:val="00E842FC"/>
    <w:rsid w:val="00E84F18"/>
    <w:rsid w:val="00E85D5B"/>
    <w:rsid w:val="00E85E34"/>
    <w:rsid w:val="00E8631F"/>
    <w:rsid w:val="00E86A36"/>
    <w:rsid w:val="00E90194"/>
    <w:rsid w:val="00E90724"/>
    <w:rsid w:val="00E91439"/>
    <w:rsid w:val="00E91598"/>
    <w:rsid w:val="00E91C70"/>
    <w:rsid w:val="00E92797"/>
    <w:rsid w:val="00E92B15"/>
    <w:rsid w:val="00E92F63"/>
    <w:rsid w:val="00E92FE2"/>
    <w:rsid w:val="00E9356B"/>
    <w:rsid w:val="00E9382B"/>
    <w:rsid w:val="00E93BE8"/>
    <w:rsid w:val="00E93E03"/>
    <w:rsid w:val="00E94152"/>
    <w:rsid w:val="00E94417"/>
    <w:rsid w:val="00E958BD"/>
    <w:rsid w:val="00E95E98"/>
    <w:rsid w:val="00E961B3"/>
    <w:rsid w:val="00E963ED"/>
    <w:rsid w:val="00E96558"/>
    <w:rsid w:val="00E97159"/>
    <w:rsid w:val="00EA02EF"/>
    <w:rsid w:val="00EA114D"/>
    <w:rsid w:val="00EA2F5E"/>
    <w:rsid w:val="00EA3251"/>
    <w:rsid w:val="00EA33C4"/>
    <w:rsid w:val="00EA352E"/>
    <w:rsid w:val="00EA5117"/>
    <w:rsid w:val="00EA524B"/>
    <w:rsid w:val="00EA61A3"/>
    <w:rsid w:val="00EA71C4"/>
    <w:rsid w:val="00EA744F"/>
    <w:rsid w:val="00EA787F"/>
    <w:rsid w:val="00EA7901"/>
    <w:rsid w:val="00EA7BB4"/>
    <w:rsid w:val="00EA7EC8"/>
    <w:rsid w:val="00EB062A"/>
    <w:rsid w:val="00EB065C"/>
    <w:rsid w:val="00EB0D00"/>
    <w:rsid w:val="00EB11DE"/>
    <w:rsid w:val="00EB267E"/>
    <w:rsid w:val="00EB281F"/>
    <w:rsid w:val="00EB2F46"/>
    <w:rsid w:val="00EB2F4A"/>
    <w:rsid w:val="00EB3173"/>
    <w:rsid w:val="00EB33CF"/>
    <w:rsid w:val="00EB4C17"/>
    <w:rsid w:val="00EB5811"/>
    <w:rsid w:val="00EB5D91"/>
    <w:rsid w:val="00EB6212"/>
    <w:rsid w:val="00EB6C4B"/>
    <w:rsid w:val="00EB6DAC"/>
    <w:rsid w:val="00EB72AD"/>
    <w:rsid w:val="00EB7DEB"/>
    <w:rsid w:val="00EC0049"/>
    <w:rsid w:val="00EC0414"/>
    <w:rsid w:val="00EC0B39"/>
    <w:rsid w:val="00EC1322"/>
    <w:rsid w:val="00EC2C0B"/>
    <w:rsid w:val="00EC2DC5"/>
    <w:rsid w:val="00EC344C"/>
    <w:rsid w:val="00EC3670"/>
    <w:rsid w:val="00EC416A"/>
    <w:rsid w:val="00EC4240"/>
    <w:rsid w:val="00EC570D"/>
    <w:rsid w:val="00EC5BF9"/>
    <w:rsid w:val="00EC5DCD"/>
    <w:rsid w:val="00EC6439"/>
    <w:rsid w:val="00EC667D"/>
    <w:rsid w:val="00EC7A09"/>
    <w:rsid w:val="00ED0786"/>
    <w:rsid w:val="00ED0B37"/>
    <w:rsid w:val="00ED0F7A"/>
    <w:rsid w:val="00ED1010"/>
    <w:rsid w:val="00ED1A7A"/>
    <w:rsid w:val="00ED1DA7"/>
    <w:rsid w:val="00ED3AA9"/>
    <w:rsid w:val="00ED40D8"/>
    <w:rsid w:val="00ED42AA"/>
    <w:rsid w:val="00ED4A2F"/>
    <w:rsid w:val="00ED55EE"/>
    <w:rsid w:val="00ED5F7C"/>
    <w:rsid w:val="00ED6FD3"/>
    <w:rsid w:val="00ED6FDB"/>
    <w:rsid w:val="00ED7DCE"/>
    <w:rsid w:val="00EE063E"/>
    <w:rsid w:val="00EE081F"/>
    <w:rsid w:val="00EE2520"/>
    <w:rsid w:val="00EE2B6D"/>
    <w:rsid w:val="00EE3397"/>
    <w:rsid w:val="00EE33BB"/>
    <w:rsid w:val="00EE3719"/>
    <w:rsid w:val="00EE4484"/>
    <w:rsid w:val="00EE4EC9"/>
    <w:rsid w:val="00EE5754"/>
    <w:rsid w:val="00EE5C94"/>
    <w:rsid w:val="00EE6C40"/>
    <w:rsid w:val="00EE7286"/>
    <w:rsid w:val="00EE7A41"/>
    <w:rsid w:val="00EF1977"/>
    <w:rsid w:val="00EF1DF7"/>
    <w:rsid w:val="00EF1E19"/>
    <w:rsid w:val="00EF2B9D"/>
    <w:rsid w:val="00EF2E05"/>
    <w:rsid w:val="00EF2FC6"/>
    <w:rsid w:val="00EF3593"/>
    <w:rsid w:val="00EF3821"/>
    <w:rsid w:val="00EF3E9A"/>
    <w:rsid w:val="00EF43D7"/>
    <w:rsid w:val="00EF6FF1"/>
    <w:rsid w:val="00EF712B"/>
    <w:rsid w:val="00EF73F6"/>
    <w:rsid w:val="00EF76F2"/>
    <w:rsid w:val="00F0003D"/>
    <w:rsid w:val="00F0031D"/>
    <w:rsid w:val="00F009AC"/>
    <w:rsid w:val="00F00F55"/>
    <w:rsid w:val="00F018E6"/>
    <w:rsid w:val="00F01CED"/>
    <w:rsid w:val="00F01E12"/>
    <w:rsid w:val="00F02EA0"/>
    <w:rsid w:val="00F040EE"/>
    <w:rsid w:val="00F0414E"/>
    <w:rsid w:val="00F04AEA"/>
    <w:rsid w:val="00F04C1E"/>
    <w:rsid w:val="00F04E63"/>
    <w:rsid w:val="00F06603"/>
    <w:rsid w:val="00F0662D"/>
    <w:rsid w:val="00F06ECB"/>
    <w:rsid w:val="00F07F96"/>
    <w:rsid w:val="00F1027D"/>
    <w:rsid w:val="00F10529"/>
    <w:rsid w:val="00F10653"/>
    <w:rsid w:val="00F10805"/>
    <w:rsid w:val="00F10BCE"/>
    <w:rsid w:val="00F11290"/>
    <w:rsid w:val="00F1187D"/>
    <w:rsid w:val="00F12094"/>
    <w:rsid w:val="00F12C32"/>
    <w:rsid w:val="00F14352"/>
    <w:rsid w:val="00F14B4B"/>
    <w:rsid w:val="00F15BB4"/>
    <w:rsid w:val="00F16456"/>
    <w:rsid w:val="00F17E69"/>
    <w:rsid w:val="00F20FA2"/>
    <w:rsid w:val="00F21564"/>
    <w:rsid w:val="00F22138"/>
    <w:rsid w:val="00F22254"/>
    <w:rsid w:val="00F226E6"/>
    <w:rsid w:val="00F22A44"/>
    <w:rsid w:val="00F22F90"/>
    <w:rsid w:val="00F22FD1"/>
    <w:rsid w:val="00F2317F"/>
    <w:rsid w:val="00F2344D"/>
    <w:rsid w:val="00F23592"/>
    <w:rsid w:val="00F236DF"/>
    <w:rsid w:val="00F241FA"/>
    <w:rsid w:val="00F24378"/>
    <w:rsid w:val="00F24DBD"/>
    <w:rsid w:val="00F255C6"/>
    <w:rsid w:val="00F2597C"/>
    <w:rsid w:val="00F25A41"/>
    <w:rsid w:val="00F25DBB"/>
    <w:rsid w:val="00F26056"/>
    <w:rsid w:val="00F26988"/>
    <w:rsid w:val="00F26A52"/>
    <w:rsid w:val="00F3012A"/>
    <w:rsid w:val="00F3012C"/>
    <w:rsid w:val="00F302E9"/>
    <w:rsid w:val="00F306B2"/>
    <w:rsid w:val="00F321F2"/>
    <w:rsid w:val="00F32478"/>
    <w:rsid w:val="00F33325"/>
    <w:rsid w:val="00F33AAF"/>
    <w:rsid w:val="00F349EB"/>
    <w:rsid w:val="00F35158"/>
    <w:rsid w:val="00F35C22"/>
    <w:rsid w:val="00F36783"/>
    <w:rsid w:val="00F36859"/>
    <w:rsid w:val="00F36AAE"/>
    <w:rsid w:val="00F3731D"/>
    <w:rsid w:val="00F40670"/>
    <w:rsid w:val="00F40BF5"/>
    <w:rsid w:val="00F40E81"/>
    <w:rsid w:val="00F410EF"/>
    <w:rsid w:val="00F41710"/>
    <w:rsid w:val="00F41BD0"/>
    <w:rsid w:val="00F422CC"/>
    <w:rsid w:val="00F4273F"/>
    <w:rsid w:val="00F42F89"/>
    <w:rsid w:val="00F43042"/>
    <w:rsid w:val="00F433E4"/>
    <w:rsid w:val="00F433F4"/>
    <w:rsid w:val="00F441DB"/>
    <w:rsid w:val="00F4662B"/>
    <w:rsid w:val="00F46B46"/>
    <w:rsid w:val="00F47341"/>
    <w:rsid w:val="00F47648"/>
    <w:rsid w:val="00F47694"/>
    <w:rsid w:val="00F5059C"/>
    <w:rsid w:val="00F505D8"/>
    <w:rsid w:val="00F50769"/>
    <w:rsid w:val="00F512F0"/>
    <w:rsid w:val="00F522C5"/>
    <w:rsid w:val="00F526E1"/>
    <w:rsid w:val="00F528CE"/>
    <w:rsid w:val="00F53478"/>
    <w:rsid w:val="00F542CF"/>
    <w:rsid w:val="00F54653"/>
    <w:rsid w:val="00F547FA"/>
    <w:rsid w:val="00F54BF3"/>
    <w:rsid w:val="00F54CA1"/>
    <w:rsid w:val="00F5513C"/>
    <w:rsid w:val="00F55CF4"/>
    <w:rsid w:val="00F56163"/>
    <w:rsid w:val="00F565F4"/>
    <w:rsid w:val="00F56AD7"/>
    <w:rsid w:val="00F56B6B"/>
    <w:rsid w:val="00F56B6C"/>
    <w:rsid w:val="00F56D31"/>
    <w:rsid w:val="00F576FD"/>
    <w:rsid w:val="00F60032"/>
    <w:rsid w:val="00F606CC"/>
    <w:rsid w:val="00F60C78"/>
    <w:rsid w:val="00F60D3B"/>
    <w:rsid w:val="00F60EF0"/>
    <w:rsid w:val="00F61233"/>
    <w:rsid w:val="00F616DC"/>
    <w:rsid w:val="00F61B90"/>
    <w:rsid w:val="00F61C10"/>
    <w:rsid w:val="00F61E6D"/>
    <w:rsid w:val="00F62029"/>
    <w:rsid w:val="00F6288D"/>
    <w:rsid w:val="00F630AC"/>
    <w:rsid w:val="00F633F0"/>
    <w:rsid w:val="00F6379D"/>
    <w:rsid w:val="00F63C4F"/>
    <w:rsid w:val="00F64175"/>
    <w:rsid w:val="00F6419B"/>
    <w:rsid w:val="00F64461"/>
    <w:rsid w:val="00F64978"/>
    <w:rsid w:val="00F65E91"/>
    <w:rsid w:val="00F662C2"/>
    <w:rsid w:val="00F6647B"/>
    <w:rsid w:val="00F664A7"/>
    <w:rsid w:val="00F668C0"/>
    <w:rsid w:val="00F66A8F"/>
    <w:rsid w:val="00F66CB2"/>
    <w:rsid w:val="00F67222"/>
    <w:rsid w:val="00F6745D"/>
    <w:rsid w:val="00F67587"/>
    <w:rsid w:val="00F67618"/>
    <w:rsid w:val="00F67F28"/>
    <w:rsid w:val="00F71BE5"/>
    <w:rsid w:val="00F72399"/>
    <w:rsid w:val="00F72731"/>
    <w:rsid w:val="00F72AB0"/>
    <w:rsid w:val="00F72C29"/>
    <w:rsid w:val="00F730E8"/>
    <w:rsid w:val="00F731ED"/>
    <w:rsid w:val="00F73790"/>
    <w:rsid w:val="00F74AC1"/>
    <w:rsid w:val="00F74F9F"/>
    <w:rsid w:val="00F75822"/>
    <w:rsid w:val="00F758EE"/>
    <w:rsid w:val="00F76135"/>
    <w:rsid w:val="00F770E1"/>
    <w:rsid w:val="00F77FDB"/>
    <w:rsid w:val="00F801F9"/>
    <w:rsid w:val="00F80F37"/>
    <w:rsid w:val="00F82CAC"/>
    <w:rsid w:val="00F8331D"/>
    <w:rsid w:val="00F83A15"/>
    <w:rsid w:val="00F8474A"/>
    <w:rsid w:val="00F847AB"/>
    <w:rsid w:val="00F850E0"/>
    <w:rsid w:val="00F85337"/>
    <w:rsid w:val="00F85978"/>
    <w:rsid w:val="00F85FA8"/>
    <w:rsid w:val="00F8623F"/>
    <w:rsid w:val="00F863E3"/>
    <w:rsid w:val="00F86778"/>
    <w:rsid w:val="00F8680E"/>
    <w:rsid w:val="00F87342"/>
    <w:rsid w:val="00F87B3F"/>
    <w:rsid w:val="00F90CAF"/>
    <w:rsid w:val="00F910F0"/>
    <w:rsid w:val="00F915ED"/>
    <w:rsid w:val="00F91E22"/>
    <w:rsid w:val="00F91F1D"/>
    <w:rsid w:val="00F927F5"/>
    <w:rsid w:val="00F92F22"/>
    <w:rsid w:val="00F93070"/>
    <w:rsid w:val="00F93469"/>
    <w:rsid w:val="00F9374B"/>
    <w:rsid w:val="00F939E7"/>
    <w:rsid w:val="00F93C1B"/>
    <w:rsid w:val="00F94095"/>
    <w:rsid w:val="00F943F3"/>
    <w:rsid w:val="00F945D4"/>
    <w:rsid w:val="00F94BC5"/>
    <w:rsid w:val="00F94DBB"/>
    <w:rsid w:val="00F958B1"/>
    <w:rsid w:val="00F95C7F"/>
    <w:rsid w:val="00F96538"/>
    <w:rsid w:val="00F9694D"/>
    <w:rsid w:val="00F96986"/>
    <w:rsid w:val="00F977E8"/>
    <w:rsid w:val="00FA0054"/>
    <w:rsid w:val="00FA0095"/>
    <w:rsid w:val="00FA1B45"/>
    <w:rsid w:val="00FA1BB7"/>
    <w:rsid w:val="00FA212D"/>
    <w:rsid w:val="00FA25FE"/>
    <w:rsid w:val="00FA307E"/>
    <w:rsid w:val="00FA34A1"/>
    <w:rsid w:val="00FA369B"/>
    <w:rsid w:val="00FA3BD3"/>
    <w:rsid w:val="00FA3D67"/>
    <w:rsid w:val="00FA509C"/>
    <w:rsid w:val="00FA51AF"/>
    <w:rsid w:val="00FA53EA"/>
    <w:rsid w:val="00FA54E8"/>
    <w:rsid w:val="00FA5711"/>
    <w:rsid w:val="00FA58D6"/>
    <w:rsid w:val="00FA6952"/>
    <w:rsid w:val="00FA6CE8"/>
    <w:rsid w:val="00FA6F99"/>
    <w:rsid w:val="00FA70ED"/>
    <w:rsid w:val="00FA759C"/>
    <w:rsid w:val="00FA7952"/>
    <w:rsid w:val="00FB0094"/>
    <w:rsid w:val="00FB0203"/>
    <w:rsid w:val="00FB047E"/>
    <w:rsid w:val="00FB054D"/>
    <w:rsid w:val="00FB06B7"/>
    <w:rsid w:val="00FB0B8D"/>
    <w:rsid w:val="00FB14E0"/>
    <w:rsid w:val="00FB210C"/>
    <w:rsid w:val="00FB34CB"/>
    <w:rsid w:val="00FB3BF0"/>
    <w:rsid w:val="00FB411A"/>
    <w:rsid w:val="00FB5778"/>
    <w:rsid w:val="00FB593D"/>
    <w:rsid w:val="00FB665F"/>
    <w:rsid w:val="00FB695F"/>
    <w:rsid w:val="00FB6D2E"/>
    <w:rsid w:val="00FB7455"/>
    <w:rsid w:val="00FB7995"/>
    <w:rsid w:val="00FC063C"/>
    <w:rsid w:val="00FC1508"/>
    <w:rsid w:val="00FC1DC6"/>
    <w:rsid w:val="00FC268F"/>
    <w:rsid w:val="00FC271B"/>
    <w:rsid w:val="00FC363E"/>
    <w:rsid w:val="00FC3AB3"/>
    <w:rsid w:val="00FC42EF"/>
    <w:rsid w:val="00FC449E"/>
    <w:rsid w:val="00FC478E"/>
    <w:rsid w:val="00FC4DA9"/>
    <w:rsid w:val="00FC4EF8"/>
    <w:rsid w:val="00FC5353"/>
    <w:rsid w:val="00FC5457"/>
    <w:rsid w:val="00FC563C"/>
    <w:rsid w:val="00FC5EA1"/>
    <w:rsid w:val="00FC6140"/>
    <w:rsid w:val="00FC7142"/>
    <w:rsid w:val="00FC7731"/>
    <w:rsid w:val="00FC77B0"/>
    <w:rsid w:val="00FC78DC"/>
    <w:rsid w:val="00FC7A25"/>
    <w:rsid w:val="00FC7B5C"/>
    <w:rsid w:val="00FD0166"/>
    <w:rsid w:val="00FD184A"/>
    <w:rsid w:val="00FD219B"/>
    <w:rsid w:val="00FD2745"/>
    <w:rsid w:val="00FD2A66"/>
    <w:rsid w:val="00FD2E47"/>
    <w:rsid w:val="00FD37CB"/>
    <w:rsid w:val="00FD40A9"/>
    <w:rsid w:val="00FD5D05"/>
    <w:rsid w:val="00FD74B8"/>
    <w:rsid w:val="00FD78F9"/>
    <w:rsid w:val="00FD7E0E"/>
    <w:rsid w:val="00FE088F"/>
    <w:rsid w:val="00FE08DE"/>
    <w:rsid w:val="00FE13ED"/>
    <w:rsid w:val="00FE179F"/>
    <w:rsid w:val="00FE1D4C"/>
    <w:rsid w:val="00FE208A"/>
    <w:rsid w:val="00FE2AB0"/>
    <w:rsid w:val="00FE2BCC"/>
    <w:rsid w:val="00FE330E"/>
    <w:rsid w:val="00FE366E"/>
    <w:rsid w:val="00FE4000"/>
    <w:rsid w:val="00FE4621"/>
    <w:rsid w:val="00FE4E9D"/>
    <w:rsid w:val="00FE5232"/>
    <w:rsid w:val="00FE54D9"/>
    <w:rsid w:val="00FE54F6"/>
    <w:rsid w:val="00FE6D81"/>
    <w:rsid w:val="00FE70B1"/>
    <w:rsid w:val="00FE7C61"/>
    <w:rsid w:val="00FF0740"/>
    <w:rsid w:val="00FF0812"/>
    <w:rsid w:val="00FF0992"/>
    <w:rsid w:val="00FF0EAE"/>
    <w:rsid w:val="00FF14EA"/>
    <w:rsid w:val="00FF1EC8"/>
    <w:rsid w:val="00FF2999"/>
    <w:rsid w:val="00FF2B34"/>
    <w:rsid w:val="00FF2BBD"/>
    <w:rsid w:val="00FF37C1"/>
    <w:rsid w:val="00FF37C6"/>
    <w:rsid w:val="00FF3808"/>
    <w:rsid w:val="00FF39C0"/>
    <w:rsid w:val="00FF3A22"/>
    <w:rsid w:val="00FF4124"/>
    <w:rsid w:val="00FF44C3"/>
    <w:rsid w:val="00FF44F8"/>
    <w:rsid w:val="00FF47F9"/>
    <w:rsid w:val="00FF4F7C"/>
    <w:rsid w:val="00FF5542"/>
    <w:rsid w:val="00FF559F"/>
    <w:rsid w:val="00FF5FD3"/>
    <w:rsid w:val="00FF60D3"/>
    <w:rsid w:val="00FF62B7"/>
    <w:rsid w:val="00FF7A5F"/>
    <w:rsid w:val="00FF7D5E"/>
    <w:rsid w:val="010B405F"/>
    <w:rsid w:val="01506A74"/>
    <w:rsid w:val="017A6B77"/>
    <w:rsid w:val="01852063"/>
    <w:rsid w:val="018F2EE2"/>
    <w:rsid w:val="019329D2"/>
    <w:rsid w:val="01C53E9C"/>
    <w:rsid w:val="0200793B"/>
    <w:rsid w:val="022E623A"/>
    <w:rsid w:val="02310E9A"/>
    <w:rsid w:val="025502DF"/>
    <w:rsid w:val="025C672E"/>
    <w:rsid w:val="025F0B06"/>
    <w:rsid w:val="02720839"/>
    <w:rsid w:val="02C2534B"/>
    <w:rsid w:val="0305345B"/>
    <w:rsid w:val="032128C3"/>
    <w:rsid w:val="039E205B"/>
    <w:rsid w:val="03C12DCD"/>
    <w:rsid w:val="03CA6453"/>
    <w:rsid w:val="03CF3A69"/>
    <w:rsid w:val="03DB766E"/>
    <w:rsid w:val="03E07A24"/>
    <w:rsid w:val="03E47515"/>
    <w:rsid w:val="04006C5A"/>
    <w:rsid w:val="04074FB1"/>
    <w:rsid w:val="041627DA"/>
    <w:rsid w:val="0431202E"/>
    <w:rsid w:val="043E478B"/>
    <w:rsid w:val="04934A97"/>
    <w:rsid w:val="04A46CA4"/>
    <w:rsid w:val="04B54A0D"/>
    <w:rsid w:val="04B74C29"/>
    <w:rsid w:val="04C904B8"/>
    <w:rsid w:val="04DF5103"/>
    <w:rsid w:val="04E1762A"/>
    <w:rsid w:val="04E6106A"/>
    <w:rsid w:val="04EE7F1F"/>
    <w:rsid w:val="051849A5"/>
    <w:rsid w:val="054D32B4"/>
    <w:rsid w:val="05581271"/>
    <w:rsid w:val="055B3806"/>
    <w:rsid w:val="05616022"/>
    <w:rsid w:val="05790131"/>
    <w:rsid w:val="05790259"/>
    <w:rsid w:val="05821257"/>
    <w:rsid w:val="058C4049"/>
    <w:rsid w:val="059D5D6D"/>
    <w:rsid w:val="05AB7BBE"/>
    <w:rsid w:val="06141C07"/>
    <w:rsid w:val="062260D2"/>
    <w:rsid w:val="06823015"/>
    <w:rsid w:val="068B1EC9"/>
    <w:rsid w:val="06976AC0"/>
    <w:rsid w:val="06B3799E"/>
    <w:rsid w:val="06D82C35"/>
    <w:rsid w:val="06E4782C"/>
    <w:rsid w:val="07142CD0"/>
    <w:rsid w:val="074A1D85"/>
    <w:rsid w:val="07603356"/>
    <w:rsid w:val="079F74E7"/>
    <w:rsid w:val="07AA45D1"/>
    <w:rsid w:val="080A3B81"/>
    <w:rsid w:val="088210AA"/>
    <w:rsid w:val="08966904"/>
    <w:rsid w:val="08975580"/>
    <w:rsid w:val="08C23B9D"/>
    <w:rsid w:val="08D8516E"/>
    <w:rsid w:val="0905438F"/>
    <w:rsid w:val="09067AC2"/>
    <w:rsid w:val="09137F54"/>
    <w:rsid w:val="091F2D9D"/>
    <w:rsid w:val="09271C52"/>
    <w:rsid w:val="0939688D"/>
    <w:rsid w:val="094620D8"/>
    <w:rsid w:val="095D5673"/>
    <w:rsid w:val="09B970EC"/>
    <w:rsid w:val="09CA0F5B"/>
    <w:rsid w:val="09FE6E56"/>
    <w:rsid w:val="09FF7E17"/>
    <w:rsid w:val="0A2368BD"/>
    <w:rsid w:val="0A3B3C06"/>
    <w:rsid w:val="0A8E64B6"/>
    <w:rsid w:val="0A9B567F"/>
    <w:rsid w:val="0AA84A7A"/>
    <w:rsid w:val="0AD019C3"/>
    <w:rsid w:val="0AD16319"/>
    <w:rsid w:val="0AE16866"/>
    <w:rsid w:val="0B461FEF"/>
    <w:rsid w:val="0BBA7AB3"/>
    <w:rsid w:val="0BCA5242"/>
    <w:rsid w:val="0BD273D8"/>
    <w:rsid w:val="0BE11EEE"/>
    <w:rsid w:val="0C1006E0"/>
    <w:rsid w:val="0C7358DA"/>
    <w:rsid w:val="0C8A2C23"/>
    <w:rsid w:val="0C9D101D"/>
    <w:rsid w:val="0CD12600"/>
    <w:rsid w:val="0D57116F"/>
    <w:rsid w:val="0D730491"/>
    <w:rsid w:val="0D986A94"/>
    <w:rsid w:val="0DF465A6"/>
    <w:rsid w:val="0DF76096"/>
    <w:rsid w:val="0E46447D"/>
    <w:rsid w:val="0E4A7261"/>
    <w:rsid w:val="0E6059EA"/>
    <w:rsid w:val="0E767EC3"/>
    <w:rsid w:val="0EC82A4F"/>
    <w:rsid w:val="0EE24651"/>
    <w:rsid w:val="0F2904D1"/>
    <w:rsid w:val="0F3A26DF"/>
    <w:rsid w:val="0F557518"/>
    <w:rsid w:val="0F5A4B2F"/>
    <w:rsid w:val="0F5F3EF3"/>
    <w:rsid w:val="0F6C5FE1"/>
    <w:rsid w:val="0F8B0C35"/>
    <w:rsid w:val="0FD06B9F"/>
    <w:rsid w:val="0FFA1E6E"/>
    <w:rsid w:val="102D3FF1"/>
    <w:rsid w:val="103E7FAD"/>
    <w:rsid w:val="104A6951"/>
    <w:rsid w:val="10524587"/>
    <w:rsid w:val="10E16B8A"/>
    <w:rsid w:val="10E51529"/>
    <w:rsid w:val="10F60887"/>
    <w:rsid w:val="11074842"/>
    <w:rsid w:val="114F7384"/>
    <w:rsid w:val="1154735C"/>
    <w:rsid w:val="115D0906"/>
    <w:rsid w:val="11692E07"/>
    <w:rsid w:val="11782AC1"/>
    <w:rsid w:val="11A110D7"/>
    <w:rsid w:val="11E132E5"/>
    <w:rsid w:val="11E608FC"/>
    <w:rsid w:val="12143A40"/>
    <w:rsid w:val="122D02D9"/>
    <w:rsid w:val="124F64A1"/>
    <w:rsid w:val="125E66E4"/>
    <w:rsid w:val="126F6B43"/>
    <w:rsid w:val="12BC165D"/>
    <w:rsid w:val="12E50BB3"/>
    <w:rsid w:val="1342221C"/>
    <w:rsid w:val="137D5705"/>
    <w:rsid w:val="137F4B64"/>
    <w:rsid w:val="13BC5DB8"/>
    <w:rsid w:val="13F2221A"/>
    <w:rsid w:val="140432BB"/>
    <w:rsid w:val="14125887"/>
    <w:rsid w:val="141D4441"/>
    <w:rsid w:val="144E5DDF"/>
    <w:rsid w:val="14506500"/>
    <w:rsid w:val="145B0A18"/>
    <w:rsid w:val="14883EEC"/>
    <w:rsid w:val="149A59CD"/>
    <w:rsid w:val="14A472DE"/>
    <w:rsid w:val="14D9177D"/>
    <w:rsid w:val="14FF4419"/>
    <w:rsid w:val="15144613"/>
    <w:rsid w:val="151E1269"/>
    <w:rsid w:val="15205ED3"/>
    <w:rsid w:val="15426C85"/>
    <w:rsid w:val="156C2EC6"/>
    <w:rsid w:val="15791A87"/>
    <w:rsid w:val="15840970"/>
    <w:rsid w:val="15B42ABF"/>
    <w:rsid w:val="164E4CC1"/>
    <w:rsid w:val="16940363"/>
    <w:rsid w:val="16D96445"/>
    <w:rsid w:val="16DC22CD"/>
    <w:rsid w:val="16E6314C"/>
    <w:rsid w:val="16F2692A"/>
    <w:rsid w:val="16FE3FF2"/>
    <w:rsid w:val="1745310A"/>
    <w:rsid w:val="176840C1"/>
    <w:rsid w:val="17B31280"/>
    <w:rsid w:val="17C25DDC"/>
    <w:rsid w:val="17CA0378"/>
    <w:rsid w:val="17F17FFA"/>
    <w:rsid w:val="17FB49D5"/>
    <w:rsid w:val="180C1D89"/>
    <w:rsid w:val="1820443C"/>
    <w:rsid w:val="182A79EC"/>
    <w:rsid w:val="18622CA6"/>
    <w:rsid w:val="1870398A"/>
    <w:rsid w:val="18C16485"/>
    <w:rsid w:val="18D25736"/>
    <w:rsid w:val="19281A89"/>
    <w:rsid w:val="19406B43"/>
    <w:rsid w:val="194D300E"/>
    <w:rsid w:val="195E6FCA"/>
    <w:rsid w:val="196071E6"/>
    <w:rsid w:val="198D378D"/>
    <w:rsid w:val="19A76BC3"/>
    <w:rsid w:val="19BB441C"/>
    <w:rsid w:val="19BE0EDD"/>
    <w:rsid w:val="19C01A32"/>
    <w:rsid w:val="1A1C65AB"/>
    <w:rsid w:val="1A47760E"/>
    <w:rsid w:val="1A7A6085"/>
    <w:rsid w:val="1A815666"/>
    <w:rsid w:val="1AAB26E2"/>
    <w:rsid w:val="1B882A24"/>
    <w:rsid w:val="1B917B2A"/>
    <w:rsid w:val="1BCA6B98"/>
    <w:rsid w:val="1BED2887"/>
    <w:rsid w:val="1C234F0C"/>
    <w:rsid w:val="1C362F89"/>
    <w:rsid w:val="1C3E1334"/>
    <w:rsid w:val="1C9F47E6"/>
    <w:rsid w:val="1CC420B4"/>
    <w:rsid w:val="1CCB0E1A"/>
    <w:rsid w:val="1CD432AC"/>
    <w:rsid w:val="1CF00880"/>
    <w:rsid w:val="1CFF7659"/>
    <w:rsid w:val="1D012A8E"/>
    <w:rsid w:val="1D13456F"/>
    <w:rsid w:val="1D7B2840"/>
    <w:rsid w:val="1DA63AEA"/>
    <w:rsid w:val="1DD91315"/>
    <w:rsid w:val="1E071B1C"/>
    <w:rsid w:val="1F792C51"/>
    <w:rsid w:val="1F8467C0"/>
    <w:rsid w:val="1F896D6A"/>
    <w:rsid w:val="1F9A7BF1"/>
    <w:rsid w:val="1FAA11BB"/>
    <w:rsid w:val="1FD224BF"/>
    <w:rsid w:val="1FD23323"/>
    <w:rsid w:val="1FF468DA"/>
    <w:rsid w:val="201A3813"/>
    <w:rsid w:val="204809D3"/>
    <w:rsid w:val="20532E6F"/>
    <w:rsid w:val="20580C17"/>
    <w:rsid w:val="206C2914"/>
    <w:rsid w:val="207E3474"/>
    <w:rsid w:val="20B6437A"/>
    <w:rsid w:val="20B87907"/>
    <w:rsid w:val="212E5E1B"/>
    <w:rsid w:val="21333B63"/>
    <w:rsid w:val="217355DC"/>
    <w:rsid w:val="21B04A82"/>
    <w:rsid w:val="21BE2CFB"/>
    <w:rsid w:val="21C978F2"/>
    <w:rsid w:val="220628F4"/>
    <w:rsid w:val="22462CF1"/>
    <w:rsid w:val="226B2757"/>
    <w:rsid w:val="229131E4"/>
    <w:rsid w:val="22F05A44"/>
    <w:rsid w:val="230B6414"/>
    <w:rsid w:val="231D447F"/>
    <w:rsid w:val="236773C3"/>
    <w:rsid w:val="238C0BD7"/>
    <w:rsid w:val="23E15A7C"/>
    <w:rsid w:val="23FF13A9"/>
    <w:rsid w:val="24247062"/>
    <w:rsid w:val="24534FAF"/>
    <w:rsid w:val="24624BFB"/>
    <w:rsid w:val="247E6772"/>
    <w:rsid w:val="24BB2A89"/>
    <w:rsid w:val="24DD5B8E"/>
    <w:rsid w:val="256A60DF"/>
    <w:rsid w:val="26084E8D"/>
    <w:rsid w:val="26094761"/>
    <w:rsid w:val="263317DE"/>
    <w:rsid w:val="2637307C"/>
    <w:rsid w:val="2657132A"/>
    <w:rsid w:val="268811DB"/>
    <w:rsid w:val="269A360B"/>
    <w:rsid w:val="26E03714"/>
    <w:rsid w:val="276C147C"/>
    <w:rsid w:val="27815D8E"/>
    <w:rsid w:val="279F712B"/>
    <w:rsid w:val="27A961FC"/>
    <w:rsid w:val="27BB3FBE"/>
    <w:rsid w:val="27DD4EC8"/>
    <w:rsid w:val="27E8602A"/>
    <w:rsid w:val="286110BC"/>
    <w:rsid w:val="28732366"/>
    <w:rsid w:val="287B7B98"/>
    <w:rsid w:val="287E2C7B"/>
    <w:rsid w:val="288D7B89"/>
    <w:rsid w:val="28B35F4A"/>
    <w:rsid w:val="291458F7"/>
    <w:rsid w:val="29363ABF"/>
    <w:rsid w:val="293D7C31"/>
    <w:rsid w:val="293F05AA"/>
    <w:rsid w:val="296C5733"/>
    <w:rsid w:val="29BF7DBE"/>
    <w:rsid w:val="29D60947"/>
    <w:rsid w:val="29DA08EE"/>
    <w:rsid w:val="29E67293"/>
    <w:rsid w:val="29EE7EF6"/>
    <w:rsid w:val="29F23E8A"/>
    <w:rsid w:val="2A4F0178"/>
    <w:rsid w:val="2AC51A13"/>
    <w:rsid w:val="2AD27817"/>
    <w:rsid w:val="2ADF4A92"/>
    <w:rsid w:val="2AE17A5A"/>
    <w:rsid w:val="2AF92FF6"/>
    <w:rsid w:val="2B2362C5"/>
    <w:rsid w:val="2B316E3A"/>
    <w:rsid w:val="2B471FB3"/>
    <w:rsid w:val="2B8A00F2"/>
    <w:rsid w:val="2BAC3761"/>
    <w:rsid w:val="2BE23A8A"/>
    <w:rsid w:val="2BF41AD1"/>
    <w:rsid w:val="2BFF288E"/>
    <w:rsid w:val="2C226F36"/>
    <w:rsid w:val="2C70553A"/>
    <w:rsid w:val="2C8F1F54"/>
    <w:rsid w:val="2C9C1E8B"/>
    <w:rsid w:val="2CBA67B5"/>
    <w:rsid w:val="2CC17B44"/>
    <w:rsid w:val="2CC94C4A"/>
    <w:rsid w:val="2D2B320F"/>
    <w:rsid w:val="2D4D7629"/>
    <w:rsid w:val="2D542766"/>
    <w:rsid w:val="2D7828F8"/>
    <w:rsid w:val="2DA74F8B"/>
    <w:rsid w:val="2DE86158"/>
    <w:rsid w:val="2DEE2BBA"/>
    <w:rsid w:val="2DF64F94"/>
    <w:rsid w:val="2E361DCA"/>
    <w:rsid w:val="2E406BEC"/>
    <w:rsid w:val="2E4839E5"/>
    <w:rsid w:val="2E83212B"/>
    <w:rsid w:val="2E862DF3"/>
    <w:rsid w:val="2EBF4557"/>
    <w:rsid w:val="2EEB3529"/>
    <w:rsid w:val="2EF44200"/>
    <w:rsid w:val="2F0957D2"/>
    <w:rsid w:val="2F2A5E74"/>
    <w:rsid w:val="2F491B5D"/>
    <w:rsid w:val="2FA76AD2"/>
    <w:rsid w:val="2FDC22D0"/>
    <w:rsid w:val="2FF13040"/>
    <w:rsid w:val="300E79B8"/>
    <w:rsid w:val="301569C3"/>
    <w:rsid w:val="301B3A0F"/>
    <w:rsid w:val="30313232"/>
    <w:rsid w:val="30550CCF"/>
    <w:rsid w:val="30717C09"/>
    <w:rsid w:val="307D49E3"/>
    <w:rsid w:val="3095556F"/>
    <w:rsid w:val="30AF4CC8"/>
    <w:rsid w:val="30DD2A72"/>
    <w:rsid w:val="31135F4A"/>
    <w:rsid w:val="31474BA9"/>
    <w:rsid w:val="318850D4"/>
    <w:rsid w:val="31943A79"/>
    <w:rsid w:val="31A55C86"/>
    <w:rsid w:val="31C679AA"/>
    <w:rsid w:val="31EF0CAF"/>
    <w:rsid w:val="31EF184B"/>
    <w:rsid w:val="31FB58A6"/>
    <w:rsid w:val="32096215"/>
    <w:rsid w:val="32144BB9"/>
    <w:rsid w:val="32273A57"/>
    <w:rsid w:val="326E42CA"/>
    <w:rsid w:val="32715B68"/>
    <w:rsid w:val="328F5FEE"/>
    <w:rsid w:val="329F0927"/>
    <w:rsid w:val="32AA7FCF"/>
    <w:rsid w:val="32C65EB4"/>
    <w:rsid w:val="32CB36E2"/>
    <w:rsid w:val="32DA6CCC"/>
    <w:rsid w:val="32ED1B36"/>
    <w:rsid w:val="33014DEF"/>
    <w:rsid w:val="33274478"/>
    <w:rsid w:val="33402FAC"/>
    <w:rsid w:val="33791178"/>
    <w:rsid w:val="338C505F"/>
    <w:rsid w:val="33C944CB"/>
    <w:rsid w:val="33F95DAB"/>
    <w:rsid w:val="3489363D"/>
    <w:rsid w:val="34AD7C43"/>
    <w:rsid w:val="34C3600E"/>
    <w:rsid w:val="34CD27C2"/>
    <w:rsid w:val="34EB7E53"/>
    <w:rsid w:val="351849C1"/>
    <w:rsid w:val="35356E8B"/>
    <w:rsid w:val="357065AB"/>
    <w:rsid w:val="35EA1EB9"/>
    <w:rsid w:val="363D7E52"/>
    <w:rsid w:val="365372D3"/>
    <w:rsid w:val="366559E4"/>
    <w:rsid w:val="366C2B7A"/>
    <w:rsid w:val="36895528"/>
    <w:rsid w:val="369342FF"/>
    <w:rsid w:val="36962971"/>
    <w:rsid w:val="36A767C2"/>
    <w:rsid w:val="36AC53C0"/>
    <w:rsid w:val="36DD1A1E"/>
    <w:rsid w:val="36E032BC"/>
    <w:rsid w:val="36E72A37"/>
    <w:rsid w:val="370D5E28"/>
    <w:rsid w:val="37250DEE"/>
    <w:rsid w:val="37377380"/>
    <w:rsid w:val="37482CF9"/>
    <w:rsid w:val="374E46CA"/>
    <w:rsid w:val="37D44BCF"/>
    <w:rsid w:val="37E45C15"/>
    <w:rsid w:val="37F76B0F"/>
    <w:rsid w:val="382B49A0"/>
    <w:rsid w:val="385E26EA"/>
    <w:rsid w:val="38995E18"/>
    <w:rsid w:val="38A40ECA"/>
    <w:rsid w:val="393F251C"/>
    <w:rsid w:val="3948489C"/>
    <w:rsid w:val="394C14FB"/>
    <w:rsid w:val="395F496C"/>
    <w:rsid w:val="39665CFB"/>
    <w:rsid w:val="396A27A5"/>
    <w:rsid w:val="3986639D"/>
    <w:rsid w:val="39AB195F"/>
    <w:rsid w:val="39AB434B"/>
    <w:rsid w:val="39E14383"/>
    <w:rsid w:val="39F03816"/>
    <w:rsid w:val="3A085567"/>
    <w:rsid w:val="3A3B7894"/>
    <w:rsid w:val="3A575643"/>
    <w:rsid w:val="3A621EEC"/>
    <w:rsid w:val="3B287825"/>
    <w:rsid w:val="3B351E28"/>
    <w:rsid w:val="3B3C6F7C"/>
    <w:rsid w:val="3B4C2CCE"/>
    <w:rsid w:val="3B6444BC"/>
    <w:rsid w:val="3B974891"/>
    <w:rsid w:val="3BB865B6"/>
    <w:rsid w:val="3BDF1D94"/>
    <w:rsid w:val="3C137C90"/>
    <w:rsid w:val="3C261771"/>
    <w:rsid w:val="3C371BD0"/>
    <w:rsid w:val="3C6504EB"/>
    <w:rsid w:val="3CCF2901"/>
    <w:rsid w:val="3CD4741F"/>
    <w:rsid w:val="3CD72A6B"/>
    <w:rsid w:val="3CFB2BFE"/>
    <w:rsid w:val="3D477BF1"/>
    <w:rsid w:val="3D4C1FD3"/>
    <w:rsid w:val="3D534B25"/>
    <w:rsid w:val="3D9F17DB"/>
    <w:rsid w:val="3DBD65F8"/>
    <w:rsid w:val="3E4C6542"/>
    <w:rsid w:val="3E6B5B61"/>
    <w:rsid w:val="3E7222CF"/>
    <w:rsid w:val="3E7F7B0C"/>
    <w:rsid w:val="3E9C21BE"/>
    <w:rsid w:val="3E9D077E"/>
    <w:rsid w:val="3EE14075"/>
    <w:rsid w:val="3F1E6461"/>
    <w:rsid w:val="3F217C09"/>
    <w:rsid w:val="3F262BBD"/>
    <w:rsid w:val="3F295A26"/>
    <w:rsid w:val="3F701F58"/>
    <w:rsid w:val="3F84165E"/>
    <w:rsid w:val="3F8D3D23"/>
    <w:rsid w:val="3FF167D6"/>
    <w:rsid w:val="40083317"/>
    <w:rsid w:val="401E24C8"/>
    <w:rsid w:val="406960D0"/>
    <w:rsid w:val="40A4535A"/>
    <w:rsid w:val="412A3AB2"/>
    <w:rsid w:val="41314E40"/>
    <w:rsid w:val="414845C1"/>
    <w:rsid w:val="41597EF3"/>
    <w:rsid w:val="41D00C05"/>
    <w:rsid w:val="41F669B6"/>
    <w:rsid w:val="420122FB"/>
    <w:rsid w:val="42194B45"/>
    <w:rsid w:val="421F0986"/>
    <w:rsid w:val="42206C63"/>
    <w:rsid w:val="42333557"/>
    <w:rsid w:val="423C06DD"/>
    <w:rsid w:val="42725710"/>
    <w:rsid w:val="42845443"/>
    <w:rsid w:val="42B31885"/>
    <w:rsid w:val="42DD316C"/>
    <w:rsid w:val="42DD3A38"/>
    <w:rsid w:val="42F51E9D"/>
    <w:rsid w:val="43000F6E"/>
    <w:rsid w:val="432F5CCD"/>
    <w:rsid w:val="435B2648"/>
    <w:rsid w:val="43CF137B"/>
    <w:rsid w:val="43DE0B83"/>
    <w:rsid w:val="43DF00A8"/>
    <w:rsid w:val="43E07BD4"/>
    <w:rsid w:val="443C4754"/>
    <w:rsid w:val="448C6831"/>
    <w:rsid w:val="4493196E"/>
    <w:rsid w:val="44B518E4"/>
    <w:rsid w:val="44C24A7E"/>
    <w:rsid w:val="44F06DC0"/>
    <w:rsid w:val="44F536EC"/>
    <w:rsid w:val="44FB63AE"/>
    <w:rsid w:val="44FB69A3"/>
    <w:rsid w:val="45050ABD"/>
    <w:rsid w:val="459B4B29"/>
    <w:rsid w:val="45DD5596"/>
    <w:rsid w:val="45F34DBA"/>
    <w:rsid w:val="462B36CF"/>
    <w:rsid w:val="463F1DAD"/>
    <w:rsid w:val="46623CEE"/>
    <w:rsid w:val="46FA2178"/>
    <w:rsid w:val="474A6C5C"/>
    <w:rsid w:val="474B6530"/>
    <w:rsid w:val="47613FA5"/>
    <w:rsid w:val="47763062"/>
    <w:rsid w:val="47794E4B"/>
    <w:rsid w:val="47B40579"/>
    <w:rsid w:val="4851401A"/>
    <w:rsid w:val="48523474"/>
    <w:rsid w:val="485F2408"/>
    <w:rsid w:val="48627FD5"/>
    <w:rsid w:val="488012DD"/>
    <w:rsid w:val="48841A45"/>
    <w:rsid w:val="488E70CA"/>
    <w:rsid w:val="48A979B2"/>
    <w:rsid w:val="48EC3D42"/>
    <w:rsid w:val="48FF4813"/>
    <w:rsid w:val="490F582F"/>
    <w:rsid w:val="4911355A"/>
    <w:rsid w:val="491312CF"/>
    <w:rsid w:val="492139EC"/>
    <w:rsid w:val="495A6EFE"/>
    <w:rsid w:val="495D7467"/>
    <w:rsid w:val="496366C7"/>
    <w:rsid w:val="49724248"/>
    <w:rsid w:val="49793828"/>
    <w:rsid w:val="49A77AE3"/>
    <w:rsid w:val="49DC5B65"/>
    <w:rsid w:val="4A1B48DF"/>
    <w:rsid w:val="4A396B13"/>
    <w:rsid w:val="4A4A6F73"/>
    <w:rsid w:val="4A653DAC"/>
    <w:rsid w:val="4A9E221C"/>
    <w:rsid w:val="4AC22FAD"/>
    <w:rsid w:val="4ACA29B9"/>
    <w:rsid w:val="4AD94E6E"/>
    <w:rsid w:val="4AE20F59"/>
    <w:rsid w:val="4AE9678B"/>
    <w:rsid w:val="4AF33166"/>
    <w:rsid w:val="4B250293"/>
    <w:rsid w:val="4B2F236F"/>
    <w:rsid w:val="4B4B11E1"/>
    <w:rsid w:val="4B6E09D0"/>
    <w:rsid w:val="4B86222C"/>
    <w:rsid w:val="4B885722"/>
    <w:rsid w:val="4BB5006B"/>
    <w:rsid w:val="4BB9338F"/>
    <w:rsid w:val="4BC92119"/>
    <w:rsid w:val="4BD7630A"/>
    <w:rsid w:val="4BFE0015"/>
    <w:rsid w:val="4C0E1178"/>
    <w:rsid w:val="4C23527E"/>
    <w:rsid w:val="4C4946AA"/>
    <w:rsid w:val="4C6D6F48"/>
    <w:rsid w:val="4CCB4B47"/>
    <w:rsid w:val="4CFB09F8"/>
    <w:rsid w:val="4D0374E8"/>
    <w:rsid w:val="4D3C33BE"/>
    <w:rsid w:val="4DC112FA"/>
    <w:rsid w:val="4DF8316E"/>
    <w:rsid w:val="4DFA0CB0"/>
    <w:rsid w:val="4E141941"/>
    <w:rsid w:val="4E2A79B5"/>
    <w:rsid w:val="4E2F0959"/>
    <w:rsid w:val="4E6F51FA"/>
    <w:rsid w:val="4E7B3B9E"/>
    <w:rsid w:val="4EA824BA"/>
    <w:rsid w:val="4EA840D2"/>
    <w:rsid w:val="4EB15812"/>
    <w:rsid w:val="4ECC324D"/>
    <w:rsid w:val="4EE80B08"/>
    <w:rsid w:val="4EEE25C2"/>
    <w:rsid w:val="4F302BDB"/>
    <w:rsid w:val="4F5A37B4"/>
    <w:rsid w:val="4F6208BA"/>
    <w:rsid w:val="4F642884"/>
    <w:rsid w:val="4FA240C2"/>
    <w:rsid w:val="4FF3197B"/>
    <w:rsid w:val="500D0826"/>
    <w:rsid w:val="503C55AF"/>
    <w:rsid w:val="504B134F"/>
    <w:rsid w:val="506B7C43"/>
    <w:rsid w:val="506F328F"/>
    <w:rsid w:val="507765E7"/>
    <w:rsid w:val="507B7E86"/>
    <w:rsid w:val="50C64E79"/>
    <w:rsid w:val="50CF71DC"/>
    <w:rsid w:val="51C07B1A"/>
    <w:rsid w:val="51FD2B1C"/>
    <w:rsid w:val="520605DB"/>
    <w:rsid w:val="52102850"/>
    <w:rsid w:val="52281131"/>
    <w:rsid w:val="525C5A95"/>
    <w:rsid w:val="52666914"/>
    <w:rsid w:val="528A0854"/>
    <w:rsid w:val="52900663"/>
    <w:rsid w:val="52C11D9C"/>
    <w:rsid w:val="52F511F4"/>
    <w:rsid w:val="534C3D5B"/>
    <w:rsid w:val="535054B5"/>
    <w:rsid w:val="537868FE"/>
    <w:rsid w:val="538C5F50"/>
    <w:rsid w:val="53B813F1"/>
    <w:rsid w:val="53C90F08"/>
    <w:rsid w:val="53D928F4"/>
    <w:rsid w:val="53F61B49"/>
    <w:rsid w:val="540344BB"/>
    <w:rsid w:val="54183C3E"/>
    <w:rsid w:val="54745318"/>
    <w:rsid w:val="549C661D"/>
    <w:rsid w:val="54AA00EB"/>
    <w:rsid w:val="54BA2D60"/>
    <w:rsid w:val="54E81D95"/>
    <w:rsid w:val="54EA55DA"/>
    <w:rsid w:val="54F067F9"/>
    <w:rsid w:val="550B72FE"/>
    <w:rsid w:val="55144405"/>
    <w:rsid w:val="5519795B"/>
    <w:rsid w:val="55220438"/>
    <w:rsid w:val="552705DC"/>
    <w:rsid w:val="556249A2"/>
    <w:rsid w:val="55F16CCE"/>
    <w:rsid w:val="55FA7A9F"/>
    <w:rsid w:val="55FD7E39"/>
    <w:rsid w:val="560E354A"/>
    <w:rsid w:val="561A5A4B"/>
    <w:rsid w:val="564A39F3"/>
    <w:rsid w:val="56574EF1"/>
    <w:rsid w:val="567C4958"/>
    <w:rsid w:val="56C87B9D"/>
    <w:rsid w:val="56CF2CD9"/>
    <w:rsid w:val="570A1F63"/>
    <w:rsid w:val="5741540F"/>
    <w:rsid w:val="57594ECB"/>
    <w:rsid w:val="575E5E0B"/>
    <w:rsid w:val="57A27139"/>
    <w:rsid w:val="57C33EC0"/>
    <w:rsid w:val="57D4431F"/>
    <w:rsid w:val="585A65D3"/>
    <w:rsid w:val="588056E1"/>
    <w:rsid w:val="58AB1524"/>
    <w:rsid w:val="58AE691E"/>
    <w:rsid w:val="591413EF"/>
    <w:rsid w:val="59215342"/>
    <w:rsid w:val="59301E5D"/>
    <w:rsid w:val="595B7E9D"/>
    <w:rsid w:val="598F6686"/>
    <w:rsid w:val="59E22AC0"/>
    <w:rsid w:val="5A00764E"/>
    <w:rsid w:val="5A47702B"/>
    <w:rsid w:val="5A495741"/>
    <w:rsid w:val="5AA75D1B"/>
    <w:rsid w:val="5ABC3575"/>
    <w:rsid w:val="5AC95965"/>
    <w:rsid w:val="5AEE394A"/>
    <w:rsid w:val="5B0647F0"/>
    <w:rsid w:val="5B172EA1"/>
    <w:rsid w:val="5B671838"/>
    <w:rsid w:val="5B7C71A8"/>
    <w:rsid w:val="5BA30291"/>
    <w:rsid w:val="5BD40D92"/>
    <w:rsid w:val="5BD62414"/>
    <w:rsid w:val="5BDB57C6"/>
    <w:rsid w:val="5BE014E5"/>
    <w:rsid w:val="5BEC1C38"/>
    <w:rsid w:val="5BEC7E8A"/>
    <w:rsid w:val="5C1239ED"/>
    <w:rsid w:val="5C25514A"/>
    <w:rsid w:val="5C5F200C"/>
    <w:rsid w:val="5CB965D9"/>
    <w:rsid w:val="5CC93D27"/>
    <w:rsid w:val="5D331AE8"/>
    <w:rsid w:val="5D353F27"/>
    <w:rsid w:val="5DA27BC8"/>
    <w:rsid w:val="5DB40D5F"/>
    <w:rsid w:val="5E070FAB"/>
    <w:rsid w:val="5E453881"/>
    <w:rsid w:val="5E4A0E97"/>
    <w:rsid w:val="5E563CE0"/>
    <w:rsid w:val="5EEA61D6"/>
    <w:rsid w:val="5F4E7EDA"/>
    <w:rsid w:val="5FC353A5"/>
    <w:rsid w:val="5FD30092"/>
    <w:rsid w:val="5FD96977"/>
    <w:rsid w:val="5FF05A6E"/>
    <w:rsid w:val="5FF97102"/>
    <w:rsid w:val="60123C37"/>
    <w:rsid w:val="60673F83"/>
    <w:rsid w:val="60863D99"/>
    <w:rsid w:val="608D6F3B"/>
    <w:rsid w:val="60C969EB"/>
    <w:rsid w:val="60CE5DB0"/>
    <w:rsid w:val="60D64032"/>
    <w:rsid w:val="60FB0B6F"/>
    <w:rsid w:val="610B0DB2"/>
    <w:rsid w:val="6149117D"/>
    <w:rsid w:val="6162474A"/>
    <w:rsid w:val="61B41449"/>
    <w:rsid w:val="61BA27D8"/>
    <w:rsid w:val="621F132D"/>
    <w:rsid w:val="622B6D0B"/>
    <w:rsid w:val="62595244"/>
    <w:rsid w:val="6271640A"/>
    <w:rsid w:val="629608F0"/>
    <w:rsid w:val="62B17737"/>
    <w:rsid w:val="62E03BBF"/>
    <w:rsid w:val="62F627F8"/>
    <w:rsid w:val="631877B6"/>
    <w:rsid w:val="632C3741"/>
    <w:rsid w:val="63484B77"/>
    <w:rsid w:val="635C3B47"/>
    <w:rsid w:val="63665BD5"/>
    <w:rsid w:val="63674FF9"/>
    <w:rsid w:val="63794272"/>
    <w:rsid w:val="63965067"/>
    <w:rsid w:val="639F1C85"/>
    <w:rsid w:val="63B05C41"/>
    <w:rsid w:val="63E26840"/>
    <w:rsid w:val="641E704E"/>
    <w:rsid w:val="64356146"/>
    <w:rsid w:val="644840CB"/>
    <w:rsid w:val="647A13F9"/>
    <w:rsid w:val="64821AF4"/>
    <w:rsid w:val="64C04ED5"/>
    <w:rsid w:val="64C73242"/>
    <w:rsid w:val="64E35BA2"/>
    <w:rsid w:val="65267BBD"/>
    <w:rsid w:val="6572179E"/>
    <w:rsid w:val="657838F7"/>
    <w:rsid w:val="658971F4"/>
    <w:rsid w:val="65BF0105"/>
    <w:rsid w:val="65D62E60"/>
    <w:rsid w:val="65D94029"/>
    <w:rsid w:val="65E63B9C"/>
    <w:rsid w:val="65F52031"/>
    <w:rsid w:val="6626043C"/>
    <w:rsid w:val="66361DB7"/>
    <w:rsid w:val="663C5827"/>
    <w:rsid w:val="66512014"/>
    <w:rsid w:val="669730E8"/>
    <w:rsid w:val="66B21D89"/>
    <w:rsid w:val="66C2204A"/>
    <w:rsid w:val="66E75E1D"/>
    <w:rsid w:val="66F145A6"/>
    <w:rsid w:val="66F91A08"/>
    <w:rsid w:val="671B1407"/>
    <w:rsid w:val="67317098"/>
    <w:rsid w:val="67514FB6"/>
    <w:rsid w:val="67917B37"/>
    <w:rsid w:val="67FF2CF3"/>
    <w:rsid w:val="680622D3"/>
    <w:rsid w:val="68460921"/>
    <w:rsid w:val="684828EC"/>
    <w:rsid w:val="68486367"/>
    <w:rsid w:val="68580655"/>
    <w:rsid w:val="68815DFE"/>
    <w:rsid w:val="68A1024E"/>
    <w:rsid w:val="68B03FED"/>
    <w:rsid w:val="68F205FC"/>
    <w:rsid w:val="69096CF1"/>
    <w:rsid w:val="691427CE"/>
    <w:rsid w:val="69316087"/>
    <w:rsid w:val="693D1D24"/>
    <w:rsid w:val="697F2C44"/>
    <w:rsid w:val="69967687"/>
    <w:rsid w:val="699C03EE"/>
    <w:rsid w:val="69AE677E"/>
    <w:rsid w:val="69F4515F"/>
    <w:rsid w:val="6A384A92"/>
    <w:rsid w:val="6A530E57"/>
    <w:rsid w:val="6A535578"/>
    <w:rsid w:val="6A6C42EE"/>
    <w:rsid w:val="6A8D7CFB"/>
    <w:rsid w:val="6B06773D"/>
    <w:rsid w:val="6B2A2EE9"/>
    <w:rsid w:val="6B4E3A65"/>
    <w:rsid w:val="6B710820"/>
    <w:rsid w:val="6B80239C"/>
    <w:rsid w:val="6B8E2D0B"/>
    <w:rsid w:val="6BAF2C82"/>
    <w:rsid w:val="6BC54253"/>
    <w:rsid w:val="6BC93D43"/>
    <w:rsid w:val="6C3F7B62"/>
    <w:rsid w:val="6C787517"/>
    <w:rsid w:val="6C8253AF"/>
    <w:rsid w:val="6CB125A2"/>
    <w:rsid w:val="6CDA5ADC"/>
    <w:rsid w:val="6D6A66D4"/>
    <w:rsid w:val="6D7D5145"/>
    <w:rsid w:val="6DD62748"/>
    <w:rsid w:val="6E0B117C"/>
    <w:rsid w:val="6E5570A5"/>
    <w:rsid w:val="6E5A2DB5"/>
    <w:rsid w:val="6E701725"/>
    <w:rsid w:val="6E996E51"/>
    <w:rsid w:val="6EAD1BA4"/>
    <w:rsid w:val="6EF849F0"/>
    <w:rsid w:val="6F2F0361"/>
    <w:rsid w:val="6F5342B5"/>
    <w:rsid w:val="6F5B1156"/>
    <w:rsid w:val="6F63000B"/>
    <w:rsid w:val="6FAB550E"/>
    <w:rsid w:val="6FCA008A"/>
    <w:rsid w:val="6FD9651F"/>
    <w:rsid w:val="6FDE7692"/>
    <w:rsid w:val="6FE74EAB"/>
    <w:rsid w:val="6FE86762"/>
    <w:rsid w:val="6FF204E1"/>
    <w:rsid w:val="6FF62C2D"/>
    <w:rsid w:val="70364F31"/>
    <w:rsid w:val="704F058F"/>
    <w:rsid w:val="705310E6"/>
    <w:rsid w:val="708E10B8"/>
    <w:rsid w:val="70A66401"/>
    <w:rsid w:val="71500A63"/>
    <w:rsid w:val="71CD3E62"/>
    <w:rsid w:val="72206064"/>
    <w:rsid w:val="729C3F60"/>
    <w:rsid w:val="72B3358B"/>
    <w:rsid w:val="73700F48"/>
    <w:rsid w:val="738A025C"/>
    <w:rsid w:val="73903399"/>
    <w:rsid w:val="73BF1780"/>
    <w:rsid w:val="73C66DBA"/>
    <w:rsid w:val="73CA68AB"/>
    <w:rsid w:val="73F10294"/>
    <w:rsid w:val="73F3543A"/>
    <w:rsid w:val="74122000"/>
    <w:rsid w:val="74213FF1"/>
    <w:rsid w:val="744D716B"/>
    <w:rsid w:val="74566F11"/>
    <w:rsid w:val="745919DD"/>
    <w:rsid w:val="74D36C9A"/>
    <w:rsid w:val="74F126BE"/>
    <w:rsid w:val="74F57957"/>
    <w:rsid w:val="74FA2E17"/>
    <w:rsid w:val="750632D6"/>
    <w:rsid w:val="75120509"/>
    <w:rsid w:val="752A5A11"/>
    <w:rsid w:val="755E3B9C"/>
    <w:rsid w:val="7597238C"/>
    <w:rsid w:val="75A86778"/>
    <w:rsid w:val="75AE7B06"/>
    <w:rsid w:val="75BB35FC"/>
    <w:rsid w:val="75CE1F56"/>
    <w:rsid w:val="75DB3466"/>
    <w:rsid w:val="75DB4D9F"/>
    <w:rsid w:val="75DF5F9F"/>
    <w:rsid w:val="75F45E61"/>
    <w:rsid w:val="762A7AD4"/>
    <w:rsid w:val="76312286"/>
    <w:rsid w:val="7643100B"/>
    <w:rsid w:val="765566B2"/>
    <w:rsid w:val="765D3A06"/>
    <w:rsid w:val="7662101C"/>
    <w:rsid w:val="76703FB5"/>
    <w:rsid w:val="767319F9"/>
    <w:rsid w:val="767E4C92"/>
    <w:rsid w:val="76970420"/>
    <w:rsid w:val="769C51C5"/>
    <w:rsid w:val="76AC2297"/>
    <w:rsid w:val="76E333FD"/>
    <w:rsid w:val="772752DF"/>
    <w:rsid w:val="77416E84"/>
    <w:rsid w:val="77422BFC"/>
    <w:rsid w:val="77427187"/>
    <w:rsid w:val="774B1AB0"/>
    <w:rsid w:val="77536BB7"/>
    <w:rsid w:val="778B6351"/>
    <w:rsid w:val="77B178CF"/>
    <w:rsid w:val="77B25E6F"/>
    <w:rsid w:val="77CE4490"/>
    <w:rsid w:val="77CE623E"/>
    <w:rsid w:val="77E15F71"/>
    <w:rsid w:val="77F24FA9"/>
    <w:rsid w:val="78276C67"/>
    <w:rsid w:val="78574485"/>
    <w:rsid w:val="789915CE"/>
    <w:rsid w:val="78B25C7E"/>
    <w:rsid w:val="791A5BDE"/>
    <w:rsid w:val="792702FB"/>
    <w:rsid w:val="7927654D"/>
    <w:rsid w:val="792F0F5E"/>
    <w:rsid w:val="794B3FEA"/>
    <w:rsid w:val="795804B5"/>
    <w:rsid w:val="795A247F"/>
    <w:rsid w:val="798A40ED"/>
    <w:rsid w:val="79DA230D"/>
    <w:rsid w:val="7A0F6CE8"/>
    <w:rsid w:val="7ABC4A73"/>
    <w:rsid w:val="7AC1208A"/>
    <w:rsid w:val="7ACC2F08"/>
    <w:rsid w:val="7B242D44"/>
    <w:rsid w:val="7B3D051E"/>
    <w:rsid w:val="7B407452"/>
    <w:rsid w:val="7B5E2BF8"/>
    <w:rsid w:val="7B6E0463"/>
    <w:rsid w:val="7BB06386"/>
    <w:rsid w:val="7BE43F56"/>
    <w:rsid w:val="7C2F4502"/>
    <w:rsid w:val="7C3974EC"/>
    <w:rsid w:val="7C3C40BE"/>
    <w:rsid w:val="7C4554EB"/>
    <w:rsid w:val="7C6423A7"/>
    <w:rsid w:val="7C653614"/>
    <w:rsid w:val="7C8B5E27"/>
    <w:rsid w:val="7CD662C0"/>
    <w:rsid w:val="7CF44998"/>
    <w:rsid w:val="7D0A19B2"/>
    <w:rsid w:val="7D0F3580"/>
    <w:rsid w:val="7D33726F"/>
    <w:rsid w:val="7D3E3E65"/>
    <w:rsid w:val="7D492DAE"/>
    <w:rsid w:val="7D6731DC"/>
    <w:rsid w:val="7D755AD9"/>
    <w:rsid w:val="7D902913"/>
    <w:rsid w:val="7DC73E5B"/>
    <w:rsid w:val="7E1A042F"/>
    <w:rsid w:val="7E370647"/>
    <w:rsid w:val="7E4C5F38"/>
    <w:rsid w:val="7E5E656D"/>
    <w:rsid w:val="7E6D3342"/>
    <w:rsid w:val="7E711F53"/>
    <w:rsid w:val="7E8A55B4"/>
    <w:rsid w:val="7EA321D2"/>
    <w:rsid w:val="7EBF1902"/>
    <w:rsid w:val="7EDD5D31"/>
    <w:rsid w:val="7EDE320A"/>
    <w:rsid w:val="7F871AF4"/>
    <w:rsid w:val="7F8F4C18"/>
    <w:rsid w:val="7F9E6EED"/>
    <w:rsid w:val="7FD05249"/>
    <w:rsid w:val="7FD36AE7"/>
    <w:rsid w:val="7FF058E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宋体" w:hAnsi="宋体" w:eastAsia="宋体" w:cs="Times New Roman"/>
      <w:kern w:val="2"/>
      <w:sz w:val="21"/>
      <w:szCs w:val="24"/>
      <w:lang w:val="en-US" w:eastAsia="zh-CN" w:bidi="ar-SA"/>
    </w:rPr>
  </w:style>
  <w:style w:type="paragraph" w:styleId="2">
    <w:name w:val="heading 1"/>
    <w:basedOn w:val="1"/>
    <w:next w:val="1"/>
    <w:link w:val="62"/>
    <w:qFormat/>
    <w:uiPriority w:val="9"/>
    <w:pPr>
      <w:keepNext/>
      <w:keepLines/>
      <w:spacing w:before="340" w:after="330" w:line="578" w:lineRule="auto"/>
      <w:jc w:val="center"/>
      <w:outlineLvl w:val="0"/>
    </w:pPr>
    <w:rPr>
      <w:rFonts w:eastAsia="文鼎CS中黑"/>
      <w:b/>
      <w:bCs/>
      <w:kern w:val="44"/>
      <w:sz w:val="52"/>
      <w:szCs w:val="44"/>
    </w:rPr>
  </w:style>
  <w:style w:type="paragraph" w:styleId="3">
    <w:name w:val="heading 2"/>
    <w:basedOn w:val="1"/>
    <w:next w:val="1"/>
    <w:link w:val="63"/>
    <w:qFormat/>
    <w:uiPriority w:val="9"/>
    <w:pPr>
      <w:keepNext/>
      <w:keepLines/>
      <w:spacing w:before="260" w:after="260" w:line="416" w:lineRule="auto"/>
      <w:outlineLvl w:val="1"/>
    </w:pPr>
    <w:rPr>
      <w:rFonts w:ascii="Wingdings" w:hAnsi="Wingdings" w:eastAsia="文鼎CS中黑"/>
      <w:b/>
      <w:bCs/>
      <w:sz w:val="32"/>
      <w:szCs w:val="32"/>
    </w:rPr>
  </w:style>
  <w:style w:type="paragraph" w:styleId="4">
    <w:name w:val="heading 3"/>
    <w:basedOn w:val="1"/>
    <w:next w:val="1"/>
    <w:link w:val="64"/>
    <w:qFormat/>
    <w:uiPriority w:val="9"/>
    <w:pPr>
      <w:keepNext/>
      <w:keepLines/>
      <w:spacing w:before="260" w:after="260" w:line="416" w:lineRule="auto"/>
      <w:outlineLvl w:val="2"/>
    </w:pPr>
    <w:rPr>
      <w:rFonts w:eastAsia="Courier New"/>
      <w:b/>
      <w:bCs/>
      <w:sz w:val="32"/>
      <w:szCs w:val="32"/>
    </w:rPr>
  </w:style>
  <w:style w:type="paragraph" w:styleId="5">
    <w:name w:val="heading 4"/>
    <w:basedOn w:val="1"/>
    <w:next w:val="1"/>
    <w:link w:val="65"/>
    <w:qFormat/>
    <w:uiPriority w:val="9"/>
    <w:pPr>
      <w:keepNext/>
      <w:keepLines/>
      <w:jc w:val="center"/>
      <w:outlineLvl w:val="3"/>
    </w:pPr>
    <w:rPr>
      <w:bCs/>
      <w:sz w:val="28"/>
    </w:rPr>
  </w:style>
  <w:style w:type="paragraph" w:styleId="6">
    <w:name w:val="heading 5"/>
    <w:basedOn w:val="1"/>
    <w:next w:val="1"/>
    <w:link w:val="66"/>
    <w:qFormat/>
    <w:uiPriority w:val="0"/>
    <w:pPr>
      <w:keepNext/>
      <w:keepLines/>
      <w:jc w:val="center"/>
      <w:outlineLvl w:val="4"/>
    </w:pPr>
    <w:rPr>
      <w:b/>
      <w:sz w:val="44"/>
    </w:rPr>
  </w:style>
  <w:style w:type="paragraph" w:styleId="7">
    <w:name w:val="heading 6"/>
    <w:basedOn w:val="1"/>
    <w:next w:val="1"/>
    <w:link w:val="67"/>
    <w:qFormat/>
    <w:uiPriority w:val="0"/>
    <w:pPr>
      <w:keepNext/>
      <w:keepLines/>
      <w:spacing w:before="240" w:after="64" w:line="320" w:lineRule="auto"/>
      <w:outlineLvl w:val="5"/>
    </w:pPr>
    <w:rPr>
      <w:rFonts w:ascii="等线 Light" w:hAnsi="等线 Light" w:eastAsia="等线 Light"/>
      <w:b/>
      <w:bCs/>
      <w:sz w:val="24"/>
    </w:rPr>
  </w:style>
  <w:style w:type="paragraph" w:styleId="8">
    <w:name w:val="heading 7"/>
    <w:basedOn w:val="1"/>
    <w:next w:val="1"/>
    <w:link w:val="68"/>
    <w:qFormat/>
    <w:uiPriority w:val="0"/>
    <w:pPr>
      <w:keepNext/>
      <w:keepLines/>
      <w:tabs>
        <w:tab w:val="left" w:pos="1296"/>
      </w:tabs>
      <w:spacing w:before="260" w:after="260" w:line="319" w:lineRule="auto"/>
      <w:outlineLvl w:val="6"/>
    </w:pPr>
    <w:rPr>
      <w:b/>
      <w:bCs/>
      <w:sz w:val="24"/>
    </w:rPr>
  </w:style>
  <w:style w:type="paragraph" w:styleId="9">
    <w:name w:val="heading 8"/>
    <w:basedOn w:val="1"/>
    <w:next w:val="1"/>
    <w:link w:val="69"/>
    <w:qFormat/>
    <w:uiPriority w:val="0"/>
    <w:pPr>
      <w:keepNext/>
      <w:keepLines/>
      <w:tabs>
        <w:tab w:val="left" w:pos="1440"/>
      </w:tabs>
      <w:spacing w:before="240" w:after="64" w:line="320" w:lineRule="auto"/>
      <w:ind w:left="1440" w:hanging="1440"/>
      <w:outlineLvl w:val="7"/>
    </w:pPr>
    <w:rPr>
      <w:rFonts w:ascii="Arial" w:hAnsi="Arial" w:eastAsia="黑体"/>
      <w:sz w:val="24"/>
    </w:rPr>
  </w:style>
  <w:style w:type="paragraph" w:styleId="10">
    <w:name w:val="heading 9"/>
    <w:basedOn w:val="1"/>
    <w:next w:val="1"/>
    <w:link w:val="70"/>
    <w:qFormat/>
    <w:uiPriority w:val="0"/>
    <w:pPr>
      <w:keepNext/>
      <w:keepLines/>
      <w:tabs>
        <w:tab w:val="left" w:pos="1584"/>
      </w:tabs>
      <w:spacing w:before="240" w:after="64" w:line="320" w:lineRule="auto"/>
      <w:ind w:left="1584" w:hanging="1584"/>
      <w:outlineLvl w:val="8"/>
    </w:pPr>
    <w:rPr>
      <w:rFonts w:ascii="Arial" w:hAnsi="Arial" w:eastAsia="黑体"/>
      <w:sz w:val="24"/>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Theme="minorHAnsi" w:eastAsiaTheme="minorHAnsi"/>
      <w:sz w:val="18"/>
      <w:szCs w:val="18"/>
    </w:rPr>
  </w:style>
  <w:style w:type="paragraph" w:styleId="12">
    <w:name w:val="List Number"/>
    <w:basedOn w:val="1"/>
    <w:qFormat/>
    <w:uiPriority w:val="0"/>
    <w:pPr>
      <w:tabs>
        <w:tab w:val="left" w:pos="845"/>
      </w:tabs>
      <w:adjustRightInd w:val="0"/>
      <w:ind w:left="845" w:hanging="420"/>
      <w:textAlignment w:val="baseline"/>
    </w:pPr>
    <w:rPr>
      <w:b/>
      <w:bCs/>
      <w:color w:val="000000"/>
      <w:kern w:val="0"/>
      <w:sz w:val="24"/>
      <w:szCs w:val="20"/>
    </w:rPr>
  </w:style>
  <w:style w:type="paragraph" w:styleId="13">
    <w:name w:val="Normal Indent"/>
    <w:basedOn w:val="1"/>
    <w:link w:val="71"/>
    <w:qFormat/>
    <w:uiPriority w:val="0"/>
    <w:pPr>
      <w:autoSpaceDE w:val="0"/>
      <w:autoSpaceDN w:val="0"/>
      <w:adjustRightInd w:val="0"/>
      <w:ind w:firstLine="420"/>
      <w:jc w:val="left"/>
      <w:textAlignment w:val="baseline"/>
    </w:pPr>
    <w:rPr>
      <w:rFonts w:eastAsia="Courier New"/>
      <w:kern w:val="0"/>
      <w:sz w:val="34"/>
      <w:szCs w:val="20"/>
    </w:rPr>
  </w:style>
  <w:style w:type="paragraph" w:styleId="14">
    <w:name w:val="caption"/>
    <w:basedOn w:val="1"/>
    <w:next w:val="1"/>
    <w:qFormat/>
    <w:uiPriority w:val="35"/>
    <w:rPr>
      <w:rFonts w:ascii="Wingdings" w:hAnsi="Wingdings" w:eastAsia="文鼎CS中黑" w:cs="Wingdings"/>
      <w:sz w:val="20"/>
      <w:szCs w:val="20"/>
    </w:rPr>
  </w:style>
  <w:style w:type="paragraph" w:styleId="15">
    <w:name w:val="Document Map"/>
    <w:basedOn w:val="1"/>
    <w:link w:val="333"/>
    <w:qFormat/>
    <w:uiPriority w:val="99"/>
    <w:pPr>
      <w:shd w:val="clear" w:color="auto" w:fill="000080"/>
    </w:pPr>
  </w:style>
  <w:style w:type="paragraph" w:styleId="16">
    <w:name w:val="annotation text"/>
    <w:basedOn w:val="1"/>
    <w:link w:val="72"/>
    <w:qFormat/>
    <w:uiPriority w:val="99"/>
    <w:pPr>
      <w:jc w:val="left"/>
    </w:pPr>
  </w:style>
  <w:style w:type="paragraph" w:styleId="17">
    <w:name w:val="Salutation"/>
    <w:basedOn w:val="1"/>
    <w:next w:val="1"/>
    <w:link w:val="334"/>
    <w:qFormat/>
    <w:uiPriority w:val="0"/>
  </w:style>
  <w:style w:type="paragraph" w:styleId="18">
    <w:name w:val="Body Text 3"/>
    <w:basedOn w:val="1"/>
    <w:link w:val="335"/>
    <w:qFormat/>
    <w:uiPriority w:val="0"/>
    <w:pPr>
      <w:spacing w:after="120"/>
    </w:pPr>
    <w:rPr>
      <w:sz w:val="16"/>
      <w:szCs w:val="16"/>
    </w:rPr>
  </w:style>
  <w:style w:type="paragraph" w:styleId="19">
    <w:name w:val="Body Text"/>
    <w:basedOn w:val="1"/>
    <w:next w:val="1"/>
    <w:link w:val="61"/>
    <w:qFormat/>
    <w:uiPriority w:val="0"/>
  </w:style>
  <w:style w:type="paragraph" w:styleId="20">
    <w:name w:val="Body Text Indent"/>
    <w:basedOn w:val="1"/>
    <w:link w:val="73"/>
    <w:qFormat/>
    <w:uiPriority w:val="0"/>
    <w:pPr>
      <w:adjustRightInd w:val="0"/>
      <w:snapToGrid w:val="0"/>
      <w:ind w:firstLine="420" w:firstLineChars="200"/>
    </w:pPr>
  </w:style>
  <w:style w:type="paragraph" w:styleId="21">
    <w:name w:val="toc 5"/>
    <w:basedOn w:val="1"/>
    <w:next w:val="1"/>
    <w:qFormat/>
    <w:uiPriority w:val="39"/>
    <w:pPr>
      <w:ind w:left="840"/>
      <w:jc w:val="left"/>
    </w:pPr>
    <w:rPr>
      <w:rFonts w:asciiTheme="minorHAnsi" w:eastAsiaTheme="minorHAnsi"/>
      <w:sz w:val="18"/>
      <w:szCs w:val="18"/>
    </w:rPr>
  </w:style>
  <w:style w:type="paragraph" w:styleId="22">
    <w:name w:val="toc 3"/>
    <w:basedOn w:val="1"/>
    <w:next w:val="1"/>
    <w:qFormat/>
    <w:uiPriority w:val="39"/>
    <w:pPr>
      <w:ind w:left="420"/>
      <w:jc w:val="left"/>
    </w:pPr>
    <w:rPr>
      <w:rFonts w:asciiTheme="minorHAnsi" w:eastAsiaTheme="minorHAnsi"/>
      <w:i/>
      <w:iCs/>
      <w:sz w:val="20"/>
      <w:szCs w:val="20"/>
    </w:rPr>
  </w:style>
  <w:style w:type="paragraph" w:styleId="23">
    <w:name w:val="Plain Text"/>
    <w:basedOn w:val="1"/>
    <w:link w:val="74"/>
    <w:qFormat/>
    <w:uiPriority w:val="0"/>
    <w:rPr>
      <w:rFonts w:hAnsi="等线 Light" w:eastAsia="Courier New" w:cs="等线 Light"/>
      <w:szCs w:val="21"/>
    </w:rPr>
  </w:style>
  <w:style w:type="paragraph" w:styleId="24">
    <w:name w:val="toc 8"/>
    <w:basedOn w:val="1"/>
    <w:next w:val="1"/>
    <w:qFormat/>
    <w:uiPriority w:val="39"/>
    <w:pPr>
      <w:ind w:left="1470"/>
      <w:jc w:val="left"/>
    </w:pPr>
    <w:rPr>
      <w:rFonts w:asciiTheme="minorHAnsi" w:eastAsiaTheme="minorHAnsi"/>
      <w:sz w:val="18"/>
      <w:szCs w:val="18"/>
    </w:rPr>
  </w:style>
  <w:style w:type="paragraph" w:styleId="25">
    <w:name w:val="Date"/>
    <w:basedOn w:val="1"/>
    <w:next w:val="1"/>
    <w:link w:val="75"/>
    <w:qFormat/>
    <w:uiPriority w:val="99"/>
    <w:pPr>
      <w:autoSpaceDE w:val="0"/>
      <w:autoSpaceDN w:val="0"/>
      <w:adjustRightInd w:val="0"/>
      <w:textAlignment w:val="baseline"/>
    </w:pPr>
    <w:rPr>
      <w:kern w:val="0"/>
      <w:sz w:val="28"/>
      <w:szCs w:val="20"/>
    </w:rPr>
  </w:style>
  <w:style w:type="paragraph" w:styleId="26">
    <w:name w:val="Body Text Indent 2"/>
    <w:basedOn w:val="1"/>
    <w:link w:val="76"/>
    <w:qFormat/>
    <w:uiPriority w:val="0"/>
    <w:pPr>
      <w:spacing w:line="480" w:lineRule="exact"/>
      <w:ind w:left="810" w:firstLine="675"/>
    </w:pPr>
    <w:rPr>
      <w:rFonts w:eastAsia="SimSun-Identity-H"/>
      <w:sz w:val="30"/>
      <w:szCs w:val="20"/>
    </w:rPr>
  </w:style>
  <w:style w:type="paragraph" w:styleId="27">
    <w:name w:val="endnote text"/>
    <w:basedOn w:val="1"/>
    <w:link w:val="77"/>
    <w:qFormat/>
    <w:uiPriority w:val="0"/>
    <w:pPr>
      <w:snapToGrid w:val="0"/>
      <w:jc w:val="left"/>
    </w:pPr>
  </w:style>
  <w:style w:type="paragraph" w:styleId="28">
    <w:name w:val="Balloon Text"/>
    <w:basedOn w:val="1"/>
    <w:link w:val="78"/>
    <w:qFormat/>
    <w:uiPriority w:val="0"/>
    <w:rPr>
      <w:sz w:val="18"/>
      <w:szCs w:val="18"/>
    </w:rPr>
  </w:style>
  <w:style w:type="paragraph" w:styleId="29">
    <w:name w:val="footer"/>
    <w:basedOn w:val="1"/>
    <w:link w:val="79"/>
    <w:qFormat/>
    <w:uiPriority w:val="99"/>
    <w:pPr>
      <w:tabs>
        <w:tab w:val="center" w:pos="4153"/>
        <w:tab w:val="right" w:pos="8306"/>
      </w:tabs>
      <w:snapToGrid w:val="0"/>
      <w:jc w:val="left"/>
    </w:pPr>
    <w:rPr>
      <w:rFonts w:eastAsia="Courier New"/>
      <w:sz w:val="18"/>
      <w:szCs w:val="18"/>
    </w:rPr>
  </w:style>
  <w:style w:type="paragraph" w:styleId="30">
    <w:name w:val="header"/>
    <w:basedOn w:val="1"/>
    <w:link w:val="80"/>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spacing w:before="120" w:after="120"/>
      <w:jc w:val="left"/>
    </w:pPr>
    <w:rPr>
      <w:rFonts w:asciiTheme="minorHAnsi" w:eastAsiaTheme="minorHAnsi"/>
      <w:b/>
      <w:bCs/>
      <w:caps/>
      <w:sz w:val="20"/>
      <w:szCs w:val="20"/>
    </w:rPr>
  </w:style>
  <w:style w:type="paragraph" w:styleId="32">
    <w:name w:val="toc 4"/>
    <w:basedOn w:val="1"/>
    <w:next w:val="1"/>
    <w:qFormat/>
    <w:uiPriority w:val="39"/>
    <w:pPr>
      <w:ind w:left="630"/>
      <w:jc w:val="left"/>
    </w:pPr>
    <w:rPr>
      <w:rFonts w:asciiTheme="minorHAnsi" w:eastAsiaTheme="minorHAnsi"/>
      <w:sz w:val="18"/>
      <w:szCs w:val="18"/>
    </w:rPr>
  </w:style>
  <w:style w:type="paragraph" w:styleId="33">
    <w:name w:val="index heading"/>
    <w:basedOn w:val="1"/>
    <w:next w:val="34"/>
    <w:qFormat/>
    <w:uiPriority w:val="0"/>
    <w:rPr>
      <w:szCs w:val="20"/>
    </w:rPr>
  </w:style>
  <w:style w:type="paragraph" w:styleId="34">
    <w:name w:val="index 1"/>
    <w:basedOn w:val="1"/>
    <w:next w:val="1"/>
    <w:qFormat/>
    <w:uiPriority w:val="0"/>
  </w:style>
  <w:style w:type="paragraph" w:styleId="35">
    <w:name w:val="footnote text"/>
    <w:basedOn w:val="1"/>
    <w:link w:val="81"/>
    <w:qFormat/>
    <w:uiPriority w:val="0"/>
    <w:pPr>
      <w:snapToGrid w:val="0"/>
      <w:jc w:val="left"/>
    </w:pPr>
    <w:rPr>
      <w:sz w:val="18"/>
      <w:szCs w:val="20"/>
    </w:rPr>
  </w:style>
  <w:style w:type="paragraph" w:styleId="36">
    <w:name w:val="toc 6"/>
    <w:basedOn w:val="1"/>
    <w:next w:val="1"/>
    <w:qFormat/>
    <w:uiPriority w:val="39"/>
    <w:pPr>
      <w:ind w:left="1050"/>
      <w:jc w:val="left"/>
    </w:pPr>
    <w:rPr>
      <w:rFonts w:asciiTheme="minorHAnsi" w:eastAsiaTheme="minorHAnsi"/>
      <w:sz w:val="18"/>
      <w:szCs w:val="18"/>
    </w:rPr>
  </w:style>
  <w:style w:type="paragraph" w:styleId="37">
    <w:name w:val="Body Text Indent 3"/>
    <w:basedOn w:val="1"/>
    <w:link w:val="82"/>
    <w:qFormat/>
    <w:uiPriority w:val="99"/>
    <w:pPr>
      <w:adjustRightInd w:val="0"/>
      <w:snapToGrid w:val="0"/>
      <w:ind w:firstLine="560" w:firstLineChars="200"/>
    </w:pPr>
    <w:rPr>
      <w:sz w:val="28"/>
    </w:rPr>
  </w:style>
  <w:style w:type="paragraph" w:styleId="38">
    <w:name w:val="toc 2"/>
    <w:basedOn w:val="1"/>
    <w:next w:val="1"/>
    <w:qFormat/>
    <w:uiPriority w:val="39"/>
    <w:pPr>
      <w:ind w:left="210"/>
      <w:jc w:val="left"/>
    </w:pPr>
    <w:rPr>
      <w:rFonts w:asciiTheme="minorHAnsi" w:eastAsiaTheme="minorHAnsi"/>
      <w:smallCaps/>
      <w:sz w:val="20"/>
      <w:szCs w:val="20"/>
    </w:rPr>
  </w:style>
  <w:style w:type="paragraph" w:styleId="39">
    <w:name w:val="toc 9"/>
    <w:basedOn w:val="1"/>
    <w:next w:val="1"/>
    <w:qFormat/>
    <w:uiPriority w:val="39"/>
    <w:pPr>
      <w:ind w:left="1680"/>
      <w:jc w:val="left"/>
    </w:pPr>
    <w:rPr>
      <w:rFonts w:asciiTheme="minorHAnsi" w:eastAsiaTheme="minorHAnsi"/>
      <w:sz w:val="18"/>
      <w:szCs w:val="18"/>
    </w:rPr>
  </w:style>
  <w:style w:type="paragraph" w:styleId="40">
    <w:name w:val="Body Text 2"/>
    <w:basedOn w:val="1"/>
    <w:link w:val="83"/>
    <w:qFormat/>
    <w:uiPriority w:val="0"/>
    <w:pPr>
      <w:spacing w:after="120" w:line="480" w:lineRule="auto"/>
    </w:pPr>
  </w:style>
  <w:style w:type="paragraph" w:styleId="41">
    <w:name w:val="Normal (Web)"/>
    <w:basedOn w:val="1"/>
    <w:qFormat/>
    <w:uiPriority w:val="0"/>
    <w:pPr>
      <w:spacing w:before="100" w:beforeAutospacing="1" w:after="100" w:afterAutospacing="1"/>
      <w:jc w:val="left"/>
    </w:pPr>
    <w:rPr>
      <w:color w:val="000000"/>
      <w:kern w:val="0"/>
      <w:sz w:val="24"/>
    </w:rPr>
  </w:style>
  <w:style w:type="paragraph" w:styleId="42">
    <w:name w:val="Title"/>
    <w:basedOn w:val="1"/>
    <w:link w:val="84"/>
    <w:qFormat/>
    <w:uiPriority w:val="0"/>
    <w:pPr>
      <w:spacing w:before="240" w:after="60"/>
      <w:jc w:val="center"/>
      <w:outlineLvl w:val="0"/>
    </w:pPr>
    <w:rPr>
      <w:rFonts w:ascii="Wingdings" w:hAnsi="Wingdings"/>
      <w:b/>
      <w:bCs/>
      <w:sz w:val="32"/>
      <w:szCs w:val="32"/>
    </w:rPr>
  </w:style>
  <w:style w:type="paragraph" w:styleId="43">
    <w:name w:val="annotation subject"/>
    <w:basedOn w:val="16"/>
    <w:next w:val="16"/>
    <w:link w:val="85"/>
    <w:qFormat/>
    <w:uiPriority w:val="0"/>
    <w:rPr>
      <w:b/>
      <w:bCs/>
    </w:rPr>
  </w:style>
  <w:style w:type="paragraph" w:styleId="44">
    <w:name w:val="Body Text First Indent"/>
    <w:basedOn w:val="19"/>
    <w:link w:val="336"/>
    <w:qFormat/>
    <w:uiPriority w:val="99"/>
    <w:pPr>
      <w:spacing w:after="120" w:line="240" w:lineRule="auto"/>
      <w:ind w:firstLine="420" w:firstLineChars="100"/>
    </w:pPr>
  </w:style>
  <w:style w:type="paragraph" w:styleId="45">
    <w:name w:val="Body Text First Indent 2"/>
    <w:basedOn w:val="20"/>
    <w:link w:val="86"/>
    <w:qFormat/>
    <w:uiPriority w:val="99"/>
    <w:pPr>
      <w:adjustRightInd/>
      <w:snapToGrid/>
      <w:spacing w:after="120" w:line="240" w:lineRule="auto"/>
      <w:ind w:left="420" w:leftChars="200"/>
    </w:pPr>
  </w:style>
  <w:style w:type="table" w:styleId="47">
    <w:name w:val="Table Grid"/>
    <w:basedOn w:val="46"/>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rFonts w:ascii="仿宋" w:hAnsi="仿宋" w:eastAsia="Courier New"/>
      <w:b/>
      <w:bCs/>
      <w:spacing w:val="10"/>
      <w:sz w:val="24"/>
      <w:lang w:val="en-US" w:eastAsia="zh-CN" w:bidi="ar-SA"/>
    </w:rPr>
  </w:style>
  <w:style w:type="character" w:styleId="50">
    <w:name w:val="endnote reference"/>
    <w:qFormat/>
    <w:uiPriority w:val="0"/>
    <w:rPr>
      <w:vertAlign w:val="superscript"/>
    </w:rPr>
  </w:style>
  <w:style w:type="character" w:styleId="51">
    <w:name w:val="page number"/>
    <w:qFormat/>
    <w:uiPriority w:val="0"/>
  </w:style>
  <w:style w:type="character" w:styleId="52">
    <w:name w:val="FollowedHyperlink"/>
    <w:qFormat/>
    <w:uiPriority w:val="0"/>
    <w:rPr>
      <w:color w:val="333333"/>
      <w:u w:val="none"/>
    </w:rPr>
  </w:style>
  <w:style w:type="character" w:styleId="53">
    <w:name w:val="Emphasis"/>
    <w:qFormat/>
    <w:uiPriority w:val="0"/>
    <w:rPr>
      <w:i/>
      <w:iCs/>
    </w:rPr>
  </w:style>
  <w:style w:type="character" w:styleId="54">
    <w:name w:val="HTML Definition"/>
    <w:qFormat/>
    <w:uiPriority w:val="0"/>
  </w:style>
  <w:style w:type="character" w:styleId="55">
    <w:name w:val="HTML Acronym"/>
    <w:qFormat/>
    <w:uiPriority w:val="0"/>
  </w:style>
  <w:style w:type="character" w:styleId="56">
    <w:name w:val="HTML Variable"/>
    <w:qFormat/>
    <w:uiPriority w:val="0"/>
  </w:style>
  <w:style w:type="character" w:styleId="57">
    <w:name w:val="Hyperlink"/>
    <w:qFormat/>
    <w:uiPriority w:val="99"/>
    <w:rPr>
      <w:color w:val="333333"/>
      <w:u w:val="none"/>
    </w:rPr>
  </w:style>
  <w:style w:type="character" w:styleId="58">
    <w:name w:val="HTML Code"/>
    <w:qFormat/>
    <w:uiPriority w:val="0"/>
    <w:rPr>
      <w:rFonts w:ascii="Courier New" w:hAnsi="Courier New"/>
      <w:sz w:val="20"/>
    </w:rPr>
  </w:style>
  <w:style w:type="character" w:styleId="59">
    <w:name w:val="annotation reference"/>
    <w:qFormat/>
    <w:uiPriority w:val="99"/>
    <w:rPr>
      <w:sz w:val="21"/>
      <w:szCs w:val="21"/>
    </w:rPr>
  </w:style>
  <w:style w:type="character" w:styleId="60">
    <w:name w:val="HTML Cite"/>
    <w:qFormat/>
    <w:uiPriority w:val="0"/>
  </w:style>
  <w:style w:type="character" w:customStyle="1" w:styleId="61">
    <w:name w:val="正文文本 字符"/>
    <w:link w:val="19"/>
    <w:qFormat/>
    <w:uiPriority w:val="0"/>
    <w:rPr>
      <w:rFonts w:ascii="宋体" w:hAnsi="宋体"/>
    </w:rPr>
  </w:style>
  <w:style w:type="character" w:customStyle="1" w:styleId="62">
    <w:name w:val="标题 1 字符"/>
    <w:link w:val="2"/>
    <w:qFormat/>
    <w:uiPriority w:val="9"/>
    <w:rPr>
      <w:rFonts w:eastAsia="文鼎CS中黑"/>
      <w:b/>
      <w:bCs/>
      <w:kern w:val="44"/>
      <w:sz w:val="52"/>
      <w:szCs w:val="44"/>
    </w:rPr>
  </w:style>
  <w:style w:type="character" w:customStyle="1" w:styleId="63">
    <w:name w:val="标题 2 字符"/>
    <w:link w:val="3"/>
    <w:qFormat/>
    <w:uiPriority w:val="9"/>
    <w:rPr>
      <w:rFonts w:ascii="Wingdings" w:hAnsi="Wingdings" w:eastAsia="文鼎CS中黑"/>
      <w:b/>
      <w:bCs/>
      <w:kern w:val="2"/>
      <w:sz w:val="32"/>
      <w:szCs w:val="32"/>
    </w:rPr>
  </w:style>
  <w:style w:type="character" w:customStyle="1" w:styleId="64">
    <w:name w:val="标题 3 字符"/>
    <w:link w:val="4"/>
    <w:qFormat/>
    <w:uiPriority w:val="9"/>
    <w:rPr>
      <w:rFonts w:eastAsia="Courier New"/>
      <w:b/>
      <w:bCs/>
      <w:kern w:val="2"/>
      <w:sz w:val="32"/>
      <w:szCs w:val="32"/>
      <w:lang w:val="en-US" w:eastAsia="zh-CN" w:bidi="ar-SA"/>
    </w:rPr>
  </w:style>
  <w:style w:type="character" w:customStyle="1" w:styleId="65">
    <w:name w:val="标题 4 字符"/>
    <w:link w:val="5"/>
    <w:qFormat/>
    <w:uiPriority w:val="9"/>
    <w:rPr>
      <w:rFonts w:ascii="Courier New" w:hAnsi="Courier New"/>
      <w:bCs/>
      <w:kern w:val="2"/>
      <w:sz w:val="28"/>
      <w:szCs w:val="24"/>
    </w:rPr>
  </w:style>
  <w:style w:type="character" w:customStyle="1" w:styleId="66">
    <w:name w:val="标题 5 字符"/>
    <w:link w:val="6"/>
    <w:qFormat/>
    <w:uiPriority w:val="0"/>
    <w:rPr>
      <w:rFonts w:ascii="Courier New" w:hAnsi="Courier New"/>
      <w:b/>
      <w:kern w:val="2"/>
      <w:sz w:val="44"/>
      <w:szCs w:val="24"/>
    </w:rPr>
  </w:style>
  <w:style w:type="character" w:customStyle="1" w:styleId="67">
    <w:name w:val="标题 6 字符"/>
    <w:link w:val="7"/>
    <w:qFormat/>
    <w:uiPriority w:val="0"/>
    <w:rPr>
      <w:rFonts w:ascii="等线 Light" w:hAnsi="等线 Light" w:eastAsia="等线 Light" w:cs="Times New Roman"/>
      <w:b/>
      <w:bCs/>
      <w:kern w:val="2"/>
      <w:sz w:val="24"/>
      <w:szCs w:val="24"/>
    </w:rPr>
  </w:style>
  <w:style w:type="character" w:customStyle="1" w:styleId="68">
    <w:name w:val="标题 7 字符"/>
    <w:link w:val="8"/>
    <w:qFormat/>
    <w:uiPriority w:val="0"/>
    <w:rPr>
      <w:rFonts w:ascii="宋体" w:hAnsi="宋体"/>
      <w:b/>
      <w:bCs/>
      <w:kern w:val="2"/>
      <w:sz w:val="24"/>
      <w:szCs w:val="24"/>
    </w:rPr>
  </w:style>
  <w:style w:type="character" w:customStyle="1" w:styleId="69">
    <w:name w:val="标题 8 字符"/>
    <w:link w:val="9"/>
    <w:qFormat/>
    <w:uiPriority w:val="0"/>
    <w:rPr>
      <w:rFonts w:ascii="Arial" w:hAnsi="Arial" w:eastAsia="黑体"/>
      <w:kern w:val="2"/>
      <w:sz w:val="24"/>
      <w:szCs w:val="24"/>
    </w:rPr>
  </w:style>
  <w:style w:type="character" w:customStyle="1" w:styleId="70">
    <w:name w:val="标题 9 字符"/>
    <w:link w:val="10"/>
    <w:qFormat/>
    <w:uiPriority w:val="0"/>
    <w:rPr>
      <w:rFonts w:ascii="Arial" w:hAnsi="Arial" w:eastAsia="黑体"/>
      <w:kern w:val="2"/>
      <w:sz w:val="24"/>
      <w:szCs w:val="21"/>
    </w:rPr>
  </w:style>
  <w:style w:type="character" w:customStyle="1" w:styleId="71">
    <w:name w:val="正文缩进 字符"/>
    <w:link w:val="13"/>
    <w:qFormat/>
    <w:uiPriority w:val="0"/>
    <w:rPr>
      <w:rFonts w:ascii="Courier New" w:eastAsia="Courier New"/>
      <w:sz w:val="34"/>
      <w:lang w:val="en-US" w:eastAsia="zh-CN" w:bidi="ar-SA"/>
    </w:rPr>
  </w:style>
  <w:style w:type="character" w:customStyle="1" w:styleId="72">
    <w:name w:val="批注文字 字符"/>
    <w:link w:val="16"/>
    <w:qFormat/>
    <w:uiPriority w:val="99"/>
    <w:rPr>
      <w:kern w:val="2"/>
      <w:sz w:val="21"/>
      <w:szCs w:val="24"/>
    </w:rPr>
  </w:style>
  <w:style w:type="character" w:customStyle="1" w:styleId="73">
    <w:name w:val="正文文本缩进 字符"/>
    <w:link w:val="20"/>
    <w:qFormat/>
    <w:uiPriority w:val="0"/>
    <w:rPr>
      <w:kern w:val="2"/>
      <w:sz w:val="21"/>
      <w:szCs w:val="24"/>
    </w:rPr>
  </w:style>
  <w:style w:type="character" w:customStyle="1" w:styleId="74">
    <w:name w:val="纯文本 字符1"/>
    <w:link w:val="23"/>
    <w:qFormat/>
    <w:uiPriority w:val="99"/>
    <w:rPr>
      <w:rFonts w:ascii="Courier New" w:hAnsi="等线 Light" w:eastAsia="Courier New" w:cs="等线 Light"/>
      <w:kern w:val="2"/>
      <w:sz w:val="21"/>
      <w:szCs w:val="21"/>
      <w:lang w:val="en-US" w:eastAsia="zh-CN" w:bidi="ar-SA"/>
    </w:rPr>
  </w:style>
  <w:style w:type="character" w:customStyle="1" w:styleId="75">
    <w:name w:val="日期 字符"/>
    <w:link w:val="25"/>
    <w:qFormat/>
    <w:uiPriority w:val="99"/>
    <w:rPr>
      <w:rFonts w:ascii="Courier New"/>
      <w:sz w:val="28"/>
    </w:rPr>
  </w:style>
  <w:style w:type="character" w:customStyle="1" w:styleId="76">
    <w:name w:val="正文文本缩进 2 字符"/>
    <w:link w:val="26"/>
    <w:qFormat/>
    <w:uiPriority w:val="0"/>
    <w:rPr>
      <w:rFonts w:eastAsia="SimSun-Identity-H"/>
      <w:kern w:val="2"/>
      <w:sz w:val="30"/>
    </w:rPr>
  </w:style>
  <w:style w:type="character" w:customStyle="1" w:styleId="77">
    <w:name w:val="尾注文本 字符"/>
    <w:link w:val="27"/>
    <w:qFormat/>
    <w:uiPriority w:val="0"/>
    <w:rPr>
      <w:kern w:val="2"/>
      <w:sz w:val="21"/>
      <w:szCs w:val="24"/>
    </w:rPr>
  </w:style>
  <w:style w:type="character" w:customStyle="1" w:styleId="78">
    <w:name w:val="批注框文本 字符"/>
    <w:link w:val="28"/>
    <w:qFormat/>
    <w:uiPriority w:val="0"/>
    <w:rPr>
      <w:kern w:val="2"/>
      <w:sz w:val="18"/>
      <w:szCs w:val="18"/>
    </w:rPr>
  </w:style>
  <w:style w:type="character" w:customStyle="1" w:styleId="79">
    <w:name w:val="页脚 字符1"/>
    <w:link w:val="29"/>
    <w:qFormat/>
    <w:uiPriority w:val="99"/>
    <w:rPr>
      <w:rFonts w:eastAsia="Courier New"/>
      <w:kern w:val="2"/>
      <w:sz w:val="18"/>
      <w:szCs w:val="18"/>
      <w:lang w:val="en-US" w:eastAsia="zh-CN" w:bidi="ar-SA"/>
    </w:rPr>
  </w:style>
  <w:style w:type="character" w:customStyle="1" w:styleId="80">
    <w:name w:val="页眉 字符"/>
    <w:link w:val="30"/>
    <w:qFormat/>
    <w:uiPriority w:val="99"/>
    <w:rPr>
      <w:kern w:val="2"/>
      <w:sz w:val="18"/>
      <w:szCs w:val="18"/>
    </w:rPr>
  </w:style>
  <w:style w:type="character" w:customStyle="1" w:styleId="81">
    <w:name w:val="脚注文本 字符"/>
    <w:link w:val="35"/>
    <w:qFormat/>
    <w:uiPriority w:val="0"/>
    <w:rPr>
      <w:kern w:val="2"/>
      <w:sz w:val="18"/>
    </w:rPr>
  </w:style>
  <w:style w:type="character" w:customStyle="1" w:styleId="82">
    <w:name w:val="正文文本缩进 3 字符"/>
    <w:link w:val="37"/>
    <w:qFormat/>
    <w:uiPriority w:val="99"/>
    <w:rPr>
      <w:rFonts w:ascii="Courier New" w:hAnsi="Courier New"/>
      <w:kern w:val="2"/>
      <w:sz w:val="28"/>
      <w:szCs w:val="24"/>
    </w:rPr>
  </w:style>
  <w:style w:type="character" w:customStyle="1" w:styleId="83">
    <w:name w:val="正文文本 2 字符"/>
    <w:link w:val="40"/>
    <w:qFormat/>
    <w:uiPriority w:val="0"/>
    <w:rPr>
      <w:kern w:val="2"/>
      <w:sz w:val="21"/>
      <w:szCs w:val="24"/>
    </w:rPr>
  </w:style>
  <w:style w:type="character" w:customStyle="1" w:styleId="84">
    <w:name w:val="标题 字符"/>
    <w:link w:val="42"/>
    <w:qFormat/>
    <w:uiPriority w:val="0"/>
    <w:rPr>
      <w:rFonts w:ascii="Wingdings" w:hAnsi="Wingdings" w:cs="Wingdings"/>
      <w:b/>
      <w:bCs/>
      <w:kern w:val="2"/>
      <w:sz w:val="32"/>
      <w:szCs w:val="32"/>
    </w:rPr>
  </w:style>
  <w:style w:type="character" w:customStyle="1" w:styleId="85">
    <w:name w:val="批注主题 字符"/>
    <w:link w:val="43"/>
    <w:qFormat/>
    <w:uiPriority w:val="0"/>
    <w:rPr>
      <w:b/>
      <w:bCs/>
      <w:kern w:val="2"/>
      <w:sz w:val="21"/>
      <w:szCs w:val="24"/>
    </w:rPr>
  </w:style>
  <w:style w:type="character" w:customStyle="1" w:styleId="86">
    <w:name w:val="正文文本首行缩进 2 字符"/>
    <w:link w:val="45"/>
    <w:qFormat/>
    <w:uiPriority w:val="0"/>
  </w:style>
  <w:style w:type="character" w:customStyle="1" w:styleId="87">
    <w:name w:val="wen"/>
    <w:qFormat/>
    <w:uiPriority w:val="0"/>
    <w:rPr>
      <w:color w:val="FFFFFF"/>
      <w:shd w:val="clear" w:color="auto" w:fill="24A8F6"/>
    </w:rPr>
  </w:style>
  <w:style w:type="character" w:customStyle="1" w:styleId="88">
    <w:name w:val="wlwt"/>
    <w:qFormat/>
    <w:uiPriority w:val="0"/>
    <w:rPr>
      <w:color w:val="24A8F6"/>
    </w:rPr>
  </w:style>
  <w:style w:type="character" w:customStyle="1" w:styleId="89">
    <w:name w:val="font11"/>
    <w:qFormat/>
    <w:uiPriority w:val="0"/>
    <w:rPr>
      <w:rFonts w:ascii="Calibri" w:hAnsi="Calibri" w:cs="Calibri"/>
      <w:color w:val="000000"/>
      <w:sz w:val="24"/>
      <w:szCs w:val="24"/>
      <w:u w:val="none"/>
    </w:rPr>
  </w:style>
  <w:style w:type="character" w:customStyle="1" w:styleId="90">
    <w:name w:val="l-btn-icon-right"/>
    <w:qFormat/>
    <w:uiPriority w:val="0"/>
  </w:style>
  <w:style w:type="character" w:customStyle="1" w:styleId="91">
    <w:name w:val="H4 Char"/>
    <w:qFormat/>
    <w:uiPriority w:val="0"/>
    <w:rPr>
      <w:rFonts w:ascii="Wingdings" w:hAnsi="Wingdings" w:eastAsia="文鼎CS中黑"/>
      <w:b/>
      <w:sz w:val="28"/>
      <w:lang w:val="en-US" w:eastAsia="zh-CN"/>
    </w:rPr>
  </w:style>
  <w:style w:type="character" w:customStyle="1" w:styleId="92">
    <w:name w:val="l-btn-text"/>
    <w:qFormat/>
    <w:uiPriority w:val="0"/>
    <w:rPr>
      <w:vertAlign w:val="baseline"/>
    </w:rPr>
  </w:style>
  <w:style w:type="character" w:customStyle="1" w:styleId="93">
    <w:name w:val="l-btn-left1"/>
    <w:qFormat/>
    <w:uiPriority w:val="0"/>
  </w:style>
  <w:style w:type="character" w:customStyle="1" w:styleId="94">
    <w:name w:val="z-窗体顶端 字符"/>
    <w:link w:val="95"/>
    <w:qFormat/>
    <w:uiPriority w:val="34"/>
    <w:rPr>
      <w:kern w:val="2"/>
      <w:sz w:val="21"/>
      <w:szCs w:val="24"/>
    </w:rPr>
  </w:style>
  <w:style w:type="paragraph" w:customStyle="1" w:styleId="95">
    <w:name w:val="z-窗体顶端1"/>
    <w:basedOn w:val="1"/>
    <w:link w:val="94"/>
    <w:qFormat/>
    <w:uiPriority w:val="34"/>
    <w:pPr>
      <w:ind w:firstLine="420" w:firstLineChars="200"/>
    </w:pPr>
  </w:style>
  <w:style w:type="character" w:customStyle="1" w:styleId="96">
    <w:name w:val="正文文本 2 字符1"/>
    <w:qFormat/>
    <w:uiPriority w:val="0"/>
    <w:rPr>
      <w:kern w:val="2"/>
      <w:sz w:val="21"/>
      <w:szCs w:val="24"/>
    </w:rPr>
  </w:style>
  <w:style w:type="character" w:customStyle="1" w:styleId="97">
    <w:name w:val="l-btn-icon-left"/>
    <w:qFormat/>
    <w:uiPriority w:val="0"/>
  </w:style>
  <w:style w:type="character" w:customStyle="1" w:styleId="98">
    <w:name w:val="未处理的提及1"/>
    <w:unhideWhenUsed/>
    <w:qFormat/>
    <w:uiPriority w:val="99"/>
    <w:rPr>
      <w:color w:val="605E5C"/>
      <w:shd w:val="clear" w:color="auto" w:fill="E1DFDD"/>
    </w:rPr>
  </w:style>
  <w:style w:type="character" w:customStyle="1" w:styleId="99">
    <w:name w:val="apple-converted-space"/>
    <w:qFormat/>
    <w:uiPriority w:val="0"/>
  </w:style>
  <w:style w:type="character" w:customStyle="1" w:styleId="100">
    <w:name w:val="text91"/>
    <w:qFormat/>
    <w:uiPriority w:val="0"/>
    <w:rPr>
      <w:sz w:val="18"/>
      <w:szCs w:val="18"/>
      <w:u w:val="none"/>
    </w:rPr>
  </w:style>
  <w:style w:type="character" w:customStyle="1" w:styleId="101">
    <w:name w:val="正文缩进 Char Char1"/>
    <w:qFormat/>
    <w:uiPriority w:val="0"/>
    <w:rPr>
      <w:rFonts w:ascii="Courier New" w:eastAsia="Courier New"/>
      <w:sz w:val="34"/>
      <w:lang w:val="en-US" w:eastAsia="zh-CN" w:bidi="ar-SA"/>
    </w:rPr>
  </w:style>
  <w:style w:type="character" w:customStyle="1" w:styleId="102">
    <w:name w:val="l-btn-left2"/>
    <w:qFormat/>
    <w:uiPriority w:val="0"/>
  </w:style>
  <w:style w:type="character" w:customStyle="1" w:styleId="103">
    <w:name w:val="fontp1"/>
    <w:qFormat/>
    <w:uiPriority w:val="0"/>
    <w:rPr>
      <w:rFonts w:hint="eastAsia" w:ascii="Courier New" w:hAnsi="Courier New" w:eastAsia="Courier New"/>
      <w:sz w:val="18"/>
      <w:szCs w:val="18"/>
    </w:rPr>
  </w:style>
  <w:style w:type="character" w:customStyle="1" w:styleId="104">
    <w:name w:val="纯文本 Char2"/>
    <w:qFormat/>
    <w:locked/>
    <w:uiPriority w:val="0"/>
    <w:rPr>
      <w:rFonts w:ascii="Cambria Math" w:hAnsi="仿宋_GB2312" w:eastAsia="Cambria Math" w:cs="仿宋_GB2312"/>
      <w:sz w:val="21"/>
      <w:szCs w:val="21"/>
    </w:rPr>
  </w:style>
  <w:style w:type="character" w:customStyle="1" w:styleId="105">
    <w:name w:val="font91"/>
    <w:qFormat/>
    <w:uiPriority w:val="0"/>
    <w:rPr>
      <w:rFonts w:hint="eastAsia" w:ascii="宋体" w:hAnsi="宋体" w:eastAsia="宋体" w:cs="宋体"/>
      <w:color w:val="000000"/>
      <w:sz w:val="24"/>
      <w:szCs w:val="24"/>
      <w:u w:val="none"/>
    </w:rPr>
  </w:style>
  <w:style w:type="character" w:customStyle="1" w:styleId="106">
    <w:name w:val="纯文本 字符"/>
    <w:qFormat/>
    <w:uiPriority w:val="0"/>
    <w:rPr>
      <w:rFonts w:ascii="Courier New" w:hAnsi="等线 Light" w:cs="等线 Light"/>
      <w:kern w:val="2"/>
      <w:sz w:val="21"/>
      <w:szCs w:val="21"/>
    </w:rPr>
  </w:style>
  <w:style w:type="character" w:customStyle="1" w:styleId="107">
    <w:name w:val="正文模版 Char Char"/>
    <w:link w:val="108"/>
    <w:qFormat/>
    <w:uiPriority w:val="0"/>
    <w:rPr>
      <w:sz w:val="24"/>
    </w:rPr>
  </w:style>
  <w:style w:type="paragraph" w:customStyle="1" w:styleId="108">
    <w:name w:val="正文模版"/>
    <w:basedOn w:val="1"/>
    <w:link w:val="107"/>
    <w:qFormat/>
    <w:uiPriority w:val="0"/>
    <w:pPr>
      <w:ind w:firstLine="480" w:firstLineChars="200"/>
    </w:pPr>
    <w:rPr>
      <w:kern w:val="0"/>
      <w:sz w:val="24"/>
      <w:szCs w:val="20"/>
    </w:rPr>
  </w:style>
  <w:style w:type="character" w:customStyle="1" w:styleId="109">
    <w:name w:val="font21"/>
    <w:qFormat/>
    <w:uiPriority w:val="0"/>
    <w:rPr>
      <w:rFonts w:hint="eastAsia" w:ascii="宋体" w:hAnsi="宋体" w:eastAsia="宋体" w:cs="宋体"/>
      <w:color w:val="000000"/>
      <w:sz w:val="24"/>
      <w:szCs w:val="24"/>
      <w:u w:val="none"/>
    </w:rPr>
  </w:style>
  <w:style w:type="character" w:customStyle="1" w:styleId="110">
    <w:name w:val="z-窗体顶端 Char"/>
    <w:link w:val="111"/>
    <w:qFormat/>
    <w:uiPriority w:val="34"/>
    <w:rPr>
      <w:rFonts w:ascii="Times New Roman" w:hAnsi="Times New Roman" w:eastAsia="宋体" w:cs="Times New Roman"/>
      <w:kern w:val="2"/>
      <w:sz w:val="21"/>
      <w:szCs w:val="24"/>
    </w:rPr>
  </w:style>
  <w:style w:type="paragraph" w:customStyle="1" w:styleId="111">
    <w:name w:val="z-窗体顶端111"/>
    <w:basedOn w:val="1"/>
    <w:link w:val="110"/>
    <w:qFormat/>
    <w:uiPriority w:val="34"/>
    <w:pPr>
      <w:tabs>
        <w:tab w:val="left" w:pos="1276"/>
      </w:tabs>
      <w:ind w:firstLine="420" w:firstLineChars="200"/>
    </w:pPr>
    <w:rPr>
      <w:rFonts w:ascii="Times New Roman" w:hAnsi="Times New Roman"/>
    </w:rPr>
  </w:style>
  <w:style w:type="character" w:customStyle="1" w:styleId="112">
    <w:name w:val="font41"/>
    <w:qFormat/>
    <w:uiPriority w:val="0"/>
    <w:rPr>
      <w:rFonts w:hint="default" w:ascii="Calibri" w:hAnsi="Calibri" w:cs="Calibri"/>
      <w:color w:val="000000"/>
      <w:sz w:val="24"/>
      <w:szCs w:val="24"/>
      <w:u w:val="none"/>
    </w:rPr>
  </w:style>
  <w:style w:type="character" w:customStyle="1" w:styleId="113">
    <w:name w:val="纯文本 Char1"/>
    <w:qFormat/>
    <w:uiPriority w:val="0"/>
    <w:rPr>
      <w:rFonts w:ascii="Courier New" w:hAnsi="等线 Light" w:eastAsia="Courier New" w:cs="等线 Light"/>
      <w:kern w:val="2"/>
      <w:sz w:val="21"/>
      <w:szCs w:val="21"/>
      <w:lang w:val="en-US" w:eastAsia="zh-CN" w:bidi="ar-SA"/>
    </w:rPr>
  </w:style>
  <w:style w:type="character" w:customStyle="1" w:styleId="114">
    <w:name w:val="font71"/>
    <w:qFormat/>
    <w:uiPriority w:val="0"/>
    <w:rPr>
      <w:rFonts w:hint="eastAsia" w:ascii="宋体" w:hAnsi="宋体" w:eastAsia="宋体" w:cs="宋体"/>
      <w:color w:val="000000"/>
      <w:sz w:val="24"/>
      <w:szCs w:val="24"/>
      <w:u w:val="none"/>
    </w:rPr>
  </w:style>
  <w:style w:type="character" w:customStyle="1" w:styleId="115">
    <w:name w:val="font31"/>
    <w:qFormat/>
    <w:uiPriority w:val="0"/>
    <w:rPr>
      <w:rFonts w:hint="eastAsia" w:ascii="宋体" w:hAnsi="宋体" w:eastAsia="宋体" w:cs="宋体"/>
      <w:color w:val="000000"/>
      <w:sz w:val="22"/>
      <w:szCs w:val="22"/>
      <w:u w:val="none"/>
    </w:rPr>
  </w:style>
  <w:style w:type="character" w:customStyle="1" w:styleId="116">
    <w:name w:val="font121"/>
    <w:qFormat/>
    <w:uiPriority w:val="0"/>
    <w:rPr>
      <w:rFonts w:hint="default" w:ascii="Calibri" w:hAnsi="Calibri" w:cs="Calibri"/>
      <w:color w:val="000000"/>
      <w:sz w:val="24"/>
      <w:szCs w:val="24"/>
      <w:u w:val="none"/>
    </w:rPr>
  </w:style>
  <w:style w:type="character" w:customStyle="1" w:styleId="117">
    <w:name w:val="标题 2 Char"/>
    <w:qFormat/>
    <w:uiPriority w:val="0"/>
    <w:rPr>
      <w:rFonts w:ascii="Wingdings" w:hAnsi="Wingdings" w:eastAsia="文鼎CS中黑"/>
      <w:b/>
      <w:bCs/>
      <w:kern w:val="2"/>
      <w:sz w:val="32"/>
      <w:szCs w:val="32"/>
      <w:lang w:val="en-US" w:eastAsia="zh-CN" w:bidi="ar-SA"/>
    </w:rPr>
  </w:style>
  <w:style w:type="character" w:customStyle="1" w:styleId="118">
    <w:name w:val="l-btn-empty"/>
    <w:qFormat/>
    <w:uiPriority w:val="0"/>
  </w:style>
  <w:style w:type="character" w:customStyle="1" w:styleId="119">
    <w:name w:val="批注文字 Char"/>
    <w:qFormat/>
    <w:uiPriority w:val="99"/>
    <w:rPr>
      <w:kern w:val="2"/>
      <w:sz w:val="21"/>
      <w:szCs w:val="24"/>
    </w:rPr>
  </w:style>
  <w:style w:type="character" w:customStyle="1" w:styleId="120">
    <w:name w:val="列出段落 Char"/>
    <w:link w:val="121"/>
    <w:qFormat/>
    <w:uiPriority w:val="34"/>
    <w:rPr>
      <w:rFonts w:ascii="Calibri" w:hAnsi="Calibri" w:eastAsia="宋体" w:cs="Times New Roman"/>
      <w:kern w:val="1"/>
      <w:sz w:val="21"/>
      <w:szCs w:val="22"/>
      <w:lang w:eastAsia="ar-SA"/>
    </w:rPr>
  </w:style>
  <w:style w:type="paragraph" w:customStyle="1" w:styleId="121">
    <w:name w:val="列出段落1"/>
    <w:basedOn w:val="1"/>
    <w:link w:val="120"/>
    <w:qFormat/>
    <w:uiPriority w:val="34"/>
    <w:pPr>
      <w:tabs>
        <w:tab w:val="left" w:pos="1276"/>
      </w:tabs>
      <w:suppressAutoHyphens/>
      <w:ind w:firstLine="420" w:firstLineChars="200"/>
    </w:pPr>
    <w:rPr>
      <w:kern w:val="1"/>
      <w:szCs w:val="22"/>
      <w:lang w:eastAsia="ar-SA"/>
    </w:rPr>
  </w:style>
  <w:style w:type="character" w:customStyle="1" w:styleId="122">
    <w:name w:val="font01"/>
    <w:qFormat/>
    <w:uiPriority w:val="0"/>
    <w:rPr>
      <w:rFonts w:ascii="Calibri" w:hAnsi="Calibri" w:cs="Calibri"/>
      <w:color w:val="000000"/>
      <w:sz w:val="21"/>
      <w:szCs w:val="21"/>
      <w:u w:val="none"/>
    </w:rPr>
  </w:style>
  <w:style w:type="character" w:customStyle="1" w:styleId="123">
    <w:name w:val="arrow"/>
    <w:qFormat/>
    <w:uiPriority w:val="0"/>
  </w:style>
  <w:style w:type="character" w:customStyle="1" w:styleId="124">
    <w:name w:val="l-btn-left"/>
    <w:qFormat/>
    <w:uiPriority w:val="0"/>
    <w:rPr>
      <w:color w:val="333333"/>
    </w:rPr>
  </w:style>
  <w:style w:type="character" w:customStyle="1" w:styleId="125">
    <w:name w:val="列表段落 字符"/>
    <w:link w:val="126"/>
    <w:qFormat/>
    <w:uiPriority w:val="1"/>
    <w:rPr>
      <w:rFonts w:ascii="华文中宋" w:hAnsi="华文中宋"/>
      <w:kern w:val="1"/>
      <w:sz w:val="21"/>
      <w:szCs w:val="22"/>
      <w:lang w:eastAsia="ar-SA"/>
    </w:rPr>
  </w:style>
  <w:style w:type="paragraph" w:styleId="126">
    <w:name w:val="List Paragraph"/>
    <w:basedOn w:val="1"/>
    <w:link w:val="125"/>
    <w:qFormat/>
    <w:uiPriority w:val="1"/>
    <w:pPr>
      <w:suppressAutoHyphens/>
      <w:ind w:firstLine="420"/>
    </w:pPr>
    <w:rPr>
      <w:rFonts w:ascii="华文中宋" w:hAnsi="华文中宋"/>
      <w:kern w:val="1"/>
      <w:szCs w:val="22"/>
      <w:lang w:eastAsia="ar-SA"/>
    </w:rPr>
  </w:style>
  <w:style w:type="character" w:customStyle="1" w:styleId="127">
    <w:name w:val="l-btn-left3"/>
    <w:qFormat/>
    <w:uiPriority w:val="0"/>
  </w:style>
  <w:style w:type="character" w:customStyle="1" w:styleId="128">
    <w:name w:val="页脚 字符"/>
    <w:qFormat/>
    <w:uiPriority w:val="99"/>
    <w:rPr>
      <w:rFonts w:ascii="华文中宋" w:hAnsi="华文中宋" w:eastAsia="Courier New" w:cs="宋体"/>
      <w:kern w:val="2"/>
      <w:sz w:val="18"/>
      <w:szCs w:val="18"/>
    </w:rPr>
  </w:style>
  <w:style w:type="character" w:customStyle="1" w:styleId="129">
    <w:name w:val="font61"/>
    <w:qFormat/>
    <w:uiPriority w:val="0"/>
    <w:rPr>
      <w:rFonts w:hint="default" w:ascii="Calibri" w:hAnsi="Calibri" w:cs="Calibri"/>
      <w:color w:val="000000"/>
      <w:sz w:val="22"/>
      <w:szCs w:val="22"/>
      <w:u w:val="none"/>
    </w:rPr>
  </w:style>
  <w:style w:type="paragraph" w:customStyle="1" w:styleId="130">
    <w:name w:val="xl81"/>
    <w:basedOn w:val="1"/>
    <w:qFormat/>
    <w:uiPriority w:val="0"/>
    <w:pPr>
      <w:shd w:val="clear" w:color="000000" w:fill="FFFFFF"/>
      <w:spacing w:before="100" w:beforeAutospacing="1" w:after="100" w:afterAutospacing="1"/>
      <w:jc w:val="left"/>
    </w:pPr>
    <w:rPr>
      <w:rFonts w:cs="宋体"/>
      <w:kern w:val="0"/>
      <w:sz w:val="24"/>
    </w:rPr>
  </w:style>
  <w:style w:type="paragraph" w:customStyle="1" w:styleId="131">
    <w:name w:val="xl172"/>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cs="Courier New"/>
      <w:kern w:val="0"/>
      <w:sz w:val="23"/>
      <w:szCs w:val="23"/>
    </w:rPr>
  </w:style>
  <w:style w:type="paragraph" w:customStyle="1" w:styleId="132">
    <w:name w:val="xl12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kern w:val="0"/>
      <w:sz w:val="23"/>
      <w:szCs w:val="23"/>
    </w:rPr>
  </w:style>
  <w:style w:type="paragraph" w:customStyle="1" w:styleId="133">
    <w:name w:val="xl175"/>
    <w:basedOn w:val="1"/>
    <w:qFormat/>
    <w:uiPriority w:val="0"/>
    <w:pPr>
      <w:pBdr>
        <w:top w:val="single" w:color="000000" w:sz="4" w:space="0"/>
        <w:left w:val="single" w:color="000000" w:sz="4" w:space="0"/>
        <w:right w:val="single" w:color="000000" w:sz="4" w:space="0"/>
      </w:pBdr>
      <w:spacing w:before="100" w:beforeAutospacing="1" w:after="100" w:afterAutospacing="1"/>
      <w:jc w:val="left"/>
    </w:pPr>
    <w:rPr>
      <w:rFonts w:cs="Courier New"/>
      <w:kern w:val="0"/>
      <w:sz w:val="22"/>
      <w:szCs w:val="22"/>
    </w:rPr>
  </w:style>
  <w:style w:type="paragraph" w:customStyle="1" w:styleId="134">
    <w:name w:val="xl8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b/>
      <w:bCs/>
      <w:color w:val="000000"/>
      <w:kern w:val="0"/>
      <w:sz w:val="18"/>
      <w:szCs w:val="18"/>
    </w:rPr>
  </w:style>
  <w:style w:type="paragraph" w:customStyle="1" w:styleId="135">
    <w:name w:val="前言正文"/>
    <w:qFormat/>
    <w:uiPriority w:val="0"/>
    <w:pPr>
      <w:spacing w:before="120" w:line="360" w:lineRule="auto"/>
      <w:ind w:firstLine="425"/>
      <w:jc w:val="both"/>
    </w:pPr>
    <w:rPr>
      <w:rFonts w:ascii="Courier New" w:hAnsi="Courier New" w:eastAsia="SimSun-Identity-H" w:cs="Times New Roman"/>
      <w:kern w:val="2"/>
      <w:sz w:val="24"/>
      <w:szCs w:val="22"/>
      <w:lang w:val="en-US" w:eastAsia="zh-CN" w:bidi="ar-SA"/>
    </w:rPr>
  </w:style>
  <w:style w:type="paragraph" w:customStyle="1" w:styleId="136">
    <w:name w:val="默认段落字体 Para Char"/>
    <w:basedOn w:val="1"/>
    <w:qFormat/>
    <w:uiPriority w:val="0"/>
    <w:rPr>
      <w:b/>
      <w:sz w:val="28"/>
      <w:szCs w:val="28"/>
    </w:rPr>
  </w:style>
  <w:style w:type="paragraph" w:customStyle="1" w:styleId="137">
    <w:name w:val="xl1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kern w:val="0"/>
      <w:sz w:val="23"/>
      <w:szCs w:val="23"/>
    </w:rPr>
  </w:style>
  <w:style w:type="paragraph" w:customStyle="1" w:styleId="138">
    <w:name w:val="Char Char Char Char"/>
    <w:basedOn w:val="1"/>
    <w:qFormat/>
    <w:uiPriority w:val="0"/>
    <w:pPr>
      <w:spacing w:after="160" w:line="240" w:lineRule="exact"/>
      <w:jc w:val="left"/>
    </w:pPr>
    <w:rPr>
      <w:kern w:val="0"/>
      <w:sz w:val="20"/>
      <w:szCs w:val="20"/>
      <w:lang w:eastAsia="en-US"/>
    </w:rPr>
  </w:style>
  <w:style w:type="paragraph" w:customStyle="1" w:styleId="139">
    <w:name w:val="网格 居中"/>
    <w:basedOn w:val="1"/>
    <w:qFormat/>
    <w:uiPriority w:val="0"/>
    <w:pPr>
      <w:jc w:val="center"/>
    </w:pPr>
    <w:rPr>
      <w:szCs w:val="20"/>
    </w:rPr>
  </w:style>
  <w:style w:type="paragraph" w:customStyle="1" w:styleId="140">
    <w:name w:val="xl16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cs="Courier New"/>
      <w:kern w:val="0"/>
      <w:sz w:val="22"/>
      <w:szCs w:val="22"/>
    </w:rPr>
  </w:style>
  <w:style w:type="paragraph" w:customStyle="1" w:styleId="141">
    <w:name w:val="xl1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kern w:val="0"/>
      <w:sz w:val="22"/>
      <w:szCs w:val="22"/>
    </w:rPr>
  </w:style>
  <w:style w:type="paragraph" w:customStyle="1" w:styleId="142">
    <w:name w:val="前言目录"/>
    <w:next w:val="135"/>
    <w:qFormat/>
    <w:uiPriority w:val="0"/>
    <w:pPr>
      <w:spacing w:before="480" w:after="240" w:line="480" w:lineRule="auto"/>
      <w:jc w:val="center"/>
    </w:pPr>
    <w:rPr>
      <w:rFonts w:ascii="Courier New" w:hAnsi="Courier New" w:eastAsia="文鼎CS中黑" w:cs="Times New Roman"/>
      <w:b/>
      <w:kern w:val="2"/>
      <w:sz w:val="44"/>
      <w:szCs w:val="22"/>
      <w:lang w:val="en-US" w:eastAsia="zh-CN" w:bidi="ar-SA"/>
    </w:rPr>
  </w:style>
  <w:style w:type="paragraph" w:customStyle="1" w:styleId="143">
    <w:name w:val="正文_0"/>
    <w:qFormat/>
    <w:uiPriority w:val="0"/>
    <w:pPr>
      <w:widowControl w:val="0"/>
      <w:spacing w:line="360" w:lineRule="auto"/>
      <w:jc w:val="both"/>
    </w:pPr>
    <w:rPr>
      <w:rFonts w:ascii="Courier New" w:hAnsi="Courier New" w:eastAsia="宋体" w:cs="Times New Roman"/>
      <w:kern w:val="2"/>
      <w:sz w:val="21"/>
      <w:szCs w:val="24"/>
      <w:lang w:val="en-US" w:eastAsia="zh-CN" w:bidi="ar-SA"/>
    </w:rPr>
  </w:style>
  <w:style w:type="paragraph" w:customStyle="1" w:styleId="144">
    <w:name w:val="xl78"/>
    <w:basedOn w:val="1"/>
    <w:qFormat/>
    <w:uiPriority w:val="0"/>
    <w:pPr>
      <w:shd w:val="clear" w:color="000000" w:fill="FFFFFF"/>
      <w:spacing w:before="100" w:beforeAutospacing="1" w:after="100" w:afterAutospacing="1"/>
      <w:jc w:val="left"/>
    </w:pPr>
    <w:rPr>
      <w:rFonts w:cs="宋体"/>
      <w:kern w:val="0"/>
      <w:sz w:val="22"/>
      <w:szCs w:val="22"/>
    </w:rPr>
  </w:style>
  <w:style w:type="paragraph" w:customStyle="1" w:styleId="145">
    <w:name w:val="xl195"/>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cs="Courier New"/>
      <w:b/>
      <w:bCs/>
      <w:kern w:val="0"/>
      <w:sz w:val="23"/>
      <w:szCs w:val="23"/>
    </w:rPr>
  </w:style>
  <w:style w:type="paragraph" w:customStyle="1" w:styleId="146">
    <w:name w:val="xl14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b/>
      <w:bCs/>
      <w:kern w:val="0"/>
      <w:sz w:val="23"/>
      <w:szCs w:val="23"/>
    </w:rPr>
  </w:style>
  <w:style w:type="paragraph" w:customStyle="1" w:styleId="147">
    <w:name w:val="xl14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Courier New"/>
      <w:kern w:val="0"/>
      <w:sz w:val="23"/>
      <w:szCs w:val="23"/>
    </w:rPr>
  </w:style>
  <w:style w:type="paragraph" w:customStyle="1" w:styleId="148">
    <w:name w:val="xl1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b/>
      <w:bCs/>
      <w:kern w:val="0"/>
      <w:sz w:val="23"/>
      <w:szCs w:val="23"/>
    </w:rPr>
  </w:style>
  <w:style w:type="paragraph" w:customStyle="1" w:styleId="149">
    <w:name w:val="xl89"/>
    <w:basedOn w:val="1"/>
    <w:qFormat/>
    <w:uiPriority w:val="0"/>
    <w:pPr>
      <w:spacing w:before="100" w:beforeAutospacing="1" w:after="100" w:afterAutospacing="1"/>
      <w:jc w:val="center"/>
    </w:pPr>
    <w:rPr>
      <w:rFonts w:cs="Courier New"/>
      <w:kern w:val="0"/>
      <w:sz w:val="23"/>
      <w:szCs w:val="23"/>
    </w:rPr>
  </w:style>
  <w:style w:type="paragraph" w:customStyle="1" w:styleId="150">
    <w:name w:val="EHPT"/>
    <w:basedOn w:val="1"/>
    <w:next w:val="19"/>
    <w:qFormat/>
    <w:uiPriority w:val="0"/>
    <w:pPr>
      <w:ind w:right="-694"/>
    </w:pPr>
    <w:rPr>
      <w:sz w:val="24"/>
      <w:szCs w:val="20"/>
    </w:rPr>
  </w:style>
  <w:style w:type="paragraph" w:customStyle="1" w:styleId="151">
    <w:name w:val="xl1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kern w:val="0"/>
      <w:sz w:val="23"/>
      <w:szCs w:val="23"/>
    </w:rPr>
  </w:style>
  <w:style w:type="paragraph" w:customStyle="1" w:styleId="152">
    <w:name w:val="xl114"/>
    <w:basedOn w:val="1"/>
    <w:qFormat/>
    <w:uiPriority w:val="0"/>
    <w:pPr>
      <w:pBdr>
        <w:top w:val="single" w:color="auto" w:sz="4" w:space="0"/>
        <w:bottom w:val="single" w:color="auto" w:sz="4" w:space="0"/>
      </w:pBdr>
      <w:spacing w:before="100" w:beforeAutospacing="1" w:after="100" w:afterAutospacing="1"/>
      <w:jc w:val="center"/>
    </w:pPr>
    <w:rPr>
      <w:rFonts w:cs="Courier New"/>
      <w:b/>
      <w:bCs/>
      <w:kern w:val="0"/>
      <w:sz w:val="23"/>
      <w:szCs w:val="23"/>
    </w:rPr>
  </w:style>
  <w:style w:type="paragraph" w:customStyle="1" w:styleId="153">
    <w:name w:val="纯文本1"/>
    <w:basedOn w:val="1"/>
    <w:qFormat/>
    <w:uiPriority w:val="0"/>
    <w:pPr>
      <w:suppressAutoHyphens/>
    </w:pPr>
    <w:rPr>
      <w:kern w:val="1"/>
      <w:szCs w:val="20"/>
      <w:lang w:eastAsia="ar-SA"/>
    </w:rPr>
  </w:style>
  <w:style w:type="paragraph" w:customStyle="1" w:styleId="154">
    <w:name w:val="font5"/>
    <w:basedOn w:val="1"/>
    <w:qFormat/>
    <w:uiPriority w:val="0"/>
    <w:pPr>
      <w:spacing w:before="100" w:beforeAutospacing="1" w:after="100" w:afterAutospacing="1"/>
      <w:jc w:val="left"/>
    </w:pPr>
    <w:rPr>
      <w:rFonts w:cs="Courier New"/>
      <w:kern w:val="0"/>
      <w:sz w:val="23"/>
      <w:szCs w:val="23"/>
    </w:rPr>
  </w:style>
  <w:style w:type="paragraph" w:customStyle="1" w:styleId="155">
    <w:name w:val="xl80"/>
    <w:basedOn w:val="1"/>
    <w:qFormat/>
    <w:uiPriority w:val="0"/>
    <w:pPr>
      <w:shd w:val="clear" w:color="000000" w:fill="FFFFFF"/>
      <w:spacing w:before="100" w:beforeAutospacing="1" w:after="100" w:afterAutospacing="1"/>
      <w:jc w:val="center"/>
    </w:pPr>
    <w:rPr>
      <w:rFonts w:cs="宋体"/>
      <w:kern w:val="0"/>
      <w:sz w:val="22"/>
      <w:szCs w:val="22"/>
    </w:rPr>
  </w:style>
  <w:style w:type="paragraph" w:customStyle="1" w:styleId="156">
    <w:name w:val="xl19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kern w:val="0"/>
      <w:sz w:val="23"/>
      <w:szCs w:val="23"/>
    </w:rPr>
  </w:style>
  <w:style w:type="paragraph" w:customStyle="1" w:styleId="157">
    <w:name w:val="xl179"/>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rFonts w:cs="Courier New"/>
      <w:kern w:val="0"/>
      <w:sz w:val="22"/>
      <w:szCs w:val="22"/>
    </w:rPr>
  </w:style>
  <w:style w:type="paragraph" w:customStyle="1" w:styleId="158">
    <w:name w:val="普通 (Web)"/>
    <w:basedOn w:val="1"/>
    <w:qFormat/>
    <w:uiPriority w:val="0"/>
    <w:pPr>
      <w:spacing w:before="100" w:beforeAutospacing="1" w:after="100" w:afterAutospacing="1"/>
      <w:jc w:val="left"/>
    </w:pPr>
    <w:rPr>
      <w:kern w:val="0"/>
      <w:sz w:val="24"/>
      <w:szCs w:val="20"/>
    </w:rPr>
  </w:style>
  <w:style w:type="paragraph" w:customStyle="1" w:styleId="159">
    <w:name w:val="xl90"/>
    <w:basedOn w:val="1"/>
    <w:qFormat/>
    <w:uiPriority w:val="0"/>
    <w:pPr>
      <w:spacing w:before="100" w:beforeAutospacing="1" w:after="100" w:afterAutospacing="1"/>
      <w:jc w:val="left"/>
    </w:pPr>
    <w:rPr>
      <w:rFonts w:cs="Courier New"/>
      <w:b/>
      <w:bCs/>
      <w:kern w:val="0"/>
      <w:sz w:val="23"/>
      <w:szCs w:val="23"/>
    </w:rPr>
  </w:style>
  <w:style w:type="paragraph" w:customStyle="1" w:styleId="160">
    <w:name w:val="Default"/>
    <w:qFormat/>
    <w:uiPriority w:val="0"/>
    <w:pPr>
      <w:widowControl w:val="0"/>
      <w:autoSpaceDE w:val="0"/>
      <w:autoSpaceDN w:val="0"/>
      <w:adjustRightInd w:val="0"/>
      <w:spacing w:line="360" w:lineRule="auto"/>
      <w:jc w:val="both"/>
    </w:pPr>
    <w:rPr>
      <w:rFonts w:ascii="Wingdings" w:hAnsi="Wingdings" w:eastAsia="宋体" w:cs="Wingdings"/>
      <w:color w:val="000000"/>
      <w:kern w:val="2"/>
      <w:sz w:val="24"/>
      <w:szCs w:val="24"/>
      <w:lang w:val="en-US" w:eastAsia="zh-CN" w:bidi="ar-SA"/>
    </w:rPr>
  </w:style>
  <w:style w:type="paragraph" w:customStyle="1" w:styleId="161">
    <w:name w:val="Char Char13"/>
    <w:basedOn w:val="1"/>
    <w:qFormat/>
    <w:uiPriority w:val="0"/>
    <w:pPr>
      <w:spacing w:after="160" w:line="240" w:lineRule="exact"/>
      <w:jc w:val="left"/>
    </w:pPr>
    <w:rPr>
      <w:rFonts w:eastAsia="SimSun-Identity-H"/>
      <w:kern w:val="0"/>
      <w:sz w:val="24"/>
      <w:szCs w:val="20"/>
      <w:lang w:eastAsia="en-US"/>
    </w:rPr>
  </w:style>
  <w:style w:type="paragraph" w:customStyle="1" w:styleId="162">
    <w:name w:val="xl19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color w:val="000000"/>
      <w:kern w:val="0"/>
      <w:sz w:val="23"/>
      <w:szCs w:val="23"/>
    </w:rPr>
  </w:style>
  <w:style w:type="paragraph" w:customStyle="1" w:styleId="163">
    <w:name w:val="xl88"/>
    <w:basedOn w:val="1"/>
    <w:qFormat/>
    <w:uiPriority w:val="0"/>
    <w:pPr>
      <w:spacing w:before="100" w:beforeAutospacing="1" w:after="100" w:afterAutospacing="1"/>
      <w:jc w:val="left"/>
    </w:pPr>
    <w:rPr>
      <w:rFonts w:cs="Courier New"/>
      <w:kern w:val="0"/>
      <w:sz w:val="23"/>
      <w:szCs w:val="23"/>
    </w:rPr>
  </w:style>
  <w:style w:type="paragraph" w:customStyle="1" w:styleId="164">
    <w:name w:val="xl1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kern w:val="0"/>
      <w:sz w:val="23"/>
      <w:szCs w:val="23"/>
    </w:rPr>
  </w:style>
  <w:style w:type="paragraph" w:customStyle="1" w:styleId="165">
    <w:name w:val="_Style 207"/>
    <w:basedOn w:val="1"/>
    <w:next w:val="126"/>
    <w:qFormat/>
    <w:uiPriority w:val="34"/>
    <w:pPr>
      <w:suppressAutoHyphens/>
      <w:ind w:firstLine="420"/>
    </w:pPr>
    <w:rPr>
      <w:rFonts w:ascii="华文中宋" w:hAnsi="华文中宋"/>
      <w:kern w:val="1"/>
      <w:szCs w:val="22"/>
      <w:lang w:eastAsia="ar-SA"/>
    </w:rPr>
  </w:style>
  <w:style w:type="paragraph" w:customStyle="1" w:styleId="166">
    <w:name w:val="Char Char Char"/>
    <w:basedOn w:val="1"/>
    <w:qFormat/>
    <w:uiPriority w:val="0"/>
    <w:rPr>
      <w:rFonts w:ascii="仿宋" w:hAnsi="仿宋"/>
      <w:sz w:val="24"/>
      <w:szCs w:val="20"/>
    </w:rPr>
  </w:style>
  <w:style w:type="paragraph" w:customStyle="1" w:styleId="167">
    <w:name w:val="xl19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color w:val="000000"/>
      <w:kern w:val="0"/>
      <w:sz w:val="23"/>
      <w:szCs w:val="23"/>
    </w:rPr>
  </w:style>
  <w:style w:type="paragraph" w:customStyle="1" w:styleId="168">
    <w:name w:val="xl102"/>
    <w:basedOn w:val="1"/>
    <w:qFormat/>
    <w:uiPriority w:val="0"/>
    <w:pPr>
      <w:spacing w:before="100" w:beforeAutospacing="1" w:after="100" w:afterAutospacing="1"/>
      <w:jc w:val="center"/>
    </w:pPr>
    <w:rPr>
      <w:rFonts w:cs="Courier New"/>
      <w:b/>
      <w:bCs/>
      <w:color w:val="FF0000"/>
      <w:kern w:val="0"/>
      <w:sz w:val="22"/>
      <w:szCs w:val="22"/>
    </w:rPr>
  </w:style>
  <w:style w:type="paragraph" w:customStyle="1" w:styleId="169">
    <w:name w:val="xl12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b/>
      <w:bCs/>
      <w:kern w:val="0"/>
      <w:sz w:val="23"/>
      <w:szCs w:val="23"/>
    </w:rPr>
  </w:style>
  <w:style w:type="paragraph" w:customStyle="1" w:styleId="170">
    <w:name w:val="Char Char Char11"/>
    <w:basedOn w:val="1"/>
    <w:qFormat/>
    <w:uiPriority w:val="0"/>
    <w:pPr>
      <w:spacing w:after="160" w:line="240" w:lineRule="exact"/>
      <w:jc w:val="left"/>
    </w:pPr>
    <w:rPr>
      <w:szCs w:val="20"/>
    </w:rPr>
  </w:style>
  <w:style w:type="paragraph" w:customStyle="1" w:styleId="171">
    <w:name w:val="xl13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Courier New"/>
      <w:kern w:val="0"/>
      <w:sz w:val="23"/>
      <w:szCs w:val="23"/>
    </w:rPr>
  </w:style>
  <w:style w:type="paragraph" w:customStyle="1" w:styleId="172">
    <w:name w:val="表格内容"/>
    <w:basedOn w:val="1"/>
    <w:qFormat/>
    <w:uiPriority w:val="0"/>
    <w:pPr>
      <w:adjustRightInd w:val="0"/>
      <w:jc w:val="left"/>
    </w:pPr>
  </w:style>
  <w:style w:type="paragraph" w:customStyle="1" w:styleId="173">
    <w:name w:val="修订1"/>
    <w:unhideWhenUsed/>
    <w:qFormat/>
    <w:uiPriority w:val="99"/>
    <w:pPr>
      <w:spacing w:line="360" w:lineRule="auto"/>
      <w:jc w:val="both"/>
    </w:pPr>
    <w:rPr>
      <w:rFonts w:ascii="Courier New" w:hAnsi="Courier New" w:eastAsia="宋体" w:cs="Times New Roman"/>
      <w:kern w:val="2"/>
      <w:sz w:val="21"/>
      <w:szCs w:val="24"/>
      <w:lang w:val="en-US" w:eastAsia="zh-CN" w:bidi="ar-SA"/>
    </w:rPr>
  </w:style>
  <w:style w:type="paragraph" w:customStyle="1" w:styleId="174">
    <w:name w:val="xl15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kern w:val="0"/>
      <w:sz w:val="23"/>
      <w:szCs w:val="23"/>
    </w:rPr>
  </w:style>
  <w:style w:type="paragraph" w:customStyle="1" w:styleId="175">
    <w:name w:val="Char Char Char Char Char Char Char Char Char Char Char Char1 Char"/>
    <w:basedOn w:val="15"/>
    <w:qFormat/>
    <w:uiPriority w:val="0"/>
  </w:style>
  <w:style w:type="paragraph" w:customStyle="1" w:styleId="176">
    <w:name w:val="xl176"/>
    <w:basedOn w:val="1"/>
    <w:qFormat/>
    <w:uiPriority w:val="0"/>
    <w:pPr>
      <w:pBdr>
        <w:top w:val="single" w:color="000000" w:sz="4" w:space="0"/>
        <w:left w:val="single" w:color="000000" w:sz="4" w:space="0"/>
        <w:right w:val="single" w:color="000000" w:sz="4" w:space="0"/>
      </w:pBdr>
      <w:spacing w:before="100" w:beforeAutospacing="1" w:after="100" w:afterAutospacing="1"/>
      <w:jc w:val="center"/>
    </w:pPr>
    <w:rPr>
      <w:rFonts w:cs="Courier New"/>
      <w:kern w:val="0"/>
      <w:sz w:val="22"/>
      <w:szCs w:val="22"/>
    </w:rPr>
  </w:style>
  <w:style w:type="paragraph" w:customStyle="1" w:styleId="177">
    <w:name w:val="正文标号1"/>
    <w:basedOn w:val="1"/>
    <w:qFormat/>
    <w:uiPriority w:val="0"/>
    <w:rPr>
      <w:sz w:val="24"/>
      <w:lang w:val="en-GB"/>
    </w:rPr>
  </w:style>
  <w:style w:type="paragraph" w:customStyle="1" w:styleId="178">
    <w:name w:val="正文 A"/>
    <w:qFormat/>
    <w:uiPriority w:val="0"/>
    <w:pPr>
      <w:widowControl w:val="0"/>
      <w:spacing w:line="360" w:lineRule="auto"/>
      <w:jc w:val="both"/>
    </w:pPr>
    <w:rPr>
      <w:rFonts w:ascii="Courier New" w:hAnsi="Arial Unicode MS" w:eastAsia="宋体" w:cs="Arial Unicode MS"/>
      <w:color w:val="000000"/>
      <w:kern w:val="2"/>
      <w:sz w:val="21"/>
      <w:szCs w:val="21"/>
      <w:u w:color="000000"/>
      <w:lang w:val="en-US" w:eastAsia="zh-CN" w:bidi="ar-SA"/>
    </w:rPr>
  </w:style>
  <w:style w:type="paragraph" w:customStyle="1" w:styleId="179">
    <w:name w:val="xl154"/>
    <w:basedOn w:val="1"/>
    <w:qFormat/>
    <w:uiPriority w:val="0"/>
    <w:pPr>
      <w:pBdr>
        <w:top w:val="single" w:color="auto" w:sz="4" w:space="0"/>
        <w:left w:val="single" w:color="auto" w:sz="4" w:space="0"/>
      </w:pBdr>
      <w:spacing w:before="100" w:beforeAutospacing="1" w:after="100" w:afterAutospacing="1"/>
      <w:jc w:val="left"/>
    </w:pPr>
    <w:rPr>
      <w:rFonts w:cs="Courier New"/>
      <w:b/>
      <w:bCs/>
      <w:kern w:val="0"/>
      <w:sz w:val="23"/>
      <w:szCs w:val="23"/>
    </w:rPr>
  </w:style>
  <w:style w:type="paragraph" w:customStyle="1" w:styleId="180">
    <w:name w:val="xl97"/>
    <w:basedOn w:val="1"/>
    <w:qFormat/>
    <w:uiPriority w:val="0"/>
    <w:pPr>
      <w:spacing w:before="100" w:beforeAutospacing="1" w:after="100" w:afterAutospacing="1"/>
      <w:jc w:val="left"/>
    </w:pPr>
    <w:rPr>
      <w:rFonts w:cs="Courier New"/>
      <w:kern w:val="0"/>
      <w:sz w:val="23"/>
      <w:szCs w:val="23"/>
    </w:rPr>
  </w:style>
  <w:style w:type="paragraph" w:customStyle="1" w:styleId="181">
    <w:name w:val="xl1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b/>
      <w:bCs/>
      <w:kern w:val="0"/>
      <w:sz w:val="23"/>
      <w:szCs w:val="23"/>
    </w:rPr>
  </w:style>
  <w:style w:type="paragraph" w:customStyle="1" w:styleId="182">
    <w:name w:val="xl14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kern w:val="0"/>
      <w:sz w:val="23"/>
      <w:szCs w:val="23"/>
    </w:rPr>
  </w:style>
  <w:style w:type="paragraph" w:customStyle="1" w:styleId="183">
    <w:name w:val="xl18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b/>
      <w:bCs/>
      <w:kern w:val="0"/>
      <w:sz w:val="23"/>
      <w:szCs w:val="23"/>
    </w:rPr>
  </w:style>
  <w:style w:type="paragraph" w:customStyle="1" w:styleId="184">
    <w:name w:val="原点"/>
    <w:basedOn w:val="1"/>
    <w:qFormat/>
    <w:uiPriority w:val="0"/>
    <w:pPr>
      <w:numPr>
        <w:ilvl w:val="0"/>
        <w:numId w:val="1"/>
      </w:numPr>
      <w:tabs>
        <w:tab w:val="left" w:pos="927"/>
      </w:tabs>
      <w:adjustRightInd w:val="0"/>
      <w:ind w:firstLine="200" w:firstLineChars="200"/>
    </w:pPr>
    <w:rPr>
      <w:sz w:val="32"/>
    </w:rPr>
  </w:style>
  <w:style w:type="paragraph" w:customStyle="1" w:styleId="185">
    <w:name w:val="xl142"/>
    <w:basedOn w:val="1"/>
    <w:qFormat/>
    <w:uiPriority w:val="0"/>
    <w:pPr>
      <w:pBdr>
        <w:top w:val="single" w:color="auto" w:sz="4" w:space="0"/>
        <w:bottom w:val="single" w:color="auto" w:sz="4" w:space="0"/>
        <w:right w:val="single" w:color="auto" w:sz="4" w:space="0"/>
      </w:pBdr>
      <w:spacing w:before="100" w:beforeAutospacing="1" w:after="100" w:afterAutospacing="1"/>
      <w:jc w:val="left"/>
    </w:pPr>
    <w:rPr>
      <w:rFonts w:cs="Courier New"/>
      <w:b/>
      <w:bCs/>
      <w:kern w:val="0"/>
      <w:sz w:val="23"/>
      <w:szCs w:val="23"/>
    </w:rPr>
  </w:style>
  <w:style w:type="paragraph" w:customStyle="1" w:styleId="186">
    <w:name w:val="03表文"/>
    <w:basedOn w:val="1"/>
    <w:qFormat/>
    <w:uiPriority w:val="0"/>
    <w:pPr>
      <w:jc w:val="center"/>
    </w:pPr>
  </w:style>
  <w:style w:type="paragraph" w:customStyle="1" w:styleId="187">
    <w:name w:val="msonormal"/>
    <w:basedOn w:val="1"/>
    <w:qFormat/>
    <w:uiPriority w:val="0"/>
    <w:pPr>
      <w:spacing w:before="100" w:beforeAutospacing="1" w:after="100" w:afterAutospacing="1"/>
      <w:jc w:val="left"/>
    </w:pPr>
    <w:rPr>
      <w:rFonts w:cs="宋体"/>
      <w:kern w:val="0"/>
      <w:sz w:val="24"/>
    </w:rPr>
  </w:style>
  <w:style w:type="paragraph" w:customStyle="1" w:styleId="188">
    <w:name w:val="xl153"/>
    <w:basedOn w:val="1"/>
    <w:qFormat/>
    <w:uiPriority w:val="0"/>
    <w:pPr>
      <w:pBdr>
        <w:top w:val="single" w:color="auto" w:sz="4" w:space="0"/>
        <w:left w:val="single" w:color="auto" w:sz="4" w:space="0"/>
      </w:pBdr>
      <w:spacing w:before="100" w:beforeAutospacing="1" w:after="100" w:afterAutospacing="1"/>
      <w:jc w:val="center"/>
    </w:pPr>
    <w:rPr>
      <w:rFonts w:cs="Courier New"/>
      <w:b/>
      <w:bCs/>
      <w:kern w:val="0"/>
      <w:sz w:val="23"/>
      <w:szCs w:val="23"/>
    </w:rPr>
  </w:style>
  <w:style w:type="paragraph" w:customStyle="1" w:styleId="189">
    <w:name w:val="xl157"/>
    <w:basedOn w:val="1"/>
    <w:qFormat/>
    <w:uiPriority w:val="0"/>
    <w:pPr>
      <w:pBdr>
        <w:top w:val="single" w:color="auto" w:sz="4" w:space="0"/>
      </w:pBdr>
      <w:spacing w:before="100" w:beforeAutospacing="1" w:after="100" w:afterAutospacing="1"/>
      <w:jc w:val="left"/>
    </w:pPr>
    <w:rPr>
      <w:rFonts w:cs="Courier New"/>
      <w:b/>
      <w:bCs/>
      <w:kern w:val="0"/>
      <w:sz w:val="23"/>
      <w:szCs w:val="23"/>
    </w:rPr>
  </w:style>
  <w:style w:type="paragraph" w:customStyle="1" w:styleId="190">
    <w:name w:val="xl13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kern w:val="0"/>
      <w:sz w:val="22"/>
      <w:szCs w:val="22"/>
    </w:rPr>
  </w:style>
  <w:style w:type="paragraph" w:customStyle="1" w:styleId="191">
    <w:name w:val="Char Char"/>
    <w:basedOn w:val="1"/>
    <w:qFormat/>
    <w:uiPriority w:val="0"/>
    <w:pPr>
      <w:spacing w:after="160" w:line="240" w:lineRule="exact"/>
      <w:jc w:val="left"/>
    </w:pPr>
    <w:rPr>
      <w:rFonts w:eastAsia="SimSun-Identity-H"/>
      <w:kern w:val="0"/>
      <w:sz w:val="24"/>
      <w:szCs w:val="20"/>
      <w:lang w:eastAsia="en-US"/>
    </w:rPr>
  </w:style>
  <w:style w:type="paragraph" w:customStyle="1" w:styleId="192">
    <w:name w:val="xl163"/>
    <w:basedOn w:val="1"/>
    <w:qFormat/>
    <w:uiPriority w:val="0"/>
    <w:pPr>
      <w:pBdr>
        <w:top w:val="single" w:color="000000" w:sz="4" w:space="0"/>
        <w:left w:val="single" w:color="000000" w:sz="4" w:space="0"/>
        <w:bottom w:val="single" w:color="000000" w:sz="4" w:space="0"/>
        <w:right w:val="single" w:color="auto" w:sz="4" w:space="0"/>
      </w:pBdr>
      <w:spacing w:before="100" w:beforeAutospacing="1" w:after="100" w:afterAutospacing="1"/>
      <w:jc w:val="center"/>
    </w:pPr>
    <w:rPr>
      <w:rFonts w:cs="Courier New"/>
      <w:kern w:val="0"/>
      <w:sz w:val="22"/>
      <w:szCs w:val="22"/>
    </w:rPr>
  </w:style>
  <w:style w:type="paragraph" w:customStyle="1" w:styleId="193">
    <w:name w:val="xl108"/>
    <w:basedOn w:val="1"/>
    <w:qFormat/>
    <w:uiPriority w:val="0"/>
    <w:pPr>
      <w:pBdr>
        <w:left w:val="single" w:color="auto" w:sz="4" w:space="0"/>
        <w:bottom w:val="single" w:color="auto" w:sz="4" w:space="0"/>
      </w:pBdr>
      <w:spacing w:before="100" w:beforeAutospacing="1" w:after="100" w:afterAutospacing="1"/>
      <w:jc w:val="left"/>
    </w:pPr>
    <w:rPr>
      <w:rFonts w:cs="Courier New"/>
      <w:b/>
      <w:bCs/>
      <w:kern w:val="0"/>
      <w:sz w:val="23"/>
      <w:szCs w:val="23"/>
    </w:rPr>
  </w:style>
  <w:style w:type="paragraph" w:customStyle="1" w:styleId="194">
    <w:name w:val="xl87"/>
    <w:basedOn w:val="1"/>
    <w:qFormat/>
    <w:uiPriority w:val="0"/>
    <w:pPr>
      <w:spacing w:before="100" w:beforeAutospacing="1" w:after="100" w:afterAutospacing="1"/>
      <w:jc w:val="left"/>
    </w:pPr>
    <w:rPr>
      <w:rFonts w:cs="Courier New"/>
      <w:kern w:val="0"/>
      <w:sz w:val="24"/>
    </w:rPr>
  </w:style>
  <w:style w:type="paragraph" w:customStyle="1" w:styleId="195">
    <w:name w:val="xl17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Courier New"/>
      <w:b/>
      <w:bCs/>
      <w:color w:val="FF0000"/>
      <w:kern w:val="0"/>
      <w:sz w:val="23"/>
      <w:szCs w:val="23"/>
    </w:rPr>
  </w:style>
  <w:style w:type="paragraph" w:customStyle="1" w:styleId="196">
    <w:name w:val="WPSOffice手动目录 2"/>
    <w:qFormat/>
    <w:uiPriority w:val="0"/>
    <w:pPr>
      <w:spacing w:line="360" w:lineRule="auto"/>
      <w:ind w:left="200" w:leftChars="200"/>
      <w:jc w:val="both"/>
    </w:pPr>
    <w:rPr>
      <w:rFonts w:ascii="Courier New" w:hAnsi="Courier New" w:eastAsia="宋体" w:cs="Times New Roman"/>
      <w:kern w:val="2"/>
      <w:sz w:val="21"/>
      <w:szCs w:val="24"/>
      <w:lang w:val="en-US" w:eastAsia="zh-CN" w:bidi="ar-SA"/>
    </w:rPr>
  </w:style>
  <w:style w:type="paragraph" w:customStyle="1" w:styleId="197">
    <w:name w:val="xl96"/>
    <w:basedOn w:val="1"/>
    <w:qFormat/>
    <w:uiPriority w:val="0"/>
    <w:pPr>
      <w:spacing w:before="100" w:beforeAutospacing="1" w:after="100" w:afterAutospacing="1"/>
      <w:jc w:val="left"/>
    </w:pPr>
    <w:rPr>
      <w:rFonts w:cs="Courier New"/>
      <w:color w:val="000000"/>
      <w:kern w:val="0"/>
      <w:sz w:val="23"/>
      <w:szCs w:val="23"/>
    </w:rPr>
  </w:style>
  <w:style w:type="paragraph" w:customStyle="1" w:styleId="198">
    <w:name w:val="Normal1"/>
    <w:basedOn w:val="1"/>
    <w:qFormat/>
    <w:uiPriority w:val="0"/>
    <w:pPr>
      <w:tabs>
        <w:tab w:val="left" w:pos="840"/>
      </w:tabs>
      <w:ind w:left="840" w:hanging="420"/>
    </w:pPr>
    <w:rPr>
      <w:rFonts w:eastAsia="@文鼎CS中黑"/>
      <w:kern w:val="0"/>
      <w:szCs w:val="21"/>
    </w:rPr>
  </w:style>
  <w:style w:type="paragraph" w:customStyle="1" w:styleId="199">
    <w:name w:val="xl25"/>
    <w:basedOn w:val="1"/>
    <w:qFormat/>
    <w:uiPriority w:val="0"/>
    <w:pPr>
      <w:pBdr>
        <w:bottom w:val="single" w:color="auto" w:sz="4" w:space="0"/>
        <w:right w:val="single" w:color="auto" w:sz="4" w:space="0"/>
      </w:pBdr>
      <w:spacing w:before="100" w:beforeAutospacing="1" w:after="100" w:afterAutospacing="1"/>
      <w:jc w:val="center"/>
    </w:pPr>
    <w:rPr>
      <w:kern w:val="0"/>
      <w:szCs w:val="21"/>
    </w:rPr>
  </w:style>
  <w:style w:type="paragraph" w:customStyle="1" w:styleId="200">
    <w:name w:val="xl13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kern w:val="0"/>
      <w:sz w:val="22"/>
      <w:szCs w:val="22"/>
    </w:rPr>
  </w:style>
  <w:style w:type="paragraph" w:customStyle="1" w:styleId="201">
    <w:name w:val="xl155"/>
    <w:basedOn w:val="1"/>
    <w:qFormat/>
    <w:uiPriority w:val="0"/>
    <w:pPr>
      <w:pBdr>
        <w:top w:val="single" w:color="auto" w:sz="4" w:space="0"/>
      </w:pBdr>
      <w:spacing w:before="100" w:beforeAutospacing="1" w:after="100" w:afterAutospacing="1"/>
      <w:jc w:val="center"/>
    </w:pPr>
    <w:rPr>
      <w:rFonts w:cs="Courier New"/>
      <w:b/>
      <w:bCs/>
      <w:kern w:val="0"/>
      <w:sz w:val="23"/>
      <w:szCs w:val="23"/>
    </w:rPr>
  </w:style>
  <w:style w:type="paragraph" w:customStyle="1" w:styleId="202">
    <w:name w:val="xl1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kern w:val="0"/>
      <w:sz w:val="22"/>
      <w:szCs w:val="22"/>
    </w:rPr>
  </w:style>
  <w:style w:type="paragraph" w:customStyle="1" w:styleId="203">
    <w:name w:val="xl19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kern w:val="0"/>
      <w:sz w:val="23"/>
      <w:szCs w:val="23"/>
    </w:rPr>
  </w:style>
  <w:style w:type="paragraph" w:customStyle="1" w:styleId="204">
    <w:name w:val="xl107"/>
    <w:basedOn w:val="1"/>
    <w:qFormat/>
    <w:uiPriority w:val="0"/>
    <w:pPr>
      <w:pBdr>
        <w:left w:val="single" w:color="auto" w:sz="4" w:space="0"/>
        <w:bottom w:val="single" w:color="auto" w:sz="4" w:space="0"/>
      </w:pBdr>
      <w:spacing w:before="100" w:beforeAutospacing="1" w:after="100" w:afterAutospacing="1"/>
      <w:jc w:val="center"/>
    </w:pPr>
    <w:rPr>
      <w:rFonts w:cs="Courier New"/>
      <w:b/>
      <w:bCs/>
      <w:kern w:val="0"/>
      <w:sz w:val="23"/>
      <w:szCs w:val="23"/>
    </w:rPr>
  </w:style>
  <w:style w:type="paragraph" w:customStyle="1" w:styleId="205">
    <w:name w:val="xl200"/>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cs="Courier New"/>
      <w:b/>
      <w:bCs/>
      <w:kern w:val="0"/>
      <w:sz w:val="23"/>
      <w:szCs w:val="23"/>
    </w:rPr>
  </w:style>
  <w:style w:type="paragraph" w:customStyle="1" w:styleId="206">
    <w:name w:val="xl170"/>
    <w:basedOn w:val="1"/>
    <w:qFormat/>
    <w:uiPriority w:val="0"/>
    <w:pPr>
      <w:pBdr>
        <w:top w:val="single" w:color="auto" w:sz="4" w:space="0"/>
        <w:right w:val="single" w:color="auto" w:sz="4" w:space="0"/>
      </w:pBdr>
      <w:spacing w:before="100" w:beforeAutospacing="1" w:after="100" w:afterAutospacing="1"/>
      <w:jc w:val="left"/>
    </w:pPr>
    <w:rPr>
      <w:rFonts w:cs="Courier New"/>
      <w:b/>
      <w:bCs/>
      <w:kern w:val="0"/>
      <w:sz w:val="23"/>
      <w:szCs w:val="23"/>
    </w:rPr>
  </w:style>
  <w:style w:type="paragraph" w:customStyle="1" w:styleId="207">
    <w:name w:val="xl19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cs="Courier New"/>
      <w:kern w:val="0"/>
      <w:sz w:val="23"/>
      <w:szCs w:val="23"/>
    </w:rPr>
  </w:style>
  <w:style w:type="paragraph" w:customStyle="1" w:styleId="208">
    <w:name w:val="xl174"/>
    <w:basedOn w:val="1"/>
    <w:qFormat/>
    <w:uiPriority w:val="0"/>
    <w:pPr>
      <w:pBdr>
        <w:top w:val="single" w:color="000000" w:sz="4" w:space="0"/>
        <w:left w:val="single" w:color="000000" w:sz="4" w:space="0"/>
        <w:right w:val="single" w:color="000000" w:sz="4" w:space="0"/>
      </w:pBdr>
      <w:spacing w:before="100" w:beforeAutospacing="1" w:after="100" w:afterAutospacing="1"/>
      <w:jc w:val="center"/>
    </w:pPr>
    <w:rPr>
      <w:rFonts w:cs="Courier New"/>
      <w:kern w:val="0"/>
      <w:sz w:val="22"/>
      <w:szCs w:val="22"/>
    </w:rPr>
  </w:style>
  <w:style w:type="paragraph" w:customStyle="1" w:styleId="209">
    <w:name w:val="xl94"/>
    <w:basedOn w:val="1"/>
    <w:qFormat/>
    <w:uiPriority w:val="0"/>
    <w:pPr>
      <w:spacing w:before="100" w:beforeAutospacing="1" w:after="100" w:afterAutospacing="1"/>
      <w:jc w:val="left"/>
    </w:pPr>
    <w:rPr>
      <w:rFonts w:cs="Courier New"/>
      <w:kern w:val="0"/>
      <w:sz w:val="23"/>
      <w:szCs w:val="23"/>
    </w:rPr>
  </w:style>
  <w:style w:type="paragraph" w:customStyle="1" w:styleId="210">
    <w:name w:val="xl141"/>
    <w:basedOn w:val="1"/>
    <w:qFormat/>
    <w:uiPriority w:val="0"/>
    <w:pPr>
      <w:pBdr>
        <w:bottom w:val="single" w:color="auto" w:sz="4" w:space="0"/>
        <w:right w:val="single" w:color="auto" w:sz="4" w:space="0"/>
      </w:pBdr>
      <w:spacing w:before="100" w:beforeAutospacing="1" w:after="100" w:afterAutospacing="1"/>
      <w:jc w:val="left"/>
    </w:pPr>
    <w:rPr>
      <w:rFonts w:cs="Courier New"/>
      <w:b/>
      <w:bCs/>
      <w:kern w:val="0"/>
      <w:sz w:val="23"/>
      <w:szCs w:val="23"/>
    </w:rPr>
  </w:style>
  <w:style w:type="paragraph" w:customStyle="1" w:styleId="211">
    <w:name w:val="xl76"/>
    <w:basedOn w:val="1"/>
    <w:qFormat/>
    <w:uiPriority w:val="0"/>
    <w:pPr>
      <w:shd w:val="clear" w:color="000000" w:fill="FFFFFF"/>
      <w:spacing w:before="100" w:beforeAutospacing="1" w:after="100" w:afterAutospacing="1"/>
      <w:jc w:val="left"/>
    </w:pPr>
    <w:rPr>
      <w:rFonts w:cs="宋体"/>
      <w:kern w:val="0"/>
      <w:sz w:val="22"/>
      <w:szCs w:val="22"/>
    </w:rPr>
  </w:style>
  <w:style w:type="paragraph" w:customStyle="1" w:styleId="212">
    <w:name w:val="xl109"/>
    <w:basedOn w:val="1"/>
    <w:qFormat/>
    <w:uiPriority w:val="0"/>
    <w:pPr>
      <w:pBdr>
        <w:bottom w:val="single" w:color="auto" w:sz="4" w:space="0"/>
      </w:pBdr>
      <w:spacing w:before="100" w:beforeAutospacing="1" w:after="100" w:afterAutospacing="1"/>
      <w:jc w:val="center"/>
    </w:pPr>
    <w:rPr>
      <w:rFonts w:cs="Courier New"/>
      <w:b/>
      <w:bCs/>
      <w:kern w:val="0"/>
      <w:sz w:val="23"/>
      <w:szCs w:val="23"/>
    </w:rPr>
  </w:style>
  <w:style w:type="paragraph" w:customStyle="1" w:styleId="213">
    <w:name w:val="xl1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cs="Courier New"/>
      <w:color w:val="000000"/>
      <w:kern w:val="0"/>
      <w:sz w:val="22"/>
      <w:szCs w:val="22"/>
    </w:rPr>
  </w:style>
  <w:style w:type="paragraph" w:customStyle="1" w:styleId="214">
    <w:name w:val="xl15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kern w:val="0"/>
      <w:sz w:val="23"/>
      <w:szCs w:val="23"/>
    </w:rPr>
  </w:style>
  <w:style w:type="paragraph" w:customStyle="1" w:styleId="215">
    <w:name w:val="xl1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color w:val="000000"/>
      <w:kern w:val="0"/>
      <w:sz w:val="22"/>
      <w:szCs w:val="22"/>
    </w:rPr>
  </w:style>
  <w:style w:type="paragraph" w:customStyle="1" w:styleId="216">
    <w:name w:val="xl101"/>
    <w:basedOn w:val="1"/>
    <w:qFormat/>
    <w:uiPriority w:val="0"/>
    <w:pPr>
      <w:spacing w:before="100" w:beforeAutospacing="1" w:after="100" w:afterAutospacing="1"/>
      <w:jc w:val="center"/>
    </w:pPr>
    <w:rPr>
      <w:rFonts w:cs="Courier New"/>
      <w:color w:val="FF0000"/>
      <w:kern w:val="0"/>
      <w:sz w:val="22"/>
      <w:szCs w:val="22"/>
    </w:rPr>
  </w:style>
  <w:style w:type="paragraph" w:customStyle="1" w:styleId="217">
    <w:name w:val="font7"/>
    <w:basedOn w:val="1"/>
    <w:qFormat/>
    <w:uiPriority w:val="0"/>
    <w:pPr>
      <w:spacing w:before="100" w:beforeAutospacing="1" w:after="100" w:afterAutospacing="1"/>
      <w:jc w:val="left"/>
    </w:pPr>
    <w:rPr>
      <w:rFonts w:cs="Courier New"/>
      <w:kern w:val="0"/>
      <w:sz w:val="22"/>
      <w:szCs w:val="22"/>
    </w:rPr>
  </w:style>
  <w:style w:type="paragraph" w:customStyle="1" w:styleId="218">
    <w:name w:val="xl173"/>
    <w:basedOn w:val="1"/>
    <w:qFormat/>
    <w:uiPriority w:val="0"/>
    <w:pPr>
      <w:pBdr>
        <w:bottom w:val="single" w:color="auto" w:sz="4" w:space="0"/>
        <w:right w:val="single" w:color="auto" w:sz="4" w:space="0"/>
      </w:pBdr>
      <w:spacing w:before="100" w:beforeAutospacing="1" w:after="100" w:afterAutospacing="1"/>
      <w:jc w:val="center"/>
    </w:pPr>
    <w:rPr>
      <w:rFonts w:cs="Courier New"/>
      <w:kern w:val="0"/>
      <w:sz w:val="23"/>
      <w:szCs w:val="23"/>
    </w:rPr>
  </w:style>
  <w:style w:type="paragraph" w:customStyle="1" w:styleId="219">
    <w:name w:val="xl165"/>
    <w:basedOn w:val="1"/>
    <w:qFormat/>
    <w:uiPriority w:val="0"/>
    <w:pPr>
      <w:pBdr>
        <w:top w:val="single" w:color="auto" w:sz="4" w:space="0"/>
        <w:left w:val="single" w:color="auto" w:sz="4" w:space="0"/>
        <w:right w:val="single" w:color="auto" w:sz="4" w:space="0"/>
      </w:pBdr>
      <w:spacing w:before="100" w:beforeAutospacing="1" w:after="100" w:afterAutospacing="1"/>
      <w:jc w:val="left"/>
    </w:pPr>
    <w:rPr>
      <w:rFonts w:cs="Courier New"/>
      <w:kern w:val="0"/>
      <w:sz w:val="23"/>
      <w:szCs w:val="23"/>
    </w:rPr>
  </w:style>
  <w:style w:type="paragraph" w:customStyle="1" w:styleId="220">
    <w:name w:val="xl99"/>
    <w:basedOn w:val="1"/>
    <w:qFormat/>
    <w:uiPriority w:val="0"/>
    <w:pPr>
      <w:spacing w:before="100" w:beforeAutospacing="1" w:after="100" w:afterAutospacing="1"/>
      <w:jc w:val="center"/>
    </w:pPr>
    <w:rPr>
      <w:rFonts w:cs="Courier New"/>
      <w:color w:val="FF0000"/>
      <w:kern w:val="0"/>
      <w:sz w:val="23"/>
      <w:szCs w:val="23"/>
    </w:rPr>
  </w:style>
  <w:style w:type="paragraph" w:customStyle="1" w:styleId="221">
    <w:name w:val="xl8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b/>
      <w:bCs/>
      <w:kern w:val="0"/>
      <w:sz w:val="22"/>
      <w:szCs w:val="22"/>
    </w:rPr>
  </w:style>
  <w:style w:type="paragraph" w:customStyle="1" w:styleId="222">
    <w:name w:val="xl111"/>
    <w:basedOn w:val="1"/>
    <w:qFormat/>
    <w:uiPriority w:val="0"/>
    <w:pPr>
      <w:pBdr>
        <w:bottom w:val="single" w:color="auto" w:sz="4" w:space="0"/>
      </w:pBdr>
      <w:spacing w:before="100" w:beforeAutospacing="1" w:after="100" w:afterAutospacing="1"/>
      <w:jc w:val="left"/>
    </w:pPr>
    <w:rPr>
      <w:rFonts w:cs="Courier New"/>
      <w:b/>
      <w:bCs/>
      <w:kern w:val="0"/>
      <w:sz w:val="23"/>
      <w:szCs w:val="23"/>
    </w:rPr>
  </w:style>
  <w:style w:type="paragraph" w:customStyle="1" w:styleId="223">
    <w:name w:val="xl1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kern w:val="0"/>
      <w:sz w:val="23"/>
      <w:szCs w:val="23"/>
    </w:rPr>
  </w:style>
  <w:style w:type="paragraph" w:customStyle="1" w:styleId="224">
    <w:name w:val="xl95"/>
    <w:basedOn w:val="1"/>
    <w:qFormat/>
    <w:uiPriority w:val="0"/>
    <w:pPr>
      <w:shd w:val="clear" w:color="000000" w:fill="FFFFFF"/>
      <w:spacing w:before="100" w:beforeAutospacing="1" w:after="100" w:afterAutospacing="1"/>
      <w:jc w:val="left"/>
    </w:pPr>
    <w:rPr>
      <w:rFonts w:cs="Courier New"/>
      <w:color w:val="000000"/>
      <w:kern w:val="0"/>
      <w:sz w:val="23"/>
      <w:szCs w:val="23"/>
    </w:rPr>
  </w:style>
  <w:style w:type="paragraph" w:customStyle="1" w:styleId="225">
    <w:name w:val="xl181"/>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cs="Courier New"/>
      <w:kern w:val="0"/>
      <w:sz w:val="23"/>
      <w:szCs w:val="23"/>
    </w:rPr>
  </w:style>
  <w:style w:type="paragraph" w:customStyle="1" w:styleId="226">
    <w:name w:val="正文内容"/>
    <w:basedOn w:val="1"/>
    <w:qFormat/>
    <w:uiPriority w:val="0"/>
    <w:rPr>
      <w:rFonts w:ascii="Wingdings" w:hAnsi="Wingdings"/>
      <w:spacing w:val="-12"/>
      <w:szCs w:val="20"/>
    </w:rPr>
  </w:style>
  <w:style w:type="paragraph" w:customStyle="1" w:styleId="227">
    <w:name w:val="xl1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kern w:val="0"/>
      <w:sz w:val="22"/>
      <w:szCs w:val="22"/>
    </w:rPr>
  </w:style>
  <w:style w:type="paragraph" w:customStyle="1" w:styleId="228">
    <w:name w:val="xl189"/>
    <w:basedOn w:val="1"/>
    <w:qFormat/>
    <w:uiPriority w:val="0"/>
    <w:pPr>
      <w:pBdr>
        <w:left w:val="single" w:color="auto" w:sz="4" w:space="0"/>
        <w:bottom w:val="single" w:color="auto" w:sz="4" w:space="0"/>
        <w:right w:val="single" w:color="auto" w:sz="4" w:space="0"/>
      </w:pBdr>
      <w:spacing w:before="100" w:beforeAutospacing="1" w:after="100" w:afterAutospacing="1"/>
      <w:jc w:val="left"/>
    </w:pPr>
    <w:rPr>
      <w:rFonts w:cs="Courier New"/>
      <w:kern w:val="0"/>
      <w:sz w:val="23"/>
      <w:szCs w:val="23"/>
    </w:rPr>
  </w:style>
  <w:style w:type="paragraph" w:customStyle="1" w:styleId="229">
    <w:name w:val="xl92"/>
    <w:basedOn w:val="1"/>
    <w:qFormat/>
    <w:uiPriority w:val="0"/>
    <w:pPr>
      <w:shd w:val="clear" w:color="000000" w:fill="FFFFFF"/>
      <w:spacing w:before="100" w:beforeAutospacing="1" w:after="100" w:afterAutospacing="1"/>
      <w:jc w:val="left"/>
    </w:pPr>
    <w:rPr>
      <w:rFonts w:cs="Courier New"/>
      <w:kern w:val="0"/>
      <w:sz w:val="23"/>
      <w:szCs w:val="23"/>
    </w:rPr>
  </w:style>
  <w:style w:type="paragraph" w:customStyle="1" w:styleId="230">
    <w:name w:val="xl10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b/>
      <w:bCs/>
      <w:kern w:val="0"/>
      <w:sz w:val="23"/>
      <w:szCs w:val="23"/>
    </w:rPr>
  </w:style>
  <w:style w:type="paragraph" w:customStyle="1" w:styleId="231">
    <w:name w:val="xl19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cs="Courier New"/>
      <w:color w:val="000000"/>
      <w:kern w:val="0"/>
      <w:sz w:val="22"/>
      <w:szCs w:val="22"/>
    </w:rPr>
  </w:style>
  <w:style w:type="paragraph" w:customStyle="1" w:styleId="232">
    <w:name w:val="xl14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kern w:val="0"/>
      <w:sz w:val="23"/>
      <w:szCs w:val="23"/>
    </w:rPr>
  </w:style>
  <w:style w:type="paragraph" w:customStyle="1" w:styleId="233">
    <w:name w:val="xl14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kern w:val="0"/>
      <w:sz w:val="23"/>
      <w:szCs w:val="23"/>
    </w:rPr>
  </w:style>
  <w:style w:type="paragraph" w:customStyle="1" w:styleId="234">
    <w:name w:val="xl156"/>
    <w:basedOn w:val="1"/>
    <w:qFormat/>
    <w:uiPriority w:val="0"/>
    <w:pPr>
      <w:pBdr>
        <w:top w:val="single" w:color="auto" w:sz="4" w:space="0"/>
      </w:pBdr>
      <w:spacing w:before="100" w:beforeAutospacing="1" w:after="100" w:afterAutospacing="1"/>
      <w:jc w:val="left"/>
    </w:pPr>
    <w:rPr>
      <w:rFonts w:cs="Courier New"/>
      <w:b/>
      <w:bCs/>
      <w:kern w:val="0"/>
      <w:sz w:val="23"/>
      <w:szCs w:val="23"/>
    </w:rPr>
  </w:style>
  <w:style w:type="paragraph" w:customStyle="1" w:styleId="235">
    <w:name w:val="xl201"/>
    <w:basedOn w:val="1"/>
    <w:qFormat/>
    <w:uiPriority w:val="0"/>
    <w:pPr>
      <w:pBdr>
        <w:bottom w:val="single" w:color="auto" w:sz="4" w:space="0"/>
      </w:pBdr>
      <w:spacing w:before="100" w:beforeAutospacing="1" w:after="100" w:afterAutospacing="1"/>
      <w:jc w:val="center"/>
    </w:pPr>
    <w:rPr>
      <w:rFonts w:cs="Courier New"/>
      <w:b/>
      <w:bCs/>
      <w:kern w:val="0"/>
      <w:sz w:val="36"/>
      <w:szCs w:val="36"/>
    </w:rPr>
  </w:style>
  <w:style w:type="paragraph" w:customStyle="1" w:styleId="236">
    <w:name w:val="Char Char Char Char Char Char Char"/>
    <w:basedOn w:val="1"/>
    <w:qFormat/>
    <w:uiPriority w:val="0"/>
    <w:pPr>
      <w:tabs>
        <w:tab w:val="left" w:pos="425"/>
      </w:tabs>
      <w:ind w:left="425" w:hanging="425"/>
    </w:pPr>
    <w:rPr>
      <w:rFonts w:eastAsia="SimSun-Identity-H"/>
      <w:kern w:val="24"/>
      <w:sz w:val="24"/>
    </w:rPr>
  </w:style>
  <w:style w:type="paragraph" w:customStyle="1" w:styleId="237">
    <w:name w:val="WPSOffice手动目录 1"/>
    <w:qFormat/>
    <w:uiPriority w:val="0"/>
    <w:pPr>
      <w:spacing w:line="360" w:lineRule="auto"/>
      <w:jc w:val="both"/>
    </w:pPr>
    <w:rPr>
      <w:rFonts w:ascii="Courier New" w:hAnsi="Courier New" w:eastAsia="宋体" w:cs="Times New Roman"/>
      <w:kern w:val="2"/>
      <w:sz w:val="21"/>
      <w:szCs w:val="24"/>
      <w:lang w:val="en-US" w:eastAsia="zh-CN" w:bidi="ar-SA"/>
    </w:rPr>
  </w:style>
  <w:style w:type="paragraph" w:customStyle="1" w:styleId="238">
    <w:name w:val="xl183"/>
    <w:basedOn w:val="1"/>
    <w:qFormat/>
    <w:uiPriority w:val="0"/>
    <w:pPr>
      <w:pBdr>
        <w:top w:val="single" w:color="auto" w:sz="4" w:space="0"/>
        <w:bottom w:val="single" w:color="auto" w:sz="4" w:space="0"/>
        <w:right w:val="single" w:color="auto" w:sz="4" w:space="0"/>
      </w:pBdr>
      <w:spacing w:before="100" w:beforeAutospacing="1" w:after="100" w:afterAutospacing="1"/>
      <w:jc w:val="left"/>
    </w:pPr>
    <w:rPr>
      <w:rFonts w:cs="Courier New"/>
      <w:kern w:val="0"/>
      <w:sz w:val="23"/>
      <w:szCs w:val="23"/>
    </w:rPr>
  </w:style>
  <w:style w:type="paragraph" w:customStyle="1" w:styleId="239">
    <w:name w:val="xl1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color w:val="000000"/>
      <w:kern w:val="0"/>
      <w:sz w:val="23"/>
      <w:szCs w:val="23"/>
    </w:rPr>
  </w:style>
  <w:style w:type="paragraph" w:customStyle="1" w:styleId="240">
    <w:name w:val="xl14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Courier New"/>
      <w:kern w:val="0"/>
      <w:sz w:val="24"/>
    </w:rPr>
  </w:style>
  <w:style w:type="paragraph" w:customStyle="1" w:styleId="241">
    <w:name w:val="xl180"/>
    <w:basedOn w:val="1"/>
    <w:qFormat/>
    <w:uiPriority w:val="0"/>
    <w:pPr>
      <w:pBdr>
        <w:left w:val="single" w:color="auto" w:sz="4" w:space="0"/>
        <w:bottom w:val="single" w:color="auto" w:sz="4" w:space="0"/>
        <w:right w:val="single" w:color="auto" w:sz="4" w:space="0"/>
      </w:pBdr>
      <w:spacing w:before="100" w:beforeAutospacing="1" w:after="100" w:afterAutospacing="1"/>
      <w:jc w:val="left"/>
    </w:pPr>
    <w:rPr>
      <w:rFonts w:cs="Courier New"/>
      <w:kern w:val="0"/>
      <w:sz w:val="22"/>
      <w:szCs w:val="22"/>
    </w:rPr>
  </w:style>
  <w:style w:type="paragraph" w:customStyle="1" w:styleId="242">
    <w:name w:val="Char Char11"/>
    <w:basedOn w:val="1"/>
    <w:qFormat/>
    <w:uiPriority w:val="0"/>
    <w:rPr>
      <w:b/>
      <w:sz w:val="28"/>
      <w:szCs w:val="28"/>
    </w:rPr>
  </w:style>
  <w:style w:type="paragraph" w:customStyle="1" w:styleId="243">
    <w:name w:val="xl167"/>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cs="Courier New"/>
      <w:kern w:val="0"/>
      <w:sz w:val="23"/>
      <w:szCs w:val="23"/>
    </w:rPr>
  </w:style>
  <w:style w:type="paragraph" w:customStyle="1" w:styleId="244">
    <w:name w:val="font8"/>
    <w:basedOn w:val="1"/>
    <w:qFormat/>
    <w:uiPriority w:val="0"/>
    <w:pPr>
      <w:spacing w:before="100" w:beforeAutospacing="1" w:after="100" w:afterAutospacing="1"/>
      <w:jc w:val="left"/>
    </w:pPr>
    <w:rPr>
      <w:rFonts w:cs="Courier New"/>
      <w:b/>
      <w:bCs/>
      <w:kern w:val="0"/>
      <w:sz w:val="22"/>
      <w:szCs w:val="22"/>
    </w:rPr>
  </w:style>
  <w:style w:type="paragraph" w:customStyle="1" w:styleId="245">
    <w:name w:val="xl110"/>
    <w:basedOn w:val="1"/>
    <w:qFormat/>
    <w:uiPriority w:val="0"/>
    <w:pPr>
      <w:pBdr>
        <w:bottom w:val="single" w:color="auto" w:sz="4" w:space="0"/>
      </w:pBdr>
      <w:spacing w:before="100" w:beforeAutospacing="1" w:after="100" w:afterAutospacing="1"/>
      <w:jc w:val="left"/>
    </w:pPr>
    <w:rPr>
      <w:rFonts w:cs="Courier New"/>
      <w:b/>
      <w:bCs/>
      <w:kern w:val="0"/>
      <w:sz w:val="23"/>
      <w:szCs w:val="23"/>
    </w:rPr>
  </w:style>
  <w:style w:type="paragraph" w:customStyle="1" w:styleId="246">
    <w:name w:val="xl103"/>
    <w:basedOn w:val="1"/>
    <w:qFormat/>
    <w:uiPriority w:val="0"/>
    <w:pPr>
      <w:spacing w:before="100" w:beforeAutospacing="1" w:after="100" w:afterAutospacing="1"/>
      <w:jc w:val="left"/>
    </w:pPr>
    <w:rPr>
      <w:rFonts w:cs="Courier New"/>
      <w:color w:val="FF0000"/>
      <w:kern w:val="0"/>
      <w:sz w:val="24"/>
    </w:rPr>
  </w:style>
  <w:style w:type="paragraph" w:customStyle="1" w:styleId="247">
    <w:name w:val="样式4"/>
    <w:basedOn w:val="1"/>
    <w:qFormat/>
    <w:uiPriority w:val="0"/>
    <w:pPr>
      <w:tabs>
        <w:tab w:val="left" w:pos="874"/>
      </w:tabs>
      <w:ind w:left="874" w:hanging="420"/>
    </w:pPr>
    <w:rPr>
      <w:sz w:val="24"/>
    </w:rPr>
  </w:style>
  <w:style w:type="paragraph" w:customStyle="1" w:styleId="248">
    <w:name w:val="xl8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color w:val="000000"/>
      <w:kern w:val="0"/>
      <w:sz w:val="18"/>
      <w:szCs w:val="18"/>
    </w:rPr>
  </w:style>
  <w:style w:type="paragraph" w:customStyle="1" w:styleId="249">
    <w:name w:val="xl16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cs="Courier New"/>
      <w:kern w:val="0"/>
      <w:sz w:val="22"/>
      <w:szCs w:val="22"/>
    </w:rPr>
  </w:style>
  <w:style w:type="paragraph" w:customStyle="1" w:styleId="250">
    <w:name w:val="msolistparagraph"/>
    <w:basedOn w:val="1"/>
    <w:qFormat/>
    <w:uiPriority w:val="0"/>
    <w:pPr>
      <w:ind w:firstLine="420" w:firstLineChars="200"/>
    </w:pPr>
  </w:style>
  <w:style w:type="paragraph" w:styleId="251">
    <w:name w:val="No Spacing"/>
    <w:qFormat/>
    <w:uiPriority w:val="1"/>
    <w:pPr>
      <w:widowControl w:val="0"/>
      <w:spacing w:line="360" w:lineRule="auto"/>
      <w:jc w:val="both"/>
    </w:pPr>
    <w:rPr>
      <w:rFonts w:ascii="Courier New" w:hAnsi="Courier New" w:eastAsia="宋体" w:cs="Times New Roman"/>
      <w:kern w:val="2"/>
      <w:sz w:val="24"/>
      <w:szCs w:val="22"/>
      <w:lang w:val="en-US" w:eastAsia="zh-CN" w:bidi="ar-SA"/>
    </w:rPr>
  </w:style>
  <w:style w:type="paragraph" w:customStyle="1" w:styleId="252">
    <w:name w:val="xl8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18"/>
      <w:szCs w:val="18"/>
    </w:rPr>
  </w:style>
  <w:style w:type="paragraph" w:customStyle="1" w:styleId="253">
    <w:name w:val="xl93"/>
    <w:basedOn w:val="1"/>
    <w:qFormat/>
    <w:uiPriority w:val="0"/>
    <w:pPr>
      <w:spacing w:before="100" w:beforeAutospacing="1" w:after="100" w:afterAutospacing="1"/>
      <w:jc w:val="left"/>
    </w:pPr>
    <w:rPr>
      <w:rFonts w:cs="Courier New"/>
      <w:kern w:val="0"/>
      <w:sz w:val="23"/>
      <w:szCs w:val="23"/>
    </w:rPr>
  </w:style>
  <w:style w:type="paragraph" w:customStyle="1" w:styleId="254">
    <w:name w:val="xl16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cs="Courier New"/>
      <w:kern w:val="0"/>
      <w:sz w:val="23"/>
      <w:szCs w:val="23"/>
    </w:rPr>
  </w:style>
  <w:style w:type="paragraph" w:customStyle="1" w:styleId="255">
    <w:name w:val="xl115"/>
    <w:basedOn w:val="1"/>
    <w:qFormat/>
    <w:uiPriority w:val="0"/>
    <w:pPr>
      <w:pBdr>
        <w:top w:val="single" w:color="auto" w:sz="4" w:space="0"/>
        <w:bottom w:val="single" w:color="auto" w:sz="4" w:space="0"/>
      </w:pBdr>
      <w:spacing w:before="100" w:beforeAutospacing="1" w:after="100" w:afterAutospacing="1"/>
      <w:jc w:val="left"/>
    </w:pPr>
    <w:rPr>
      <w:rFonts w:cs="Courier New"/>
      <w:b/>
      <w:bCs/>
      <w:kern w:val="0"/>
      <w:sz w:val="23"/>
      <w:szCs w:val="23"/>
    </w:rPr>
  </w:style>
  <w:style w:type="paragraph" w:customStyle="1" w:styleId="256">
    <w:name w:val="xl13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b/>
      <w:bCs/>
      <w:kern w:val="0"/>
      <w:sz w:val="22"/>
      <w:szCs w:val="22"/>
    </w:rPr>
  </w:style>
  <w:style w:type="paragraph" w:customStyle="1" w:styleId="257">
    <w:name w:val="xl1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color w:val="000000"/>
      <w:kern w:val="0"/>
      <w:sz w:val="23"/>
      <w:szCs w:val="23"/>
    </w:rPr>
  </w:style>
  <w:style w:type="paragraph" w:customStyle="1" w:styleId="258">
    <w:name w:val="xl1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kern w:val="0"/>
      <w:sz w:val="22"/>
      <w:szCs w:val="22"/>
    </w:rPr>
  </w:style>
  <w:style w:type="paragraph" w:customStyle="1" w:styleId="259">
    <w:name w:val="p0"/>
    <w:basedOn w:val="1"/>
    <w:qFormat/>
    <w:uiPriority w:val="0"/>
    <w:rPr>
      <w:rFonts w:ascii="华文中宋" w:hAnsi="华文中宋" w:cs="Courier New"/>
      <w:kern w:val="0"/>
      <w:szCs w:val="21"/>
    </w:rPr>
  </w:style>
  <w:style w:type="paragraph" w:customStyle="1" w:styleId="260">
    <w:name w:val="Char"/>
    <w:basedOn w:val="1"/>
    <w:qFormat/>
    <w:uiPriority w:val="0"/>
    <w:pPr>
      <w:spacing w:after="160" w:line="240" w:lineRule="exact"/>
      <w:jc w:val="left"/>
    </w:pPr>
    <w:rPr>
      <w:kern w:val="0"/>
      <w:szCs w:val="20"/>
      <w:lang w:eastAsia="en-US"/>
    </w:rPr>
  </w:style>
  <w:style w:type="paragraph" w:customStyle="1" w:styleId="261">
    <w:name w:val="xl98"/>
    <w:basedOn w:val="1"/>
    <w:qFormat/>
    <w:uiPriority w:val="0"/>
    <w:pPr>
      <w:spacing w:before="100" w:beforeAutospacing="1" w:after="100" w:afterAutospacing="1"/>
      <w:jc w:val="left"/>
    </w:pPr>
    <w:rPr>
      <w:rFonts w:cs="Courier New"/>
      <w:kern w:val="0"/>
      <w:sz w:val="23"/>
      <w:szCs w:val="23"/>
    </w:rPr>
  </w:style>
  <w:style w:type="paragraph" w:customStyle="1" w:styleId="262">
    <w:name w:val="4"/>
    <w:qFormat/>
    <w:uiPriority w:val="0"/>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s>
      <w:autoSpaceDE w:val="0"/>
      <w:autoSpaceDN w:val="0"/>
      <w:adjustRightInd w:val="0"/>
      <w:spacing w:before="113" w:after="57" w:line="300" w:lineRule="atLeast"/>
      <w:jc w:val="both"/>
    </w:pPr>
    <w:rPr>
      <w:rFonts w:ascii="仿宋_GB2312" w:hAnsi="Courier New" w:eastAsia="仿宋_GB2312" w:cs="Times New Roman"/>
      <w:color w:val="000000"/>
      <w:kern w:val="2"/>
      <w:sz w:val="21"/>
      <w:szCs w:val="24"/>
      <w:lang w:val="en-US" w:eastAsia="zh-CN" w:bidi="ar-SA"/>
    </w:rPr>
  </w:style>
  <w:style w:type="paragraph" w:customStyle="1" w:styleId="263">
    <w:name w:val="xl1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b/>
      <w:bCs/>
      <w:kern w:val="0"/>
      <w:sz w:val="22"/>
      <w:szCs w:val="22"/>
    </w:rPr>
  </w:style>
  <w:style w:type="paragraph" w:customStyle="1" w:styleId="264">
    <w:name w:val="font9"/>
    <w:basedOn w:val="1"/>
    <w:qFormat/>
    <w:uiPriority w:val="0"/>
    <w:pPr>
      <w:spacing w:before="100" w:beforeAutospacing="1" w:after="100" w:afterAutospacing="1"/>
      <w:jc w:val="left"/>
    </w:pPr>
    <w:rPr>
      <w:rFonts w:cs="Courier New"/>
      <w:kern w:val="0"/>
      <w:sz w:val="23"/>
      <w:szCs w:val="23"/>
    </w:rPr>
  </w:style>
  <w:style w:type="paragraph" w:customStyle="1" w:styleId="265">
    <w:name w:val="xl197"/>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cs="Courier New"/>
      <w:b/>
      <w:bCs/>
      <w:kern w:val="0"/>
      <w:sz w:val="23"/>
      <w:szCs w:val="23"/>
    </w:rPr>
  </w:style>
  <w:style w:type="paragraph" w:customStyle="1" w:styleId="266">
    <w:name w:val="xl168"/>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cs="Courier New"/>
      <w:kern w:val="0"/>
      <w:sz w:val="22"/>
      <w:szCs w:val="22"/>
    </w:rPr>
  </w:style>
  <w:style w:type="paragraph" w:customStyle="1" w:styleId="267">
    <w:name w:val="列表段落1"/>
    <w:basedOn w:val="1"/>
    <w:qFormat/>
    <w:uiPriority w:val="34"/>
    <w:pPr>
      <w:ind w:firstLine="420" w:firstLineChars="200"/>
    </w:pPr>
    <w:rPr>
      <w:szCs w:val="20"/>
    </w:rPr>
  </w:style>
  <w:style w:type="paragraph" w:customStyle="1" w:styleId="268">
    <w:name w:val="xl166"/>
    <w:basedOn w:val="1"/>
    <w:qFormat/>
    <w:uiPriority w:val="0"/>
    <w:pPr>
      <w:pBdr>
        <w:left w:val="single" w:color="auto" w:sz="4" w:space="0"/>
        <w:bottom w:val="single" w:color="auto" w:sz="4" w:space="0"/>
        <w:right w:val="single" w:color="auto" w:sz="4" w:space="0"/>
      </w:pBdr>
      <w:spacing w:before="100" w:beforeAutospacing="1" w:after="100" w:afterAutospacing="1"/>
      <w:jc w:val="left"/>
    </w:pPr>
    <w:rPr>
      <w:rFonts w:cs="Courier New"/>
      <w:kern w:val="0"/>
      <w:sz w:val="23"/>
      <w:szCs w:val="23"/>
    </w:rPr>
  </w:style>
  <w:style w:type="paragraph" w:customStyle="1" w:styleId="269">
    <w:name w:val="Char1 Char Char Char"/>
    <w:basedOn w:val="1"/>
    <w:qFormat/>
    <w:uiPriority w:val="0"/>
    <w:pPr>
      <w:tabs>
        <w:tab w:val="left" w:pos="360"/>
      </w:tabs>
    </w:pPr>
    <w:rPr>
      <w:sz w:val="24"/>
    </w:rPr>
  </w:style>
  <w:style w:type="paragraph" w:customStyle="1" w:styleId="270">
    <w:name w:val="xl113"/>
    <w:basedOn w:val="1"/>
    <w:qFormat/>
    <w:uiPriority w:val="0"/>
    <w:pPr>
      <w:pBdr>
        <w:top w:val="single" w:color="auto" w:sz="4" w:space="0"/>
        <w:left w:val="single" w:color="auto" w:sz="4" w:space="0"/>
        <w:bottom w:val="single" w:color="auto" w:sz="4" w:space="0"/>
      </w:pBdr>
      <w:spacing w:before="100" w:beforeAutospacing="1" w:after="100" w:afterAutospacing="1"/>
      <w:jc w:val="left"/>
    </w:pPr>
    <w:rPr>
      <w:rFonts w:cs="Courier New"/>
      <w:b/>
      <w:bCs/>
      <w:kern w:val="0"/>
      <w:sz w:val="23"/>
      <w:szCs w:val="23"/>
    </w:rPr>
  </w:style>
  <w:style w:type="paragraph" w:customStyle="1" w:styleId="271">
    <w:name w:val="xl12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kern w:val="0"/>
      <w:sz w:val="23"/>
      <w:szCs w:val="23"/>
    </w:rPr>
  </w:style>
  <w:style w:type="paragraph" w:customStyle="1" w:styleId="272">
    <w:name w:val="xl11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cs="Courier New"/>
      <w:b/>
      <w:bCs/>
      <w:kern w:val="0"/>
      <w:sz w:val="23"/>
      <w:szCs w:val="23"/>
    </w:rPr>
  </w:style>
  <w:style w:type="paragraph" w:customStyle="1" w:styleId="273">
    <w:name w:val="5"/>
    <w:qFormat/>
    <w:uiPriority w:val="0"/>
    <w:pPr>
      <w:widowControl w:val="0"/>
      <w:tabs>
        <w:tab w:val="left" w:pos="1984"/>
      </w:tabs>
      <w:autoSpaceDE w:val="0"/>
      <w:autoSpaceDN w:val="0"/>
      <w:adjustRightInd w:val="0"/>
      <w:spacing w:line="290" w:lineRule="atLeast"/>
      <w:jc w:val="both"/>
    </w:pPr>
    <w:rPr>
      <w:rFonts w:ascii="Cambria Math" w:hAnsi="Courier New" w:eastAsia="宋体" w:cs="Times New Roman"/>
      <w:kern w:val="2"/>
      <w:sz w:val="21"/>
      <w:szCs w:val="24"/>
      <w:lang w:val="en-US" w:eastAsia="zh-CN" w:bidi="ar-SA"/>
    </w:rPr>
  </w:style>
  <w:style w:type="paragraph" w:customStyle="1" w:styleId="274">
    <w:name w:val="xl116"/>
    <w:basedOn w:val="1"/>
    <w:qFormat/>
    <w:uiPriority w:val="0"/>
    <w:pPr>
      <w:pBdr>
        <w:top w:val="single" w:color="auto" w:sz="4" w:space="0"/>
        <w:bottom w:val="single" w:color="auto" w:sz="4" w:space="0"/>
      </w:pBdr>
      <w:spacing w:before="100" w:beforeAutospacing="1" w:after="100" w:afterAutospacing="1"/>
      <w:jc w:val="left"/>
    </w:pPr>
    <w:rPr>
      <w:rFonts w:cs="Courier New"/>
      <w:b/>
      <w:bCs/>
      <w:kern w:val="0"/>
      <w:sz w:val="23"/>
      <w:szCs w:val="23"/>
    </w:rPr>
  </w:style>
  <w:style w:type="paragraph" w:customStyle="1" w:styleId="275">
    <w:name w:val="xl182"/>
    <w:basedOn w:val="1"/>
    <w:qFormat/>
    <w:uiPriority w:val="0"/>
    <w:pPr>
      <w:pBdr>
        <w:left w:val="single" w:color="000000" w:sz="4" w:space="0"/>
        <w:bottom w:val="single" w:color="000000" w:sz="4" w:space="0"/>
        <w:right w:val="single" w:color="auto" w:sz="4" w:space="0"/>
      </w:pBdr>
      <w:spacing w:before="100" w:beforeAutospacing="1" w:after="100" w:afterAutospacing="1"/>
      <w:jc w:val="center"/>
    </w:pPr>
    <w:rPr>
      <w:rFonts w:cs="Courier New"/>
      <w:kern w:val="0"/>
      <w:sz w:val="22"/>
      <w:szCs w:val="22"/>
    </w:rPr>
  </w:style>
  <w:style w:type="paragraph" w:customStyle="1" w:styleId="276">
    <w:name w:val="节"/>
    <w:basedOn w:val="3"/>
    <w:qFormat/>
    <w:uiPriority w:val="0"/>
    <w:pPr>
      <w:numPr>
        <w:ilvl w:val="1"/>
        <w:numId w:val="2"/>
      </w:numPr>
      <w:tabs>
        <w:tab w:val="left" w:pos="432"/>
        <w:tab w:val="left" w:pos="576"/>
      </w:tabs>
      <w:spacing w:before="0" w:after="0" w:line="240" w:lineRule="auto"/>
    </w:pPr>
    <w:rPr>
      <w:rFonts w:ascii="黑体" w:hAnsi="Times New Roman" w:eastAsia="微软雅黑"/>
      <w:b w:val="0"/>
      <w:bCs w:val="0"/>
      <w:szCs w:val="28"/>
    </w:rPr>
  </w:style>
  <w:style w:type="paragraph" w:customStyle="1" w:styleId="277">
    <w:name w:val="xl1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kern w:val="0"/>
      <w:sz w:val="23"/>
      <w:szCs w:val="23"/>
    </w:rPr>
  </w:style>
  <w:style w:type="paragraph" w:customStyle="1" w:styleId="278">
    <w:name w:val="题注5"/>
    <w:basedOn w:val="1"/>
    <w:next w:val="14"/>
    <w:qFormat/>
    <w:uiPriority w:val="0"/>
    <w:pPr>
      <w:jc w:val="center"/>
    </w:pPr>
    <w:rPr>
      <w:b/>
      <w:color w:val="000000"/>
      <w:sz w:val="24"/>
      <w:szCs w:val="21"/>
    </w:rPr>
  </w:style>
  <w:style w:type="paragraph" w:customStyle="1" w:styleId="279">
    <w:name w:val="xl193"/>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cs="Courier New"/>
      <w:color w:val="000000"/>
      <w:kern w:val="0"/>
      <w:sz w:val="23"/>
      <w:szCs w:val="23"/>
    </w:rPr>
  </w:style>
  <w:style w:type="paragraph" w:customStyle="1" w:styleId="280">
    <w:name w:val="Char Char2 Char"/>
    <w:basedOn w:val="1"/>
    <w:qFormat/>
    <w:uiPriority w:val="0"/>
    <w:pPr>
      <w:keepNext/>
      <w:keepLines/>
      <w:pageBreakBefore/>
      <w:tabs>
        <w:tab w:val="left" w:pos="845"/>
      </w:tabs>
      <w:ind w:left="845" w:hanging="420"/>
    </w:pPr>
    <w:rPr>
      <w:rFonts w:ascii="仿宋" w:hAnsi="仿宋"/>
      <w:sz w:val="24"/>
      <w:szCs w:val="20"/>
    </w:rPr>
  </w:style>
  <w:style w:type="paragraph" w:customStyle="1" w:styleId="281">
    <w:name w:val="Char Char Char Char Char Char1 Char"/>
    <w:basedOn w:val="1"/>
    <w:qFormat/>
    <w:uiPriority w:val="0"/>
    <w:pPr>
      <w:spacing w:after="160" w:line="240" w:lineRule="exact"/>
      <w:jc w:val="left"/>
    </w:pPr>
    <w:rPr>
      <w:kern w:val="0"/>
      <w:szCs w:val="20"/>
      <w:lang w:eastAsia="en-US"/>
    </w:rPr>
  </w:style>
  <w:style w:type="paragraph" w:customStyle="1" w:styleId="282">
    <w:name w:val="xl100"/>
    <w:basedOn w:val="1"/>
    <w:qFormat/>
    <w:uiPriority w:val="0"/>
    <w:pPr>
      <w:spacing w:before="100" w:beforeAutospacing="1" w:after="100" w:afterAutospacing="1"/>
      <w:jc w:val="left"/>
    </w:pPr>
    <w:rPr>
      <w:rFonts w:cs="Courier New"/>
      <w:color w:val="FF0000"/>
      <w:kern w:val="0"/>
      <w:sz w:val="22"/>
      <w:szCs w:val="22"/>
    </w:rPr>
  </w:style>
  <w:style w:type="paragraph" w:customStyle="1" w:styleId="283">
    <w:name w:val="首行缩进"/>
    <w:basedOn w:val="1"/>
    <w:qFormat/>
    <w:uiPriority w:val="0"/>
    <w:pPr>
      <w:ind w:firstLine="480" w:firstLineChars="200"/>
    </w:pPr>
    <w:rPr>
      <w:rFonts w:ascii="微软雅黑" w:hAnsi="微软雅黑"/>
      <w:lang w:val="zh-CN"/>
    </w:rPr>
  </w:style>
  <w:style w:type="paragraph" w:customStyle="1" w:styleId="284">
    <w:name w:val="xl1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cs="Courier New"/>
      <w:kern w:val="0"/>
      <w:sz w:val="23"/>
      <w:szCs w:val="23"/>
    </w:rPr>
  </w:style>
  <w:style w:type="paragraph" w:customStyle="1" w:styleId="285">
    <w:name w:val="原点第二行"/>
    <w:basedOn w:val="184"/>
    <w:qFormat/>
    <w:uiPriority w:val="0"/>
    <w:pPr>
      <w:numPr>
        <w:numId w:val="0"/>
      </w:numPr>
      <w:ind w:left="567" w:firstLine="420"/>
    </w:pPr>
  </w:style>
  <w:style w:type="paragraph" w:customStyle="1" w:styleId="286">
    <w:name w:val="È±Ê¡ÎÄ±¾"/>
    <w:basedOn w:val="1"/>
    <w:qFormat/>
    <w:uiPriority w:val="0"/>
    <w:pPr>
      <w:overflowPunct w:val="0"/>
      <w:autoSpaceDE w:val="0"/>
      <w:autoSpaceDN w:val="0"/>
      <w:adjustRightInd w:val="0"/>
      <w:textAlignment w:val="baseline"/>
    </w:pPr>
    <w:rPr>
      <w:kern w:val="0"/>
      <w:szCs w:val="20"/>
    </w:rPr>
  </w:style>
  <w:style w:type="paragraph" w:customStyle="1" w:styleId="287">
    <w:name w:val="Char Char Char Char Char Char Char Char Char Char"/>
    <w:basedOn w:val="1"/>
    <w:qFormat/>
    <w:uiPriority w:val="0"/>
    <w:pPr>
      <w:adjustRightInd w:val="0"/>
    </w:pPr>
    <w:rPr>
      <w:kern w:val="0"/>
      <w:sz w:val="24"/>
      <w:szCs w:val="20"/>
    </w:rPr>
  </w:style>
  <w:style w:type="paragraph" w:customStyle="1" w:styleId="288">
    <w:name w:val="xl77"/>
    <w:basedOn w:val="1"/>
    <w:qFormat/>
    <w:uiPriority w:val="0"/>
    <w:pPr>
      <w:shd w:val="clear" w:color="000000" w:fill="FFFFFF"/>
      <w:spacing w:before="100" w:beforeAutospacing="1" w:after="100" w:afterAutospacing="1"/>
      <w:jc w:val="left"/>
    </w:pPr>
    <w:rPr>
      <w:rFonts w:cs="宋体"/>
      <w:kern w:val="0"/>
      <w:sz w:val="22"/>
      <w:szCs w:val="22"/>
    </w:rPr>
  </w:style>
  <w:style w:type="paragraph" w:customStyle="1" w:styleId="289">
    <w:name w:val="xl164"/>
    <w:basedOn w:val="1"/>
    <w:qFormat/>
    <w:uiPriority w:val="0"/>
    <w:pPr>
      <w:pBdr>
        <w:left w:val="single" w:color="auto" w:sz="4" w:space="0"/>
        <w:bottom w:val="single" w:color="auto" w:sz="4" w:space="0"/>
      </w:pBdr>
      <w:spacing w:before="100" w:beforeAutospacing="1" w:after="100" w:afterAutospacing="1"/>
      <w:jc w:val="left"/>
    </w:pPr>
    <w:rPr>
      <w:rFonts w:cs="Courier New"/>
      <w:kern w:val="0"/>
      <w:sz w:val="23"/>
      <w:szCs w:val="23"/>
    </w:rPr>
  </w:style>
  <w:style w:type="paragraph" w:customStyle="1" w:styleId="290">
    <w:name w:val="xl14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kern w:val="0"/>
      <w:sz w:val="23"/>
      <w:szCs w:val="23"/>
    </w:rPr>
  </w:style>
  <w:style w:type="paragraph" w:customStyle="1" w:styleId="291">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92">
    <w:name w:val="xl18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cs="Courier New"/>
      <w:kern w:val="0"/>
      <w:sz w:val="23"/>
      <w:szCs w:val="23"/>
    </w:rPr>
  </w:style>
  <w:style w:type="paragraph" w:customStyle="1" w:styleId="293">
    <w:name w:val="tabletext"/>
    <w:basedOn w:val="1"/>
    <w:qFormat/>
    <w:uiPriority w:val="0"/>
    <w:pPr>
      <w:spacing w:before="100" w:beforeAutospacing="1" w:after="100" w:afterAutospacing="1" w:line="217" w:lineRule="atLeast"/>
      <w:jc w:val="left"/>
    </w:pPr>
    <w:rPr>
      <w:rFonts w:cs="Courier New"/>
      <w:kern w:val="0"/>
      <w:sz w:val="16"/>
      <w:szCs w:val="16"/>
      <w:lang w:bidi="th-TH"/>
    </w:rPr>
  </w:style>
  <w:style w:type="paragraph" w:customStyle="1" w:styleId="294">
    <w:name w:val="Char Char Char Char Char Char Char Char Char Char Char Char Char"/>
    <w:basedOn w:val="1"/>
    <w:qFormat/>
    <w:uiPriority w:val="0"/>
    <w:pPr>
      <w:spacing w:after="160" w:line="240" w:lineRule="exact"/>
      <w:jc w:val="left"/>
    </w:pPr>
    <w:rPr>
      <w:rFonts w:cs="Courier New"/>
      <w:kern w:val="0"/>
      <w:sz w:val="24"/>
    </w:rPr>
  </w:style>
  <w:style w:type="paragraph" w:customStyle="1" w:styleId="295">
    <w:name w:val="xl14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Courier New"/>
      <w:b/>
      <w:bCs/>
      <w:kern w:val="0"/>
      <w:sz w:val="23"/>
      <w:szCs w:val="23"/>
    </w:rPr>
  </w:style>
  <w:style w:type="paragraph" w:customStyle="1" w:styleId="296">
    <w:name w:val="font6"/>
    <w:basedOn w:val="1"/>
    <w:qFormat/>
    <w:uiPriority w:val="0"/>
    <w:pPr>
      <w:spacing w:before="100" w:beforeAutospacing="1" w:after="100" w:afterAutospacing="1"/>
      <w:jc w:val="left"/>
    </w:pPr>
    <w:rPr>
      <w:rFonts w:cs="Courier New"/>
      <w:b/>
      <w:bCs/>
      <w:kern w:val="0"/>
      <w:sz w:val="23"/>
      <w:szCs w:val="23"/>
    </w:rPr>
  </w:style>
  <w:style w:type="paragraph" w:customStyle="1" w:styleId="297">
    <w:name w:val="xl10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b/>
      <w:bCs/>
      <w:kern w:val="0"/>
      <w:sz w:val="23"/>
      <w:szCs w:val="23"/>
    </w:rPr>
  </w:style>
  <w:style w:type="paragraph" w:customStyle="1" w:styleId="298">
    <w:name w:val="xl24"/>
    <w:basedOn w:val="1"/>
    <w:qFormat/>
    <w:uiPriority w:val="0"/>
    <w:pPr>
      <w:pBdr>
        <w:bottom w:val="single" w:color="auto" w:sz="4" w:space="0"/>
        <w:right w:val="single" w:color="auto" w:sz="4" w:space="0"/>
      </w:pBdr>
      <w:spacing w:before="100" w:beforeAutospacing="1" w:after="100" w:afterAutospacing="1"/>
      <w:jc w:val="center"/>
      <w:textAlignment w:val="center"/>
    </w:pPr>
    <w:rPr>
      <w:rFonts w:ascii="Wingdings" w:hAnsi="Cambria Math" w:eastAsia="Wingdings"/>
      <w:kern w:val="0"/>
      <w:sz w:val="24"/>
    </w:rPr>
  </w:style>
  <w:style w:type="paragraph" w:customStyle="1" w:styleId="299">
    <w:name w:val="xl15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kern w:val="0"/>
      <w:sz w:val="22"/>
      <w:szCs w:val="22"/>
    </w:rPr>
  </w:style>
  <w:style w:type="paragraph" w:customStyle="1" w:styleId="300">
    <w:name w:val="xl8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18"/>
      <w:szCs w:val="18"/>
    </w:rPr>
  </w:style>
  <w:style w:type="paragraph" w:customStyle="1" w:styleId="301">
    <w:name w:val="xl177"/>
    <w:basedOn w:val="1"/>
    <w:qFormat/>
    <w:uiPriority w:val="0"/>
    <w:pPr>
      <w:pBdr>
        <w:top w:val="single" w:color="000000" w:sz="4" w:space="0"/>
        <w:left w:val="single" w:color="000000" w:sz="4" w:space="0"/>
        <w:right w:val="single" w:color="auto" w:sz="4" w:space="0"/>
      </w:pBdr>
      <w:spacing w:before="100" w:beforeAutospacing="1" w:after="100" w:afterAutospacing="1"/>
      <w:jc w:val="center"/>
    </w:pPr>
    <w:rPr>
      <w:rFonts w:cs="Courier New"/>
      <w:kern w:val="0"/>
      <w:sz w:val="22"/>
      <w:szCs w:val="22"/>
    </w:rPr>
  </w:style>
  <w:style w:type="paragraph" w:customStyle="1" w:styleId="302">
    <w:name w:val="xl178"/>
    <w:basedOn w:val="1"/>
    <w:qFormat/>
    <w:uiPriority w:val="0"/>
    <w:pPr>
      <w:pBdr>
        <w:top w:val="single" w:color="auto" w:sz="4" w:space="0"/>
        <w:left w:val="single" w:color="auto" w:sz="4" w:space="0"/>
        <w:right w:val="single" w:color="auto" w:sz="4" w:space="0"/>
      </w:pBdr>
      <w:spacing w:before="100" w:beforeAutospacing="1" w:after="100" w:afterAutospacing="1"/>
      <w:jc w:val="left"/>
    </w:pPr>
    <w:rPr>
      <w:rFonts w:cs="Courier New"/>
      <w:kern w:val="0"/>
      <w:sz w:val="23"/>
      <w:szCs w:val="23"/>
    </w:rPr>
  </w:style>
  <w:style w:type="paragraph" w:customStyle="1" w:styleId="303">
    <w:name w:val="xl1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kern w:val="0"/>
      <w:sz w:val="23"/>
      <w:szCs w:val="23"/>
    </w:rPr>
  </w:style>
  <w:style w:type="paragraph" w:customStyle="1" w:styleId="304">
    <w:name w:val="xl12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kern w:val="0"/>
      <w:sz w:val="23"/>
      <w:szCs w:val="23"/>
    </w:rPr>
  </w:style>
  <w:style w:type="paragraph" w:customStyle="1" w:styleId="305">
    <w:name w:val="Char Char2 Char11"/>
    <w:basedOn w:val="1"/>
    <w:qFormat/>
    <w:uiPriority w:val="0"/>
    <w:rPr>
      <w:b/>
      <w:sz w:val="28"/>
      <w:szCs w:val="28"/>
    </w:rPr>
  </w:style>
  <w:style w:type="paragraph" w:customStyle="1" w:styleId="306">
    <w:name w:val="xl12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Courier New"/>
      <w:kern w:val="0"/>
      <w:sz w:val="23"/>
      <w:szCs w:val="23"/>
    </w:rPr>
  </w:style>
  <w:style w:type="paragraph" w:customStyle="1" w:styleId="307">
    <w:name w:val="xl16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cs="Courier New"/>
      <w:kern w:val="0"/>
      <w:sz w:val="22"/>
      <w:szCs w:val="22"/>
    </w:rPr>
  </w:style>
  <w:style w:type="paragraph" w:customStyle="1" w:styleId="308">
    <w:name w:val="xl18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color w:val="000000"/>
      <w:kern w:val="0"/>
      <w:sz w:val="23"/>
      <w:szCs w:val="23"/>
    </w:rPr>
  </w:style>
  <w:style w:type="paragraph" w:customStyle="1" w:styleId="309">
    <w:name w:val="xl79"/>
    <w:basedOn w:val="1"/>
    <w:qFormat/>
    <w:uiPriority w:val="0"/>
    <w:pPr>
      <w:shd w:val="clear" w:color="000000" w:fill="FFFFFF"/>
      <w:spacing w:before="100" w:beforeAutospacing="1" w:after="100" w:afterAutospacing="1"/>
      <w:jc w:val="left"/>
    </w:pPr>
    <w:rPr>
      <w:rFonts w:cs="宋体"/>
      <w:kern w:val="0"/>
      <w:sz w:val="22"/>
      <w:szCs w:val="22"/>
    </w:rPr>
  </w:style>
  <w:style w:type="paragraph" w:customStyle="1" w:styleId="310">
    <w:name w:val="题注4"/>
    <w:basedOn w:val="1"/>
    <w:next w:val="14"/>
    <w:qFormat/>
    <w:uiPriority w:val="0"/>
    <w:pPr>
      <w:ind w:left="-132" w:leftChars="-64" w:right="-105" w:rightChars="-50" w:hanging="2"/>
      <w:jc w:val="center"/>
    </w:pPr>
    <w:rPr>
      <w:b/>
      <w:color w:val="FF0000"/>
      <w:szCs w:val="21"/>
      <w:lang w:val="en-GB"/>
    </w:rPr>
  </w:style>
  <w:style w:type="paragraph" w:customStyle="1" w:styleId="311">
    <w:name w:val="办公自动化专用标题"/>
    <w:basedOn w:val="42"/>
    <w:qFormat/>
    <w:uiPriority w:val="0"/>
    <w:pPr>
      <w:spacing w:line="560" w:lineRule="atLeast"/>
    </w:pPr>
    <w:rPr>
      <w:rFonts w:ascii="Courier New" w:cs="宋体"/>
      <w:bCs w:val="0"/>
      <w:sz w:val="44"/>
      <w:szCs w:val="20"/>
    </w:rPr>
  </w:style>
  <w:style w:type="paragraph" w:customStyle="1" w:styleId="312">
    <w:name w:val="xl27"/>
    <w:basedOn w:val="1"/>
    <w:qFormat/>
    <w:uiPriority w:val="0"/>
    <w:pPr>
      <w:pBdr>
        <w:left w:val="single" w:color="auto" w:sz="8" w:space="0"/>
        <w:bottom w:val="single" w:color="auto" w:sz="4" w:space="0"/>
        <w:right w:val="single" w:color="auto" w:sz="4" w:space="0"/>
      </w:pBdr>
      <w:spacing w:before="100" w:beforeAutospacing="1" w:after="100" w:afterAutospacing="1"/>
      <w:jc w:val="center"/>
      <w:textAlignment w:val="center"/>
    </w:pPr>
    <w:rPr>
      <w:kern w:val="0"/>
      <w:szCs w:val="21"/>
    </w:rPr>
  </w:style>
  <w:style w:type="paragraph" w:customStyle="1" w:styleId="313">
    <w:name w:val="缺省文本"/>
    <w:basedOn w:val="1"/>
    <w:qFormat/>
    <w:uiPriority w:val="0"/>
    <w:pPr>
      <w:autoSpaceDE w:val="0"/>
      <w:autoSpaceDN w:val="0"/>
      <w:adjustRightInd w:val="0"/>
      <w:jc w:val="left"/>
    </w:pPr>
    <w:rPr>
      <w:kern w:val="0"/>
      <w:sz w:val="24"/>
      <w:szCs w:val="20"/>
    </w:rPr>
  </w:style>
  <w:style w:type="paragraph" w:customStyle="1" w:styleId="314">
    <w:name w:val="表格文字"/>
    <w:basedOn w:val="1"/>
    <w:qFormat/>
    <w:uiPriority w:val="0"/>
    <w:pPr>
      <w:spacing w:before="25" w:after="25"/>
      <w:jc w:val="left"/>
    </w:pPr>
    <w:rPr>
      <w:bCs/>
      <w:spacing w:val="10"/>
      <w:kern w:val="0"/>
      <w:sz w:val="24"/>
      <w:szCs w:val="20"/>
    </w:rPr>
  </w:style>
  <w:style w:type="paragraph" w:customStyle="1" w:styleId="315">
    <w:name w:val="xl1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b/>
      <w:bCs/>
      <w:kern w:val="0"/>
      <w:sz w:val="23"/>
      <w:szCs w:val="23"/>
    </w:rPr>
  </w:style>
  <w:style w:type="paragraph" w:customStyle="1" w:styleId="316">
    <w:name w:val="Char11"/>
    <w:basedOn w:val="1"/>
    <w:qFormat/>
    <w:uiPriority w:val="0"/>
    <w:pPr>
      <w:spacing w:after="160" w:line="240" w:lineRule="exact"/>
      <w:jc w:val="left"/>
    </w:pPr>
    <w:rPr>
      <w:rFonts w:eastAsia="SimSun-Identity-H"/>
      <w:kern w:val="0"/>
      <w:sz w:val="24"/>
      <w:szCs w:val="20"/>
      <w:lang w:eastAsia="en-US"/>
    </w:rPr>
  </w:style>
  <w:style w:type="paragraph" w:customStyle="1" w:styleId="317">
    <w:name w:val="xl91"/>
    <w:basedOn w:val="1"/>
    <w:qFormat/>
    <w:uiPriority w:val="0"/>
    <w:pPr>
      <w:shd w:val="clear" w:color="000000" w:fill="FFFFFF"/>
      <w:spacing w:before="100" w:beforeAutospacing="1" w:after="100" w:afterAutospacing="1"/>
      <w:jc w:val="left"/>
    </w:pPr>
    <w:rPr>
      <w:rFonts w:cs="Courier New"/>
      <w:kern w:val="0"/>
      <w:sz w:val="23"/>
      <w:szCs w:val="23"/>
    </w:rPr>
  </w:style>
  <w:style w:type="paragraph" w:customStyle="1" w:styleId="318">
    <w:name w:val="列表段落2"/>
    <w:basedOn w:val="1"/>
    <w:qFormat/>
    <w:uiPriority w:val="34"/>
    <w:pPr>
      <w:ind w:firstLine="420" w:firstLineChars="200"/>
    </w:pPr>
    <w:rPr>
      <w:rFonts w:ascii="华文中宋" w:hAnsi="华文中宋" w:eastAsia="Courier New"/>
      <w:szCs w:val="20"/>
    </w:rPr>
  </w:style>
  <w:style w:type="paragraph" w:customStyle="1" w:styleId="319">
    <w:name w:val="xl13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ourier New"/>
      <w:b/>
      <w:bCs/>
      <w:kern w:val="0"/>
      <w:sz w:val="23"/>
      <w:szCs w:val="23"/>
    </w:rPr>
  </w:style>
  <w:style w:type="table" w:customStyle="1" w:styleId="320">
    <w:name w:val="网格型3"/>
    <w:basedOn w:val="46"/>
    <w:qFormat/>
    <w:uiPriority w:val="39"/>
    <w:rPr>
      <w:rFonts w:ascii="等线" w:hAnsi="等线" w:eastAsia="等线"/>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1">
    <w:name w:val="网格型21"/>
    <w:basedOn w:val="46"/>
    <w:qFormat/>
    <w:uiPriority w:val="39"/>
    <w:rPr>
      <w:rFonts w:eastAsia="Calibri"/>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2">
    <w:name w:val="网格型4"/>
    <w:basedOn w:val="46"/>
    <w:qFormat/>
    <w:uiPriority w:val="39"/>
    <w:rPr>
      <w:rFonts w:ascii="等线" w:hAnsi="等线" w:eastAsia="等线"/>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3">
    <w:name w:val="网格型2"/>
    <w:basedOn w:val="46"/>
    <w:qFormat/>
    <w:uiPriority w:val="39"/>
    <w:rPr>
      <w:rFonts w:eastAsia="Calibri" w:cs="微软雅黑"/>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4">
    <w:name w:val="网格型1"/>
    <w:basedOn w:val="46"/>
    <w:qFormat/>
    <w:uiPriority w:val="0"/>
    <w:pPr>
      <w:widowControl w:val="0"/>
    </w:pPr>
    <w:rPr>
      <w:rFonts w:ascii="微软雅黑" w:hAnsi="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5">
    <w:name w:val="网格型11"/>
    <w:basedOn w:val="46"/>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26">
    <w:name w:val="_Style 3"/>
    <w:basedOn w:val="1"/>
    <w:next w:val="126"/>
    <w:qFormat/>
    <w:uiPriority w:val="34"/>
    <w:pPr>
      <w:spacing w:line="240" w:lineRule="atLeast"/>
      <w:ind w:firstLine="420" w:firstLineChars="200"/>
      <w:jc w:val="left"/>
    </w:pPr>
    <w:rPr>
      <w:rFonts w:ascii="仿宋体" w:hAnsi="仿宋体" w:eastAsia="Arial" w:cs="Arial"/>
      <w:kern w:val="0"/>
      <w:sz w:val="24"/>
    </w:rPr>
  </w:style>
  <w:style w:type="paragraph" w:customStyle="1" w:styleId="327">
    <w:name w:val="Table Paragraph"/>
    <w:basedOn w:val="1"/>
    <w:qFormat/>
    <w:uiPriority w:val="0"/>
    <w:pPr>
      <w:autoSpaceDE w:val="0"/>
      <w:autoSpaceDN w:val="0"/>
      <w:adjustRightInd w:val="0"/>
      <w:jc w:val="left"/>
    </w:pPr>
    <w:rPr>
      <w:kern w:val="0"/>
      <w:sz w:val="24"/>
    </w:rPr>
  </w:style>
  <w:style w:type="character" w:customStyle="1" w:styleId="328">
    <w:name w:val="彩色列表 - 着色 1 字符"/>
    <w:link w:val="329"/>
    <w:qFormat/>
    <w:uiPriority w:val="34"/>
    <w:rPr>
      <w:rFonts w:ascii="华文中宋" w:hAnsi="华文中宋"/>
      <w:kern w:val="1"/>
      <w:lang w:eastAsia="ar-SA"/>
    </w:rPr>
  </w:style>
  <w:style w:type="paragraph" w:customStyle="1" w:styleId="329">
    <w:name w:val="彩色列表 - 强调文字颜色 11"/>
    <w:basedOn w:val="1"/>
    <w:link w:val="328"/>
    <w:qFormat/>
    <w:uiPriority w:val="34"/>
    <w:pPr>
      <w:suppressAutoHyphens/>
      <w:ind w:firstLine="420"/>
    </w:pPr>
    <w:rPr>
      <w:rFonts w:ascii="华文中宋" w:hAnsi="华文中宋"/>
      <w:kern w:val="1"/>
      <w:sz w:val="20"/>
      <w:szCs w:val="20"/>
      <w:lang w:eastAsia="ar-SA"/>
    </w:rPr>
  </w:style>
  <w:style w:type="paragraph" w:customStyle="1" w:styleId="330">
    <w:name w:val="_Style 329"/>
    <w:basedOn w:val="20"/>
    <w:next w:val="45"/>
    <w:link w:val="331"/>
    <w:qFormat/>
    <w:uiPriority w:val="0"/>
    <w:pPr>
      <w:adjustRightInd/>
      <w:snapToGrid/>
      <w:spacing w:after="120" w:line="240" w:lineRule="auto"/>
      <w:ind w:left="420" w:leftChars="200"/>
    </w:pPr>
    <w:rPr>
      <w:rFonts w:ascii="Times New Roman" w:hAnsi="Times New Roman"/>
      <w:kern w:val="0"/>
      <w:sz w:val="20"/>
      <w:szCs w:val="20"/>
    </w:rPr>
  </w:style>
  <w:style w:type="character" w:customStyle="1" w:styleId="331">
    <w:name w:val="正文首行缩进 2 Char"/>
    <w:link w:val="330"/>
    <w:qFormat/>
    <w:uiPriority w:val="0"/>
  </w:style>
  <w:style w:type="paragraph" w:customStyle="1" w:styleId="332">
    <w:name w:val="_Style 2"/>
    <w:basedOn w:val="1"/>
    <w:next w:val="1"/>
    <w:qFormat/>
    <w:uiPriority w:val="99"/>
    <w:pPr>
      <w:ind w:firstLine="420"/>
    </w:pPr>
    <w:rPr>
      <w:rFonts w:ascii="Cambria" w:hAnsi="Cambria"/>
    </w:rPr>
  </w:style>
  <w:style w:type="character" w:customStyle="1" w:styleId="333">
    <w:name w:val="文档结构图 字符"/>
    <w:link w:val="15"/>
    <w:qFormat/>
    <w:uiPriority w:val="99"/>
    <w:rPr>
      <w:kern w:val="2"/>
      <w:sz w:val="21"/>
      <w:szCs w:val="24"/>
      <w:shd w:val="clear" w:color="auto" w:fill="000080"/>
    </w:rPr>
  </w:style>
  <w:style w:type="character" w:customStyle="1" w:styleId="334">
    <w:name w:val="称呼 字符"/>
    <w:link w:val="17"/>
    <w:qFormat/>
    <w:uiPriority w:val="0"/>
    <w:rPr>
      <w:kern w:val="2"/>
      <w:sz w:val="21"/>
      <w:szCs w:val="24"/>
    </w:rPr>
  </w:style>
  <w:style w:type="character" w:customStyle="1" w:styleId="335">
    <w:name w:val="正文文本 3 字符"/>
    <w:link w:val="18"/>
    <w:qFormat/>
    <w:uiPriority w:val="0"/>
    <w:rPr>
      <w:kern w:val="2"/>
      <w:sz w:val="16"/>
      <w:szCs w:val="16"/>
    </w:rPr>
  </w:style>
  <w:style w:type="character" w:customStyle="1" w:styleId="336">
    <w:name w:val="正文文本首行缩进 字符"/>
    <w:link w:val="44"/>
    <w:qFormat/>
    <w:uiPriority w:val="99"/>
    <w:rPr>
      <w:rFonts w:ascii="宋体" w:hAnsi="宋体"/>
      <w:kern w:val="2"/>
      <w:sz w:val="21"/>
      <w:szCs w:val="24"/>
    </w:rPr>
  </w:style>
  <w:style w:type="character" w:customStyle="1" w:styleId="337">
    <w:name w:val="z-窗体顶端 字符1"/>
    <w:qFormat/>
    <w:uiPriority w:val="99"/>
    <w:rPr>
      <w:rFonts w:ascii="Arial" w:hAnsi="Arial" w:eastAsia="宋体" w:cs="Arial"/>
      <w:vanish/>
      <w:sz w:val="16"/>
      <w:szCs w:val="16"/>
    </w:rPr>
  </w:style>
  <w:style w:type="character" w:customStyle="1" w:styleId="338">
    <w:name w:val="未处理的提及11"/>
    <w:qFormat/>
    <w:uiPriority w:val="99"/>
    <w:rPr>
      <w:color w:val="605E5C"/>
      <w:shd w:val="clear" w:color="auto" w:fill="E1DFDD"/>
    </w:rPr>
  </w:style>
  <w:style w:type="paragraph" w:customStyle="1" w:styleId="339">
    <w:name w:val="z-窗体顶端11"/>
    <w:basedOn w:val="1"/>
    <w:qFormat/>
    <w:uiPriority w:val="34"/>
    <w:pPr>
      <w:tabs>
        <w:tab w:val="left" w:pos="1276"/>
      </w:tabs>
      <w:ind w:firstLine="420" w:firstLineChars="200"/>
    </w:pPr>
    <w:rPr>
      <w:rFonts w:ascii="Times New Roman" w:hAnsi="Times New Roman"/>
    </w:rPr>
  </w:style>
  <w:style w:type="paragraph" w:customStyle="1" w:styleId="340">
    <w:name w:val="Char Char Char Char1"/>
    <w:basedOn w:val="1"/>
    <w:qFormat/>
    <w:uiPriority w:val="0"/>
    <w:pPr>
      <w:spacing w:after="160" w:line="240" w:lineRule="exact"/>
      <w:jc w:val="left"/>
    </w:pPr>
    <w:rPr>
      <w:kern w:val="0"/>
      <w:sz w:val="20"/>
      <w:szCs w:val="20"/>
      <w:lang w:eastAsia="en-US"/>
    </w:rPr>
  </w:style>
  <w:style w:type="paragraph" w:customStyle="1" w:styleId="341">
    <w:name w:val="Char Char131"/>
    <w:basedOn w:val="1"/>
    <w:qFormat/>
    <w:uiPriority w:val="0"/>
    <w:pPr>
      <w:spacing w:after="160" w:line="240" w:lineRule="exact"/>
      <w:jc w:val="left"/>
    </w:pPr>
    <w:rPr>
      <w:rFonts w:eastAsia="SimSun-Identity-H"/>
      <w:kern w:val="0"/>
      <w:sz w:val="24"/>
      <w:szCs w:val="20"/>
      <w:lang w:eastAsia="en-US"/>
    </w:rPr>
  </w:style>
  <w:style w:type="paragraph" w:customStyle="1" w:styleId="342">
    <w:name w:val="Char Char Char1"/>
    <w:basedOn w:val="1"/>
    <w:qFormat/>
    <w:uiPriority w:val="0"/>
    <w:pPr>
      <w:spacing w:after="160" w:line="240" w:lineRule="exact"/>
      <w:jc w:val="left"/>
    </w:pPr>
    <w:rPr>
      <w:rFonts w:ascii="Times New Roman" w:hAnsi="Times New Roman"/>
      <w:szCs w:val="20"/>
    </w:rPr>
  </w:style>
  <w:style w:type="paragraph" w:customStyle="1" w:styleId="343">
    <w:name w:val="彩色底纹 - 强调文字颜色 11"/>
    <w:qFormat/>
    <w:uiPriority w:val="99"/>
    <w:pPr>
      <w:spacing w:line="360" w:lineRule="auto"/>
      <w:jc w:val="both"/>
    </w:pPr>
    <w:rPr>
      <w:rFonts w:ascii="Times New Roman" w:hAnsi="Times New Roman" w:eastAsia="宋体" w:cs="Times New Roman"/>
      <w:kern w:val="2"/>
      <w:sz w:val="21"/>
      <w:szCs w:val="24"/>
      <w:lang w:val="en-US" w:eastAsia="zh-CN" w:bidi="ar-SA"/>
    </w:rPr>
  </w:style>
  <w:style w:type="paragraph" w:customStyle="1" w:styleId="344">
    <w:name w:val="Char Char Char Char Char Char Char Char Char Char Char Char1 Char1"/>
    <w:basedOn w:val="15"/>
    <w:qFormat/>
    <w:uiPriority w:val="0"/>
    <w:rPr>
      <w:rFonts w:ascii="Times New Roman" w:hAnsi="Times New Roman"/>
    </w:rPr>
  </w:style>
  <w:style w:type="paragraph" w:customStyle="1" w:styleId="345">
    <w:name w:val="Char Char Char Char Char Char Char1"/>
    <w:basedOn w:val="1"/>
    <w:qFormat/>
    <w:uiPriority w:val="0"/>
    <w:pPr>
      <w:tabs>
        <w:tab w:val="left" w:pos="425"/>
      </w:tabs>
      <w:ind w:left="425" w:hanging="425"/>
    </w:pPr>
    <w:rPr>
      <w:rFonts w:ascii="Times New Roman" w:hAnsi="Times New Roman" w:eastAsia="SimSun-Identity-H"/>
      <w:kern w:val="24"/>
      <w:sz w:val="24"/>
    </w:rPr>
  </w:style>
  <w:style w:type="paragraph" w:customStyle="1" w:styleId="346">
    <w:name w:val="Char Char1"/>
    <w:basedOn w:val="1"/>
    <w:qFormat/>
    <w:uiPriority w:val="0"/>
    <w:rPr>
      <w:b/>
      <w:sz w:val="28"/>
      <w:szCs w:val="28"/>
    </w:rPr>
  </w:style>
  <w:style w:type="paragraph" w:customStyle="1" w:styleId="347">
    <w:name w:val="中等深浅网格 21"/>
    <w:qFormat/>
    <w:uiPriority w:val="1"/>
    <w:pPr>
      <w:widowControl w:val="0"/>
      <w:spacing w:line="360" w:lineRule="auto"/>
      <w:jc w:val="both"/>
    </w:pPr>
    <w:rPr>
      <w:rFonts w:ascii="Times New Roman" w:hAnsi="Times New Roman" w:eastAsia="宋体" w:cs="Times New Roman"/>
      <w:kern w:val="2"/>
      <w:sz w:val="24"/>
      <w:szCs w:val="22"/>
      <w:lang w:val="en-US" w:eastAsia="zh-CN" w:bidi="ar-SA"/>
    </w:rPr>
  </w:style>
  <w:style w:type="paragraph" w:customStyle="1" w:styleId="348">
    <w:name w:val="Char1 Char Char Char1"/>
    <w:basedOn w:val="1"/>
    <w:qFormat/>
    <w:uiPriority w:val="0"/>
    <w:pPr>
      <w:numPr>
        <w:ilvl w:val="0"/>
        <w:numId w:val="3"/>
      </w:numPr>
    </w:pPr>
    <w:rPr>
      <w:rFonts w:ascii="Times New Roman" w:hAnsi="Times New Roman"/>
      <w:sz w:val="24"/>
    </w:rPr>
  </w:style>
  <w:style w:type="paragraph" w:customStyle="1" w:styleId="349">
    <w:name w:val="Char Char Char Char Char Char1 Char1"/>
    <w:basedOn w:val="1"/>
    <w:qFormat/>
    <w:uiPriority w:val="0"/>
    <w:pPr>
      <w:spacing w:after="160" w:line="240" w:lineRule="exact"/>
      <w:jc w:val="left"/>
    </w:pPr>
    <w:rPr>
      <w:kern w:val="0"/>
      <w:szCs w:val="20"/>
      <w:lang w:eastAsia="en-US"/>
    </w:rPr>
  </w:style>
  <w:style w:type="paragraph" w:customStyle="1" w:styleId="350">
    <w:name w:val="Char Char Char Char Char Char Char Char Char Char1"/>
    <w:basedOn w:val="1"/>
    <w:qFormat/>
    <w:uiPriority w:val="0"/>
    <w:pPr>
      <w:adjustRightInd w:val="0"/>
    </w:pPr>
    <w:rPr>
      <w:rFonts w:ascii="Times New Roman" w:hAnsi="Times New Roman"/>
      <w:kern w:val="0"/>
      <w:sz w:val="24"/>
      <w:szCs w:val="20"/>
    </w:rPr>
  </w:style>
  <w:style w:type="paragraph" w:customStyle="1" w:styleId="351">
    <w:name w:val="Char Char Char Char Char Char Char Char Char Char Char Char Char1"/>
    <w:basedOn w:val="1"/>
    <w:qFormat/>
    <w:uiPriority w:val="0"/>
    <w:pPr>
      <w:spacing w:after="160" w:line="240" w:lineRule="exact"/>
      <w:jc w:val="left"/>
    </w:pPr>
    <w:rPr>
      <w:rFonts w:cs="Courier New"/>
      <w:kern w:val="0"/>
      <w:sz w:val="24"/>
    </w:rPr>
  </w:style>
  <w:style w:type="paragraph" w:customStyle="1" w:styleId="352">
    <w:name w:val="Char Char2 Char1"/>
    <w:basedOn w:val="1"/>
    <w:qFormat/>
    <w:uiPriority w:val="0"/>
    <w:rPr>
      <w:b/>
      <w:sz w:val="28"/>
      <w:szCs w:val="28"/>
    </w:rPr>
  </w:style>
  <w:style w:type="paragraph" w:customStyle="1" w:styleId="353">
    <w:name w:val="Char1"/>
    <w:basedOn w:val="1"/>
    <w:qFormat/>
    <w:uiPriority w:val="0"/>
    <w:pPr>
      <w:spacing w:after="160" w:line="240" w:lineRule="exact"/>
      <w:jc w:val="left"/>
    </w:pPr>
    <w:rPr>
      <w:rFonts w:eastAsia="SimSun-Identity-H"/>
      <w:kern w:val="0"/>
      <w:sz w:val="24"/>
      <w:szCs w:val="20"/>
      <w:lang w:eastAsia="en-US"/>
    </w:rPr>
  </w:style>
  <w:style w:type="paragraph" w:customStyle="1" w:styleId="354">
    <w:name w:val="列表段落21"/>
    <w:basedOn w:val="1"/>
    <w:qFormat/>
    <w:uiPriority w:val="34"/>
    <w:pPr>
      <w:ind w:firstLine="420" w:firstLineChars="200"/>
    </w:pPr>
    <w:rPr>
      <w:rFonts w:ascii="华文中宋" w:hAnsi="华文中宋" w:eastAsia="Courier New"/>
      <w:szCs w:val="20"/>
    </w:rPr>
  </w:style>
  <w:style w:type="character" w:customStyle="1" w:styleId="355">
    <w:name w:val="font101"/>
    <w:qFormat/>
    <w:uiPriority w:val="0"/>
    <w:rPr>
      <w:rFonts w:hint="eastAsia" w:ascii="宋体" w:hAnsi="宋体" w:eastAsia="宋体" w:cs="宋体"/>
      <w:color w:val="000000"/>
      <w:sz w:val="22"/>
      <w:szCs w:val="22"/>
      <w:u w:val="none"/>
    </w:rPr>
  </w:style>
  <w:style w:type="paragraph" w:customStyle="1" w:styleId="356">
    <w:name w:val="B"/>
    <w:basedOn w:val="19"/>
    <w:link w:val="357"/>
    <w:qFormat/>
    <w:uiPriority w:val="1"/>
    <w:pPr>
      <w:autoSpaceDE w:val="0"/>
      <w:autoSpaceDN w:val="0"/>
      <w:ind w:firstLine="480" w:firstLineChars="200"/>
      <w:jc w:val="left"/>
    </w:pPr>
    <w:rPr>
      <w:rFonts w:cs="宋体"/>
      <w:sz w:val="24"/>
      <w:lang w:eastAsia="en-US"/>
    </w:rPr>
  </w:style>
  <w:style w:type="character" w:customStyle="1" w:styleId="357">
    <w:name w:val="B 字符"/>
    <w:basedOn w:val="61"/>
    <w:link w:val="356"/>
    <w:qFormat/>
    <w:uiPriority w:val="1"/>
    <w:rPr>
      <w:rFonts w:ascii="宋体" w:hAnsi="宋体" w:cs="宋体"/>
      <w:kern w:val="2"/>
      <w:sz w:val="24"/>
      <w:szCs w:val="24"/>
      <w:lang w:eastAsia="en-US"/>
    </w:rPr>
  </w:style>
  <w:style w:type="paragraph" w:customStyle="1" w:styleId="358">
    <w:name w:val="D"/>
    <w:basedOn w:val="356"/>
    <w:link w:val="359"/>
    <w:qFormat/>
    <w:uiPriority w:val="1"/>
    <w:pPr>
      <w:ind w:firstLine="0" w:firstLineChars="0"/>
      <w:jc w:val="both"/>
      <w:outlineLvl w:val="2"/>
    </w:pPr>
    <w:rPr>
      <w:b/>
      <w:bCs/>
      <w:kern w:val="0"/>
    </w:rPr>
  </w:style>
  <w:style w:type="character" w:customStyle="1" w:styleId="359">
    <w:name w:val="D 字符"/>
    <w:link w:val="358"/>
    <w:qFormat/>
    <w:uiPriority w:val="1"/>
    <w:rPr>
      <w:rFonts w:ascii="宋体" w:hAnsi="宋体" w:cs="宋体"/>
      <w:b/>
      <w:bCs/>
      <w:sz w:val="24"/>
      <w:szCs w:val="24"/>
      <w:lang w:eastAsia="en-US"/>
    </w:rPr>
  </w:style>
  <w:style w:type="character" w:customStyle="1" w:styleId="360">
    <w:name w:val="正文缩进 Char"/>
    <w:qFormat/>
    <w:uiPriority w:val="0"/>
    <w:rPr>
      <w:rFonts w:ascii="文鼎CS中黑" w:eastAsia="文鼎CS中黑"/>
      <w:sz w:val="34"/>
    </w:rPr>
  </w:style>
  <w:style w:type="character" w:customStyle="1" w:styleId="361">
    <w:name w:val="批注文字 字符1"/>
    <w:qFormat/>
    <w:uiPriority w:val="0"/>
    <w:rPr>
      <w:rFonts w:ascii="宋体" w:hAnsi="宋体" w:cs="宋体"/>
      <w:sz w:val="24"/>
      <w:szCs w:val="24"/>
    </w:rPr>
  </w:style>
  <w:style w:type="paragraph" w:customStyle="1" w:styleId="362">
    <w:name w:val="列表段落3"/>
    <w:basedOn w:val="1"/>
    <w:qFormat/>
    <w:uiPriority w:val="0"/>
    <w:pPr>
      <w:autoSpaceDE w:val="0"/>
      <w:autoSpaceDN w:val="0"/>
      <w:ind w:left="124" w:firstLine="378"/>
      <w:jc w:val="left"/>
    </w:pPr>
    <w:rPr>
      <w:rFonts w:cs="宋体"/>
      <w:kern w:val="0"/>
      <w:sz w:val="22"/>
      <w:szCs w:val="22"/>
    </w:rPr>
  </w:style>
  <w:style w:type="paragraph" w:customStyle="1" w:styleId="363">
    <w:name w:val="正文1"/>
    <w:qFormat/>
    <w:uiPriority w:val="0"/>
    <w:pPr>
      <w:spacing w:line="240" w:lineRule="auto"/>
      <w:jc w:val="both"/>
    </w:pPr>
    <w:rPr>
      <w:rFonts w:ascii="Calibri" w:hAnsi="Calibri" w:eastAsia="宋体" w:cs="Calibri"/>
      <w:kern w:val="2"/>
      <w:sz w:val="21"/>
      <w:szCs w:val="21"/>
      <w:lang w:val="en-US" w:eastAsia="zh-CN" w:bidi="ar-SA"/>
    </w:rPr>
  </w:style>
  <w:style w:type="paragraph" w:customStyle="1" w:styleId="364">
    <w:name w:val="C"/>
    <w:basedOn w:val="1"/>
    <w:link w:val="365"/>
    <w:qFormat/>
    <w:uiPriority w:val="1"/>
    <w:pPr>
      <w:widowControl w:val="0"/>
      <w:autoSpaceDE w:val="0"/>
      <w:autoSpaceDN w:val="0"/>
      <w:jc w:val="left"/>
      <w:outlineLvl w:val="1"/>
    </w:pPr>
    <w:rPr>
      <w:rFonts w:cs="宋体"/>
      <w:b/>
      <w:bCs/>
      <w:kern w:val="0"/>
      <w:sz w:val="24"/>
      <w:lang w:eastAsia="en-US"/>
    </w:rPr>
  </w:style>
  <w:style w:type="character" w:customStyle="1" w:styleId="365">
    <w:name w:val="C 字符"/>
    <w:basedOn w:val="48"/>
    <w:link w:val="364"/>
    <w:qFormat/>
    <w:uiPriority w:val="1"/>
    <w:rPr>
      <w:rFonts w:ascii="宋体" w:hAnsi="宋体" w:cs="宋体"/>
      <w:b/>
      <w:bCs/>
      <w:kern w:val="0"/>
      <w:sz w:val="24"/>
      <w:lang w:eastAsia="en-US"/>
    </w:rPr>
  </w:style>
  <w:style w:type="paragraph" w:customStyle="1" w:styleId="366">
    <w:name w:val="列表段落4"/>
    <w:basedOn w:val="1"/>
    <w:qFormat/>
    <w:uiPriority w:val="0"/>
    <w:pPr>
      <w:widowControl w:val="0"/>
      <w:autoSpaceDE w:val="0"/>
      <w:autoSpaceDN w:val="0"/>
      <w:spacing w:line="240" w:lineRule="auto"/>
      <w:ind w:left="106" w:firstLine="384"/>
      <w:jc w:val="left"/>
    </w:pPr>
    <w:rPr>
      <w:rFonts w:cs="宋体"/>
      <w:kern w:val="0"/>
      <w:sz w:val="22"/>
      <w:szCs w:val="22"/>
    </w:rPr>
  </w:style>
  <w:style w:type="paragraph" w:customStyle="1" w:styleId="367">
    <w:name w:val="正文2"/>
    <w:qFormat/>
    <w:uiPriority w:val="0"/>
    <w:pPr>
      <w:spacing w:line="240" w:lineRule="auto"/>
      <w:jc w:val="both"/>
    </w:pPr>
    <w:rPr>
      <w:rFonts w:ascii="Calibri" w:hAnsi="Calibri" w:eastAsia="宋体" w:cs="Calibri"/>
      <w:kern w:val="2"/>
      <w:sz w:val="21"/>
      <w:szCs w:val="21"/>
      <w:lang w:val="en-US" w:eastAsia="zh-CN" w:bidi="ar-SA"/>
    </w:rPr>
  </w:style>
  <w:style w:type="character" w:customStyle="1" w:styleId="368">
    <w:name w:val="Unresolved Mention"/>
    <w:basedOn w:val="48"/>
    <w:semiHidden/>
    <w:unhideWhenUsed/>
    <w:qFormat/>
    <w:uiPriority w:val="99"/>
    <w:rPr>
      <w:color w:val="605E5C"/>
      <w:shd w:val="clear" w:color="auto" w:fill="E1DFDD"/>
    </w:rPr>
  </w:style>
  <w:style w:type="paragraph" w:customStyle="1" w:styleId="369">
    <w:name w:val="A"/>
    <w:basedOn w:val="1"/>
    <w:link w:val="370"/>
    <w:qFormat/>
    <w:uiPriority w:val="1"/>
    <w:pPr>
      <w:widowControl w:val="0"/>
      <w:autoSpaceDE w:val="0"/>
      <w:autoSpaceDN w:val="0"/>
      <w:jc w:val="left"/>
    </w:pPr>
    <w:rPr>
      <w:rFonts w:cs="宋体"/>
      <w:b/>
      <w:bCs/>
      <w:kern w:val="0"/>
      <w:sz w:val="24"/>
      <w:lang w:eastAsia="en-US"/>
    </w:rPr>
  </w:style>
  <w:style w:type="character" w:customStyle="1" w:styleId="370">
    <w:name w:val="A 字符"/>
    <w:basedOn w:val="48"/>
    <w:link w:val="369"/>
    <w:qFormat/>
    <w:uiPriority w:val="1"/>
    <w:rPr>
      <w:rFonts w:ascii="宋体" w:hAnsi="宋体" w:cs="宋体"/>
      <w:b/>
      <w:bCs/>
      <w:kern w:val="0"/>
      <w:sz w:val="24"/>
      <w:lang w:eastAsia="en-US"/>
    </w:rPr>
  </w:style>
  <w:style w:type="character" w:customStyle="1" w:styleId="371">
    <w:name w:val="正文文本首行缩进 2 字符1"/>
    <w:qFormat/>
    <w:uiPriority w:val="99"/>
    <w:rPr>
      <w:kern w:val="2"/>
      <w:sz w:val="21"/>
      <w:szCs w:val="24"/>
    </w:rPr>
  </w:style>
  <w:style w:type="paragraph" w:customStyle="1" w:styleId="372">
    <w:name w:val="BodyText"/>
    <w:basedOn w:val="1"/>
    <w:qFormat/>
    <w:uiPriority w:val="0"/>
    <w:pPr>
      <w:spacing w:after="120"/>
    </w:pPr>
  </w:style>
  <w:style w:type="paragraph" w:customStyle="1" w:styleId="373">
    <w:name w:val="List Paragraph_65e27187-2745-4bfa-8841-21597b5794fb"/>
    <w:basedOn w:val="1"/>
    <w:qFormat/>
    <w:uiPriority w:val="0"/>
    <w:pPr>
      <w:ind w:firstLine="420" w:firstLineChars="200"/>
    </w:pPr>
    <w:rPr>
      <w:rFonts w:eastAsia="仿宋_GB2312"/>
      <w:sz w:val="28"/>
      <w:szCs w:val="28"/>
    </w:rPr>
  </w:style>
  <w:style w:type="paragraph" w:customStyle="1" w:styleId="374">
    <w:name w:val="null3"/>
    <w:hidden/>
    <w:qFormat/>
    <w:uiPriority w:val="0"/>
    <w:rPr>
      <w:rFonts w:hint="eastAsia" w:asciiTheme="minorHAnsi" w:hAnsiTheme="minorHAnsi" w:eastAsiaTheme="minorEastAsia" w:cstheme="minorBidi"/>
      <w:lang w:val="en-US" w:eastAsia="zh-Hans"/>
    </w:rPr>
  </w:style>
  <w:style w:type="paragraph" w:customStyle="1" w:styleId="375">
    <w:name w:val="正文3"/>
    <w:qFormat/>
    <w:uiPriority w:val="0"/>
    <w:pPr>
      <w:jc w:val="both"/>
    </w:pPr>
    <w:rPr>
      <w:rFonts w:ascii="等线" w:hAnsi="等线" w:eastAsia="宋体" w:cs="宋体"/>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0FDCED-F625-4FAA-9C03-EA9EAE5A4709}">
  <ds:schemaRefs/>
</ds:datastoreItem>
</file>

<file path=docProps/app.xml><?xml version="1.0" encoding="utf-8"?>
<Properties xmlns="http://schemas.openxmlformats.org/officeDocument/2006/extended-properties" xmlns:vt="http://schemas.openxmlformats.org/officeDocument/2006/docPropsVTypes">
  <Template>Normal.dotm</Template>
  <Pages>91</Pages>
  <Words>159</Words>
  <Characters>204</Characters>
  <Lines>326</Lines>
  <Paragraphs>91</Paragraphs>
  <TotalTime>4</TotalTime>
  <ScaleCrop>false</ScaleCrop>
  <LinksUpToDate>false</LinksUpToDate>
  <CharactersWithSpaces>204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2022-02-28T08:06:00Z</dcterms:created>
  <dc:creator>永际工作室</dc:creator>
  <cp:lastModifiedBy>星垂野</cp:lastModifiedBy>
  <cp:lastPrinted>2022-03-07T08:38:00Z</cp:lastPrinted>
  <dcterms:modified xsi:type="dcterms:W3CDTF">2025-06-07T10:02:54Z</dcterms:modified>
  <cp:revision>333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3EBE88A53F14493089D0BFEA4745EBC8_13</vt:lpwstr>
  </property>
  <property fmtid="{D5CDD505-2E9C-101B-9397-08002B2CF9AE}" pid="4" name="KSOTemplateDocerSaveRecord">
    <vt:lpwstr>eyJoZGlkIjoiMDk2OTA1NDkwMDRkYzM1ZjcyOTU0MGYwZjMwMjMzM2IiLCJ1c2VySWQiOiI2MDQyNjU5NzIifQ==</vt:lpwstr>
  </property>
</Properties>
</file>