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jc w:val="center"/>
        <w:rPr>
          <w:rFonts w:hint="default" w:eastAsia="黑体"/>
          <w:lang w:val="en-US" w:eastAsia="zh-CN"/>
        </w:rPr>
      </w:pPr>
      <w:bookmarkStart w:id="0" w:name="_Toc62727175"/>
      <w:r>
        <w:rPr>
          <w:rFonts w:hint="eastAsia"/>
        </w:rPr>
        <w:t xml:space="preserve">第三章 </w:t>
      </w:r>
      <w:bookmarkEnd w:id="0"/>
      <w:r>
        <w:rPr>
          <w:rFonts w:hint="eastAsia"/>
          <w:lang w:val="en-US" w:eastAsia="zh-CN"/>
        </w:rPr>
        <w:t>采购需求</w:t>
      </w:r>
    </w:p>
    <w:p>
      <w:pPr>
        <w:pStyle w:val="11"/>
        <w:rPr>
          <w:rFonts w:hint="eastAsia"/>
        </w:rPr>
      </w:pPr>
      <w:bookmarkStart w:id="1" w:name="_Toc62727176"/>
      <w:r>
        <w:rPr>
          <w:rFonts w:hint="eastAsia"/>
        </w:rPr>
        <w:t>一、服务要求</w:t>
      </w:r>
      <w:bookmarkEnd w:id="1"/>
    </w:p>
    <w:p>
      <w:pPr>
        <w:ind w:firstLine="420" w:firstLineChars="200"/>
        <w:rPr>
          <w:rFonts w:asciiTheme="minorEastAsia" w:hAnsiTheme="minorEastAsia" w:cstheme="minorEastAsia"/>
          <w:sz w:val="21"/>
          <w:szCs w:val="21"/>
        </w:rPr>
      </w:pPr>
      <w:bookmarkStart w:id="2" w:name="_Toc62727177"/>
      <w:r>
        <w:rPr>
          <w:rFonts w:hint="eastAsia" w:asciiTheme="minorEastAsia" w:hAnsiTheme="minorEastAsia" w:cstheme="minorEastAsia"/>
          <w:sz w:val="21"/>
          <w:szCs w:val="21"/>
          <w:lang w:val="en-US" w:eastAsia="zh-CN"/>
        </w:rPr>
        <w:t>一、</w:t>
      </w:r>
      <w:r>
        <w:rPr>
          <w:rFonts w:hint="eastAsia" w:asciiTheme="minorEastAsia" w:hAnsiTheme="minorEastAsia" w:cstheme="minorEastAsia"/>
          <w:sz w:val="21"/>
          <w:szCs w:val="21"/>
        </w:rPr>
        <w:t>承保区域：徽州区行政区域范围</w:t>
      </w:r>
    </w:p>
    <w:p>
      <w:pPr>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lang w:val="en-US" w:eastAsia="zh-CN"/>
        </w:rPr>
        <w:t>二、</w:t>
      </w:r>
      <w:r>
        <w:rPr>
          <w:rFonts w:hint="eastAsia" w:asciiTheme="minorEastAsia" w:hAnsiTheme="minorEastAsia" w:cstheme="minorEastAsia"/>
          <w:sz w:val="21"/>
          <w:szCs w:val="21"/>
        </w:rPr>
        <w:t>致害动物。本方案所称致害动物是指在徽州区行政区域内自然分布的珍贵、濒危的和有重要生态、科学、社会价值的陆生野生动物。(详见林业主管部门公</w:t>
      </w:r>
      <w:bookmarkStart w:id="3" w:name="_GoBack"/>
      <w:bookmarkEnd w:id="3"/>
      <w:r>
        <w:rPr>
          <w:rFonts w:hint="eastAsia" w:asciiTheme="minorEastAsia" w:hAnsiTheme="minorEastAsia" w:cstheme="minorEastAsia"/>
          <w:sz w:val="21"/>
          <w:szCs w:val="21"/>
        </w:rPr>
        <w:t>布的附录名单)。</w:t>
      </w:r>
    </w:p>
    <w:p>
      <w:pPr>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lang w:val="en-US" w:eastAsia="zh-CN"/>
        </w:rPr>
        <w:t>三、</w:t>
      </w:r>
      <w:r>
        <w:rPr>
          <w:rFonts w:hint="eastAsia" w:asciiTheme="minorEastAsia" w:hAnsiTheme="minorEastAsia" w:cstheme="minorEastAsia"/>
          <w:sz w:val="21"/>
          <w:szCs w:val="21"/>
        </w:rPr>
        <w:t>承保范围</w:t>
      </w:r>
    </w:p>
    <w:p>
      <w:pPr>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rPr>
        <w:t>在保险期间内，徽州区单位、居民或流动人口在承保区域内，遭受野生动物伤害导致人身伤亡或农、林、畜、牧类财产损失，无法找到责任人或者责任人无力赔偿，对被保险人依据国家或地方法律法规规定给付的一次性伤亡救助金、支付的医疗费用以及财产损失补偿金，有下列情形之一的，保险人按照本保险合同的约定负责补偿。</w:t>
      </w:r>
    </w:p>
    <w:p>
      <w:pPr>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rPr>
        <w:t>1.造成公民身体伤害或者死亡的；</w:t>
      </w:r>
    </w:p>
    <w:p>
      <w:pPr>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rPr>
        <w:t>2.对在依法划定的生产经营区域内种植的农作物、经济林木及林下经济作物造成较大损毁的；</w:t>
      </w:r>
    </w:p>
    <w:p>
      <w:pPr>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rPr>
        <w:t>3.对圈养的家禽家畜造成较重伤害或者死亡的；</w:t>
      </w:r>
    </w:p>
    <w:p>
      <w:pPr>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rPr>
        <w:t>4.区级以上人民政府林业行政主管部门认定的其他情形。</w:t>
      </w:r>
    </w:p>
    <w:p>
      <w:pPr>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lang w:val="en-US" w:eastAsia="zh-CN"/>
        </w:rPr>
        <w:t>四、</w:t>
      </w:r>
      <w:r>
        <w:rPr>
          <w:rFonts w:hint="eastAsia" w:asciiTheme="minorEastAsia" w:hAnsiTheme="minorEastAsia" w:cstheme="minorEastAsia"/>
          <w:sz w:val="21"/>
          <w:szCs w:val="21"/>
        </w:rPr>
        <w:t>除外责任</w:t>
      </w:r>
    </w:p>
    <w:p>
      <w:pPr>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rPr>
        <w:t>1.不承保附录名单以外野生动物导致的各类作物损失和人身伤亡。</w:t>
      </w:r>
    </w:p>
    <w:p>
      <w:pPr>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rPr>
        <w:t>2.不承保非生产经营区域或严禁生产经营区域（国家一级公益林等）的财产损失。</w:t>
      </w:r>
    </w:p>
    <w:p>
      <w:pPr>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rPr>
        <w:t>3.居民或流动人口未经政府主管部门允许，无视相关警示标志，私自进入野生动物保护区或者主动攻击、故意伤害、挑逗野生动物、非法狩猎导致的人身伤亡及财产损失。</w:t>
      </w:r>
    </w:p>
    <w:p>
      <w:pPr>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rPr>
        <w:t>4.非圈养的家禽家畜造成伤害或者死亡的。</w:t>
      </w:r>
    </w:p>
    <w:p>
      <w:pPr>
        <w:ind w:firstLine="420" w:firstLineChars="200"/>
        <w:rPr>
          <w:rFonts w:asciiTheme="minorEastAsia" w:hAnsiTheme="minorEastAsia" w:cstheme="minorEastAsia"/>
          <w:color w:val="0000FF"/>
          <w:sz w:val="21"/>
          <w:szCs w:val="21"/>
        </w:rPr>
      </w:pPr>
      <w:r>
        <w:rPr>
          <w:rFonts w:hint="eastAsia" w:asciiTheme="minorEastAsia" w:hAnsiTheme="minorEastAsia" w:cstheme="minorEastAsia"/>
          <w:sz w:val="21"/>
          <w:szCs w:val="21"/>
        </w:rPr>
        <w:t>5.区级以上人民政府林业行政主管部门认定的不予补偿的其他情形。人工繁育、运输的野生动物逃逸造成人身伤害和财产损失的，由人工繁育、运输单位或者个人依法承担民事责任。</w:t>
      </w:r>
    </w:p>
    <w:p>
      <w:pPr>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lang w:val="en-US" w:eastAsia="zh-CN"/>
        </w:rPr>
        <w:t>五、</w:t>
      </w:r>
      <w:r>
        <w:rPr>
          <w:rFonts w:hint="eastAsia" w:asciiTheme="minorEastAsia" w:hAnsiTheme="minorEastAsia" w:cstheme="minorEastAsia"/>
          <w:sz w:val="21"/>
          <w:szCs w:val="21"/>
        </w:rPr>
        <w:t>补偿限额。</w:t>
      </w:r>
    </w:p>
    <w:p>
      <w:pPr>
        <w:rPr>
          <w:rFonts w:asciiTheme="minorEastAsia" w:hAnsiTheme="minorEastAsia" w:cstheme="minorEastAsia"/>
          <w:sz w:val="21"/>
          <w:szCs w:val="21"/>
        </w:rPr>
      </w:pPr>
      <w:r>
        <w:rPr>
          <w:rFonts w:hint="eastAsia" w:asciiTheme="minorEastAsia" w:hAnsiTheme="minorEastAsia" w:cstheme="minorEastAsia"/>
          <w:sz w:val="21"/>
          <w:szCs w:val="21"/>
        </w:rPr>
        <w:t xml:space="preserve">   1.补偿限额包括累计补偿限额、每次事故补偿限额、每次事故每人人身伤亡补偿限额、每次事故每人医疗费用补偿限额、每次事故财产损失补偿限额五项。其中累计补偿限额为1000万元、每次事故补偿限额100万元、每次事故每人人身伤亡补偿限额16万元、每次事故每人医疗费用补偿限额2万元、每次事故财产损失补偿限额2万元。补偿限额包括直接经济补偿，和处理理赔纠纷相关鉴定费用、尸检费、取证费、诉讼费、律师费等法律费用。</w:t>
      </w:r>
    </w:p>
    <w:p>
      <w:pPr>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rPr>
        <w:t>2.法律费用赔偿限额，每次事故赔偿限额为每人人身伤亡赔偿限额的10%，累计赔偿限额为每个医疗机构累计赔偿限额的10%。法律费用指被保险人应支付的包括因保险事故而产生的诉讼费和仲裁费，以及经保险人同意支付的必要的合理的费用。</w:t>
      </w:r>
    </w:p>
    <w:p>
      <w:pPr>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rPr>
        <w:t>3.财产损失中农作物损失补偿，原则根据农作物的种植的物化成本测算保险金额。双方依据徽州区农业生产实际约定部分主要农品种和补偿标准。按照《徽州区野生动物致害主要农作物损害政府救助责任保险补偿标准》进行补偿。</w:t>
      </w:r>
    </w:p>
    <w:p>
      <w:pPr>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lang w:val="en-US" w:eastAsia="zh-CN"/>
        </w:rPr>
        <w:t>六、</w:t>
      </w:r>
      <w:r>
        <w:rPr>
          <w:rFonts w:hint="eastAsia" w:asciiTheme="minorEastAsia" w:hAnsiTheme="minorEastAsia" w:cstheme="minorEastAsia"/>
          <w:sz w:val="21"/>
          <w:szCs w:val="21"/>
        </w:rPr>
        <w:t>免赔额</w:t>
      </w:r>
    </w:p>
    <w:p>
      <w:pPr>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rPr>
        <w:t>1.无其他商业险或医保:每人每次事故医疗费用免赔额为200元,超过200元后80%补付。有商业险保险或医保:商业险保险或医保报销后，按照80%补付。</w:t>
      </w:r>
    </w:p>
    <w:p>
      <w:pPr>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rPr>
        <w:t>2.每次事故财产损失绝对免赔额为200元。</w:t>
      </w:r>
    </w:p>
    <w:p>
      <w:pPr>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rPr>
        <w:t>3.人身伤害补偿免赔为：在抢救、治疗结束后超过30日报案的；财产损失免赔：自遭受财产损失之日起超过15日报案的。</w:t>
      </w:r>
    </w:p>
    <w:p>
      <w:pPr>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lang w:val="en-US" w:eastAsia="zh-CN"/>
        </w:rPr>
        <w:t>七、</w:t>
      </w:r>
      <w:r>
        <w:rPr>
          <w:rFonts w:hint="eastAsia" w:asciiTheme="minorEastAsia" w:hAnsiTheme="minorEastAsia" w:cstheme="minorEastAsia"/>
          <w:sz w:val="21"/>
          <w:szCs w:val="21"/>
        </w:rPr>
        <w:t>补偿处理</w:t>
      </w:r>
    </w:p>
    <w:p>
      <w:pPr>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rPr>
        <w:t>1.每次事故是指因在连续 24 小时内遭受一头或者一群野生动物侵害所致损失应视为一起单独事件。致害时间不清无法认定在连续 24 小时内发生的事故，或致害痕迹明显反映并非连续 24 小时内发生的致害事故等情形，均应视为不同事故。</w:t>
      </w:r>
    </w:p>
    <w:p>
      <w:pPr>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rPr>
        <w:t>2.投保人、被保险人知道保险事故发生后，应当及时通过报案电话通知保险人，因延迟通知导致保险人无法准确判断事故情况，收集相关理赔所需资料信息的，保险人不承担赔偿责任。</w:t>
      </w:r>
    </w:p>
    <w:p>
      <w:pPr>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rPr>
        <w:t>3.接到报案后保险公司理赔人员赶赴现场查勘（如有较大事故发生，须会同乡镇人民政府、区林业局等相关人员一同前往事故现场进行查勘），并确定损失，双方当场签字确认损失；同时保险公司工作人员对理赔所需提供相关资料及理赔程序予以书面告知。</w:t>
      </w:r>
    </w:p>
    <w:p>
      <w:pPr>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rPr>
        <w:t>4.实行理赔时限制，自客户提供明确的单证齐全日起，索赔金额在 1 万元以内的赔案, 3 个工作日内赔付；索赔金额 1 万元以上的赔案 10个工作日内赔付。</w:t>
      </w:r>
    </w:p>
    <w:p>
      <w:pPr>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rPr>
        <w:t>5.被保险人的保障对象向保险人请求赔偿时，应提交下列索赔材料：</w:t>
      </w:r>
    </w:p>
    <w:p>
      <w:pPr>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rPr>
        <w:t>1）索赔申请书；</w:t>
      </w:r>
    </w:p>
    <w:p>
      <w:pPr>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rPr>
        <w:t>2）事故证明；相关部门（事故发生所在村或乡镇）所能提供的保险事故经过、性质、原因、损失程度等有关的证明和资料；</w:t>
      </w:r>
    </w:p>
    <w:p>
      <w:pPr>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rPr>
        <w:t>3）受灾农户身份证及银行卡号的相关资料。有人员伤亡的，保障对象就医治疗的诊疗证明、病历（原件）及医疗费用原始单据（如已在社保或其他保险主体索赔的，应提供已索赔金额证明和原始单据的复印件）；保障对象残疾的，由保险人认可的伤残鉴定机构出具的伤残程度证明；保障对象死亡的，由公安机关或医疗机构出具的死亡证明；</w:t>
      </w:r>
    </w:p>
    <w:p>
      <w:pPr>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rPr>
        <w:t>4）保险公司需要投保人加盖公章的其它相关索赔资料。</w:t>
      </w:r>
    </w:p>
    <w:p>
      <w:pPr>
        <w:rPr>
          <w:rFonts w:asciiTheme="minorEastAsia" w:hAnsiTheme="minorEastAsia" w:cstheme="minorEastAsia"/>
          <w:sz w:val="21"/>
          <w:szCs w:val="21"/>
        </w:rPr>
      </w:pPr>
      <w:r>
        <w:rPr>
          <w:rFonts w:hint="eastAsia" w:asciiTheme="minorEastAsia" w:hAnsiTheme="minorEastAsia" w:cstheme="minorEastAsia"/>
          <w:sz w:val="21"/>
          <w:szCs w:val="21"/>
        </w:rPr>
        <w:t>(八)野生动物致害主要农作物损失政府救助责任保险补偿标准</w:t>
      </w:r>
    </w:p>
    <w:tbl>
      <w:tblPr>
        <w:tblStyle w:val="7"/>
        <w:tblW w:w="9445" w:type="dxa"/>
        <w:tblInd w:w="93" w:type="dxa"/>
        <w:tblLayout w:type="fixed"/>
        <w:tblCellMar>
          <w:top w:w="0" w:type="dxa"/>
          <w:left w:w="108" w:type="dxa"/>
          <w:bottom w:w="0" w:type="dxa"/>
          <w:right w:w="108" w:type="dxa"/>
        </w:tblCellMar>
      </w:tblPr>
      <w:tblGrid>
        <w:gridCol w:w="693"/>
        <w:gridCol w:w="2320"/>
        <w:gridCol w:w="2320"/>
        <w:gridCol w:w="4112"/>
      </w:tblGrid>
      <w:tr>
        <w:tblPrEx>
          <w:tblCellMar>
            <w:top w:w="0" w:type="dxa"/>
            <w:left w:w="108" w:type="dxa"/>
            <w:bottom w:w="0" w:type="dxa"/>
            <w:right w:w="108" w:type="dxa"/>
          </w:tblCellMar>
        </w:tblPrEx>
        <w:trPr>
          <w:trHeight w:val="90" w:hRule="atLeast"/>
        </w:trPr>
        <w:tc>
          <w:tcPr>
            <w:tcW w:w="9445" w:type="dxa"/>
            <w:gridSpan w:val="4"/>
            <w:tcBorders>
              <w:top w:val="nil"/>
              <w:left w:val="nil"/>
              <w:bottom w:val="nil"/>
              <w:right w:val="nil"/>
            </w:tcBorders>
            <w:shd w:val="clear" w:color="auto" w:fill="auto"/>
            <w:noWrap/>
            <w:vAlign w:val="center"/>
          </w:tcPr>
          <w:p>
            <w:pPr>
              <w:widowControl/>
              <w:jc w:val="center"/>
              <w:textAlignment w:val="center"/>
              <w:rPr>
                <w:rFonts w:ascii="宋体" w:hAnsi="宋体" w:eastAsia="宋体" w:cs="宋体"/>
                <w:b/>
                <w:bCs/>
                <w:color w:val="000000"/>
                <w:sz w:val="21"/>
                <w:szCs w:val="21"/>
              </w:rPr>
            </w:pPr>
          </w:p>
        </w:tc>
      </w:tr>
      <w:tr>
        <w:tblPrEx>
          <w:tblCellMar>
            <w:top w:w="0" w:type="dxa"/>
            <w:left w:w="108" w:type="dxa"/>
            <w:bottom w:w="0" w:type="dxa"/>
            <w:right w:w="108" w:type="dxa"/>
          </w:tblCellMar>
        </w:tblPrEx>
        <w:trPr>
          <w:trHeight w:val="619" w:hRule="atLeast"/>
        </w:trPr>
        <w:tc>
          <w:tcPr>
            <w:tcW w:w="9445" w:type="dxa"/>
            <w:gridSpan w:val="4"/>
            <w:tcBorders>
              <w:top w:val="nil"/>
              <w:left w:val="nil"/>
              <w:bottom w:val="nil"/>
              <w:right w:val="nil"/>
            </w:tcBorders>
            <w:shd w:val="clear" w:color="auto" w:fill="auto"/>
            <w:noWrap/>
            <w:vAlign w:val="center"/>
          </w:tcPr>
          <w:p>
            <w:pPr>
              <w:widowControl/>
              <w:jc w:val="center"/>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kern w:val="0"/>
                <w:sz w:val="21"/>
                <w:szCs w:val="21"/>
              </w:rPr>
              <w:t>主要粮油作物</w:t>
            </w:r>
          </w:p>
        </w:tc>
      </w:tr>
      <w:tr>
        <w:tblPrEx>
          <w:tblCellMar>
            <w:top w:w="0" w:type="dxa"/>
            <w:left w:w="108" w:type="dxa"/>
            <w:bottom w:w="0" w:type="dxa"/>
            <w:right w:w="108" w:type="dxa"/>
          </w:tblCellMar>
        </w:tblPrEx>
        <w:trPr>
          <w:trHeight w:val="60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kern w:val="0"/>
                <w:sz w:val="21"/>
                <w:szCs w:val="21"/>
              </w:rPr>
              <w:t>序号</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kern w:val="0"/>
                <w:sz w:val="21"/>
                <w:szCs w:val="21"/>
              </w:rPr>
              <w:t>品种</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kern w:val="0"/>
                <w:sz w:val="21"/>
                <w:szCs w:val="21"/>
              </w:rPr>
              <w:t>赔偿限额（元）每亩</w:t>
            </w:r>
          </w:p>
        </w:tc>
        <w:tc>
          <w:tcPr>
            <w:tcW w:w="41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kern w:val="0"/>
                <w:sz w:val="21"/>
                <w:szCs w:val="21"/>
              </w:rPr>
              <w:t>备注</w:t>
            </w:r>
          </w:p>
        </w:tc>
      </w:tr>
      <w:tr>
        <w:tblPrEx>
          <w:tblCellMar>
            <w:top w:w="0" w:type="dxa"/>
            <w:left w:w="108" w:type="dxa"/>
            <w:bottom w:w="0" w:type="dxa"/>
            <w:right w:w="108" w:type="dxa"/>
          </w:tblCellMar>
        </w:tblPrEx>
        <w:trPr>
          <w:trHeight w:val="60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kern w:val="0"/>
                <w:sz w:val="21"/>
                <w:szCs w:val="21"/>
              </w:rPr>
              <w:t>1</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kern w:val="0"/>
                <w:sz w:val="21"/>
                <w:szCs w:val="21"/>
              </w:rPr>
              <w:t>水稻（含早中晚稻）</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kern w:val="0"/>
                <w:sz w:val="21"/>
                <w:szCs w:val="21"/>
              </w:rPr>
              <w:t>406</w:t>
            </w:r>
          </w:p>
        </w:tc>
        <w:tc>
          <w:tcPr>
            <w:tcW w:w="411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kern w:val="0"/>
                <w:sz w:val="21"/>
                <w:szCs w:val="21"/>
              </w:rPr>
              <w:t>赔偿金额不高于实际物化成本投入；不同生长期赔偿金额参照安徽省政策性农业保险的不同作物的生长期赔付比例。赔付金额＝保险金额*损失面积*损失率*不同生长期比例</w:t>
            </w:r>
          </w:p>
        </w:tc>
      </w:tr>
      <w:tr>
        <w:tblPrEx>
          <w:tblCellMar>
            <w:top w:w="0" w:type="dxa"/>
            <w:left w:w="108" w:type="dxa"/>
            <w:bottom w:w="0" w:type="dxa"/>
            <w:right w:w="108" w:type="dxa"/>
          </w:tblCellMar>
        </w:tblPrEx>
        <w:trPr>
          <w:trHeight w:val="60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kern w:val="0"/>
                <w:sz w:val="21"/>
                <w:szCs w:val="21"/>
              </w:rPr>
              <w:t>2</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kern w:val="0"/>
                <w:sz w:val="21"/>
                <w:szCs w:val="21"/>
              </w:rPr>
              <w:t>再生稻</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kern w:val="0"/>
                <w:sz w:val="21"/>
                <w:szCs w:val="21"/>
              </w:rPr>
              <w:t>200</w:t>
            </w:r>
          </w:p>
        </w:tc>
        <w:tc>
          <w:tcPr>
            <w:tcW w:w="41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Theme="minorEastAsia" w:hAnsiTheme="minorEastAsia" w:cstheme="minorEastAsia"/>
                <w:color w:val="000000"/>
                <w:sz w:val="21"/>
                <w:szCs w:val="21"/>
              </w:rPr>
            </w:pPr>
          </w:p>
        </w:tc>
      </w:tr>
      <w:tr>
        <w:tblPrEx>
          <w:tblCellMar>
            <w:top w:w="0" w:type="dxa"/>
            <w:left w:w="108" w:type="dxa"/>
            <w:bottom w:w="0" w:type="dxa"/>
            <w:right w:w="108" w:type="dxa"/>
          </w:tblCellMar>
        </w:tblPrEx>
        <w:trPr>
          <w:trHeight w:val="60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kern w:val="0"/>
                <w:sz w:val="21"/>
                <w:szCs w:val="21"/>
              </w:rPr>
              <w:t>3</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kern w:val="0"/>
                <w:sz w:val="21"/>
                <w:szCs w:val="21"/>
              </w:rPr>
              <w:t>油菜</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kern w:val="0"/>
                <w:sz w:val="21"/>
                <w:szCs w:val="21"/>
              </w:rPr>
              <w:t>270</w:t>
            </w:r>
          </w:p>
        </w:tc>
        <w:tc>
          <w:tcPr>
            <w:tcW w:w="41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Theme="minorEastAsia" w:hAnsiTheme="minorEastAsia" w:cstheme="minorEastAsia"/>
                <w:color w:val="000000"/>
                <w:sz w:val="21"/>
                <w:szCs w:val="21"/>
              </w:rPr>
            </w:pPr>
          </w:p>
        </w:tc>
      </w:tr>
      <w:tr>
        <w:tblPrEx>
          <w:tblCellMar>
            <w:top w:w="0" w:type="dxa"/>
            <w:left w:w="108" w:type="dxa"/>
            <w:bottom w:w="0" w:type="dxa"/>
            <w:right w:w="108" w:type="dxa"/>
          </w:tblCellMar>
        </w:tblPrEx>
        <w:trPr>
          <w:trHeight w:val="60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kern w:val="0"/>
                <w:sz w:val="21"/>
                <w:szCs w:val="21"/>
              </w:rPr>
              <w:t>4</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kern w:val="0"/>
                <w:sz w:val="21"/>
                <w:szCs w:val="21"/>
              </w:rPr>
              <w:t>玉米</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kern w:val="0"/>
                <w:sz w:val="21"/>
                <w:szCs w:val="21"/>
              </w:rPr>
              <w:t>282</w:t>
            </w:r>
          </w:p>
        </w:tc>
        <w:tc>
          <w:tcPr>
            <w:tcW w:w="41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Theme="minorEastAsia" w:hAnsiTheme="minorEastAsia" w:cstheme="minorEastAsia"/>
                <w:color w:val="000000"/>
                <w:sz w:val="21"/>
                <w:szCs w:val="21"/>
              </w:rPr>
            </w:pPr>
          </w:p>
        </w:tc>
      </w:tr>
      <w:tr>
        <w:tblPrEx>
          <w:tblCellMar>
            <w:top w:w="0" w:type="dxa"/>
            <w:left w:w="108" w:type="dxa"/>
            <w:bottom w:w="0" w:type="dxa"/>
            <w:right w:w="108" w:type="dxa"/>
          </w:tblCellMar>
        </w:tblPrEx>
        <w:trPr>
          <w:trHeight w:val="60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kern w:val="0"/>
                <w:sz w:val="21"/>
                <w:szCs w:val="21"/>
              </w:rPr>
              <w:t>5</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kern w:val="0"/>
                <w:sz w:val="21"/>
                <w:szCs w:val="21"/>
              </w:rPr>
              <w:t>红薯</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kern w:val="0"/>
                <w:sz w:val="21"/>
                <w:szCs w:val="21"/>
              </w:rPr>
              <w:t>220</w:t>
            </w:r>
          </w:p>
        </w:tc>
        <w:tc>
          <w:tcPr>
            <w:tcW w:w="41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Theme="minorEastAsia" w:hAnsiTheme="minorEastAsia" w:cstheme="minorEastAsia"/>
                <w:color w:val="000000"/>
                <w:sz w:val="21"/>
                <w:szCs w:val="21"/>
              </w:rPr>
            </w:pPr>
          </w:p>
        </w:tc>
      </w:tr>
      <w:tr>
        <w:tblPrEx>
          <w:tblCellMar>
            <w:top w:w="0" w:type="dxa"/>
            <w:left w:w="108" w:type="dxa"/>
            <w:bottom w:w="0" w:type="dxa"/>
            <w:right w:w="108" w:type="dxa"/>
          </w:tblCellMar>
        </w:tblPrEx>
        <w:trPr>
          <w:trHeight w:val="60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kern w:val="0"/>
                <w:sz w:val="21"/>
                <w:szCs w:val="21"/>
              </w:rPr>
              <w:t>6</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kern w:val="0"/>
                <w:sz w:val="21"/>
                <w:szCs w:val="21"/>
              </w:rPr>
              <w:t>花生</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kern w:val="0"/>
                <w:sz w:val="21"/>
                <w:szCs w:val="21"/>
              </w:rPr>
              <w:t>300</w:t>
            </w:r>
          </w:p>
        </w:tc>
        <w:tc>
          <w:tcPr>
            <w:tcW w:w="41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Theme="minorEastAsia" w:hAnsiTheme="minorEastAsia" w:cstheme="minorEastAsia"/>
                <w:color w:val="000000"/>
                <w:sz w:val="21"/>
                <w:szCs w:val="21"/>
              </w:rPr>
            </w:pPr>
          </w:p>
        </w:tc>
      </w:tr>
      <w:tr>
        <w:tblPrEx>
          <w:tblCellMar>
            <w:top w:w="0" w:type="dxa"/>
            <w:left w:w="108" w:type="dxa"/>
            <w:bottom w:w="0" w:type="dxa"/>
            <w:right w:w="108" w:type="dxa"/>
          </w:tblCellMar>
        </w:tblPrEx>
        <w:trPr>
          <w:trHeight w:val="600" w:hRule="atLeast"/>
        </w:trPr>
        <w:tc>
          <w:tcPr>
            <w:tcW w:w="9445" w:type="dxa"/>
            <w:gridSpan w:val="4"/>
            <w:tcBorders>
              <w:top w:val="single" w:color="000000" w:sz="4" w:space="0"/>
              <w:left w:val="nil"/>
              <w:bottom w:val="nil"/>
              <w:right w:val="nil"/>
            </w:tcBorders>
            <w:shd w:val="clear" w:color="auto" w:fill="auto"/>
            <w:noWrap/>
            <w:vAlign w:val="center"/>
          </w:tcPr>
          <w:p>
            <w:pPr>
              <w:widowControl/>
              <w:jc w:val="center"/>
              <w:textAlignment w:val="center"/>
              <w:rPr>
                <w:rFonts w:asciiTheme="minorEastAsia" w:hAnsiTheme="minorEastAsia" w:cstheme="minorEastAsia"/>
                <w:color w:val="000000"/>
                <w:kern w:val="0"/>
                <w:sz w:val="21"/>
                <w:szCs w:val="21"/>
              </w:rPr>
            </w:pPr>
          </w:p>
          <w:p>
            <w:pPr>
              <w:widowControl/>
              <w:jc w:val="center"/>
              <w:textAlignment w:val="center"/>
              <w:rPr>
                <w:rFonts w:asciiTheme="minorEastAsia" w:hAnsiTheme="minorEastAsia" w:cstheme="minorEastAsia"/>
                <w:color w:val="000000"/>
                <w:kern w:val="0"/>
                <w:sz w:val="21"/>
                <w:szCs w:val="21"/>
              </w:rPr>
            </w:pPr>
          </w:p>
          <w:p>
            <w:pPr>
              <w:widowControl/>
              <w:jc w:val="center"/>
              <w:textAlignment w:val="center"/>
              <w:rPr>
                <w:rFonts w:asciiTheme="minorEastAsia" w:hAnsiTheme="minorEastAsia" w:cstheme="minorEastAsia"/>
                <w:color w:val="000000"/>
                <w:kern w:val="0"/>
                <w:sz w:val="21"/>
                <w:szCs w:val="21"/>
              </w:rPr>
            </w:pPr>
          </w:p>
          <w:p>
            <w:pPr>
              <w:widowControl/>
              <w:jc w:val="center"/>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kern w:val="0"/>
                <w:sz w:val="21"/>
                <w:szCs w:val="21"/>
              </w:rPr>
              <w:t>主要经济作物</w:t>
            </w:r>
          </w:p>
        </w:tc>
      </w:tr>
      <w:tr>
        <w:tblPrEx>
          <w:tblCellMar>
            <w:top w:w="0" w:type="dxa"/>
            <w:left w:w="108" w:type="dxa"/>
            <w:bottom w:w="0" w:type="dxa"/>
            <w:right w:w="108" w:type="dxa"/>
          </w:tblCellMar>
        </w:tblPrEx>
        <w:trPr>
          <w:trHeight w:val="60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kern w:val="0"/>
                <w:sz w:val="21"/>
                <w:szCs w:val="21"/>
              </w:rPr>
              <w:t>序号</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kern w:val="0"/>
                <w:sz w:val="21"/>
                <w:szCs w:val="21"/>
              </w:rPr>
              <w:t>品种</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kern w:val="0"/>
                <w:sz w:val="21"/>
                <w:szCs w:val="21"/>
              </w:rPr>
              <w:t>赔偿限额（元）每亩</w:t>
            </w:r>
          </w:p>
        </w:tc>
        <w:tc>
          <w:tcPr>
            <w:tcW w:w="41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kern w:val="0"/>
                <w:sz w:val="21"/>
                <w:szCs w:val="21"/>
              </w:rPr>
              <w:t>备注</w:t>
            </w:r>
          </w:p>
        </w:tc>
      </w:tr>
      <w:tr>
        <w:tblPrEx>
          <w:tblCellMar>
            <w:top w:w="0" w:type="dxa"/>
            <w:left w:w="108" w:type="dxa"/>
            <w:bottom w:w="0" w:type="dxa"/>
            <w:right w:w="108" w:type="dxa"/>
          </w:tblCellMar>
        </w:tblPrEx>
        <w:trPr>
          <w:trHeight w:val="195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kern w:val="0"/>
                <w:sz w:val="21"/>
                <w:szCs w:val="21"/>
              </w:rPr>
              <w:t>1</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kern w:val="0"/>
                <w:sz w:val="21"/>
                <w:szCs w:val="21"/>
              </w:rPr>
              <w:t>香榧</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嫁接苗3000</w:t>
            </w:r>
          </w:p>
          <w:p>
            <w:pPr>
              <w:widowControl/>
              <w:jc w:val="left"/>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实生苗500</w:t>
            </w:r>
          </w:p>
        </w:tc>
        <w:tc>
          <w:tcPr>
            <w:tcW w:w="41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kern w:val="0"/>
                <w:sz w:val="21"/>
                <w:szCs w:val="21"/>
              </w:rPr>
              <w:t>赔偿金额不高于实际物化成本投入；不同生长期赔偿金额参照安徽省政策性农业保险的不同作物的生长期赔付比例。赔付金额＝保险金额*损失面积*损失率*不同生长期比例</w:t>
            </w:r>
          </w:p>
        </w:tc>
      </w:tr>
      <w:tr>
        <w:tblPrEx>
          <w:tblCellMar>
            <w:top w:w="0" w:type="dxa"/>
            <w:left w:w="108" w:type="dxa"/>
            <w:bottom w:w="0" w:type="dxa"/>
            <w:right w:w="108" w:type="dxa"/>
          </w:tblCellMar>
        </w:tblPrEx>
        <w:trPr>
          <w:trHeight w:val="186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kern w:val="0"/>
                <w:sz w:val="21"/>
                <w:szCs w:val="21"/>
              </w:rPr>
              <w:t>2</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kern w:val="0"/>
                <w:sz w:val="21"/>
                <w:szCs w:val="21"/>
              </w:rPr>
              <w:t>油茶</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嫁接苗1000</w:t>
            </w:r>
          </w:p>
          <w:p>
            <w:pPr>
              <w:widowControl/>
              <w:jc w:val="left"/>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实生苗200</w:t>
            </w:r>
          </w:p>
        </w:tc>
        <w:tc>
          <w:tcPr>
            <w:tcW w:w="41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cstheme="minorEastAsia"/>
                <w:color w:val="000000"/>
                <w:sz w:val="21"/>
                <w:szCs w:val="21"/>
              </w:rPr>
            </w:pPr>
            <w:r>
              <w:rPr>
                <w:rFonts w:hint="eastAsia" w:asciiTheme="minorEastAsia" w:hAnsiTheme="minorEastAsia" w:cstheme="minorEastAsia"/>
                <w:color w:val="000000"/>
                <w:kern w:val="0"/>
                <w:sz w:val="21"/>
                <w:szCs w:val="21"/>
              </w:rPr>
              <w:t>赔偿金额不高于实际物化成本投入；不同生长期赔偿金额参照安徽省政策性农业保险的不同作物的生长期赔付比例。赔付金额＝保险金额*损失面积*损失率*不同生长期比例</w:t>
            </w:r>
          </w:p>
        </w:tc>
      </w:tr>
      <w:tr>
        <w:tblPrEx>
          <w:tblCellMar>
            <w:top w:w="0" w:type="dxa"/>
            <w:left w:w="108" w:type="dxa"/>
            <w:bottom w:w="0" w:type="dxa"/>
            <w:right w:w="108" w:type="dxa"/>
          </w:tblCellMar>
        </w:tblPrEx>
        <w:trPr>
          <w:trHeight w:val="186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3</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油桃</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嫁接苗1000</w:t>
            </w:r>
          </w:p>
          <w:p>
            <w:pPr>
              <w:widowControl/>
              <w:jc w:val="left"/>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实生苗200</w:t>
            </w:r>
          </w:p>
        </w:tc>
        <w:tc>
          <w:tcPr>
            <w:tcW w:w="41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赔偿金额不高于实际物化成本投入；不同生长期赔偿金额参照安徽省政策性农业保险的不同作物的生长期赔付比例。赔付金额＝保险金额*损失面积*损失率*不同生长期比例</w:t>
            </w:r>
          </w:p>
        </w:tc>
      </w:tr>
      <w:tr>
        <w:tblPrEx>
          <w:tblCellMar>
            <w:top w:w="0" w:type="dxa"/>
            <w:left w:w="108" w:type="dxa"/>
            <w:bottom w:w="0" w:type="dxa"/>
            <w:right w:w="108" w:type="dxa"/>
          </w:tblCellMar>
        </w:tblPrEx>
        <w:trPr>
          <w:trHeight w:val="186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4</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毛竹</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780</w:t>
            </w:r>
          </w:p>
        </w:tc>
        <w:tc>
          <w:tcPr>
            <w:tcW w:w="41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赔偿金额不高于实际物化成本投入；不同生长期赔偿金额参照安徽省政策性农业保险的不同作物的生长期赔付比例。赔付金额＝保险金额*损失面积*损失率*不同生长期比例</w:t>
            </w:r>
          </w:p>
        </w:tc>
      </w:tr>
      <w:tr>
        <w:tblPrEx>
          <w:tblCellMar>
            <w:top w:w="0" w:type="dxa"/>
            <w:left w:w="108" w:type="dxa"/>
            <w:bottom w:w="0" w:type="dxa"/>
            <w:right w:w="108" w:type="dxa"/>
          </w:tblCellMar>
        </w:tblPrEx>
        <w:trPr>
          <w:trHeight w:val="186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5</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其他经济作物</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500</w:t>
            </w:r>
          </w:p>
        </w:tc>
        <w:tc>
          <w:tcPr>
            <w:tcW w:w="41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赔偿金额不高于实际物化成本投入；不同生长期赔偿金额参照安徽省政策性农业保险的不同作物的生长期赔付比例。赔付金额＝保险金额*损失面积*损失率*不同生长期比例</w:t>
            </w:r>
          </w:p>
        </w:tc>
      </w:tr>
    </w:tbl>
    <w:p>
      <w:pPr>
        <w:ind w:firstLine="420" w:firstLineChars="200"/>
        <w:rPr>
          <w:rFonts w:asciiTheme="minorEastAsia" w:hAnsiTheme="minorEastAsia" w:cstheme="minorEastAsia"/>
          <w:sz w:val="21"/>
          <w:szCs w:val="21"/>
        </w:rPr>
      </w:pPr>
    </w:p>
    <w:p>
      <w:pPr>
        <w:rPr>
          <w:rFonts w:hint="eastAsia"/>
          <w:sz w:val="21"/>
          <w:szCs w:val="21"/>
        </w:rPr>
      </w:pPr>
      <w:r>
        <w:rPr>
          <w:rFonts w:hint="eastAsia"/>
          <w:sz w:val="21"/>
          <w:szCs w:val="21"/>
        </w:rPr>
        <w:br w:type="page"/>
      </w:r>
    </w:p>
    <w:p>
      <w:pPr>
        <w:pStyle w:val="11"/>
        <w:rPr>
          <w:rFonts w:hint="eastAsia"/>
          <w:sz w:val="21"/>
          <w:szCs w:val="21"/>
        </w:rPr>
      </w:pPr>
      <w:r>
        <w:rPr>
          <w:rFonts w:hint="eastAsia"/>
          <w:sz w:val="21"/>
          <w:szCs w:val="21"/>
        </w:rPr>
        <w:t>二、商务要求</w:t>
      </w:r>
      <w:bookmarkEnd w:id="2"/>
    </w:p>
    <w:p>
      <w:r>
        <w:rPr>
          <w:rFonts w:hint="eastAsia"/>
        </w:rPr>
        <w:t xml:space="preserve">  </w:t>
      </w:r>
    </w:p>
    <w:tbl>
      <w:tblPr>
        <w:tblStyle w:val="7"/>
        <w:tblW w:w="979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559"/>
        <w:gridCol w:w="75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710" w:type="dxa"/>
            <w:noWrap w:val="0"/>
            <w:vAlign w:val="center"/>
          </w:tcPr>
          <w:p>
            <w:pPr>
              <w:rPr>
                <w:rFonts w:ascii="宋体" w:hAnsi="宋体" w:cs="宋体"/>
                <w:b/>
                <w:bCs/>
                <w:szCs w:val="21"/>
              </w:rPr>
            </w:pPr>
            <w:r>
              <w:rPr>
                <w:rFonts w:hint="eastAsia" w:ascii="宋体" w:hAnsi="宋体" w:cs="宋体"/>
                <w:b/>
                <w:bCs/>
                <w:szCs w:val="21"/>
              </w:rPr>
              <w:t>序号</w:t>
            </w:r>
          </w:p>
        </w:tc>
        <w:tc>
          <w:tcPr>
            <w:tcW w:w="1559" w:type="dxa"/>
            <w:noWrap w:val="0"/>
            <w:vAlign w:val="center"/>
          </w:tcPr>
          <w:p>
            <w:pPr>
              <w:jc w:val="center"/>
              <w:rPr>
                <w:rFonts w:ascii="宋体" w:hAnsi="宋体" w:cs="宋体"/>
                <w:b/>
                <w:bCs/>
                <w:szCs w:val="21"/>
              </w:rPr>
            </w:pPr>
            <w:r>
              <w:rPr>
                <w:rFonts w:hint="eastAsia" w:ascii="宋体" w:hAnsi="宋体" w:cs="宋体"/>
                <w:b/>
                <w:bCs/>
                <w:szCs w:val="21"/>
              </w:rPr>
              <w:t>内容</w:t>
            </w:r>
          </w:p>
        </w:tc>
        <w:tc>
          <w:tcPr>
            <w:tcW w:w="7525" w:type="dxa"/>
            <w:noWrap w:val="0"/>
            <w:vAlign w:val="center"/>
          </w:tcPr>
          <w:p>
            <w:pPr>
              <w:jc w:val="center"/>
              <w:rPr>
                <w:rFonts w:ascii="宋体" w:hAnsi="宋体" w:cs="宋体"/>
                <w:b/>
                <w:bCs/>
                <w:szCs w:val="21"/>
              </w:rPr>
            </w:pPr>
            <w:r>
              <w:rPr>
                <w:rFonts w:hint="eastAsia" w:ascii="宋体" w:hAnsi="宋体" w:cs="宋体"/>
                <w:b/>
                <w:bCs/>
                <w:szCs w:val="21"/>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8" w:hRule="atLeast"/>
        </w:trPr>
        <w:tc>
          <w:tcPr>
            <w:tcW w:w="710" w:type="dxa"/>
            <w:noWrap w:val="0"/>
            <w:vAlign w:val="center"/>
          </w:tcPr>
          <w:p>
            <w:pPr>
              <w:spacing w:line="500" w:lineRule="exact"/>
              <w:jc w:val="center"/>
              <w:rPr>
                <w:rFonts w:hint="eastAsia" w:ascii="宋体" w:hAnsi="宋体" w:cs="宋体"/>
                <w:b/>
                <w:bCs/>
                <w:szCs w:val="21"/>
              </w:rPr>
            </w:pPr>
            <w:r>
              <w:rPr>
                <w:rFonts w:hint="eastAsia" w:ascii="宋体" w:hAnsi="宋体" w:cs="宋体"/>
                <w:b/>
                <w:bCs/>
                <w:szCs w:val="21"/>
              </w:rPr>
              <w:t>1</w:t>
            </w:r>
          </w:p>
        </w:tc>
        <w:tc>
          <w:tcPr>
            <w:tcW w:w="1559" w:type="dxa"/>
            <w:noWrap w:val="0"/>
            <w:vAlign w:val="center"/>
          </w:tcPr>
          <w:p>
            <w:pPr>
              <w:spacing w:line="500" w:lineRule="exact"/>
              <w:jc w:val="center"/>
              <w:rPr>
                <w:rFonts w:hint="eastAsia" w:ascii="宋体" w:hAnsi="宋体" w:cs="宋体"/>
                <w:b/>
                <w:bCs/>
                <w:szCs w:val="21"/>
              </w:rPr>
            </w:pPr>
            <w:r>
              <w:rPr>
                <w:rFonts w:hint="eastAsia" w:ascii="宋体" w:hAnsi="宋体" w:cs="宋体"/>
                <w:b/>
                <w:bCs/>
                <w:szCs w:val="21"/>
              </w:rPr>
              <w:t>合同签订地点</w:t>
            </w:r>
          </w:p>
        </w:tc>
        <w:tc>
          <w:tcPr>
            <w:tcW w:w="7525" w:type="dxa"/>
            <w:noWrap w:val="0"/>
            <w:vAlign w:val="center"/>
          </w:tcPr>
          <w:p>
            <w:pPr>
              <w:spacing w:line="500" w:lineRule="exact"/>
              <w:rPr>
                <w:rFonts w:hint="eastAsia" w:ascii="宋体" w:hAnsi="宋体" w:cs="宋体"/>
                <w:b/>
                <w:bCs/>
                <w:szCs w:val="21"/>
              </w:rPr>
            </w:pPr>
            <w:r>
              <w:rPr>
                <w:rFonts w:hint="eastAsia" w:ascii="宋体" w:hAnsi="宋体" w:cs="宋体"/>
                <w:b/>
                <w:bCs/>
                <w:szCs w:val="21"/>
              </w:rPr>
              <w:t>黄山市</w:t>
            </w:r>
            <w:r>
              <w:rPr>
                <w:rFonts w:hint="eastAsia" w:ascii="宋体" w:hAnsi="宋体" w:cs="宋体"/>
                <w:b/>
                <w:bCs/>
                <w:szCs w:val="21"/>
                <w:lang w:eastAsia="zh-CN"/>
              </w:rPr>
              <w:t>徽州区</w:t>
            </w:r>
            <w:r>
              <w:rPr>
                <w:rFonts w:hint="eastAsia" w:ascii="宋体" w:hAnsi="宋体" w:cs="宋体"/>
                <w:b/>
                <w:bCs/>
                <w:szCs w:val="21"/>
              </w:rPr>
              <w:t>林业局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center"/>
          </w:tcPr>
          <w:p>
            <w:pPr>
              <w:spacing w:line="500" w:lineRule="exact"/>
              <w:jc w:val="center"/>
              <w:rPr>
                <w:rFonts w:hint="eastAsia" w:ascii="宋体" w:hAnsi="宋体" w:cs="宋体"/>
                <w:b/>
                <w:bCs/>
                <w:szCs w:val="21"/>
              </w:rPr>
            </w:pPr>
            <w:r>
              <w:rPr>
                <w:rFonts w:hint="eastAsia" w:ascii="宋体" w:hAnsi="宋体" w:cs="宋体"/>
                <w:b/>
                <w:bCs/>
                <w:szCs w:val="21"/>
              </w:rPr>
              <w:t>2</w:t>
            </w:r>
          </w:p>
        </w:tc>
        <w:tc>
          <w:tcPr>
            <w:tcW w:w="1559" w:type="dxa"/>
            <w:noWrap w:val="0"/>
            <w:vAlign w:val="center"/>
          </w:tcPr>
          <w:p>
            <w:pPr>
              <w:spacing w:line="500" w:lineRule="exact"/>
              <w:jc w:val="center"/>
              <w:rPr>
                <w:rFonts w:hint="eastAsia" w:ascii="宋体" w:hAnsi="宋体" w:cs="宋体"/>
                <w:b/>
                <w:bCs/>
                <w:szCs w:val="21"/>
              </w:rPr>
            </w:pPr>
            <w:r>
              <w:rPr>
                <w:rFonts w:hint="eastAsia" w:ascii="宋体" w:hAnsi="宋体" w:cs="宋体"/>
                <w:b/>
                <w:bCs/>
                <w:szCs w:val="21"/>
              </w:rPr>
              <w:t>提供服务</w:t>
            </w:r>
          </w:p>
        </w:tc>
        <w:tc>
          <w:tcPr>
            <w:tcW w:w="7525" w:type="dxa"/>
            <w:noWrap w:val="0"/>
            <w:vAlign w:val="center"/>
          </w:tcPr>
          <w:p>
            <w:pPr>
              <w:spacing w:line="500" w:lineRule="exact"/>
              <w:rPr>
                <w:rFonts w:ascii="宋体" w:hAnsi="宋体" w:cs="宋体"/>
                <w:b/>
                <w:bCs/>
                <w:szCs w:val="21"/>
              </w:rPr>
            </w:pPr>
            <w:r>
              <w:rPr>
                <w:rStyle w:val="9"/>
                <w:rFonts w:ascii="宋体" w:hAnsi="宋体" w:eastAsiaTheme="minorEastAsia" w:cstheme="minorBidi"/>
                <w:b w:val="0"/>
                <w:sz w:val="24"/>
                <w:lang w:val="en-US" w:eastAsia="zh-CN"/>
              </w:rPr>
              <w:t>在保险期间内，徽州区单位、居民或流动人口在承保区域内，遭受野生动物伤害导致人身伤亡或财产损失，无法找到责任人或者责任人无力补偿，对被保险人依据国家或地方法律法规规定给付的一次性伤亡救助金、支付的医疗费用以及财产损失补偿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center"/>
          </w:tcPr>
          <w:p>
            <w:pPr>
              <w:spacing w:line="500" w:lineRule="exact"/>
              <w:jc w:val="center"/>
              <w:rPr>
                <w:rFonts w:hint="eastAsia" w:ascii="宋体" w:hAnsi="宋体" w:cs="宋体"/>
                <w:b/>
                <w:bCs/>
                <w:szCs w:val="21"/>
              </w:rPr>
            </w:pPr>
            <w:r>
              <w:rPr>
                <w:rFonts w:hint="eastAsia" w:ascii="宋体" w:hAnsi="宋体" w:cs="宋体"/>
                <w:b/>
                <w:bCs/>
                <w:szCs w:val="21"/>
              </w:rPr>
              <w:t>3</w:t>
            </w:r>
          </w:p>
        </w:tc>
        <w:tc>
          <w:tcPr>
            <w:tcW w:w="1559" w:type="dxa"/>
            <w:noWrap w:val="0"/>
            <w:vAlign w:val="center"/>
          </w:tcPr>
          <w:p>
            <w:pPr>
              <w:spacing w:line="500" w:lineRule="exact"/>
              <w:jc w:val="center"/>
              <w:rPr>
                <w:rFonts w:hint="eastAsia" w:ascii="宋体" w:hAnsi="宋体" w:cs="宋体"/>
                <w:b/>
                <w:bCs/>
                <w:szCs w:val="21"/>
              </w:rPr>
            </w:pPr>
            <w:r>
              <w:rPr>
                <w:rFonts w:hint="eastAsia" w:ascii="宋体" w:hAnsi="宋体" w:cs="宋体"/>
                <w:b/>
                <w:bCs/>
                <w:szCs w:val="21"/>
              </w:rPr>
              <w:t>质量要求</w:t>
            </w:r>
          </w:p>
        </w:tc>
        <w:tc>
          <w:tcPr>
            <w:tcW w:w="7525" w:type="dxa"/>
            <w:noWrap w:val="0"/>
            <w:vAlign w:val="center"/>
          </w:tcPr>
          <w:p>
            <w:pPr>
              <w:spacing w:line="500" w:lineRule="exact"/>
              <w:rPr>
                <w:rFonts w:hint="eastAsia" w:ascii="宋体" w:hAnsi="宋体" w:eastAsia="宋体"/>
                <w:szCs w:val="21"/>
                <w:lang w:eastAsia="zh-CN"/>
              </w:rPr>
            </w:pPr>
            <w:r>
              <w:rPr>
                <w:rStyle w:val="9"/>
                <w:rFonts w:hint="eastAsia" w:ascii="宋体" w:hAnsi="宋体"/>
                <w:b w:val="0"/>
                <w:sz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center"/>
          </w:tcPr>
          <w:p>
            <w:pPr>
              <w:spacing w:line="500" w:lineRule="exact"/>
              <w:jc w:val="center"/>
              <w:rPr>
                <w:rFonts w:hint="eastAsia" w:ascii="宋体" w:hAnsi="宋体" w:cs="宋体"/>
                <w:b/>
                <w:bCs/>
                <w:szCs w:val="21"/>
              </w:rPr>
            </w:pPr>
            <w:r>
              <w:rPr>
                <w:rFonts w:hint="eastAsia" w:ascii="宋体" w:hAnsi="宋体" w:cs="宋体"/>
                <w:b/>
                <w:bCs/>
                <w:szCs w:val="21"/>
              </w:rPr>
              <w:t>4</w:t>
            </w:r>
          </w:p>
        </w:tc>
        <w:tc>
          <w:tcPr>
            <w:tcW w:w="1559" w:type="dxa"/>
            <w:noWrap w:val="0"/>
            <w:vAlign w:val="center"/>
          </w:tcPr>
          <w:p>
            <w:pPr>
              <w:spacing w:line="500" w:lineRule="exact"/>
              <w:jc w:val="center"/>
              <w:rPr>
                <w:rFonts w:hint="eastAsia" w:ascii="宋体" w:hAnsi="宋体" w:cs="宋体"/>
                <w:b/>
                <w:bCs/>
                <w:szCs w:val="21"/>
              </w:rPr>
            </w:pPr>
            <w:r>
              <w:rPr>
                <w:rFonts w:hint="eastAsia" w:ascii="宋体" w:hAnsi="宋体" w:cs="宋体"/>
                <w:b/>
                <w:bCs/>
                <w:szCs w:val="21"/>
              </w:rPr>
              <w:t>技术依据</w:t>
            </w:r>
          </w:p>
        </w:tc>
        <w:tc>
          <w:tcPr>
            <w:tcW w:w="7525" w:type="dxa"/>
            <w:noWrap w:val="0"/>
            <w:vAlign w:val="center"/>
          </w:tcPr>
          <w:p>
            <w:pPr>
              <w:spacing w:line="500" w:lineRule="exact"/>
              <w:rPr>
                <w:rFonts w:hint="eastAsia" w:ascii="宋体" w:hAnsi="宋体" w:eastAsia="宋体"/>
                <w:szCs w:val="21"/>
                <w:lang w:eastAsia="zh-CN"/>
              </w:rPr>
            </w:pPr>
            <w:r>
              <w:rPr>
                <w:rStyle w:val="9"/>
                <w:rFonts w:hint="eastAsia" w:ascii="宋体" w:hAnsi="宋体"/>
                <w:b w:val="0"/>
                <w:sz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center"/>
          </w:tcPr>
          <w:p>
            <w:pPr>
              <w:spacing w:line="500" w:lineRule="exact"/>
              <w:jc w:val="center"/>
              <w:rPr>
                <w:rFonts w:ascii="宋体" w:hAnsi="宋体" w:cs="宋体"/>
                <w:b/>
                <w:bCs/>
                <w:szCs w:val="21"/>
              </w:rPr>
            </w:pPr>
            <w:r>
              <w:rPr>
                <w:rFonts w:hint="eastAsia" w:ascii="宋体" w:hAnsi="宋体" w:cs="宋体"/>
                <w:b/>
                <w:bCs/>
                <w:szCs w:val="21"/>
              </w:rPr>
              <w:t>5</w:t>
            </w:r>
          </w:p>
        </w:tc>
        <w:tc>
          <w:tcPr>
            <w:tcW w:w="1559" w:type="dxa"/>
            <w:noWrap w:val="0"/>
            <w:vAlign w:val="center"/>
          </w:tcPr>
          <w:p>
            <w:pPr>
              <w:spacing w:line="500" w:lineRule="exact"/>
              <w:jc w:val="center"/>
              <w:rPr>
                <w:rFonts w:hint="eastAsia" w:ascii="宋体" w:hAnsi="宋体" w:cs="宋体"/>
                <w:b/>
                <w:bCs/>
                <w:szCs w:val="21"/>
              </w:rPr>
            </w:pPr>
            <w:r>
              <w:rPr>
                <w:rFonts w:hint="eastAsia" w:ascii="宋体" w:hAnsi="宋体" w:cs="宋体"/>
                <w:b/>
                <w:bCs/>
                <w:szCs w:val="21"/>
              </w:rPr>
              <w:t>报价要求</w:t>
            </w:r>
          </w:p>
        </w:tc>
        <w:tc>
          <w:tcPr>
            <w:tcW w:w="7525" w:type="dxa"/>
            <w:noWrap w:val="0"/>
            <w:vAlign w:val="center"/>
          </w:tcPr>
          <w:p>
            <w:pPr>
              <w:spacing w:line="500" w:lineRule="exact"/>
              <w:rPr>
                <w:rStyle w:val="9"/>
                <w:rFonts w:hint="eastAsia" w:ascii="宋体" w:hAnsi="宋体"/>
                <w:b w:val="0"/>
                <w:sz w:val="24"/>
              </w:rPr>
            </w:pPr>
            <w:r>
              <w:rPr>
                <w:rStyle w:val="9"/>
                <w:rFonts w:hint="eastAsia" w:ascii="宋体" w:hAnsi="宋体"/>
                <w:b w:val="0"/>
                <w:sz w:val="24"/>
              </w:rPr>
              <w:t>包含完成本项目的一切费用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710" w:type="dxa"/>
            <w:noWrap w:val="0"/>
            <w:vAlign w:val="center"/>
          </w:tcPr>
          <w:p>
            <w:pPr>
              <w:spacing w:line="500" w:lineRule="exact"/>
              <w:jc w:val="center"/>
              <w:rPr>
                <w:rFonts w:hint="eastAsia" w:ascii="宋体" w:hAnsi="宋体" w:cs="宋体"/>
                <w:b/>
                <w:bCs/>
                <w:szCs w:val="21"/>
              </w:rPr>
            </w:pPr>
            <w:r>
              <w:rPr>
                <w:rFonts w:hint="eastAsia" w:ascii="宋体" w:hAnsi="宋体" w:cs="宋体"/>
                <w:b/>
                <w:bCs/>
                <w:szCs w:val="21"/>
              </w:rPr>
              <w:t>6</w:t>
            </w:r>
          </w:p>
        </w:tc>
        <w:tc>
          <w:tcPr>
            <w:tcW w:w="1559" w:type="dxa"/>
            <w:noWrap w:val="0"/>
            <w:vAlign w:val="center"/>
          </w:tcPr>
          <w:p>
            <w:pPr>
              <w:spacing w:line="500" w:lineRule="exact"/>
              <w:jc w:val="center"/>
              <w:rPr>
                <w:rFonts w:ascii="宋体" w:hAnsi="宋体" w:cs="宋体"/>
                <w:b/>
                <w:bCs/>
                <w:szCs w:val="21"/>
              </w:rPr>
            </w:pPr>
            <w:r>
              <w:rPr>
                <w:rFonts w:hint="eastAsia" w:ascii="宋体" w:hAnsi="宋体" w:cs="宋体"/>
                <w:b/>
                <w:bCs/>
                <w:szCs w:val="21"/>
              </w:rPr>
              <w:t>验收</w:t>
            </w:r>
          </w:p>
        </w:tc>
        <w:tc>
          <w:tcPr>
            <w:tcW w:w="7525" w:type="dxa"/>
            <w:noWrap w:val="0"/>
            <w:vAlign w:val="center"/>
          </w:tcPr>
          <w:p>
            <w:pPr>
              <w:spacing w:line="500" w:lineRule="exact"/>
              <w:rPr>
                <w:rFonts w:hint="eastAsia" w:ascii="宋体" w:hAnsi="宋体" w:eastAsia="宋体" w:cs="宋体"/>
                <w:b/>
                <w:bCs/>
                <w:szCs w:val="21"/>
                <w:lang w:eastAsia="zh-CN"/>
              </w:rPr>
            </w:pPr>
            <w:r>
              <w:rPr>
                <w:rFonts w:hint="eastAsia" w:ascii="宋体" w:hAnsi="宋体" w:cs="宋体"/>
                <w:b/>
                <w:bCs/>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center"/>
          </w:tcPr>
          <w:p>
            <w:pPr>
              <w:spacing w:line="500" w:lineRule="exact"/>
              <w:jc w:val="center"/>
              <w:rPr>
                <w:rFonts w:hint="eastAsia" w:ascii="宋体" w:hAnsi="宋体" w:cs="宋体"/>
                <w:b/>
                <w:bCs/>
                <w:szCs w:val="21"/>
              </w:rPr>
            </w:pPr>
            <w:r>
              <w:rPr>
                <w:rFonts w:hint="eastAsia" w:ascii="宋体" w:hAnsi="宋体" w:cs="宋体"/>
                <w:b/>
                <w:bCs/>
                <w:szCs w:val="21"/>
              </w:rPr>
              <w:t>7</w:t>
            </w:r>
          </w:p>
        </w:tc>
        <w:tc>
          <w:tcPr>
            <w:tcW w:w="1559" w:type="dxa"/>
            <w:noWrap w:val="0"/>
            <w:vAlign w:val="center"/>
          </w:tcPr>
          <w:p>
            <w:pPr>
              <w:spacing w:line="500" w:lineRule="exact"/>
              <w:jc w:val="center"/>
              <w:rPr>
                <w:rFonts w:hint="eastAsia" w:ascii="宋体" w:hAnsi="宋体" w:cs="宋体"/>
                <w:b/>
                <w:bCs/>
                <w:szCs w:val="21"/>
              </w:rPr>
            </w:pPr>
            <w:r>
              <w:rPr>
                <w:rFonts w:hint="eastAsia" w:ascii="宋体" w:hAnsi="宋体" w:cs="宋体"/>
                <w:b/>
                <w:bCs/>
                <w:szCs w:val="21"/>
              </w:rPr>
              <w:t>付款</w:t>
            </w:r>
          </w:p>
        </w:tc>
        <w:tc>
          <w:tcPr>
            <w:tcW w:w="7525" w:type="dxa"/>
            <w:noWrap w:val="0"/>
            <w:vAlign w:val="center"/>
          </w:tcPr>
          <w:p>
            <w:pPr>
              <w:spacing w:line="500" w:lineRule="exact"/>
              <w:rPr>
                <w:rFonts w:hint="eastAsia" w:ascii="宋体" w:hAnsi="宋体" w:cs="宋体"/>
                <w:b/>
                <w:bCs/>
                <w:szCs w:val="21"/>
              </w:rPr>
            </w:pPr>
            <w:r>
              <w:rPr>
                <w:rFonts w:hint="eastAsia" w:ascii="宋体" w:hAnsi="宋体" w:cs="宋体"/>
                <w:b/>
                <w:bCs/>
                <w:szCs w:val="21"/>
              </w:rPr>
              <w:t>付款人：黄山市</w:t>
            </w:r>
            <w:r>
              <w:rPr>
                <w:rFonts w:hint="eastAsia" w:ascii="宋体" w:hAnsi="宋体" w:cs="宋体"/>
                <w:b/>
                <w:bCs/>
                <w:szCs w:val="21"/>
                <w:lang w:eastAsia="zh-CN"/>
              </w:rPr>
              <w:t>徽州区</w:t>
            </w:r>
            <w:r>
              <w:rPr>
                <w:rFonts w:hint="eastAsia" w:ascii="宋体" w:hAnsi="宋体" w:cs="宋体"/>
                <w:b/>
                <w:bCs/>
                <w:szCs w:val="21"/>
              </w:rPr>
              <w:t>林业局</w:t>
            </w:r>
          </w:p>
          <w:p>
            <w:pPr>
              <w:spacing w:line="500" w:lineRule="exact"/>
              <w:rPr>
                <w:rFonts w:ascii="宋体" w:hAnsi="宋体" w:cs="宋体"/>
                <w:b/>
                <w:bCs/>
                <w:szCs w:val="21"/>
              </w:rPr>
            </w:pPr>
            <w:r>
              <w:rPr>
                <w:rFonts w:hint="eastAsia" w:ascii="宋体" w:hAnsi="宋体" w:cs="宋体"/>
                <w:b/>
                <w:bCs/>
                <w:szCs w:val="21"/>
              </w:rPr>
              <w:t>付款方式：</w:t>
            </w:r>
            <w:r>
              <w:rPr>
                <w:rFonts w:hint="eastAsia" w:ascii="宋体" w:hAnsi="宋体" w:cs="宋体"/>
                <w:b/>
                <w:bCs/>
                <w:szCs w:val="21"/>
                <w:lang w:val="en-US" w:eastAsia="zh-CN"/>
              </w:rPr>
              <w:t>首年保险费为中标价万元，续保时双方根据上年度发生赔付的情况协商上浮或下调保险费（年度简单赔付率＜100%，乙方续保时下浮保费10%。年度简单赔≤120%，乙方续保时不上浮保费。年度简单赔付率＞120%部分甲方以续保上浮保费的形式据实增加）。注：承办机构承诺年度简单赔付率在120%以内全额承担。</w:t>
            </w:r>
            <w:r>
              <w:rPr>
                <w:rFonts w:hint="eastAsia" w:ascii="宋体" w:hAnsi="宋体" w:cs="宋体"/>
                <w:b/>
                <w:bCs/>
                <w:szCs w:val="21"/>
              </w:rPr>
              <w:t xml:space="preserve">      </w:t>
            </w:r>
          </w:p>
        </w:tc>
      </w:tr>
    </w:tbl>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67460D"/>
    <w:rsid w:val="35BA5AAD"/>
    <w:rsid w:val="46F64586"/>
    <w:rsid w:val="53BA4287"/>
    <w:rsid w:val="5767460D"/>
    <w:rsid w:val="5C1A04E4"/>
    <w:rsid w:val="5FEE2F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4"/>
    <w:qFormat/>
    <w:uiPriority w:val="0"/>
    <w:pPr>
      <w:widowControl w:val="0"/>
      <w:jc w:val="both"/>
    </w:pPr>
    <w:rPr>
      <w:rFonts w:ascii="Calibri" w:hAnsi="Calibri" w:eastAsia="宋体" w:cs="Times New Roman"/>
      <w:kern w:val="2"/>
      <w:sz w:val="21"/>
      <w:lang w:val="en-US" w:eastAsia="zh-CN" w:bidi="ar-SA"/>
    </w:rPr>
  </w:style>
  <w:style w:type="paragraph" w:styleId="3">
    <w:name w:val="heading 2"/>
    <w:basedOn w:val="1"/>
    <w:next w:val="1"/>
    <w:qFormat/>
    <w:uiPriority w:val="0"/>
    <w:pPr>
      <w:keepNext/>
      <w:keepLines/>
      <w:spacing w:before="260" w:beforeLines="0" w:after="260" w:afterLines="0" w:line="416" w:lineRule="auto"/>
      <w:outlineLvl w:val="1"/>
    </w:pPr>
    <w:rPr>
      <w:rFonts w:ascii="Arial" w:hAnsi="Arial" w:eastAsia="宋体"/>
      <w:b/>
      <w:bCs/>
      <w:szCs w:val="32"/>
    </w:rPr>
  </w:style>
  <w:style w:type="paragraph" w:styleId="4">
    <w:name w:val="heading 3"/>
    <w:basedOn w:val="1"/>
    <w:next w:val="1"/>
    <w:qFormat/>
    <w:uiPriority w:val="0"/>
    <w:pPr>
      <w:keepNext/>
      <w:keepLines/>
      <w:spacing w:before="260" w:beforeLines="0" w:after="260" w:afterLines="0" w:line="413" w:lineRule="auto"/>
      <w:outlineLvl w:val="2"/>
    </w:pPr>
    <w:rPr>
      <w:b/>
      <w:bCs/>
      <w:sz w:val="32"/>
      <w:szCs w:val="32"/>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jc w:val="left"/>
    </w:pPr>
    <w:rPr>
      <w:rFonts w:ascii="Arial" w:hAnsi="Arial" w:eastAsia="黑体"/>
      <w:b/>
      <w:sz w:val="32"/>
    </w:rPr>
  </w:style>
  <w:style w:type="paragraph" w:styleId="5">
    <w:name w:val="Plain Text"/>
    <w:basedOn w:val="1"/>
    <w:next w:val="6"/>
    <w:qFormat/>
    <w:uiPriority w:val="0"/>
    <w:rPr>
      <w:rFonts w:ascii="宋体" w:hAnsi="Courier New"/>
    </w:rPr>
  </w:style>
  <w:style w:type="paragraph" w:styleId="6">
    <w:name w:val="toc 2"/>
    <w:basedOn w:val="1"/>
    <w:next w:val="1"/>
    <w:qFormat/>
    <w:uiPriority w:val="39"/>
    <w:pPr>
      <w:ind w:left="420"/>
    </w:pPr>
    <w:rPr>
      <w:rFonts w:eastAsia="仿宋_GB2312"/>
      <w:b/>
      <w:sz w:val="24"/>
    </w:rPr>
  </w:style>
  <w:style w:type="character" w:styleId="9">
    <w:name w:val="Strong"/>
    <w:qFormat/>
    <w:uiPriority w:val="0"/>
    <w:rPr>
      <w:b/>
      <w:bCs/>
    </w:rPr>
  </w:style>
  <w:style w:type="paragraph" w:customStyle="1" w:styleId="10">
    <w:name w:val="H1"/>
    <w:basedOn w:val="3"/>
    <w:next w:val="1"/>
    <w:qFormat/>
    <w:uiPriority w:val="0"/>
    <w:pPr>
      <w:spacing w:line="600" w:lineRule="exact"/>
      <w:jc w:val="center"/>
    </w:pPr>
    <w:rPr>
      <w:rFonts w:ascii="宋体" w:hAnsi="宋体" w:eastAsia="黑体"/>
      <w:color w:val="000000"/>
      <w:sz w:val="32"/>
      <w:szCs w:val="21"/>
    </w:rPr>
  </w:style>
  <w:style w:type="paragraph" w:customStyle="1" w:styleId="11">
    <w:name w:val="H2"/>
    <w:basedOn w:val="4"/>
    <w:next w:val="1"/>
    <w:qFormat/>
    <w:uiPriority w:val="0"/>
    <w:pPr>
      <w:keepNext w:val="0"/>
      <w:keepLines w:val="0"/>
      <w:spacing w:before="0" w:after="0" w:line="360" w:lineRule="auto"/>
      <w:jc w:val="center"/>
    </w:pPr>
    <w:rPr>
      <w:rFonts w:ascii="宋体" w:hAnsi="宋体" w:cs="Arial"/>
      <w:color w:val="000000"/>
      <w:sz w:val="21"/>
      <w:szCs w:val="21"/>
    </w:rPr>
  </w:style>
  <w:style w:type="paragraph" w:styleId="12">
    <w:name w:val="List Paragraph"/>
    <w:basedOn w:val="1"/>
    <w:qFormat/>
    <w:uiPriority w:val="0"/>
    <w:pPr>
      <w:ind w:firstLine="420" w:firstLineChars="200"/>
    </w:pPr>
    <w:rPr>
      <w:rFonts w:ascii="Calibri" w:hAnsi="Calibri"/>
      <w:szCs w:val="22"/>
    </w:rPr>
  </w:style>
  <w:style w:type="character" w:customStyle="1" w:styleId="13">
    <w:name w:val="apple-converted-space"/>
    <w:uiPriority w:val="99"/>
    <w:rPr>
      <w:rFonts w:cs="Times New Roman"/>
    </w:rPr>
  </w:style>
  <w:style w:type="character" w:customStyle="1" w:styleId="14">
    <w:name w:val="NormalCharacter"/>
    <w:link w:val="1"/>
    <w:semiHidden/>
    <w:qFormat/>
    <w:uiPriority w:val="0"/>
    <w:rPr>
      <w:rFonts w:ascii="Calibri" w:hAnsi="Calibri"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2021-08-31T02:08:00Z</dcterms:created>
  <dc:creator>A安徽振兴张金玲</dc:creator>
  <cp:lastModifiedBy>A安徽振兴张金玲</cp:lastModifiedBy>
  <dcterms:modified xsi:type="dcterms:W3CDTF">2021-12-07T00:40:35Z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AEC3B455C3DF4630A401643612DF77B8</vt:lpwstr>
  </property>
</Properties>
</file>