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spacing w:before="182" w:line="240" w:lineRule="auto"/>
        <w:ind w:left="496" w:leftChars="0"/>
        <w:rPr>
          <w:rFonts w:hint="eastAsia"/>
          <w:b/>
          <w:bCs/>
          <w:spacing w:val="-4"/>
          <w:sz w:val="24"/>
          <w:szCs w:val="24"/>
          <w:lang w:eastAsia="zh-CN"/>
        </w:rPr>
      </w:pPr>
      <w:r>
        <w:rPr>
          <w:rFonts w:hint="eastAsia"/>
          <w:b/>
          <w:bCs/>
          <w:spacing w:val="-4"/>
          <w:sz w:val="24"/>
          <w:szCs w:val="24"/>
          <w:lang w:val="en-US" w:eastAsia="zh-CN"/>
        </w:rPr>
        <w:t>需求清单（具体内容见招标文件第三章 项目需求）</w:t>
      </w:r>
    </w:p>
    <w:tbl>
      <w:tblPr>
        <w:tblStyle w:val="7"/>
        <w:tblpPr w:leftFromText="180" w:rightFromText="180" w:vertAnchor="text" w:horzAnchor="page" w:tblpXSpec="center" w:tblpY="243"/>
        <w:tblOverlap w:val="never"/>
        <w:tblW w:w="47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4"/>
        <w:gridCol w:w="792"/>
        <w:gridCol w:w="1416"/>
        <w:gridCol w:w="1863"/>
        <w:gridCol w:w="963"/>
        <w:gridCol w:w="1102"/>
        <w:gridCol w:w="1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342" w:type="pct"/>
            <w:noWrap w:val="0"/>
            <w:vAlign w:val="center"/>
          </w:tcPr>
          <w:p>
            <w:pPr>
              <w:keepNext w:val="0"/>
              <w:keepLines w:val="0"/>
              <w:widowControl w:val="0"/>
              <w:numPr>
                <w:ilvl w:val="0"/>
                <w:numId w:val="0"/>
              </w:numPr>
              <w:suppressLineNumbers w:val="0"/>
              <w:adjustRightInd/>
              <w:spacing w:before="0" w:beforeAutospacing="0" w:after="0" w:afterAutospacing="0" w:line="240" w:lineRule="auto"/>
              <w:ind w:left="0" w:right="0" w:firstLine="0"/>
              <w:jc w:val="center"/>
              <w:textAlignment w:val="auto"/>
              <w:rPr>
                <w:rFonts w:hint="eastAsia" w:ascii="仿宋" w:hAnsi="仿宋" w:eastAsia="仿宋" w:cs="仿宋"/>
                <w:b w:val="0"/>
                <w:bCs w:val="0"/>
                <w:kern w:val="2"/>
                <w:sz w:val="24"/>
                <w:szCs w:val="24"/>
                <w:highlight w:val="none"/>
                <w:shd w:val="clear" w:color="auto" w:fill="auto"/>
              </w:rPr>
            </w:pPr>
            <w:r>
              <w:rPr>
                <w:rFonts w:hint="eastAsia" w:ascii="仿宋" w:hAnsi="仿宋" w:eastAsia="仿宋" w:cs="仿宋"/>
                <w:b w:val="0"/>
                <w:bCs w:val="0"/>
                <w:kern w:val="2"/>
                <w:sz w:val="24"/>
                <w:szCs w:val="24"/>
                <w:highlight w:val="none"/>
                <w:shd w:val="clear" w:color="auto" w:fill="auto"/>
              </w:rPr>
              <w:t>序号</w:t>
            </w:r>
          </w:p>
        </w:tc>
        <w:tc>
          <w:tcPr>
            <w:tcW w:w="514" w:type="pct"/>
            <w:noWrap w:val="0"/>
            <w:vAlign w:val="center"/>
          </w:tcPr>
          <w:p>
            <w:pPr>
              <w:keepNext w:val="0"/>
              <w:keepLines w:val="0"/>
              <w:widowControl w:val="0"/>
              <w:numPr>
                <w:ilvl w:val="0"/>
                <w:numId w:val="0"/>
              </w:numPr>
              <w:suppressLineNumbers w:val="0"/>
              <w:adjustRightInd/>
              <w:spacing w:before="0" w:beforeAutospacing="0" w:after="0" w:afterAutospacing="0" w:line="240" w:lineRule="auto"/>
              <w:ind w:left="0" w:right="0" w:firstLine="0"/>
              <w:jc w:val="center"/>
              <w:textAlignment w:val="auto"/>
              <w:rPr>
                <w:rFonts w:hint="eastAsia" w:ascii="仿宋" w:hAnsi="仿宋" w:eastAsia="仿宋" w:cs="仿宋"/>
                <w:b w:val="0"/>
                <w:bCs w:val="0"/>
                <w:kern w:val="2"/>
                <w:sz w:val="24"/>
                <w:szCs w:val="24"/>
                <w:highlight w:val="none"/>
                <w:shd w:val="clear" w:color="auto" w:fill="auto"/>
              </w:rPr>
            </w:pPr>
            <w:r>
              <w:rPr>
                <w:rFonts w:hint="eastAsia" w:ascii="仿宋" w:hAnsi="仿宋" w:eastAsia="仿宋" w:cs="仿宋"/>
                <w:b w:val="0"/>
                <w:bCs w:val="0"/>
                <w:kern w:val="2"/>
                <w:sz w:val="24"/>
                <w:szCs w:val="24"/>
                <w:highlight w:val="none"/>
                <w:shd w:val="clear" w:color="auto" w:fill="auto"/>
              </w:rPr>
              <w:t>名称</w:t>
            </w:r>
          </w:p>
        </w:tc>
        <w:tc>
          <w:tcPr>
            <w:tcW w:w="740" w:type="pct"/>
            <w:noWrap w:val="0"/>
            <w:vAlign w:val="center"/>
          </w:tcPr>
          <w:p>
            <w:pPr>
              <w:keepNext w:val="0"/>
              <w:keepLines w:val="0"/>
              <w:widowControl w:val="0"/>
              <w:numPr>
                <w:ilvl w:val="0"/>
                <w:numId w:val="0"/>
              </w:numPr>
              <w:suppressLineNumbers w:val="0"/>
              <w:adjustRightInd/>
              <w:spacing w:before="0" w:beforeAutospacing="0" w:after="0" w:afterAutospacing="0" w:line="240" w:lineRule="auto"/>
              <w:ind w:left="0" w:right="0" w:firstLine="0"/>
              <w:jc w:val="center"/>
              <w:textAlignment w:val="auto"/>
              <w:rPr>
                <w:rFonts w:hint="eastAsia" w:ascii="仿宋" w:hAnsi="仿宋" w:eastAsia="仿宋" w:cs="仿宋"/>
                <w:b w:val="0"/>
                <w:bCs w:val="0"/>
                <w:kern w:val="2"/>
                <w:sz w:val="24"/>
                <w:szCs w:val="24"/>
                <w:highlight w:val="none"/>
                <w:shd w:val="clear" w:color="auto" w:fill="auto"/>
                <w:lang w:eastAsia="zh-CN"/>
              </w:rPr>
            </w:pPr>
            <w:r>
              <w:rPr>
                <w:rFonts w:hint="eastAsia" w:ascii="仿宋" w:hAnsi="仿宋" w:eastAsia="仿宋" w:cs="仿宋"/>
                <w:b w:val="0"/>
                <w:bCs w:val="0"/>
                <w:kern w:val="2"/>
                <w:sz w:val="24"/>
                <w:szCs w:val="24"/>
                <w:highlight w:val="none"/>
                <w:shd w:val="clear" w:color="auto" w:fill="auto"/>
                <w:lang w:eastAsia="zh-CN"/>
              </w:rPr>
              <w:t>总价</w:t>
            </w:r>
          </w:p>
        </w:tc>
        <w:tc>
          <w:tcPr>
            <w:tcW w:w="1178" w:type="pct"/>
            <w:noWrap w:val="0"/>
            <w:vAlign w:val="center"/>
          </w:tcPr>
          <w:p>
            <w:pPr>
              <w:keepNext w:val="0"/>
              <w:keepLines w:val="0"/>
              <w:widowControl w:val="0"/>
              <w:numPr>
                <w:ilvl w:val="0"/>
                <w:numId w:val="0"/>
              </w:numPr>
              <w:suppressLineNumbers w:val="0"/>
              <w:adjustRightInd/>
              <w:spacing w:before="0" w:beforeAutospacing="0" w:after="0" w:afterAutospacing="0" w:line="240" w:lineRule="auto"/>
              <w:ind w:left="0" w:right="0" w:firstLine="0"/>
              <w:jc w:val="center"/>
              <w:textAlignment w:val="auto"/>
              <w:rPr>
                <w:rFonts w:hint="eastAsia" w:ascii="仿宋" w:hAnsi="仿宋" w:eastAsia="仿宋" w:cs="仿宋"/>
                <w:b w:val="0"/>
                <w:bCs w:val="0"/>
                <w:kern w:val="2"/>
                <w:sz w:val="24"/>
                <w:szCs w:val="24"/>
                <w:highlight w:val="none"/>
                <w:shd w:val="clear" w:color="auto" w:fill="auto"/>
              </w:rPr>
            </w:pPr>
            <w:r>
              <w:rPr>
                <w:rFonts w:hint="eastAsia" w:ascii="仿宋" w:hAnsi="仿宋" w:eastAsia="仿宋" w:cs="仿宋"/>
                <w:b w:val="0"/>
                <w:bCs w:val="0"/>
                <w:kern w:val="2"/>
                <w:sz w:val="24"/>
                <w:szCs w:val="24"/>
                <w:highlight w:val="none"/>
                <w:shd w:val="clear" w:color="auto" w:fill="auto"/>
              </w:rPr>
              <w:t>数量</w:t>
            </w:r>
          </w:p>
        </w:tc>
        <w:tc>
          <w:tcPr>
            <w:tcW w:w="620" w:type="pct"/>
            <w:noWrap w:val="0"/>
            <w:vAlign w:val="center"/>
          </w:tcPr>
          <w:p>
            <w:pPr>
              <w:keepNext w:val="0"/>
              <w:keepLines w:val="0"/>
              <w:widowControl w:val="0"/>
              <w:numPr>
                <w:ilvl w:val="0"/>
                <w:numId w:val="0"/>
              </w:numPr>
              <w:suppressLineNumbers w:val="0"/>
              <w:adjustRightInd/>
              <w:spacing w:before="0" w:beforeAutospacing="0" w:after="0" w:afterAutospacing="0" w:line="240" w:lineRule="auto"/>
              <w:ind w:left="0" w:right="0" w:firstLine="0"/>
              <w:jc w:val="center"/>
              <w:textAlignment w:val="auto"/>
              <w:rPr>
                <w:rFonts w:hint="eastAsia" w:ascii="仿宋" w:hAnsi="仿宋" w:eastAsia="仿宋" w:cs="仿宋"/>
                <w:b w:val="0"/>
                <w:bCs w:val="0"/>
                <w:kern w:val="2"/>
                <w:sz w:val="24"/>
                <w:szCs w:val="24"/>
                <w:highlight w:val="none"/>
                <w:shd w:val="clear" w:color="auto" w:fill="auto"/>
              </w:rPr>
            </w:pPr>
            <w:r>
              <w:rPr>
                <w:rFonts w:hint="eastAsia" w:ascii="仿宋" w:hAnsi="仿宋" w:eastAsia="仿宋" w:cs="仿宋"/>
                <w:b w:val="0"/>
                <w:bCs w:val="0"/>
                <w:kern w:val="2"/>
                <w:sz w:val="24"/>
                <w:szCs w:val="24"/>
                <w:highlight w:val="none"/>
                <w:shd w:val="clear" w:color="auto" w:fill="auto"/>
              </w:rPr>
              <w:t>进口/国产</w:t>
            </w:r>
          </w:p>
        </w:tc>
        <w:tc>
          <w:tcPr>
            <w:tcW w:w="706" w:type="pct"/>
            <w:noWrap w:val="0"/>
            <w:vAlign w:val="center"/>
          </w:tcPr>
          <w:p>
            <w:pPr>
              <w:keepNext w:val="0"/>
              <w:keepLines w:val="0"/>
              <w:widowControl w:val="0"/>
              <w:numPr>
                <w:ilvl w:val="0"/>
                <w:numId w:val="0"/>
              </w:numPr>
              <w:suppressLineNumbers w:val="0"/>
              <w:adjustRightInd/>
              <w:spacing w:before="0" w:beforeAutospacing="0" w:after="0" w:afterAutospacing="0" w:line="240" w:lineRule="auto"/>
              <w:ind w:left="0" w:right="0" w:firstLine="0"/>
              <w:jc w:val="center"/>
              <w:textAlignment w:val="auto"/>
              <w:rPr>
                <w:rFonts w:hint="default" w:ascii="仿宋" w:hAnsi="仿宋" w:eastAsia="仿宋" w:cs="仿宋"/>
                <w:b w:val="0"/>
                <w:bCs w:val="0"/>
                <w:kern w:val="2"/>
                <w:sz w:val="24"/>
                <w:szCs w:val="24"/>
                <w:highlight w:val="none"/>
                <w:shd w:val="clear" w:color="auto" w:fill="auto"/>
                <w:lang w:val="en-US" w:eastAsia="zh-CN"/>
              </w:rPr>
            </w:pPr>
            <w:r>
              <w:rPr>
                <w:rFonts w:hint="eastAsia" w:ascii="仿宋" w:hAnsi="仿宋" w:eastAsia="仿宋" w:cs="仿宋"/>
                <w:b w:val="0"/>
                <w:bCs w:val="0"/>
                <w:kern w:val="2"/>
                <w:sz w:val="24"/>
                <w:szCs w:val="24"/>
                <w:highlight w:val="none"/>
                <w:shd w:val="clear" w:color="auto" w:fill="auto"/>
                <w:lang w:val="en-US" w:eastAsia="zh-CN"/>
              </w:rPr>
              <w:t>是否为核心产品</w:t>
            </w:r>
          </w:p>
        </w:tc>
        <w:tc>
          <w:tcPr>
            <w:tcW w:w="895" w:type="pct"/>
            <w:noWrap w:val="0"/>
            <w:vAlign w:val="center"/>
          </w:tcPr>
          <w:p>
            <w:pPr>
              <w:keepNext w:val="0"/>
              <w:keepLines w:val="0"/>
              <w:widowControl w:val="0"/>
              <w:numPr>
                <w:ilvl w:val="0"/>
                <w:numId w:val="0"/>
              </w:numPr>
              <w:suppressLineNumbers w:val="0"/>
              <w:adjustRightIn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2"/>
                <w:sz w:val="24"/>
                <w:szCs w:val="24"/>
                <w:highlight w:val="none"/>
                <w:shd w:val="clear" w:color="auto" w:fill="auto"/>
                <w:lang w:val="en-US" w:eastAsia="zh-CN"/>
              </w:rPr>
            </w:pPr>
            <w:r>
              <w:rPr>
                <w:rFonts w:hint="eastAsia" w:ascii="仿宋" w:hAnsi="仿宋" w:eastAsia="仿宋" w:cs="仿宋"/>
                <w:b w:val="0"/>
                <w:bCs w:val="0"/>
                <w:kern w:val="2"/>
                <w:sz w:val="24"/>
                <w:szCs w:val="24"/>
                <w:highlight w:val="none"/>
                <w:shd w:val="clear" w:color="auto" w:fill="auto"/>
                <w:lang w:val="en-US" w:eastAsia="zh-CN"/>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rPr>
              <w:t>1</w:t>
            </w:r>
          </w:p>
        </w:tc>
        <w:tc>
          <w:tcPr>
            <w:tcW w:w="514"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lang w:val="en-US" w:eastAsia="zh-CN"/>
              </w:rPr>
            </w:pPr>
            <w:r>
              <w:rPr>
                <w:rFonts w:hint="eastAsia" w:ascii="仿宋" w:hAnsi="仿宋" w:eastAsia="仿宋" w:cs="仿宋"/>
                <w:b w:val="0"/>
                <w:bCs w:val="0"/>
                <w:kern w:val="2"/>
                <w:sz w:val="24"/>
                <w:szCs w:val="24"/>
                <w:highlight w:val="none"/>
                <w:lang w:val="en-US" w:eastAsia="zh-CN"/>
              </w:rPr>
              <w:t>0#柴油</w:t>
            </w:r>
          </w:p>
        </w:tc>
        <w:tc>
          <w:tcPr>
            <w:tcW w:w="740"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lang w:val="en-US" w:eastAsia="zh-CN"/>
              </w:rPr>
            </w:pPr>
            <w:r>
              <w:rPr>
                <w:rFonts w:hint="eastAsia" w:ascii="仿宋" w:hAnsi="仿宋" w:eastAsia="仿宋" w:cs="仿宋"/>
                <w:b w:val="0"/>
                <w:bCs w:val="0"/>
                <w:kern w:val="2"/>
                <w:sz w:val="24"/>
                <w:szCs w:val="24"/>
                <w:highlight w:val="none"/>
                <w:lang w:val="en-US" w:eastAsia="zh-CN"/>
              </w:rPr>
              <w:t>1200000.00元</w:t>
            </w:r>
          </w:p>
        </w:tc>
        <w:tc>
          <w:tcPr>
            <w:tcW w:w="1178"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lang w:val="en-US" w:eastAsia="zh-CN"/>
              </w:rPr>
            </w:pPr>
            <w:r>
              <w:rPr>
                <w:rFonts w:hint="eastAsia" w:ascii="仿宋" w:hAnsi="仿宋" w:eastAsia="仿宋" w:cs="仿宋"/>
                <w:b w:val="0"/>
                <w:bCs w:val="0"/>
                <w:kern w:val="2"/>
                <w:sz w:val="24"/>
                <w:szCs w:val="24"/>
                <w:highlight w:val="none"/>
                <w:u w:val="single"/>
                <w:lang w:eastAsia="zh-CN"/>
              </w:rPr>
              <w:t>以</w:t>
            </w:r>
            <w:r>
              <w:rPr>
                <w:rFonts w:hint="eastAsia" w:ascii="仿宋" w:hAnsi="仿宋" w:eastAsia="仿宋" w:cs="仿宋"/>
                <w:b w:val="0"/>
                <w:bCs w:val="0"/>
                <w:kern w:val="2"/>
                <w:sz w:val="24"/>
                <w:szCs w:val="24"/>
                <w:highlight w:val="none"/>
                <w:u w:val="single"/>
                <w:lang w:val="en-US" w:eastAsia="zh-CN"/>
              </w:rPr>
              <w:t>体积L</w:t>
            </w:r>
            <w:r>
              <w:rPr>
                <w:rFonts w:hint="eastAsia" w:ascii="仿宋" w:hAnsi="仿宋" w:eastAsia="仿宋" w:cs="仿宋"/>
                <w:b w:val="0"/>
                <w:bCs w:val="0"/>
                <w:kern w:val="2"/>
                <w:sz w:val="24"/>
                <w:szCs w:val="24"/>
                <w:highlight w:val="none"/>
                <w:u w:val="single"/>
                <w:lang w:eastAsia="zh-CN"/>
              </w:rPr>
              <w:t>为单位计量，数量</w:t>
            </w:r>
            <w:r>
              <w:rPr>
                <w:rFonts w:hint="eastAsia" w:ascii="仿宋" w:hAnsi="仿宋" w:eastAsia="仿宋" w:cs="仿宋"/>
                <w:b w:val="0"/>
                <w:bCs w:val="0"/>
                <w:kern w:val="2"/>
                <w:sz w:val="24"/>
                <w:szCs w:val="24"/>
                <w:highlight w:val="none"/>
                <w:u w:val="single"/>
              </w:rPr>
              <w:t>以实际采购为准</w:t>
            </w:r>
          </w:p>
        </w:tc>
        <w:tc>
          <w:tcPr>
            <w:tcW w:w="620"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lang w:eastAsia="zh-CN"/>
              </w:rPr>
            </w:pPr>
            <w:r>
              <w:rPr>
                <w:rFonts w:hint="eastAsia" w:ascii="仿宋" w:hAnsi="仿宋" w:eastAsia="仿宋" w:cs="仿宋"/>
                <w:b w:val="0"/>
                <w:bCs w:val="0"/>
                <w:kern w:val="2"/>
                <w:sz w:val="24"/>
                <w:szCs w:val="24"/>
                <w:highlight w:val="none"/>
                <w:lang w:eastAsia="zh-CN"/>
              </w:rPr>
              <w:t>国产</w:t>
            </w:r>
          </w:p>
        </w:tc>
        <w:tc>
          <w:tcPr>
            <w:tcW w:w="706"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default" w:ascii="仿宋" w:hAnsi="仿宋" w:eastAsia="仿宋" w:cs="仿宋"/>
                <w:b w:val="0"/>
                <w:bCs w:val="0"/>
                <w:kern w:val="2"/>
                <w:sz w:val="24"/>
                <w:szCs w:val="24"/>
                <w:highlight w:val="none"/>
                <w:lang w:val="en-US" w:eastAsia="zh-CN"/>
              </w:rPr>
            </w:pPr>
            <w:r>
              <w:rPr>
                <w:rFonts w:hint="eastAsia" w:ascii="仿宋" w:hAnsi="仿宋" w:eastAsia="仿宋" w:cs="仿宋"/>
                <w:b w:val="0"/>
                <w:bCs w:val="0"/>
                <w:kern w:val="2"/>
                <w:sz w:val="24"/>
                <w:szCs w:val="24"/>
                <w:highlight w:val="none"/>
                <w:lang w:val="en-US" w:eastAsia="zh-CN"/>
              </w:rPr>
              <w:t>是</w:t>
            </w:r>
          </w:p>
        </w:tc>
        <w:tc>
          <w:tcPr>
            <w:tcW w:w="895"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leftChars="0" w:right="0" w:rightChars="0" w:firstLine="0" w:firstLineChars="0"/>
              <w:jc w:val="center"/>
              <w:textAlignment w:val="auto"/>
              <w:rPr>
                <w:rFonts w:hint="eastAsia" w:ascii="仿宋" w:hAnsi="仿宋" w:eastAsia="仿宋" w:cs="仿宋"/>
                <w:b w:val="0"/>
                <w:bCs w:val="0"/>
                <w:kern w:val="2"/>
                <w:sz w:val="24"/>
                <w:szCs w:val="24"/>
                <w:highlight w:val="none"/>
                <w:lang w:eastAsia="zh-CN"/>
              </w:rPr>
            </w:pPr>
            <w:r>
              <w:rPr>
                <w:rFonts w:hint="eastAsia" w:ascii="仿宋" w:hAnsi="仿宋" w:eastAsia="仿宋" w:cs="仿宋"/>
                <w:b w:val="0"/>
                <w:bCs w:val="0"/>
                <w:kern w:val="2"/>
                <w:sz w:val="24"/>
                <w:szCs w:val="24"/>
                <w:highlight w:val="none"/>
                <w:lang w:eastAsia="zh-CN"/>
              </w:rPr>
              <w:t>京标柴油标准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rPr>
              <w:t>2</w:t>
            </w:r>
          </w:p>
        </w:tc>
        <w:tc>
          <w:tcPr>
            <w:tcW w:w="514"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lang w:val="en-US" w:eastAsia="zh-CN"/>
              </w:rPr>
            </w:pPr>
            <w:r>
              <w:rPr>
                <w:rFonts w:hint="eastAsia" w:ascii="仿宋" w:hAnsi="仿宋" w:eastAsia="仿宋" w:cs="仿宋"/>
                <w:b w:val="0"/>
                <w:bCs w:val="0"/>
                <w:kern w:val="2"/>
                <w:sz w:val="24"/>
                <w:szCs w:val="24"/>
                <w:highlight w:val="none"/>
                <w:lang w:val="en-US" w:eastAsia="zh-CN"/>
              </w:rPr>
              <w:t>-20#柴油</w:t>
            </w:r>
          </w:p>
        </w:tc>
        <w:tc>
          <w:tcPr>
            <w:tcW w:w="740"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lang w:val="en-US" w:eastAsia="zh-CN"/>
              </w:rPr>
            </w:pPr>
            <w:r>
              <w:rPr>
                <w:rFonts w:hint="eastAsia" w:ascii="仿宋" w:hAnsi="仿宋" w:eastAsia="仿宋" w:cs="仿宋"/>
                <w:b w:val="0"/>
                <w:bCs w:val="0"/>
                <w:kern w:val="2"/>
                <w:sz w:val="24"/>
                <w:szCs w:val="24"/>
                <w:highlight w:val="none"/>
                <w:lang w:val="en-US" w:eastAsia="zh-CN"/>
              </w:rPr>
              <w:t>600000.0元</w:t>
            </w:r>
          </w:p>
        </w:tc>
        <w:tc>
          <w:tcPr>
            <w:tcW w:w="1178"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lang w:val="en-US" w:eastAsia="zh-CN"/>
              </w:rPr>
            </w:pPr>
            <w:r>
              <w:rPr>
                <w:rFonts w:hint="eastAsia" w:ascii="仿宋" w:hAnsi="仿宋" w:eastAsia="仿宋" w:cs="仿宋"/>
                <w:b w:val="0"/>
                <w:bCs w:val="0"/>
                <w:kern w:val="2"/>
                <w:sz w:val="24"/>
                <w:szCs w:val="24"/>
                <w:highlight w:val="none"/>
                <w:u w:val="single"/>
                <w:lang w:eastAsia="zh-CN"/>
              </w:rPr>
              <w:t>以</w:t>
            </w:r>
            <w:r>
              <w:rPr>
                <w:rFonts w:hint="eastAsia" w:ascii="仿宋" w:hAnsi="仿宋" w:eastAsia="仿宋" w:cs="仿宋"/>
                <w:b w:val="0"/>
                <w:bCs w:val="0"/>
                <w:kern w:val="2"/>
                <w:sz w:val="24"/>
                <w:szCs w:val="24"/>
                <w:highlight w:val="none"/>
                <w:u w:val="single"/>
                <w:lang w:val="en-US" w:eastAsia="zh-CN"/>
              </w:rPr>
              <w:t>体积L</w:t>
            </w:r>
            <w:r>
              <w:rPr>
                <w:rFonts w:hint="eastAsia" w:ascii="仿宋" w:hAnsi="仿宋" w:eastAsia="仿宋" w:cs="仿宋"/>
                <w:b w:val="0"/>
                <w:bCs w:val="0"/>
                <w:kern w:val="2"/>
                <w:sz w:val="24"/>
                <w:szCs w:val="24"/>
                <w:highlight w:val="none"/>
                <w:u w:val="single"/>
                <w:lang w:eastAsia="zh-CN"/>
              </w:rPr>
              <w:t>为单位计量，数量</w:t>
            </w:r>
            <w:r>
              <w:rPr>
                <w:rFonts w:hint="eastAsia" w:ascii="仿宋" w:hAnsi="仿宋" w:eastAsia="仿宋" w:cs="仿宋"/>
                <w:b w:val="0"/>
                <w:bCs w:val="0"/>
                <w:kern w:val="2"/>
                <w:sz w:val="24"/>
                <w:szCs w:val="24"/>
                <w:highlight w:val="none"/>
                <w:u w:val="single"/>
              </w:rPr>
              <w:t>以实际采购为准</w:t>
            </w:r>
          </w:p>
        </w:tc>
        <w:tc>
          <w:tcPr>
            <w:tcW w:w="620"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lang w:eastAsia="zh-CN"/>
              </w:rPr>
              <w:t>国产</w:t>
            </w:r>
          </w:p>
        </w:tc>
        <w:tc>
          <w:tcPr>
            <w:tcW w:w="706"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right="0" w:firstLine="0"/>
              <w:jc w:val="center"/>
              <w:textAlignment w:val="auto"/>
              <w:rPr>
                <w:rFonts w:hint="default" w:ascii="仿宋" w:hAnsi="仿宋" w:eastAsia="仿宋" w:cs="仿宋"/>
                <w:b w:val="0"/>
                <w:bCs w:val="0"/>
                <w:kern w:val="2"/>
                <w:sz w:val="24"/>
                <w:szCs w:val="24"/>
                <w:highlight w:val="none"/>
                <w:lang w:val="en-US" w:eastAsia="zh-CN"/>
              </w:rPr>
            </w:pPr>
            <w:r>
              <w:rPr>
                <w:rFonts w:hint="eastAsia" w:ascii="仿宋" w:hAnsi="仿宋" w:eastAsia="仿宋" w:cs="仿宋"/>
                <w:b w:val="0"/>
                <w:bCs w:val="0"/>
                <w:kern w:val="2"/>
                <w:sz w:val="24"/>
                <w:szCs w:val="24"/>
                <w:highlight w:val="none"/>
                <w:lang w:val="en-US" w:eastAsia="zh-CN"/>
              </w:rPr>
              <w:t>是</w:t>
            </w:r>
          </w:p>
        </w:tc>
        <w:tc>
          <w:tcPr>
            <w:tcW w:w="895" w:type="pct"/>
            <w:noWrap w:val="0"/>
            <w:vAlign w:val="center"/>
          </w:tcPr>
          <w:p>
            <w:pPr>
              <w:keepNext w:val="0"/>
              <w:keepLines w:val="0"/>
              <w:widowControl w:val="0"/>
              <w:numPr>
                <w:ilvl w:val="0"/>
                <w:numId w:val="0"/>
              </w:numPr>
              <w:suppressLineNumbers w:val="0"/>
              <w:adjustRightInd/>
              <w:spacing w:before="0" w:beforeAutospacing="0" w:after="0" w:afterAutospacing="0" w:line="500" w:lineRule="exact"/>
              <w:ind w:left="0" w:leftChars="0" w:right="0" w:rightChars="0" w:firstLine="0" w:firstLineChars="0"/>
              <w:jc w:val="center"/>
              <w:textAlignment w:val="auto"/>
              <w:rPr>
                <w:rFonts w:hint="eastAsia" w:ascii="仿宋" w:hAnsi="仿宋" w:eastAsia="仿宋" w:cs="仿宋"/>
                <w:b w:val="0"/>
                <w:bCs w:val="0"/>
                <w:kern w:val="2"/>
                <w:sz w:val="24"/>
                <w:szCs w:val="24"/>
                <w:highlight w:val="none"/>
                <w:lang w:eastAsia="zh-CN"/>
              </w:rPr>
            </w:pPr>
            <w:r>
              <w:rPr>
                <w:rFonts w:hint="eastAsia" w:ascii="仿宋" w:hAnsi="仿宋" w:eastAsia="仿宋" w:cs="仿宋"/>
                <w:b w:val="0"/>
                <w:bCs w:val="0"/>
                <w:kern w:val="2"/>
                <w:sz w:val="24"/>
                <w:szCs w:val="24"/>
                <w:highlight w:val="none"/>
                <w:lang w:eastAsia="zh-CN"/>
              </w:rPr>
              <w:t>京标柴油标准</w:t>
            </w:r>
          </w:p>
        </w:tc>
      </w:tr>
    </w:tbl>
    <w:p>
      <w:pPr>
        <w:pStyle w:val="4"/>
        <w:spacing w:before="180" w:line="240" w:lineRule="auto"/>
        <w:ind w:left="45" w:right="28" w:firstLine="476"/>
        <w:rPr>
          <w:rFonts w:hint="eastAsia"/>
          <w:spacing w:val="-5"/>
          <w:sz w:val="24"/>
          <w:szCs w:val="24"/>
          <w:lang w:eastAsia="zh-CN"/>
        </w:rPr>
      </w:pPr>
      <w:r>
        <w:rPr>
          <w:rFonts w:hint="eastAsia"/>
          <w:spacing w:val="-5"/>
          <w:sz w:val="24"/>
          <w:szCs w:val="24"/>
          <w:lang w:eastAsia="zh-CN"/>
        </w:rPr>
        <w:t>1、柴油年采购量约22万升-26万升 ，其中采购0#柴油120万元，-20#柴油60万元（所有计量均以体积L为单位，以实际采购结果为准）。</w:t>
      </w:r>
    </w:p>
    <w:p>
      <w:pPr>
        <w:pStyle w:val="4"/>
        <w:spacing w:before="180" w:line="240" w:lineRule="auto"/>
        <w:ind w:left="45" w:right="28" w:firstLine="476"/>
        <w:rPr>
          <w:rFonts w:hint="eastAsia"/>
          <w:spacing w:val="-4"/>
          <w:sz w:val="24"/>
          <w:szCs w:val="24"/>
          <w:lang w:eastAsia="zh-CN"/>
        </w:rPr>
      </w:pPr>
      <w:r>
        <w:rPr>
          <w:rFonts w:hint="eastAsia"/>
          <w:spacing w:val="-5"/>
          <w:sz w:val="24"/>
          <w:szCs w:val="24"/>
          <w:lang w:val="en-US" w:eastAsia="zh-CN"/>
        </w:rPr>
        <w:t>2</w:t>
      </w:r>
      <w:r>
        <w:rPr>
          <w:rFonts w:hint="eastAsia"/>
          <w:spacing w:val="-5"/>
          <w:sz w:val="24"/>
          <w:szCs w:val="24"/>
          <w:lang w:eastAsia="zh-CN"/>
        </w:rPr>
        <w:t>、本项目预算</w:t>
      </w:r>
      <w:r>
        <w:rPr>
          <w:rFonts w:hint="eastAsia"/>
          <w:spacing w:val="-25"/>
          <w:sz w:val="24"/>
          <w:szCs w:val="24"/>
          <w:lang w:eastAsia="zh-CN"/>
        </w:rPr>
        <w:t>180</w:t>
      </w:r>
      <w:r>
        <w:rPr>
          <w:rFonts w:hint="eastAsia"/>
          <w:spacing w:val="-33"/>
          <w:sz w:val="24"/>
          <w:szCs w:val="24"/>
          <w:lang w:eastAsia="zh-CN"/>
        </w:rPr>
        <w:t xml:space="preserve"> </w:t>
      </w:r>
      <w:r>
        <w:rPr>
          <w:rFonts w:hint="eastAsia"/>
          <w:spacing w:val="-5"/>
          <w:sz w:val="24"/>
          <w:szCs w:val="24"/>
          <w:lang w:eastAsia="zh-CN"/>
        </w:rPr>
        <w:t>万元，包含符合技术需求的</w:t>
      </w:r>
      <w:r>
        <w:rPr>
          <w:rFonts w:hint="eastAsia"/>
          <w:spacing w:val="-40"/>
          <w:sz w:val="24"/>
          <w:szCs w:val="24"/>
          <w:lang w:eastAsia="zh-CN"/>
        </w:rPr>
        <w:t xml:space="preserve"> </w:t>
      </w:r>
      <w:r>
        <w:rPr>
          <w:rFonts w:hint="eastAsia"/>
          <w:spacing w:val="-5"/>
          <w:sz w:val="24"/>
          <w:szCs w:val="24"/>
          <w:lang w:eastAsia="zh-CN"/>
        </w:rPr>
        <w:t>0#柴油和-20#柴油的采购费用；</w:t>
      </w:r>
      <w:r>
        <w:rPr>
          <w:rFonts w:hint="eastAsia"/>
          <w:spacing w:val="-8"/>
          <w:sz w:val="24"/>
          <w:szCs w:val="24"/>
          <w:lang w:eastAsia="zh-CN"/>
        </w:rPr>
        <w:t>柴油储存、运输、检测、保险、油料加注等服务费用；以及招标文件中规定的中标人应承担</w:t>
      </w:r>
      <w:r>
        <w:rPr>
          <w:rFonts w:hint="eastAsia"/>
          <w:spacing w:val="-4"/>
          <w:sz w:val="24"/>
          <w:szCs w:val="24"/>
          <w:lang w:eastAsia="zh-CN"/>
        </w:rPr>
        <w:t>的其他责任和义务等所需的全部费用。</w:t>
      </w:r>
    </w:p>
    <w:p>
      <w:pPr>
        <w:pStyle w:val="4"/>
        <w:spacing w:before="180" w:line="240" w:lineRule="auto"/>
        <w:ind w:right="28" w:firstLine="278" w:firstLineChars="100"/>
        <w:rPr>
          <w:rFonts w:hint="default"/>
          <w:spacing w:val="-4"/>
          <w:sz w:val="24"/>
          <w:szCs w:val="24"/>
          <w:highlight w:val="none"/>
          <w:lang w:val="en-US" w:eastAsia="zh-CN"/>
        </w:rPr>
      </w:pPr>
      <w:r>
        <w:rPr>
          <w:rFonts w:hint="eastAsia"/>
          <w:spacing w:val="-1"/>
          <w:highlight w:val="none"/>
          <w:lang w:eastAsia="zh-CN"/>
        </w:rPr>
        <w:t>*</w:t>
      </w:r>
      <w:r>
        <w:rPr>
          <w:rFonts w:hint="eastAsia"/>
          <w:spacing w:val="-4"/>
          <w:sz w:val="24"/>
          <w:szCs w:val="24"/>
          <w:highlight w:val="none"/>
          <w:lang w:val="en-US" w:eastAsia="zh-CN"/>
        </w:rPr>
        <w:t>3、油品单价不得高于项目评审当天北京市发展改革委员会发布最新成品油最高零售价。</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DD76C9"/>
    <w:multiLevelType w:val="multilevel"/>
    <w:tmpl w:val="D6DD76C9"/>
    <w:lvl w:ilvl="0" w:tentative="0">
      <w:start w:val="1"/>
      <w:numFmt w:val="decimal"/>
      <w:pStyle w:val="13"/>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zZjg0ZjY2OTAyY2E5OTdiZmViNjhhY2I4YTgwZDQifQ=="/>
  </w:docVars>
  <w:rsids>
    <w:rsidRoot w:val="08BA65CE"/>
    <w:rsid w:val="002801DB"/>
    <w:rsid w:val="075F6A16"/>
    <w:rsid w:val="08BA65CE"/>
    <w:rsid w:val="0C227DC1"/>
    <w:rsid w:val="0F1F44F7"/>
    <w:rsid w:val="14B6577B"/>
    <w:rsid w:val="177F4798"/>
    <w:rsid w:val="3B663A44"/>
    <w:rsid w:val="40326648"/>
    <w:rsid w:val="409636B9"/>
    <w:rsid w:val="4D5051E4"/>
    <w:rsid w:val="54E73CE6"/>
    <w:rsid w:val="55B534FB"/>
    <w:rsid w:val="56D952A8"/>
    <w:rsid w:val="5AA03382"/>
    <w:rsid w:val="5ACF7EA7"/>
    <w:rsid w:val="679B0841"/>
    <w:rsid w:val="729A0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Times New Roman" w:hAnsi="Times New Roman" w:eastAsia="Arial" w:cs="Times New Roman"/>
      <w:snapToGrid w:val="0"/>
      <w:color w:val="000000"/>
      <w:sz w:val="21"/>
      <w:szCs w:val="21"/>
      <w:lang w:val="en-US" w:eastAsia="en-US" w:bidi="ar-SA"/>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customStyle="1" w:styleId="2">
    <w:name w:val="样式 10 磅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Normal Indent"/>
    <w:basedOn w:val="1"/>
    <w:autoRedefine/>
    <w:qFormat/>
    <w:uiPriority w:val="0"/>
    <w:pPr>
      <w:ind w:firstLine="420" w:firstLineChars="200"/>
    </w:pPr>
  </w:style>
  <w:style w:type="paragraph" w:styleId="4">
    <w:name w:val="Body Text"/>
    <w:basedOn w:val="1"/>
    <w:autoRedefine/>
    <w:semiHidden/>
    <w:qFormat/>
    <w:uiPriority w:val="0"/>
    <w:rPr>
      <w:rFonts w:ascii="仿宋" w:hAnsi="仿宋" w:eastAsia="仿宋" w:cs="仿宋"/>
      <w:sz w:val="28"/>
      <w:szCs w:val="28"/>
      <w:lang w:val="en-US" w:eastAsia="en-US" w:bidi="ar-SA"/>
    </w:rPr>
  </w:style>
  <w:style w:type="paragraph" w:styleId="5">
    <w:name w:val="Title"/>
    <w:basedOn w:val="1"/>
    <w:autoRedefine/>
    <w:qFormat/>
    <w:uiPriority w:val="0"/>
    <w:pPr>
      <w:spacing w:before="240" w:beforeLines="0" w:beforeAutospacing="0" w:after="60" w:afterLines="0" w:afterAutospacing="0"/>
      <w:jc w:val="center"/>
      <w:outlineLvl w:val="0"/>
    </w:pPr>
    <w:rPr>
      <w:rFonts w:ascii="Arial" w:hAnsi="Arial"/>
      <w:b/>
      <w:sz w:val="32"/>
    </w:rPr>
  </w:style>
  <w:style w:type="table" w:styleId="7">
    <w:name w:val="Table Grid"/>
    <w:basedOn w:val="6"/>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一级标题"/>
    <w:basedOn w:val="5"/>
    <w:next w:val="1"/>
    <w:autoRedefine/>
    <w:qFormat/>
    <w:uiPriority w:val="0"/>
    <w:pPr>
      <w:spacing w:before="360" w:after="360" w:line="440" w:lineRule="exact"/>
    </w:pPr>
    <w:rPr>
      <w:rFonts w:eastAsia="黑体" w:asciiTheme="minorAscii" w:hAnsiTheme="minorAscii"/>
      <w:sz w:val="36"/>
    </w:rPr>
  </w:style>
  <w:style w:type="paragraph" w:customStyle="1" w:styleId="10">
    <w:name w:val="二级标题"/>
    <w:basedOn w:val="1"/>
    <w:next w:val="1"/>
    <w:link w:val="11"/>
    <w:autoRedefine/>
    <w:qFormat/>
    <w:uiPriority w:val="0"/>
    <w:pPr>
      <w:spacing w:before="240" w:after="240" w:line="440" w:lineRule="exact"/>
      <w:outlineLvl w:val="1"/>
    </w:pPr>
    <w:rPr>
      <w:b/>
      <w:sz w:val="28"/>
    </w:rPr>
  </w:style>
  <w:style w:type="character" w:customStyle="1" w:styleId="11">
    <w:name w:val="二级标题 Char"/>
    <w:link w:val="10"/>
    <w:autoRedefine/>
    <w:qFormat/>
    <w:uiPriority w:val="0"/>
    <w:rPr>
      <w:rFonts w:eastAsia="宋体"/>
      <w:b/>
      <w:sz w:val="28"/>
    </w:rPr>
  </w:style>
  <w:style w:type="paragraph" w:customStyle="1" w:styleId="12">
    <w:name w:val="表格样式"/>
    <w:basedOn w:val="1"/>
    <w:autoRedefine/>
    <w:qFormat/>
    <w:uiPriority w:val="0"/>
    <w:pPr>
      <w:tabs>
        <w:tab w:val="left" w:pos="284"/>
      </w:tabs>
      <w:adjustRightInd w:val="0"/>
      <w:snapToGrid w:val="0"/>
      <w:ind w:firstLine="0" w:firstLineChars="0"/>
    </w:pPr>
    <w:rPr>
      <w:rFonts w:hint="eastAsia" w:ascii="宋体" w:hAnsi="宋体" w:cs="宋体"/>
      <w:sz w:val="21"/>
      <w:szCs w:val="24"/>
    </w:rPr>
  </w:style>
  <w:style w:type="paragraph" w:customStyle="1" w:styleId="13">
    <w:name w:val="样式1"/>
    <w:basedOn w:val="1"/>
    <w:autoRedefine/>
    <w:qFormat/>
    <w:uiPriority w:val="0"/>
    <w:pPr>
      <w:numPr>
        <w:ilvl w:val="0"/>
        <w:numId w:val="1"/>
      </w:numPr>
      <w:ind w:left="363" w:hanging="363"/>
      <w:outlineLvl w:val="0"/>
    </w:pPr>
    <w:rPr>
      <w:rFonts w:asciiTheme="minorAscii" w:hAnsiTheme="minorAscii" w:eastAsiaTheme="minorEastAsia" w:cstheme="minorBidi"/>
      <w:b/>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2024-02-08T15:20:00Z</dcterms:created>
  <dc:creator>qzuser</dc:creator>
  <cp:lastModifiedBy>qzuser</cp:lastModifiedBy>
  <dcterms:modified xsi:type="dcterms:W3CDTF">2024-02-08T15:31:45Z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9C5F28EF72CB4EBD922AD422B127626F_11</vt:lpwstr>
  </property>
</Properties>
</file>