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ind w:left="0" w:leftChars="0" w:firstLine="0" w:firstLineChars="0"/>
        <w:jc w:val="center"/>
        <w:rPr>
          <w:rFonts w:hint="eastAsia"/>
          <w:color w:val="000000" w:themeColor="text1"/>
          <w:highlight w:val="none"/>
          <w14:textFill>
            <w14:solidFill>
              <w14:schemeClr w14:val="tx1"/>
            </w14:solidFill>
          </w14:textFill>
        </w:rPr>
      </w:pPr>
      <w:bookmarkStart w:id="0" w:name="_Toc443_WPSOffice_Level1"/>
      <w:r>
        <w:rPr>
          <w:rFonts w:hint="eastAsia"/>
          <w:color w:val="000000" w:themeColor="text1"/>
          <w:highlight w:val="none"/>
          <w14:textFill>
            <w14:solidFill>
              <w14:schemeClr w14:val="tx1"/>
            </w14:solidFill>
          </w14:textFill>
        </w:rPr>
        <w:t>第五章</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采购需求</w:t>
      </w:r>
      <w:bookmarkEnd w:id="0"/>
    </w:p>
    <w:p>
      <w:pPr>
        <w:pStyle w:val="7"/>
        <w:kinsoku w:val="0"/>
        <w:overflowPunct w:val="0"/>
        <w:spacing w:before="14" w:line="540" w:lineRule="exact"/>
        <w:ind w:left="118" w:right="218"/>
        <w:rPr>
          <w:rFonts w:cs="宋体"/>
          <w:color w:val="000000" w:themeColor="text1"/>
          <w:sz w:val="28"/>
          <w:highlight w:val="none"/>
          <w14:textFill>
            <w14:solidFill>
              <w14:schemeClr w14:val="tx1"/>
            </w14:solidFill>
          </w14:textFill>
        </w:rPr>
      </w:pPr>
      <w:r>
        <w:rPr>
          <w:rFonts w:hint="eastAsia" w:cs="宋体"/>
          <w:b/>
          <w:color w:val="000000" w:themeColor="text1"/>
          <w:sz w:val="28"/>
          <w:highlight w:val="none"/>
          <w14:textFill>
            <w14:solidFill>
              <w14:schemeClr w14:val="tx1"/>
            </w14:solidFill>
          </w14:textFill>
        </w:rPr>
        <w:t>1、项目简介</w:t>
      </w:r>
      <w:r>
        <w:rPr>
          <w:rFonts w:hint="eastAsia" w:cs="宋体"/>
          <w:b/>
          <w:color w:val="000000" w:themeColor="text1"/>
          <w:w w:val="99"/>
          <w:sz w:val="28"/>
          <w:highlight w:val="none"/>
          <w14:textFill>
            <w14:solidFill>
              <w14:schemeClr w14:val="tx1"/>
            </w14:solidFill>
          </w14:textFill>
        </w:rPr>
        <w:t xml:space="preserve"> </w:t>
      </w:r>
    </w:p>
    <w:p>
      <w:pPr>
        <w:pStyle w:val="7"/>
        <w:kinsoku w:val="0"/>
        <w:overflowPunct w:val="0"/>
        <w:spacing w:before="41" w:line="540" w:lineRule="exact"/>
        <w:ind w:right="218"/>
        <w:jc w:val="both"/>
        <w:rPr>
          <w:rFonts w:hint="eastAsia" w:ascii="宋体" w:hAnsi="宋体" w:eastAsia="宋体" w:cs="宋体"/>
          <w:bCs/>
          <w:color w:val="000000" w:themeColor="text1"/>
          <w:highlight w:val="none"/>
          <w:lang w:eastAsia="zh-CN"/>
          <w14:textFill>
            <w14:solidFill>
              <w14:schemeClr w14:val="tx1"/>
            </w14:solidFill>
          </w14:textFill>
        </w:rPr>
      </w:pPr>
      <w:r>
        <w:rPr>
          <w:rFonts w:hint="eastAsia" w:cs="宋体"/>
          <w:b/>
          <w:color w:val="000000" w:themeColor="text1"/>
          <w:highlight w:val="none"/>
          <w14:textFill>
            <w14:solidFill>
              <w14:schemeClr w14:val="tx1"/>
            </w14:solidFill>
          </w14:textFill>
        </w:rPr>
        <w:t>1.1 采购项目名称：</w:t>
      </w:r>
      <w:r>
        <w:rPr>
          <w:rFonts w:hint="eastAsia" w:ascii="宋体" w:hAnsi="宋体" w:eastAsia="宋体" w:cs="宋体"/>
          <w:bCs/>
          <w:color w:val="000000" w:themeColor="text1"/>
          <w:highlight w:val="none"/>
          <w:lang w:val="en-US" w:eastAsia="zh-CN"/>
          <w14:textFill>
            <w14:solidFill>
              <w14:schemeClr w14:val="tx1"/>
            </w14:solidFill>
          </w14:textFill>
        </w:rPr>
        <w:t>天桥街道办事处</w:t>
      </w:r>
      <w:r>
        <w:rPr>
          <w:rFonts w:hint="eastAsia" w:ascii="宋体" w:hAnsi="宋体" w:eastAsia="宋体" w:cs="宋体"/>
          <w:bCs/>
          <w:color w:val="000000" w:themeColor="text1"/>
          <w:highlight w:val="none"/>
          <w:lang w:eastAsia="zh-CN"/>
          <w14:textFill>
            <w14:solidFill>
              <w14:schemeClr w14:val="tx1"/>
            </w14:solidFill>
          </w14:textFill>
        </w:rPr>
        <w:t>办公用品、</w:t>
      </w:r>
      <w:r>
        <w:rPr>
          <w:rFonts w:hint="eastAsia" w:ascii="宋体" w:hAnsi="宋体" w:eastAsia="宋体" w:cs="宋体"/>
          <w:bCs/>
          <w:color w:val="000000" w:themeColor="text1"/>
          <w:highlight w:val="none"/>
          <w:lang w:val="en-US" w:eastAsia="zh-CN"/>
          <w14:textFill>
            <w14:solidFill>
              <w14:schemeClr w14:val="tx1"/>
            </w14:solidFill>
          </w14:textFill>
        </w:rPr>
        <w:t>耗材</w:t>
      </w:r>
      <w:r>
        <w:rPr>
          <w:rFonts w:hint="eastAsia" w:ascii="宋体" w:hAnsi="宋体" w:eastAsia="宋体" w:cs="宋体"/>
          <w:bCs/>
          <w:color w:val="000000" w:themeColor="text1"/>
          <w:highlight w:val="none"/>
          <w:lang w:eastAsia="zh-CN"/>
          <w14:textFill>
            <w14:solidFill>
              <w14:schemeClr w14:val="tx1"/>
            </w14:solidFill>
          </w14:textFill>
        </w:rPr>
        <w:t>及零星物品采购</w:t>
      </w:r>
    </w:p>
    <w:p>
      <w:pPr>
        <w:pStyle w:val="7"/>
        <w:kinsoku w:val="0"/>
        <w:overflowPunct w:val="0"/>
        <w:spacing w:before="41" w:line="540" w:lineRule="exact"/>
        <w:ind w:right="218"/>
        <w:jc w:val="both"/>
        <w:rPr>
          <w:rFonts w:hint="eastAsia" w:eastAsia="宋体" w:cs="宋体"/>
          <w:b/>
          <w:color w:val="000000" w:themeColor="text1"/>
          <w:highlight w:val="none"/>
          <w:lang w:eastAsia="zh-CN"/>
          <w14:textFill>
            <w14:solidFill>
              <w14:schemeClr w14:val="tx1"/>
            </w14:solidFill>
          </w14:textFill>
        </w:rPr>
      </w:pPr>
      <w:r>
        <w:rPr>
          <w:rFonts w:hint="eastAsia" w:cs="宋体"/>
          <w:b/>
          <w:color w:val="000000" w:themeColor="text1"/>
          <w:highlight w:val="none"/>
          <w14:textFill>
            <w14:solidFill>
              <w14:schemeClr w14:val="tx1"/>
            </w14:solidFill>
          </w14:textFill>
        </w:rPr>
        <w:t>1.2 采购人：</w:t>
      </w:r>
      <w:r>
        <w:rPr>
          <w:rFonts w:hint="eastAsia" w:cs="宋体"/>
          <w:bCs/>
          <w:color w:val="000000" w:themeColor="text1"/>
          <w:highlight w:val="none"/>
          <w:lang w:eastAsia="zh-CN"/>
          <w14:textFill>
            <w14:solidFill>
              <w14:schemeClr w14:val="tx1"/>
            </w14:solidFill>
          </w14:textFill>
        </w:rPr>
        <w:t>北京市西城区人民政府天桥街道办事处</w:t>
      </w:r>
    </w:p>
    <w:p>
      <w:pPr>
        <w:pStyle w:val="7"/>
        <w:kinsoku w:val="0"/>
        <w:overflowPunct w:val="0"/>
        <w:spacing w:before="41" w:line="540" w:lineRule="exact"/>
        <w:ind w:right="218"/>
        <w:jc w:val="both"/>
        <w:rPr>
          <w:rFonts w:hint="eastAsia" w:eastAsia="宋体" w:cs="宋体"/>
          <w:bCs/>
          <w:color w:val="000000" w:themeColor="text1"/>
          <w:highlight w:val="none"/>
          <w:lang w:val="en-US" w:eastAsia="zh-CN"/>
          <w14:textFill>
            <w14:solidFill>
              <w14:schemeClr w14:val="tx1"/>
            </w14:solidFill>
          </w14:textFill>
        </w:rPr>
      </w:pPr>
      <w:r>
        <w:rPr>
          <w:rFonts w:hint="eastAsia" w:cs="宋体"/>
          <w:b/>
          <w:color w:val="000000" w:themeColor="text1"/>
          <w:highlight w:val="none"/>
          <w14:textFill>
            <w14:solidFill>
              <w14:schemeClr w14:val="tx1"/>
            </w14:solidFill>
          </w14:textFill>
        </w:rPr>
        <w:t>1.3 采购方式：</w:t>
      </w:r>
      <w:r>
        <w:rPr>
          <w:rFonts w:hint="eastAsia" w:cs="宋体"/>
          <w:bCs/>
          <w:color w:val="000000" w:themeColor="text1"/>
          <w:highlight w:val="none"/>
          <w:lang w:eastAsia="zh-CN"/>
          <w14:textFill>
            <w14:solidFill>
              <w14:schemeClr w14:val="tx1"/>
            </w14:solidFill>
          </w14:textFill>
        </w:rPr>
        <w:t>公开招标</w:t>
      </w:r>
    </w:p>
    <w:p>
      <w:pPr>
        <w:pStyle w:val="11"/>
        <w:spacing w:line="360" w:lineRule="auto"/>
        <w:ind w:left="0" w:leftChars="0" w:firstLine="0" w:firstLineChars="0"/>
        <w:contextualSpacing/>
        <w:rPr>
          <w:rFonts w:hint="eastAsia" w:ascii="宋体" w:hAnsi="宋体" w:eastAsia="宋体" w:cs="宋体"/>
          <w:b/>
          <w:color w:val="000000" w:themeColor="text1"/>
          <w:sz w:val="28"/>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4"/>
          <w:highlight w:val="none"/>
          <w:lang w:val="en-US" w:eastAsia="zh-CN" w:bidi="ar-SA"/>
          <w14:textFill>
            <w14:solidFill>
              <w14:schemeClr w14:val="tx1"/>
            </w14:solidFill>
          </w14:textFill>
        </w:rPr>
        <w:t>2、商务要求</w:t>
      </w:r>
    </w:p>
    <w:p>
      <w:pPr>
        <w:widowControl/>
        <w:spacing w:line="360" w:lineRule="auto"/>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1.合同履行期限：自合同签订之日起1年。</w:t>
      </w:r>
    </w:p>
    <w:p>
      <w:pPr>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2.付款条件：中标后，按双方合同约定。</w:t>
      </w:r>
    </w:p>
    <w:p>
      <w:pPr>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w:t>
      </w:r>
      <w:r>
        <w:rPr>
          <w:rFonts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供货要求：</w:t>
      </w:r>
    </w:p>
    <w:p>
      <w:pP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常规送货：供应商在接到采购人送货清单后，2 个工作日内将货物送至采购人指定地点；</w:t>
      </w:r>
    </w:p>
    <w:p>
      <w:pPr>
        <w:spacing w:line="360" w:lineRule="auto"/>
        <w:ind w:firstLine="480" w:firstLineChars="200"/>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应急送货：接到采购人通知后6小时内送达指定地点。</w:t>
      </w:r>
    </w:p>
    <w:p>
      <w:pPr>
        <w:spacing w:line="360" w:lineRule="auto"/>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w:t>
      </w:r>
      <w:r>
        <w:rPr>
          <w:rFonts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供应商需安排专人负责本项目供货和费用结算工作，负责人的更换需提前告知采购人。</w:t>
      </w:r>
    </w:p>
    <w:p>
      <w:pPr>
        <w:pStyle w:val="4"/>
        <w:kinsoku w:val="0"/>
        <w:overflowPunct w:val="0"/>
        <w:spacing w:before="146" w:line="540" w:lineRule="exact"/>
        <w:ind w:right="218"/>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3</w:t>
      </w:r>
      <w:r>
        <w:rPr>
          <w:rFonts w:hint="eastAsia" w:cs="宋体"/>
          <w:color w:val="000000" w:themeColor="text1"/>
          <w:highlight w:val="none"/>
          <w14:textFill>
            <w14:solidFill>
              <w14:schemeClr w14:val="tx1"/>
            </w14:solidFill>
          </w14:textFill>
        </w:rPr>
        <w:t>、项目概况</w:t>
      </w:r>
      <w:r>
        <w:rPr>
          <w:rFonts w:hint="eastAsia" w:cs="宋体"/>
          <w:color w:val="000000" w:themeColor="text1"/>
          <w:highlight w:val="none"/>
          <w:lang w:val="en-US" w:eastAsia="zh-CN"/>
          <w14:textFill>
            <w14:solidFill>
              <w14:schemeClr w14:val="tx1"/>
            </w14:solidFill>
          </w14:textFill>
        </w:rPr>
        <w:t>及技术要求</w:t>
      </w:r>
    </w:p>
    <w:p>
      <w:pPr>
        <w:pStyle w:val="8"/>
        <w:ind w:firstLine="480" w:firstLineChars="200"/>
        <w:rPr>
          <w:rFonts w:hint="eastAsia" w:asciiTheme="minorEastAsia" w:hAnsiTheme="minorEastAsia" w:eastAsiaTheme="minorEastAsia" w:cstheme="minorEastAsia"/>
          <w:color w:val="000000" w:themeColor="text1"/>
          <w:sz w:val="24"/>
          <w:szCs w:val="22"/>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2"/>
          <w:highlight w:val="none"/>
          <w:lang w:val="en-US" w:eastAsia="zh-CN" w:bidi="ar-SA"/>
          <w14:textFill>
            <w14:solidFill>
              <w14:schemeClr w14:val="tx1"/>
            </w14:solidFill>
          </w14:textFill>
        </w:rPr>
        <w:t>为满足办事处（含机关及社区）日常办公需要及机关物业、社区日常保洁需要，综合办公室、社区建设办公室拟开展2024年度天桥街道办事处办公用品、耗材（不含北京市政府采购集中采购目录内物品）及500元以下零星物品（不含机关物业维修用品）。具体采购需求详见附表（包括但不限于）。</w:t>
      </w:r>
    </w:p>
    <w:tbl>
      <w:tblPr>
        <w:tblStyle w:val="9"/>
        <w:tblW w:w="9355" w:type="dxa"/>
        <w:tblInd w:w="-21" w:type="dxa"/>
        <w:tblLayout w:type="fixed"/>
        <w:tblCellMar>
          <w:top w:w="0" w:type="dxa"/>
          <w:left w:w="0" w:type="dxa"/>
          <w:bottom w:w="0" w:type="dxa"/>
          <w:right w:w="0" w:type="dxa"/>
        </w:tblCellMar>
      </w:tblPr>
      <w:tblGrid>
        <w:gridCol w:w="1276"/>
        <w:gridCol w:w="3772"/>
        <w:gridCol w:w="2574"/>
        <w:gridCol w:w="1733"/>
      </w:tblGrid>
      <w:tr>
        <w:tblPrEx>
          <w:tblLayout w:type="fixed"/>
          <w:tblCellMar>
            <w:top w:w="0" w:type="dxa"/>
            <w:left w:w="0" w:type="dxa"/>
            <w:bottom w:w="0" w:type="dxa"/>
            <w:right w:w="0" w:type="dxa"/>
          </w:tblCellMar>
        </w:tblPrEx>
        <w:trPr>
          <w:trHeight w:val="500" w:hRule="atLeast"/>
        </w:trPr>
        <w:tc>
          <w:tcPr>
            <w:tcW w:w="5048" w:type="dxa"/>
            <w:gridSpan w:val="2"/>
            <w:tcBorders>
              <w:top w:val="nil"/>
              <w:left w:val="nil"/>
              <w:bottom w:val="nil"/>
              <w:right w:val="nil"/>
            </w:tcBorders>
            <w:shd w:val="clear" w:color="auto" w:fill="auto"/>
            <w:noWrap/>
            <w:tcMar>
              <w:top w:w="10" w:type="dxa"/>
              <w:left w:w="10" w:type="dxa"/>
              <w:right w:w="10" w:type="dxa"/>
            </w:tcMar>
            <w:vAlign w:val="center"/>
          </w:tcPr>
          <w:p>
            <w:pPr>
              <w:widowControl/>
              <w:textAlignment w:val="center"/>
              <w:rPr>
                <w:rFonts w:ascii="黑体" w:hAnsi="宋体" w:eastAsia="黑体" w:cs="黑体"/>
                <w:color w:val="000000" w:themeColor="text1"/>
                <w:sz w:val="32"/>
                <w:szCs w:val="32"/>
                <w:highlight w:val="none"/>
                <w14:textFill>
                  <w14:solidFill>
                    <w14:schemeClr w14:val="tx1"/>
                  </w14:solidFill>
                </w14:textFill>
              </w:rPr>
            </w:pPr>
            <w:r>
              <w:rPr>
                <w:rStyle w:val="12"/>
                <w:rFonts w:hint="default"/>
                <w:color w:val="000000" w:themeColor="text1"/>
                <w:highlight w:val="none"/>
                <w14:textFill>
                  <w14:solidFill>
                    <w14:schemeClr w14:val="tx1"/>
                  </w14:solidFill>
                </w14:textFill>
              </w:rPr>
              <w:t>附件</w:t>
            </w:r>
            <w:r>
              <w:rPr>
                <w:rStyle w:val="13"/>
                <w:rFonts w:hint="default" w:eastAsia="黑体"/>
                <w:color w:val="000000" w:themeColor="text1"/>
                <w:highlight w:val="none"/>
                <w14:textFill>
                  <w14:solidFill>
                    <w14:schemeClr w14:val="tx1"/>
                  </w14:solidFill>
                </w14:textFill>
              </w:rPr>
              <w:t>1</w:t>
            </w:r>
          </w:p>
        </w:tc>
        <w:tc>
          <w:tcPr>
            <w:tcW w:w="2574" w:type="dxa"/>
            <w:tcBorders>
              <w:top w:val="nil"/>
              <w:left w:val="nil"/>
              <w:bottom w:val="nil"/>
              <w:right w:val="nil"/>
            </w:tcBorders>
            <w:shd w:val="clear" w:color="auto" w:fill="auto"/>
            <w:noWrap/>
            <w:tcMar>
              <w:top w:w="10" w:type="dxa"/>
              <w:left w:w="10" w:type="dxa"/>
              <w:right w:w="10" w:type="dxa"/>
            </w:tcMar>
            <w:vAlign w:val="center"/>
          </w:tcPr>
          <w:p>
            <w:pPr>
              <w:rPr>
                <w:rFonts w:ascii="宋体" w:hAnsi="宋体" w:cs="宋体"/>
                <w:color w:val="000000" w:themeColor="text1"/>
                <w:sz w:val="22"/>
                <w:szCs w:val="22"/>
                <w:highlight w:val="none"/>
                <w14:textFill>
                  <w14:solidFill>
                    <w14:schemeClr w14:val="tx1"/>
                  </w14:solidFill>
                </w14:textFill>
              </w:rPr>
            </w:pPr>
          </w:p>
        </w:tc>
        <w:tc>
          <w:tcPr>
            <w:tcW w:w="1733" w:type="dxa"/>
            <w:tcBorders>
              <w:top w:val="nil"/>
              <w:left w:val="nil"/>
              <w:bottom w:val="nil"/>
              <w:right w:val="nil"/>
            </w:tcBorders>
            <w:shd w:val="clear" w:color="auto" w:fill="auto"/>
            <w:noWrap/>
            <w:tcMar>
              <w:top w:w="10" w:type="dxa"/>
              <w:left w:w="10" w:type="dxa"/>
              <w:right w:w="10" w:type="dxa"/>
            </w:tcMar>
            <w:vAlign w:val="center"/>
          </w:tcPr>
          <w:p>
            <w:pPr>
              <w:rPr>
                <w:rFonts w:ascii="宋体" w:hAnsi="宋体" w:cs="宋体"/>
                <w:color w:val="000000" w:themeColor="text1"/>
                <w:sz w:val="22"/>
                <w:szCs w:val="22"/>
                <w:highlight w:val="none"/>
                <w14:textFill>
                  <w14:solidFill>
                    <w14:schemeClr w14:val="tx1"/>
                  </w14:solidFill>
                </w14:textFill>
              </w:rPr>
            </w:pPr>
          </w:p>
        </w:tc>
      </w:tr>
      <w:tr>
        <w:tblPrEx>
          <w:tblLayout w:type="fixed"/>
          <w:tblCellMar>
            <w:top w:w="0" w:type="dxa"/>
            <w:left w:w="0" w:type="dxa"/>
            <w:bottom w:w="0" w:type="dxa"/>
            <w:right w:w="0" w:type="dxa"/>
          </w:tblCellMar>
        </w:tblPrEx>
        <w:trPr>
          <w:trHeight w:val="600" w:hRule="atLeast"/>
        </w:trPr>
        <w:tc>
          <w:tcPr>
            <w:tcW w:w="9355" w:type="dxa"/>
            <w:gridSpan w:val="4"/>
            <w:tcBorders>
              <w:top w:val="nil"/>
              <w:left w:val="nil"/>
              <w:bottom w:val="nil"/>
              <w:right w:val="nil"/>
            </w:tcBorders>
            <w:shd w:val="clear" w:color="auto" w:fill="auto"/>
            <w:noWrap/>
            <w:tcMar>
              <w:top w:w="10" w:type="dxa"/>
              <w:left w:w="10" w:type="dxa"/>
              <w:right w:w="10" w:type="dxa"/>
            </w:tcMar>
            <w:vAlign w:val="center"/>
          </w:tcPr>
          <w:p>
            <w:pPr>
              <w:widowControl/>
              <w:jc w:val="center"/>
              <w:textAlignment w:val="center"/>
              <w:rPr>
                <w:rFonts w:ascii="方正小标宋简体" w:hAnsi="方正小标宋简体" w:eastAsia="方正小标宋简体" w:cs="方正小标宋简体"/>
                <w:color w:val="000000" w:themeColor="text1"/>
                <w:sz w:val="40"/>
                <w:szCs w:val="40"/>
                <w:highlight w:val="none"/>
                <w14:textFill>
                  <w14:solidFill>
                    <w14:schemeClr w14:val="tx1"/>
                  </w14:solidFill>
                </w14:textFill>
              </w:rPr>
            </w:pPr>
            <w:r>
              <w:rPr>
                <w:rFonts w:ascii="方正小标宋简体" w:hAnsi="方正小标宋简体" w:eastAsia="方正小标宋简体" w:cs="方正小标宋简体"/>
                <w:color w:val="000000" w:themeColor="text1"/>
                <w:sz w:val="40"/>
                <w:szCs w:val="40"/>
                <w:highlight w:val="none"/>
                <w14:textFill>
                  <w14:solidFill>
                    <w14:schemeClr w14:val="tx1"/>
                  </w14:solidFill>
                </w14:textFill>
              </w:rPr>
              <w:t>办公用品采购清单</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序号</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办公用品名称</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规格</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数量</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直液式走珠笔0.5mm（黑）</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直液式走珠笔0.5mm（红色）</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直液式走珠笔0.5mm（蓝色）</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桌面专用写字台笔</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支</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鼠标垫</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圆笔筒</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多功能笔筒（三层）</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HB、2B铅笔</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钢制切纸机</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标签纸</w:t>
            </w: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23*33（红）</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标签纸</w:t>
            </w: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23*33（蓝）</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标贴</w:t>
            </w: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13*38（白）</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标贴</w:t>
            </w: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24*27（白）</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A4塑封膜</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削笔机</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白板磁铁吸铁石（磁钉）</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卡</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录音电话</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多功能桌面置物架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19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A4风琴包</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档案打孔机（</w:t>
            </w: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三孔</w:t>
            </w: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旋转订书机</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重型订书机</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拉链文件袋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荧光记号笔</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白板笔（黑）</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白板笔（红）</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27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白板笔（蓝）</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28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油性记号笔（粗）</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29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磁性白板擦</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11孔透明资料袋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帆布公文袋/会议包</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牛皮纸信封3号</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牛皮纸信封5号</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牛皮纸信封9号</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桌面5层文件收纳柜（A4）</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推夹器（40页）</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推夹器（55页）</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补充夹（40页）</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卡</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39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补充夹（55页）</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书写板夹（A4）</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挂式白板带磁（120*90）</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挂式白板带磁（60*45）窄边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中长尾夹（彩色25mm）</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桶</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回形针</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档案盒</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记事贴</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旋转报告夹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双夹报告夹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49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多层文件盘</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票据夹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三角夹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圆形铁票夹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索引标贴</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袋</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得力亚克力桌签</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扫把</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拖把</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值班床上用品</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印台</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59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印油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剪刀</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胶棒</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钢尺</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活页内芯（142*208）</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起钉器</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文件栏（4栏）</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文件框（</w:t>
            </w: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放</w:t>
            </w: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A4纸，浅）</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文件框（放A4纸，深）</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档案袋（纸制）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69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存档盒（纸制）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订书钉</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胶水</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瓶</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计算器</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大头针</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涂改带</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笔记本</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拉杆夹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活页夹（60页）</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文件袋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79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转笔刀</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橡皮</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裁纸刀</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单页夹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color w:val="000000" w:themeColor="text1"/>
                <w:sz w:val="22"/>
                <w:szCs w:val="22"/>
                <w:highlight w:val="none"/>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塑料尺子</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A4垫板</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口取纸</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大胶带</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卷</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小胶带</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卷</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双面胶（包、厚）</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卷</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89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皮筋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海绵池</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大夹子</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彩笔</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文件架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螺旋本</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本</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活页夹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绳子</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条</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表（37cm）</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药箱（塑料）</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99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工具箱</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5号电池</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板</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7号电池</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板</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插线板（3M）</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插线板（5M）</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电话</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自动铅芯</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铅芯</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盒</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资料册</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b/>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108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磁扣</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eastAsia="zh-CN"/>
                <w14:textFill>
                  <w14:solidFill>
                    <w14:schemeClr w14:val="tx1"/>
                  </w14:solidFill>
                </w14:textFill>
              </w:rPr>
              <w:t>板</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1</w:t>
            </w:r>
          </w:p>
        </w:tc>
      </w:tr>
      <w:tr>
        <w:tblPrEx>
          <w:tblLayout w:type="fixed"/>
          <w:tblCellMar>
            <w:top w:w="0" w:type="dxa"/>
            <w:left w:w="0" w:type="dxa"/>
            <w:bottom w:w="0" w:type="dxa"/>
            <w:right w:w="0" w:type="dxa"/>
          </w:tblCellMar>
        </w:tblPrEx>
        <w:trPr>
          <w:trHeight w:val="500" w:hRule="atLeast"/>
        </w:trPr>
        <w:tc>
          <w:tcPr>
            <w:tcW w:w="5048" w:type="dxa"/>
            <w:gridSpan w:val="2"/>
            <w:tcBorders>
              <w:top w:val="nil"/>
              <w:left w:val="nil"/>
              <w:bottom w:val="nil"/>
              <w:right w:val="nil"/>
            </w:tcBorders>
            <w:shd w:val="clear" w:color="auto" w:fill="auto"/>
            <w:noWrap/>
            <w:tcMar>
              <w:top w:w="10" w:type="dxa"/>
              <w:left w:w="10" w:type="dxa"/>
              <w:right w:w="10" w:type="dxa"/>
            </w:tcMar>
            <w:vAlign w:val="center"/>
          </w:tcPr>
          <w:p>
            <w:pPr>
              <w:widowControl/>
              <w:textAlignment w:val="center"/>
              <w:rPr>
                <w:rFonts w:hint="eastAsia" w:ascii="黑体" w:hAnsi="宋体" w:eastAsia="黑体" w:cs="黑体"/>
                <w:color w:val="000000" w:themeColor="text1"/>
                <w:sz w:val="32"/>
                <w:szCs w:val="32"/>
                <w:highlight w:val="none"/>
                <w:lang w:val="en-US" w:eastAsia="zh-CN"/>
                <w14:textFill>
                  <w14:solidFill>
                    <w14:schemeClr w14:val="tx1"/>
                  </w14:solidFill>
                </w14:textFill>
              </w:rPr>
            </w:pPr>
            <w:r>
              <w:rPr>
                <w:rStyle w:val="14"/>
                <w:rFonts w:hint="default"/>
                <w:color w:val="000000" w:themeColor="text1"/>
                <w:highlight w:val="none"/>
                <w14:textFill>
                  <w14:solidFill>
                    <w14:schemeClr w14:val="tx1"/>
                  </w14:solidFill>
                </w14:textFill>
              </w:rPr>
              <w:t>附件</w:t>
            </w:r>
            <w:r>
              <w:rPr>
                <w:rStyle w:val="14"/>
                <w:rFonts w:hint="eastAsia" w:eastAsia="黑体"/>
                <w:color w:val="000000" w:themeColor="text1"/>
                <w:highlight w:val="none"/>
                <w:lang w:val="en-US" w:eastAsia="zh-CN"/>
                <w14:textFill>
                  <w14:solidFill>
                    <w14:schemeClr w14:val="tx1"/>
                  </w14:solidFill>
                </w14:textFill>
              </w:rPr>
              <w:t>2</w:t>
            </w:r>
          </w:p>
        </w:tc>
        <w:tc>
          <w:tcPr>
            <w:tcW w:w="2574" w:type="dxa"/>
            <w:tcBorders>
              <w:top w:val="nil"/>
              <w:left w:val="nil"/>
              <w:bottom w:val="nil"/>
              <w:right w:val="nil"/>
            </w:tcBorders>
            <w:shd w:val="clear" w:color="auto" w:fill="auto"/>
            <w:noWrap/>
            <w:tcMar>
              <w:top w:w="10" w:type="dxa"/>
              <w:left w:w="10" w:type="dxa"/>
              <w:right w:w="10" w:type="dxa"/>
            </w:tcMar>
            <w:vAlign w:val="center"/>
          </w:tcPr>
          <w:p>
            <w:pPr>
              <w:rPr>
                <w:rFonts w:ascii="宋体" w:hAnsi="宋体" w:cs="宋体"/>
                <w:color w:val="000000" w:themeColor="text1"/>
                <w:sz w:val="22"/>
                <w:szCs w:val="22"/>
                <w:highlight w:val="none"/>
                <w14:textFill>
                  <w14:solidFill>
                    <w14:schemeClr w14:val="tx1"/>
                  </w14:solidFill>
                </w14:textFill>
              </w:rPr>
            </w:pPr>
          </w:p>
        </w:tc>
        <w:tc>
          <w:tcPr>
            <w:tcW w:w="1733" w:type="dxa"/>
            <w:tcBorders>
              <w:top w:val="nil"/>
              <w:left w:val="nil"/>
              <w:bottom w:val="nil"/>
              <w:right w:val="nil"/>
            </w:tcBorders>
            <w:shd w:val="clear" w:color="auto" w:fill="auto"/>
            <w:noWrap/>
            <w:tcMar>
              <w:top w:w="10" w:type="dxa"/>
              <w:left w:w="10" w:type="dxa"/>
              <w:right w:w="10" w:type="dxa"/>
            </w:tcMar>
            <w:vAlign w:val="center"/>
          </w:tcPr>
          <w:p>
            <w:pPr>
              <w:rPr>
                <w:rFonts w:ascii="宋体" w:hAnsi="宋体" w:cs="宋体"/>
                <w:color w:val="000000" w:themeColor="text1"/>
                <w:sz w:val="22"/>
                <w:szCs w:val="22"/>
                <w:highlight w:val="none"/>
                <w14:textFill>
                  <w14:solidFill>
                    <w14:schemeClr w14:val="tx1"/>
                  </w14:solidFill>
                </w14:textFill>
              </w:rPr>
            </w:pPr>
          </w:p>
        </w:tc>
      </w:tr>
      <w:tr>
        <w:tblPrEx>
          <w:tblLayout w:type="fixed"/>
          <w:tblCellMar>
            <w:top w:w="0" w:type="dxa"/>
            <w:left w:w="0" w:type="dxa"/>
            <w:bottom w:w="0" w:type="dxa"/>
            <w:right w:w="0" w:type="dxa"/>
          </w:tblCellMar>
        </w:tblPrEx>
        <w:trPr>
          <w:trHeight w:val="600" w:hRule="atLeast"/>
        </w:trPr>
        <w:tc>
          <w:tcPr>
            <w:tcW w:w="9355" w:type="dxa"/>
            <w:gridSpan w:val="4"/>
            <w:tcBorders>
              <w:top w:val="nil"/>
              <w:left w:val="nil"/>
              <w:bottom w:val="nil"/>
              <w:right w:val="nil"/>
            </w:tcBorders>
            <w:shd w:val="clear" w:color="auto" w:fill="auto"/>
            <w:noWrap/>
            <w:tcMar>
              <w:top w:w="10" w:type="dxa"/>
              <w:left w:w="10" w:type="dxa"/>
              <w:right w:w="10" w:type="dxa"/>
            </w:tcMar>
            <w:vAlign w:val="center"/>
          </w:tcPr>
          <w:p>
            <w:pPr>
              <w:widowControl/>
              <w:jc w:val="center"/>
              <w:textAlignment w:val="center"/>
              <w:rPr>
                <w:rFonts w:ascii="方正小标宋简体" w:hAnsi="方正小标宋简体" w:eastAsia="方正小标宋简体" w:cs="方正小标宋简体"/>
                <w:color w:val="000000" w:themeColor="text1"/>
                <w:sz w:val="40"/>
                <w:szCs w:val="40"/>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0"/>
                <w:szCs w:val="40"/>
                <w:highlight w:val="none"/>
                <w:lang w:eastAsia="zh-CN"/>
                <w14:textFill>
                  <w14:solidFill>
                    <w14:schemeClr w14:val="tx1"/>
                  </w14:solidFill>
                </w14:textFill>
              </w:rPr>
              <w:t>零星物品</w:t>
            </w:r>
            <w:r>
              <w:rPr>
                <w:rFonts w:ascii="方正小标宋简体" w:hAnsi="方正小标宋简体" w:eastAsia="方正小标宋简体" w:cs="方正小标宋简体"/>
                <w:color w:val="000000" w:themeColor="text1"/>
                <w:sz w:val="40"/>
                <w:szCs w:val="40"/>
                <w:highlight w:val="none"/>
                <w14:textFill>
                  <w14:solidFill>
                    <w14:schemeClr w14:val="tx1"/>
                  </w14:solidFill>
                </w14:textFill>
              </w:rPr>
              <w:t>采购清单</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序号</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hint="eastAsia" w:ascii="仿宋_GB2312" w:hAnsi="宋体" w:eastAsia="仿宋_GB2312" w:cs="仿宋_GB2312"/>
                <w:b/>
                <w:color w:val="000000" w:themeColor="text1"/>
                <w:sz w:val="22"/>
                <w:szCs w:val="22"/>
                <w:highlight w:val="none"/>
                <w:lang w:eastAsia="zh-CN"/>
                <w14:textFill>
                  <w14:solidFill>
                    <w14:schemeClr w14:val="tx1"/>
                  </w14:solidFill>
                </w14:textFill>
              </w:rPr>
              <w:t>物品</w:t>
            </w:r>
            <w:r>
              <w:rPr>
                <w:rFonts w:ascii="仿宋_GB2312" w:hAnsi="宋体" w:eastAsia="仿宋_GB2312" w:cs="仿宋_GB2312"/>
                <w:b/>
                <w:color w:val="000000" w:themeColor="text1"/>
                <w:sz w:val="22"/>
                <w:szCs w:val="22"/>
                <w:highlight w:val="none"/>
                <w14:textFill>
                  <w14:solidFill>
                    <w14:schemeClr w14:val="tx1"/>
                  </w14:solidFill>
                </w14:textFill>
              </w:rPr>
              <w:t>型号</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规格</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数量</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擦手抽纸</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大盘纸</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食堂抽纸</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抽纸</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大黑色垃圾袋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卷</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胶皮手套</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双</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静电尘推油</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桶</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洁厕灵</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会议杯子</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盐酸</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桶</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毛巾</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条</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白垃圾袋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卷</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白色软毛厕刷</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玻璃刮</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酒精</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热水壶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84消毒液</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jc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地刮（杆）</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扫把套装</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jc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墩布套装</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洗手液</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尘推</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尘推杆</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芳香球</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袋</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固体清新剂</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空气清新剂</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水垢剂</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水桶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jc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jc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盆子</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管道疏通剂</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清洁布</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百洁布</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钢丝球</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包</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五洁粉</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桶</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玻璃刮杆</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抹布</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块</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热水壶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旋转拖把</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拖把杆</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拖把头</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洗涤灵</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香皂</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肥皂</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箱</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香皂盒</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垃圾袋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卷</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default"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14:textFill>
                  <w14:solidFill>
                    <w14:schemeClr w14:val="tx1"/>
                  </w14:solidFill>
                </w14:textFill>
              </w:rPr>
              <w:t>垃圾桶</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500" w:hRule="atLeast"/>
        </w:trPr>
        <w:tc>
          <w:tcPr>
            <w:tcW w:w="5048" w:type="dxa"/>
            <w:gridSpan w:val="2"/>
            <w:tcBorders>
              <w:top w:val="nil"/>
              <w:left w:val="nil"/>
              <w:bottom w:val="nil"/>
              <w:right w:val="nil"/>
            </w:tcBorders>
            <w:shd w:val="clear" w:color="auto" w:fill="auto"/>
            <w:noWrap/>
            <w:tcMar>
              <w:top w:w="10" w:type="dxa"/>
              <w:left w:w="10" w:type="dxa"/>
              <w:right w:w="10" w:type="dxa"/>
            </w:tcMar>
            <w:vAlign w:val="center"/>
          </w:tcPr>
          <w:p>
            <w:pPr>
              <w:rPr>
                <w:rFonts w:hint="default"/>
                <w:color w:val="000000" w:themeColor="text1"/>
                <w:highlight w:val="none"/>
                <w14:textFill>
                  <w14:solidFill>
                    <w14:schemeClr w14:val="tx1"/>
                  </w14:solidFill>
                </w14:textFill>
              </w:rPr>
            </w:pPr>
          </w:p>
          <w:p>
            <w:pPr>
              <w:pStyle w:val="2"/>
              <w:rPr>
                <w:rFonts w:hint="default"/>
                <w:color w:val="000000" w:themeColor="text1"/>
                <w:highlight w:val="none"/>
                <w14:textFill>
                  <w14:solidFill>
                    <w14:schemeClr w14:val="tx1"/>
                  </w14:solidFill>
                </w14:textFill>
              </w:rPr>
            </w:pPr>
          </w:p>
          <w:p>
            <w:pPr>
              <w:rPr>
                <w:rFonts w:hint="default"/>
                <w:color w:val="000000" w:themeColor="text1"/>
                <w:highlight w:val="none"/>
                <w14:textFill>
                  <w14:solidFill>
                    <w14:schemeClr w14:val="tx1"/>
                  </w14:solidFill>
                </w14:textFill>
              </w:rPr>
            </w:pPr>
          </w:p>
          <w:p>
            <w:pPr>
              <w:widowControl/>
              <w:textAlignment w:val="center"/>
              <w:rPr>
                <w:rFonts w:hint="eastAsia" w:ascii="黑体" w:hAnsi="宋体" w:eastAsia="黑体" w:cs="黑体"/>
                <w:color w:val="000000" w:themeColor="text1"/>
                <w:sz w:val="32"/>
                <w:szCs w:val="32"/>
                <w:highlight w:val="none"/>
                <w:lang w:val="en-US" w:eastAsia="zh-CN"/>
                <w14:textFill>
                  <w14:solidFill>
                    <w14:schemeClr w14:val="tx1"/>
                  </w14:solidFill>
                </w14:textFill>
              </w:rPr>
            </w:pPr>
            <w:r>
              <w:rPr>
                <w:rStyle w:val="14"/>
                <w:rFonts w:hint="default"/>
                <w:color w:val="000000" w:themeColor="text1"/>
                <w:highlight w:val="none"/>
                <w14:textFill>
                  <w14:solidFill>
                    <w14:schemeClr w14:val="tx1"/>
                  </w14:solidFill>
                </w14:textFill>
              </w:rPr>
              <w:t>附件</w:t>
            </w:r>
            <w:r>
              <w:rPr>
                <w:rStyle w:val="14"/>
                <w:rFonts w:hint="eastAsia" w:eastAsia="黑体"/>
                <w:color w:val="000000" w:themeColor="text1"/>
                <w:highlight w:val="none"/>
                <w:lang w:val="en-US" w:eastAsia="zh-CN"/>
                <w14:textFill>
                  <w14:solidFill>
                    <w14:schemeClr w14:val="tx1"/>
                  </w14:solidFill>
                </w14:textFill>
              </w:rPr>
              <w:t>3</w:t>
            </w:r>
          </w:p>
        </w:tc>
        <w:tc>
          <w:tcPr>
            <w:tcW w:w="2574" w:type="dxa"/>
            <w:tcBorders>
              <w:top w:val="nil"/>
              <w:left w:val="nil"/>
              <w:bottom w:val="nil"/>
              <w:right w:val="nil"/>
            </w:tcBorders>
            <w:shd w:val="clear" w:color="auto" w:fill="auto"/>
            <w:noWrap/>
            <w:tcMar>
              <w:top w:w="10" w:type="dxa"/>
              <w:left w:w="10" w:type="dxa"/>
              <w:right w:w="10" w:type="dxa"/>
            </w:tcMar>
            <w:vAlign w:val="center"/>
          </w:tcPr>
          <w:p>
            <w:pPr>
              <w:rPr>
                <w:rFonts w:ascii="宋体" w:hAnsi="宋体" w:cs="宋体"/>
                <w:color w:val="000000" w:themeColor="text1"/>
                <w:sz w:val="22"/>
                <w:szCs w:val="22"/>
                <w:highlight w:val="none"/>
                <w14:textFill>
                  <w14:solidFill>
                    <w14:schemeClr w14:val="tx1"/>
                  </w14:solidFill>
                </w14:textFill>
              </w:rPr>
            </w:pPr>
          </w:p>
        </w:tc>
        <w:tc>
          <w:tcPr>
            <w:tcW w:w="1733" w:type="dxa"/>
            <w:tcBorders>
              <w:top w:val="nil"/>
              <w:left w:val="nil"/>
              <w:bottom w:val="nil"/>
              <w:right w:val="nil"/>
            </w:tcBorders>
            <w:shd w:val="clear" w:color="auto" w:fill="auto"/>
            <w:noWrap/>
            <w:tcMar>
              <w:top w:w="10" w:type="dxa"/>
              <w:left w:w="10" w:type="dxa"/>
              <w:right w:w="10" w:type="dxa"/>
            </w:tcMar>
            <w:vAlign w:val="center"/>
          </w:tcPr>
          <w:p>
            <w:pPr>
              <w:rPr>
                <w:rFonts w:ascii="宋体" w:hAnsi="宋体" w:cs="宋体"/>
                <w:color w:val="000000" w:themeColor="text1"/>
                <w:sz w:val="22"/>
                <w:szCs w:val="22"/>
                <w:highlight w:val="none"/>
                <w14:textFill>
                  <w14:solidFill>
                    <w14:schemeClr w14:val="tx1"/>
                  </w14:solidFill>
                </w14:textFill>
              </w:rPr>
            </w:pPr>
          </w:p>
        </w:tc>
      </w:tr>
      <w:tr>
        <w:tblPrEx>
          <w:tblLayout w:type="fixed"/>
          <w:tblCellMar>
            <w:top w:w="0" w:type="dxa"/>
            <w:left w:w="0" w:type="dxa"/>
            <w:bottom w:w="0" w:type="dxa"/>
            <w:right w:w="0" w:type="dxa"/>
          </w:tblCellMar>
        </w:tblPrEx>
        <w:trPr>
          <w:trHeight w:val="600" w:hRule="atLeast"/>
        </w:trPr>
        <w:tc>
          <w:tcPr>
            <w:tcW w:w="9355" w:type="dxa"/>
            <w:gridSpan w:val="4"/>
            <w:tcBorders>
              <w:top w:val="nil"/>
              <w:left w:val="nil"/>
              <w:bottom w:val="nil"/>
              <w:right w:val="nil"/>
            </w:tcBorders>
            <w:shd w:val="clear" w:color="auto" w:fill="auto"/>
            <w:noWrap/>
            <w:tcMar>
              <w:top w:w="10" w:type="dxa"/>
              <w:left w:w="10" w:type="dxa"/>
              <w:right w:w="10" w:type="dxa"/>
            </w:tcMar>
            <w:vAlign w:val="center"/>
          </w:tcPr>
          <w:p>
            <w:pPr>
              <w:widowControl/>
              <w:jc w:val="center"/>
              <w:textAlignment w:val="center"/>
              <w:rPr>
                <w:rFonts w:ascii="方正小标宋简体" w:hAnsi="方正小标宋简体" w:eastAsia="方正小标宋简体" w:cs="方正小标宋简体"/>
                <w:color w:val="000000" w:themeColor="text1"/>
                <w:sz w:val="40"/>
                <w:szCs w:val="40"/>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0"/>
                <w:szCs w:val="40"/>
                <w:highlight w:val="none"/>
                <w:lang w:eastAsia="zh-CN"/>
                <w14:textFill>
                  <w14:solidFill>
                    <w14:schemeClr w14:val="tx1"/>
                  </w14:solidFill>
                </w14:textFill>
              </w:rPr>
              <w:t>硒鼓耗材</w:t>
            </w:r>
            <w:r>
              <w:rPr>
                <w:rFonts w:ascii="方正小标宋简体" w:hAnsi="方正小标宋简体" w:eastAsia="方正小标宋简体" w:cs="方正小标宋简体"/>
                <w:color w:val="000000" w:themeColor="text1"/>
                <w:sz w:val="40"/>
                <w:szCs w:val="40"/>
                <w:highlight w:val="none"/>
                <w14:textFill>
                  <w14:solidFill>
                    <w14:schemeClr w14:val="tx1"/>
                  </w14:solidFill>
                </w14:textFill>
              </w:rPr>
              <w:t>采购清单</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序号</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hint="eastAsia" w:ascii="仿宋_GB2312" w:hAnsi="宋体" w:eastAsia="仿宋_GB2312" w:cs="仿宋_GB2312"/>
                <w:b/>
                <w:color w:val="000000" w:themeColor="text1"/>
                <w:sz w:val="22"/>
                <w:szCs w:val="22"/>
                <w:highlight w:val="none"/>
                <w:lang w:eastAsia="zh-CN"/>
                <w14:textFill>
                  <w14:solidFill>
                    <w14:schemeClr w14:val="tx1"/>
                  </w14:solidFill>
                </w14:textFill>
              </w:rPr>
              <w:t>硒鼓</w:t>
            </w:r>
            <w:r>
              <w:rPr>
                <w:rFonts w:hint="eastAsia" w:ascii="仿宋_GB2312" w:hAnsi="宋体" w:eastAsia="仿宋_GB2312" w:cs="仿宋_GB2312"/>
                <w:b/>
                <w:color w:val="000000" w:themeColor="text1"/>
                <w:sz w:val="22"/>
                <w:szCs w:val="22"/>
                <w:highlight w:val="none"/>
                <w:lang w:val="en-US" w:eastAsia="zh-CN"/>
                <w14:textFill>
                  <w14:solidFill>
                    <w14:schemeClr w14:val="tx1"/>
                  </w14:solidFill>
                </w14:textFill>
              </w:rPr>
              <w:t>/</w:t>
            </w:r>
            <w:r>
              <w:rPr>
                <w:rFonts w:ascii="仿宋_GB2312" w:hAnsi="宋体" w:eastAsia="仿宋_GB2312" w:cs="仿宋_GB2312"/>
                <w:b/>
                <w:color w:val="000000" w:themeColor="text1"/>
                <w:sz w:val="22"/>
                <w:szCs w:val="22"/>
                <w:highlight w:val="none"/>
                <w14:textFill>
                  <w14:solidFill>
                    <w14:schemeClr w14:val="tx1"/>
                  </w14:solidFill>
                </w14:textFill>
              </w:rPr>
              <w:t>墨盒型号</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b/>
                <w:color w:val="000000" w:themeColor="text1"/>
                <w:sz w:val="22"/>
                <w:szCs w:val="22"/>
                <w:highlight w:val="none"/>
                <w:lang w:eastAsia="zh-CN"/>
                <w14:textFill>
                  <w14:solidFill>
                    <w14:schemeClr w14:val="tx1"/>
                  </w14:solidFill>
                </w14:textFill>
              </w:rPr>
            </w:pPr>
            <w:r>
              <w:rPr>
                <w:rFonts w:hint="eastAsia" w:ascii="仿宋_GB2312" w:hAnsi="宋体" w:eastAsia="仿宋_GB2312" w:cs="仿宋_GB2312"/>
                <w:b/>
                <w:color w:val="000000" w:themeColor="text1"/>
                <w:sz w:val="22"/>
                <w:szCs w:val="22"/>
                <w:highlight w:val="none"/>
                <w:lang w:eastAsia="zh-CN"/>
                <w14:textFill>
                  <w14:solidFill>
                    <w14:schemeClr w14:val="tx1"/>
                  </w14:solidFill>
                </w14:textFill>
              </w:rPr>
              <w:t>规格</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ascii="仿宋_GB2312" w:hAnsi="宋体" w:eastAsia="仿宋_GB2312" w:cs="仿宋_GB2312"/>
                <w:b/>
                <w:color w:val="000000" w:themeColor="text1"/>
                <w:sz w:val="22"/>
                <w:szCs w:val="22"/>
                <w:highlight w:val="none"/>
                <w14:textFill>
                  <w14:solidFill>
                    <w14:schemeClr w14:val="tx1"/>
                  </w14:solidFill>
                </w14:textFill>
              </w:rPr>
            </w:pPr>
            <w:r>
              <w:rPr>
                <w:rFonts w:ascii="仿宋_GB2312" w:hAnsi="宋体" w:eastAsia="仿宋_GB2312" w:cs="仿宋_GB2312"/>
                <w:b/>
                <w:color w:val="000000" w:themeColor="text1"/>
                <w:sz w:val="22"/>
                <w:szCs w:val="22"/>
                <w:highlight w:val="none"/>
                <w14:textFill>
                  <w14:solidFill>
                    <w14:schemeClr w14:val="tx1"/>
                  </w14:solidFill>
                </w14:textFill>
              </w:rPr>
              <w:t>数量</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Q7516A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Q2612A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C388A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P2055d</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5200LX</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M228或268</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230</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232型</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2520i</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337</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326</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328</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230A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214</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CE278A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36A436A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M268Z</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P355D</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19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TO-400</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20</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CC388A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21</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CRG319</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22</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CF280A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23</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CF278A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24</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CTL350</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25</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CF230A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26</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CZ192A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27</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Q2612A</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28</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CE310/311/313/313（彩色）</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r>
        <w:tblPrEx>
          <w:tblLayout w:type="fixed"/>
          <w:tblCellMar>
            <w:top w:w="0" w:type="dxa"/>
            <w:left w:w="0" w:type="dxa"/>
            <w:bottom w:w="0" w:type="dxa"/>
            <w:right w:w="0" w:type="dxa"/>
          </w:tblCellMar>
        </w:tblPrEx>
        <w:trPr>
          <w:trHeight w:val="36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pStyle w:val="5"/>
              <w:ind w:firstLine="0" w:firstLineChars="0"/>
              <w:jc w:val="cente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b/>
                <w:color w:val="000000" w:themeColor="text1"/>
                <w:sz w:val="22"/>
                <w:szCs w:val="22"/>
                <w:highlight w:val="none"/>
                <w:lang w:val="en-US" w:eastAsia="zh-CN" w:bidi="ar-SA"/>
                <w14:textFill>
                  <w14:solidFill>
                    <w14:schemeClr w14:val="tx1"/>
                  </w14:solidFill>
                </w14:textFill>
              </w:rPr>
              <w:t>29</w:t>
            </w:r>
          </w:p>
        </w:tc>
        <w:tc>
          <w:tcPr>
            <w:tcW w:w="3772"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LT2451</w:t>
            </w:r>
          </w:p>
        </w:tc>
        <w:tc>
          <w:tcPr>
            <w:tcW w:w="2574"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个</w:t>
            </w:r>
          </w:p>
        </w:tc>
        <w:tc>
          <w:tcPr>
            <w:tcW w:w="1733" w:type="dxa"/>
            <w:tcBorders>
              <w:top w:val="single" w:color="000000" w:sz="4" w:space="0"/>
              <w:left w:val="single" w:color="000000" w:sz="4" w:space="0"/>
              <w:bottom w:val="single" w:color="000000" w:sz="4" w:space="0"/>
              <w:right w:val="single" w:color="000000" w:sz="4" w:space="0"/>
            </w:tcBorders>
            <w:shd w:val="clear" w:color="auto" w:fill="auto"/>
            <w:noWrap/>
            <w:tcMar>
              <w:top w:w="10" w:type="dxa"/>
              <w:left w:w="10" w:type="dxa"/>
              <w:right w:w="10" w:type="dxa"/>
            </w:tcMar>
            <w:vAlign w:val="center"/>
          </w:tcPr>
          <w:p>
            <w:pPr>
              <w:widowControl/>
              <w:jc w:val="center"/>
              <w:textAlignment w:val="center"/>
              <w:rPr>
                <w:rFonts w:hint="default" w:ascii="仿宋_GB2312" w:hAnsi="宋体" w:eastAsia="仿宋_GB2312" w:cs="仿宋_GB2312"/>
                <w:color w:val="000000" w:themeColor="text1"/>
                <w:sz w:val="22"/>
                <w:szCs w:val="22"/>
                <w:highlight w:val="none"/>
                <w:lang w:val="en-US" w:eastAsia="zh-CN" w:bidi="ar-SA"/>
                <w14:textFill>
                  <w14:solidFill>
                    <w14:schemeClr w14:val="tx1"/>
                  </w14:solidFill>
                </w14:textFill>
              </w:rPr>
            </w:pPr>
            <w:r>
              <w:rPr>
                <w:rFonts w:hint="eastAsia" w:ascii="仿宋_GB2312" w:hAnsi="宋体" w:eastAsia="仿宋_GB2312" w:cs="仿宋_GB2312"/>
                <w:color w:val="000000" w:themeColor="text1"/>
                <w:sz w:val="22"/>
                <w:szCs w:val="22"/>
                <w:highlight w:val="none"/>
                <w:lang w:val="en-US" w:eastAsia="zh-CN" w:bidi="ar-SA"/>
                <w14:textFill>
                  <w14:solidFill>
                    <w14:schemeClr w14:val="tx1"/>
                  </w14:solidFill>
                </w14:textFill>
              </w:rPr>
              <w:t>1</w:t>
            </w:r>
          </w:p>
        </w:tc>
      </w:tr>
    </w:tbl>
    <w:p>
      <w:pPr>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备注： 1、</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本项目非一次性采购项目，</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采用综合单价报价含本次采购所发生的检验费、运费、保险费、税费、售后服务等相关一切费用。 </w:t>
      </w:r>
    </w:p>
    <w:p>
      <w:pPr>
        <w:numPr>
          <w:ilvl w:val="0"/>
          <w:numId w:val="0"/>
        </w:numPr>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上述采购清单根据历年常规供货目录总结，本年度内的配送服务参照历年供货清单统计报价。在合同履行期限内，采购人</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可以</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在采购需求基础上对采购清单</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的品目</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进行增减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，价格以京东等电商平台以及周边大型连锁商超市场价格中对应产品价格的平均价为基准价，</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按照供应商</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下浮率</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计算</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p>
      <w:pPr>
        <w:numPr>
          <w:ilvl w:val="0"/>
          <w:numId w:val="0"/>
        </w:numPr>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具体供货数量无法在现阶段完全确定，故</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招标</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阶段暂按给出的采购清单内容进行</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综合</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单价报价，</w:t>
      </w:r>
      <w:r>
        <w:rPr>
          <w:rFonts w:hint="eastAsia"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t>待结算时</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按照实际供货清单进行结算</w:t>
      </w:r>
      <w:r>
        <w:rPr>
          <w:rFonts w:hint="eastAsia" w:asciiTheme="minorEastAsia" w:hAnsiTheme="minorEastAsia" w:eastAsiaTheme="minorEastAsia" w:cstheme="minorEastAsia"/>
          <w:b w:val="0"/>
          <w:bCs w:val="0"/>
          <w:color w:val="000000" w:themeColor="text1"/>
          <w:sz w:val="24"/>
          <w:highlight w:val="none"/>
          <w14:textFill>
            <w14:solidFill>
              <w14:schemeClr w14:val="tx1"/>
            </w14:solidFill>
          </w14:textFill>
        </w:rPr>
        <w:t>。</w:t>
      </w:r>
    </w:p>
    <w:p>
      <w:pPr>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.售后服务 </w:t>
      </w:r>
    </w:p>
    <w:p>
      <w:pPr>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（1）供应商需对所提供产品进行质量保证，在保修期内实行“三包”服务。 </w:t>
      </w:r>
    </w:p>
    <w:p>
      <w:pPr>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（2）对有问题产品，在接到采购人通知后2小时内做出响应，并在24小时内解决问题。</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10601030101010101"/>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D056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3">
    <w:name w:val="heading 1"/>
    <w:basedOn w:val="1"/>
    <w:next w:val="1"/>
    <w:qFormat/>
    <w:uiPriority w:val="1"/>
    <w:pPr>
      <w:ind w:left="9" w:right="122"/>
      <w:jc w:val="center"/>
      <w:outlineLvl w:val="0"/>
    </w:pPr>
    <w:rPr>
      <w:rFonts w:ascii="宋体" w:hAnsi="宋体" w:eastAsia="宋体"/>
      <w:b/>
      <w:sz w:val="32"/>
      <w:szCs w:val="84"/>
    </w:rPr>
  </w:style>
  <w:style w:type="paragraph" w:styleId="4">
    <w:name w:val="heading 6"/>
    <w:basedOn w:val="1"/>
    <w:next w:val="1"/>
    <w:unhideWhenUsed/>
    <w:qFormat/>
    <w:uiPriority w:val="1"/>
    <w:pPr>
      <w:ind w:left="118"/>
      <w:outlineLvl w:val="5"/>
    </w:pPr>
    <w:rPr>
      <w:rFonts w:ascii="宋体" w:hAnsi="宋体"/>
      <w:b/>
      <w:sz w:val="28"/>
    </w:rPr>
  </w:style>
  <w:style w:type="character" w:default="1" w:styleId="10">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2">
    <w:name w:val="index 9"/>
    <w:basedOn w:val="1"/>
    <w:next w:val="1"/>
    <w:qFormat/>
    <w:uiPriority w:val="0"/>
    <w:pPr>
      <w:ind w:left="1600" w:leftChars="1600"/>
    </w:pPr>
  </w:style>
  <w:style w:type="paragraph" w:styleId="5">
    <w:name w:val="Normal Indent"/>
    <w:basedOn w:val="1"/>
    <w:next w:val="6"/>
    <w:semiHidden/>
    <w:unhideWhenUsed/>
    <w:qFormat/>
    <w:uiPriority w:val="99"/>
    <w:pPr>
      <w:ind w:firstLine="420" w:firstLineChars="200"/>
    </w:pPr>
  </w:style>
  <w:style w:type="paragraph" w:customStyle="1" w:styleId="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7">
    <w:name w:val="Body Text"/>
    <w:basedOn w:val="1"/>
    <w:next w:val="8"/>
    <w:qFormat/>
    <w:uiPriority w:val="1"/>
    <w:rPr>
      <w:rFonts w:ascii="宋体" w:hAnsi="宋体" w:eastAsia="宋体" w:cs="宋体"/>
      <w:sz w:val="24"/>
      <w:szCs w:val="24"/>
      <w:lang w:val="en-US" w:eastAsia="zh-CN" w:bidi="ar-SA"/>
    </w:rPr>
  </w:style>
  <w:style w:type="paragraph" w:customStyle="1" w:styleId="8">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styleId="11">
    <w:name w:val="List Paragraph"/>
    <w:basedOn w:val="1"/>
    <w:qFormat/>
    <w:uiPriority w:val="1"/>
    <w:pPr>
      <w:ind w:left="1776" w:hanging="720"/>
    </w:pPr>
    <w:rPr>
      <w:rFonts w:ascii="宋体" w:hAnsi="宋体" w:eastAsia="宋体" w:cs="宋体"/>
      <w:lang w:val="en-US" w:eastAsia="zh-CN" w:bidi="ar-SA"/>
    </w:rPr>
  </w:style>
  <w:style w:type="character" w:customStyle="1" w:styleId="12">
    <w:name w:val="font51"/>
    <w:basedOn w:val="10"/>
    <w:qFormat/>
    <w:uiPriority w:val="0"/>
    <w:rPr>
      <w:rFonts w:hint="eastAsia" w:ascii="黑体" w:hAnsi="宋体" w:eastAsia="黑体" w:cs="黑体"/>
      <w:color w:val="000000"/>
      <w:sz w:val="32"/>
      <w:szCs w:val="32"/>
      <w:u w:val="none"/>
    </w:rPr>
  </w:style>
  <w:style w:type="character" w:customStyle="1" w:styleId="13">
    <w:name w:val="font11"/>
    <w:basedOn w:val="10"/>
    <w:qFormat/>
    <w:uiPriority w:val="0"/>
    <w:rPr>
      <w:rFonts w:hint="eastAsia" w:ascii="宋体" w:hAnsi="宋体" w:eastAsia="宋体" w:cs="宋体"/>
      <w:color w:val="000000"/>
      <w:sz w:val="24"/>
      <w:szCs w:val="24"/>
      <w:u w:val="none"/>
    </w:rPr>
  </w:style>
  <w:style w:type="character" w:customStyle="1" w:styleId="14">
    <w:name w:val="font61"/>
    <w:basedOn w:val="10"/>
    <w:qFormat/>
    <w:uiPriority w:val="0"/>
    <w:rPr>
      <w:rFonts w:hint="eastAsia" w:ascii="黑体" w:hAnsi="宋体" w:eastAsia="黑体" w:cs="黑体"/>
      <w:color w:val="000000"/>
      <w:sz w:val="32"/>
      <w:szCs w:val="3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2024-03-13T10:00:10Z</dcterms:created>
  <dc:creator>Lenovo</dc:creator>
  <cp:lastModifiedBy>匆匆</cp:lastModifiedBy>
  <dcterms:modified xsi:type="dcterms:W3CDTF">2024-03-13T10:00:15Z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