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85CC7">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2EB5B685">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7ED096A3">
      <w:pPr>
        <w:adjustRightInd w:val="0"/>
        <w:snapToGrid w:val="0"/>
        <w:jc w:val="center"/>
        <w:rPr>
          <w:rFonts w:hint="eastAsia" w:ascii="宋体" w:hAnsi="宋体" w:eastAsia="宋体" w:cs="Times New Roman"/>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15FFA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40F53CF9">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520436CE">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72BA30F0">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2470" w:type="dxa"/>
            <w:noWrap w:val="0"/>
            <w:vAlign w:val="center"/>
          </w:tcPr>
          <w:p w14:paraId="76BCA05E">
            <w:pPr>
              <w:jc w:val="center"/>
              <w:rPr>
                <w:rFonts w:ascii="宋体" w:hAnsi="Bookman Old Style" w:eastAsia="宋体" w:cs="Times New Roman"/>
                <w:sz w:val="24"/>
              </w:rPr>
            </w:pPr>
            <w:r>
              <w:rPr>
                <w:rFonts w:hint="eastAsia" w:ascii="宋体" w:hAnsi="Bookman Old Style" w:eastAsia="宋体" w:cs="Times New Roman"/>
                <w:sz w:val="24"/>
              </w:rPr>
              <w:t>是否接受进口</w:t>
            </w:r>
          </w:p>
        </w:tc>
      </w:tr>
      <w:tr w14:paraId="63152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5D40AFFE">
            <w:pPr>
              <w:jc w:val="center"/>
              <w:rPr>
                <w:rFonts w:hint="eastAsia" w:ascii="宋体" w:hAnsi="Bookman Old Style" w:eastAsia="宋体" w:cs="Times New Roman"/>
                <w:sz w:val="24"/>
              </w:rPr>
            </w:pPr>
            <w:r>
              <w:rPr>
                <w:rFonts w:hint="eastAsia" w:ascii="宋体" w:hAnsi="Bookman Old Style" w:eastAsia="宋体" w:cs="Times New Roman"/>
                <w:sz w:val="24"/>
              </w:rPr>
              <w:t>1</w:t>
            </w:r>
          </w:p>
        </w:tc>
        <w:tc>
          <w:tcPr>
            <w:tcW w:w="2357" w:type="dxa"/>
            <w:noWrap w:val="0"/>
            <w:vAlign w:val="center"/>
          </w:tcPr>
          <w:p w14:paraId="736069B2">
            <w:pPr>
              <w:jc w:val="center"/>
              <w:rPr>
                <w:rFonts w:hint="eastAsia" w:ascii="宋体" w:hAnsi="Bookman Old Style" w:eastAsia="宋体" w:cs="Times New Roman"/>
                <w:sz w:val="24"/>
              </w:rPr>
            </w:pPr>
            <w:r>
              <w:rPr>
                <w:rFonts w:hint="eastAsia" w:ascii="宋体" w:hAnsi="Bookman Old Style" w:eastAsia="宋体" w:cs="Times New Roman"/>
                <w:sz w:val="24"/>
              </w:rPr>
              <w:t xml:space="preserve">傅里叶红外气体分析仪 </w:t>
            </w:r>
          </w:p>
        </w:tc>
        <w:tc>
          <w:tcPr>
            <w:tcW w:w="1329" w:type="dxa"/>
            <w:noWrap w:val="0"/>
            <w:vAlign w:val="center"/>
          </w:tcPr>
          <w:p w14:paraId="7FFA8628">
            <w:pPr>
              <w:jc w:val="center"/>
              <w:rPr>
                <w:rFonts w:ascii="宋体" w:hAnsi="Bookman Old Style" w:eastAsia="宋体" w:cs="Times New Roman"/>
                <w:sz w:val="24"/>
              </w:rPr>
            </w:pPr>
            <w:r>
              <w:rPr>
                <w:rFonts w:hint="eastAsia" w:ascii="宋体" w:hAnsi="Bookman Old Style" w:eastAsia="宋体" w:cs="Times New Roman"/>
                <w:sz w:val="24"/>
              </w:rPr>
              <w:t>1套</w:t>
            </w:r>
          </w:p>
        </w:tc>
        <w:tc>
          <w:tcPr>
            <w:tcW w:w="2470" w:type="dxa"/>
            <w:noWrap w:val="0"/>
            <w:vAlign w:val="center"/>
          </w:tcPr>
          <w:p w14:paraId="475794FD">
            <w:pPr>
              <w:jc w:val="center"/>
              <w:rPr>
                <w:rFonts w:hint="eastAsia" w:ascii="宋体" w:hAnsi="Bookman Old Style" w:eastAsia="宋体" w:cs="Times New Roman"/>
                <w:sz w:val="24"/>
              </w:rPr>
            </w:pPr>
            <w:r>
              <w:rPr>
                <w:rFonts w:hint="eastAsia" w:ascii="宋体" w:hAnsi="Bookman Old Style" w:eastAsia="宋体" w:cs="Times New Roman"/>
                <w:sz w:val="24"/>
              </w:rPr>
              <w:t>是</w:t>
            </w:r>
          </w:p>
        </w:tc>
      </w:tr>
    </w:tbl>
    <w:p w14:paraId="21BEF167">
      <w:pPr>
        <w:adjustRightInd w:val="0"/>
        <w:snapToGrid w:val="0"/>
        <w:jc w:val="center"/>
        <w:rPr>
          <w:rFonts w:hint="eastAsia" w:ascii="宋体" w:hAnsi="宋体" w:eastAsia="宋体" w:cs="Times New Roman"/>
          <w:b/>
          <w:sz w:val="30"/>
          <w:szCs w:val="30"/>
        </w:rPr>
      </w:pPr>
    </w:p>
    <w:p w14:paraId="1AC99F0A">
      <w:pPr>
        <w:adjustRightInd w:val="0"/>
        <w:snapToGrid w:val="0"/>
        <w:jc w:val="center"/>
        <w:rPr>
          <w:rFonts w:hint="eastAsia" w:ascii="宋体" w:hAnsi="宋体" w:eastAsia="宋体" w:cs="Times New Roman"/>
          <w:b/>
          <w:sz w:val="30"/>
          <w:szCs w:val="30"/>
        </w:rPr>
      </w:pPr>
    </w:p>
    <w:p w14:paraId="0C450E84">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注：投标人须对上述投标内容中完整的一包或几包进行投标，</w:t>
      </w:r>
      <w:r>
        <w:rPr>
          <w:rFonts w:hint="eastAsia" w:ascii="Bookman Old Style" w:hAnsi="Bookman Old Style" w:eastAsia="宋体" w:cs="Times New Roman"/>
          <w:sz w:val="24"/>
        </w:rPr>
        <w:t>不完整的投标将视为非响应性投标予以拒绝。</w:t>
      </w:r>
    </w:p>
    <w:p w14:paraId="639045AA">
      <w:pPr>
        <w:adjustRightInd w:val="0"/>
        <w:snapToGrid w:val="0"/>
        <w:rPr>
          <w:rFonts w:hint="eastAsia" w:ascii="宋体" w:hAnsi="宋体" w:eastAsia="宋体" w:cs="Times New Roman"/>
          <w:szCs w:val="21"/>
        </w:rPr>
      </w:pPr>
    </w:p>
    <w:p w14:paraId="2F38ECAA">
      <w:pPr>
        <w:adjustRightInd w:val="0"/>
        <w:snapToGrid w:val="0"/>
        <w:rPr>
          <w:rFonts w:hint="eastAsia" w:ascii="宋体" w:hAnsi="宋体" w:eastAsia="宋体" w:cs="Times New Roman"/>
          <w:szCs w:val="21"/>
        </w:rPr>
      </w:pPr>
    </w:p>
    <w:p w14:paraId="2DBD0E33">
      <w:pPr>
        <w:adjustRightInd w:val="0"/>
        <w:snapToGrid w:val="0"/>
        <w:rPr>
          <w:rFonts w:hint="eastAsia" w:ascii="宋体" w:hAnsi="宋体" w:eastAsia="宋体" w:cs="Times New Roman"/>
          <w:szCs w:val="21"/>
        </w:rPr>
      </w:pPr>
    </w:p>
    <w:p w14:paraId="5863B339">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7560C814">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3CE77957">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263C5E13">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3B2F06B">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w:t>
      </w:r>
    </w:p>
    <w:p w14:paraId="5FAA12D5">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4C5AF13A">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6F5E5BCF">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0AB56696">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70B2712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2A223CCB">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5F3B2290">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412791AE">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7316FFBC">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6D1ECB4C">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5B3D31F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7ABE8238">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6469395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08651A5F">
      <w:pPr>
        <w:rPr>
          <w:rFonts w:hint="eastAsia" w:ascii="Times New Roman" w:hAnsi="Times New Roman" w:eastAsia="黑体" w:cs="Times New Roman"/>
          <w:b/>
          <w:bCs/>
          <w:kern w:val="44"/>
          <w:sz w:val="24"/>
        </w:rPr>
      </w:pPr>
    </w:p>
    <w:p w14:paraId="58A59773">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2DC4D8F6">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除非在技术规格中另有说明，所有仪器、设备和系统按下列要求进行验收：</w:t>
      </w:r>
      <w:r>
        <w:rPr>
          <w:rFonts w:ascii="宋体" w:hAnsi="宋体" w:eastAsia="宋体" w:cs="Times New Roman"/>
          <w:sz w:val="24"/>
        </w:rPr>
        <w:t xml:space="preserve"> </w:t>
      </w:r>
    </w:p>
    <w:p w14:paraId="731CA1D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66BD09A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580A234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75C668CF">
      <w:pPr>
        <w:pStyle w:val="2"/>
        <w:spacing w:line="360" w:lineRule="auto"/>
        <w:ind w:left="410" w:hanging="410" w:hangingChars="170"/>
        <w:rPr>
          <w:rFonts w:hint="eastAsia" w:hAnsi="宋体" w:eastAsia="宋体" w:cs="Times New Roman"/>
          <w:b/>
          <w:sz w:val="24"/>
          <w:szCs w:val="24"/>
        </w:rPr>
      </w:pPr>
    </w:p>
    <w:p w14:paraId="7F897923">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03457910">
      <w:pPr>
        <w:adjustRightInd w:val="0"/>
        <w:snapToGrid w:val="0"/>
        <w:spacing w:line="360" w:lineRule="auto"/>
        <w:rPr>
          <w:rFonts w:hint="eastAsia" w:ascii="宋体" w:hAnsi="宋体" w:eastAsia="宋体" w:cs="Times New Roman"/>
          <w:b/>
          <w:sz w:val="24"/>
        </w:rPr>
      </w:pPr>
    </w:p>
    <w:p w14:paraId="7456842E">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6、如在具体技术规格中有本总则不一致之处，以具体技术规格中的要求为准。</w:t>
      </w:r>
    </w:p>
    <w:p w14:paraId="5F4E2AE5">
      <w:pPr>
        <w:adjustRightInd w:val="0"/>
        <w:snapToGrid w:val="0"/>
        <w:spacing w:line="360" w:lineRule="auto"/>
        <w:rPr>
          <w:rFonts w:hint="eastAsia"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二、具体技术规格</w:t>
      </w:r>
    </w:p>
    <w:p w14:paraId="5D570EB5">
      <w:pPr>
        <w:spacing w:line="360" w:lineRule="auto"/>
        <w:rPr>
          <w:rFonts w:ascii="Times New Roman" w:hAnsi="Times New Roman" w:eastAsia="宋体" w:cs="Times New Roman"/>
          <w:sz w:val="24"/>
        </w:rPr>
      </w:pPr>
      <w:r>
        <w:rPr>
          <w:rFonts w:ascii="Times New Roman" w:hAnsi="Times New Roman" w:eastAsia="宋体" w:cs="Times New Roman"/>
          <w:sz w:val="24"/>
        </w:rPr>
        <w:t>（一）、项目用途</w:t>
      </w:r>
    </w:p>
    <w:p w14:paraId="36C13D11">
      <w:pPr>
        <w:spacing w:line="360" w:lineRule="auto"/>
        <w:rPr>
          <w:rFonts w:ascii="Times New Roman" w:hAnsi="Times New Roman" w:eastAsia="宋体" w:cs="Times New Roman"/>
          <w:sz w:val="24"/>
        </w:rPr>
      </w:pPr>
      <w:r>
        <w:rPr>
          <w:rFonts w:ascii="Times New Roman" w:hAnsi="Times New Roman" w:eastAsia="宋体" w:cs="Times New Roman"/>
          <w:sz w:val="24"/>
        </w:rPr>
        <w:t>适用于工业应用、催化过程研究、科学研究、生物气体分析仪、气体杂质测定。尤其在催化剂的研究、开发、生产及应用过程中扮演着至关重要的角色。它主要用于实时监测反应过程、评价催化剂性能、诊断失活原因以及优化运行条件。</w:t>
      </w:r>
    </w:p>
    <w:p w14:paraId="36547C09">
      <w:pPr>
        <w:spacing w:line="360" w:lineRule="auto"/>
        <w:rPr>
          <w:rFonts w:ascii="Times New Roman" w:hAnsi="Times New Roman" w:eastAsia="宋体" w:cs="Times New Roman"/>
          <w:sz w:val="24"/>
        </w:rPr>
      </w:pPr>
      <w:r>
        <w:rPr>
          <w:rFonts w:ascii="Times New Roman" w:hAnsi="Times New Roman" w:eastAsia="宋体" w:cs="Times New Roman"/>
          <w:sz w:val="24"/>
        </w:rPr>
        <w:t>（二）、技术要求</w:t>
      </w:r>
    </w:p>
    <w:p w14:paraId="57E14332">
      <w:pPr>
        <w:spacing w:line="360" w:lineRule="auto"/>
        <w:rPr>
          <w:rFonts w:ascii="Times New Roman" w:hAnsi="Times New Roman" w:eastAsia="宋体" w:cs="Times New Roman"/>
          <w:sz w:val="24"/>
        </w:rPr>
      </w:pPr>
      <w:r>
        <w:rPr>
          <w:rFonts w:ascii="Times New Roman" w:hAnsi="Times New Roman" w:eastAsia="宋体" w:cs="Times New Roman"/>
          <w:sz w:val="24"/>
        </w:rPr>
        <w:t>1 主机性能参数：</w:t>
      </w:r>
    </w:p>
    <w:p w14:paraId="07BA5338">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1.1光谱范围：4500–800cm</w:t>
      </w:r>
      <w:r>
        <w:rPr>
          <w:rFonts w:ascii="Times New Roman" w:hAnsi="Times New Roman" w:eastAsia="宋体" w:cs="Times New Roman"/>
          <w:sz w:val="24"/>
          <w:vertAlign w:val="superscript"/>
        </w:rPr>
        <w:t>-1</w:t>
      </w:r>
      <w:r>
        <w:rPr>
          <w:rFonts w:ascii="Times New Roman" w:hAnsi="Times New Roman" w:eastAsia="宋体" w:cs="Times New Roman"/>
          <w:sz w:val="24"/>
        </w:rPr>
        <w:t xml:space="preserve"> </w:t>
      </w:r>
    </w:p>
    <w:p w14:paraId="5F95CEDB">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1.2分辨率：优于1cm</w:t>
      </w:r>
      <w:r>
        <w:rPr>
          <w:rFonts w:ascii="Times New Roman" w:hAnsi="Times New Roman" w:eastAsia="宋体" w:cs="Times New Roman"/>
          <w:sz w:val="24"/>
          <w:vertAlign w:val="superscript"/>
        </w:rPr>
        <w:t>-1</w:t>
      </w:r>
      <w:r>
        <w:rPr>
          <w:rFonts w:ascii="Times New Roman" w:hAnsi="Times New Roman" w:eastAsia="宋体" w:cs="Times New Roman"/>
          <w:sz w:val="24"/>
        </w:rPr>
        <w:t>，连续可调，调节精度优于0.1cm</w:t>
      </w:r>
      <w:r>
        <w:rPr>
          <w:rFonts w:ascii="Times New Roman" w:hAnsi="Times New Roman" w:eastAsia="宋体" w:cs="Times New Roman"/>
          <w:sz w:val="24"/>
          <w:vertAlign w:val="superscript"/>
        </w:rPr>
        <w:t>-1</w:t>
      </w:r>
      <w:r>
        <w:rPr>
          <w:rFonts w:ascii="Times New Roman" w:hAnsi="Times New Roman" w:eastAsia="宋体" w:cs="Times New Roman"/>
          <w:sz w:val="24"/>
        </w:rPr>
        <w:t>，最高分辨率和调节精度需提供软件证明截图。</w:t>
      </w:r>
    </w:p>
    <w:p w14:paraId="5A02EAB8">
      <w:pPr>
        <w:spacing w:line="360" w:lineRule="auto"/>
        <w:rPr>
          <w:rFonts w:ascii="Times New Roman" w:hAnsi="Times New Roman" w:eastAsia="宋体" w:cs="Times New Roman"/>
          <w:sz w:val="24"/>
        </w:rPr>
      </w:pPr>
      <w:bookmarkStart w:id="1" w:name="_Hlk224551193"/>
      <w:r>
        <w:rPr>
          <w:rFonts w:ascii="Segoe UI Symbol" w:hAnsi="Segoe UI Symbol" w:eastAsia="宋体" w:cs="Segoe UI Symbol"/>
          <w:sz w:val="24"/>
        </w:rPr>
        <w:t>★</w:t>
      </w:r>
      <w:r>
        <w:rPr>
          <w:rFonts w:ascii="Times New Roman" w:hAnsi="Times New Roman" w:eastAsia="宋体" w:cs="Times New Roman"/>
          <w:sz w:val="24"/>
        </w:rPr>
        <w:t>1.3分束器：采用防潮硒化锌分束器，保修十年。不能用溴化钾分束器替代，需提彩页证明。</w:t>
      </w:r>
      <w:bookmarkEnd w:id="1"/>
    </w:p>
    <w:p w14:paraId="38A267FE">
      <w:pPr>
        <w:spacing w:line="360" w:lineRule="auto"/>
        <w:rPr>
          <w:rFonts w:ascii="Times New Roman" w:hAnsi="Times New Roman" w:eastAsia="宋体" w:cs="Times New Roman"/>
          <w:sz w:val="24"/>
          <w:lang w:val="en"/>
        </w:rPr>
      </w:pPr>
      <w:r>
        <w:rPr>
          <w:rFonts w:ascii="Times New Roman" w:hAnsi="Times New Roman" w:eastAsia="黑体" w:cs="Times New Roman"/>
          <w:b/>
          <w:bCs/>
        </w:rPr>
        <w:t>#</w:t>
      </w:r>
      <w:r>
        <w:rPr>
          <w:rFonts w:ascii="Times New Roman" w:hAnsi="Times New Roman" w:eastAsia="宋体" w:cs="Times New Roman"/>
          <w:sz w:val="24"/>
        </w:rPr>
        <w:t>1.4气体池光程：</w:t>
      </w:r>
      <w:r>
        <w:rPr>
          <w:rFonts w:ascii="Times New Roman" w:hAnsi="Times New Roman" w:eastAsia="宋体" w:cs="Times New Roman"/>
          <w:sz w:val="24"/>
          <w:lang w:val="en"/>
        </w:rPr>
        <w:t>≤5m。</w:t>
      </w:r>
    </w:p>
    <w:p w14:paraId="0717D4E3">
      <w:pPr>
        <w:spacing w:line="360" w:lineRule="auto"/>
        <w:rPr>
          <w:rFonts w:ascii="Times New Roman" w:hAnsi="Times New Roman" w:eastAsia="宋体" w:cs="Times New Roman"/>
          <w:sz w:val="24"/>
        </w:rPr>
      </w:pPr>
      <w:r>
        <w:rPr>
          <w:rFonts w:ascii="Times New Roman" w:hAnsi="Times New Roman" w:eastAsia="宋体" w:cs="Times New Roman"/>
          <w:sz w:val="24"/>
        </w:rPr>
        <w:t>1.5光学部件：具备镀镍气体池与镀金反射镜，可测量腐蚀性气体。</w:t>
      </w:r>
    </w:p>
    <w:p w14:paraId="458EFC94">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1.6干涉仪：</w:t>
      </w:r>
      <w:bookmarkStart w:id="2" w:name="_Hlk224551022"/>
      <w:r>
        <w:rPr>
          <w:rFonts w:ascii="Times New Roman" w:hAnsi="Times New Roman" w:eastAsia="宋体" w:cs="Times New Roman"/>
          <w:sz w:val="24"/>
        </w:rPr>
        <w:t>采用镀金立体角镜的迈克尔逊干涉仪，透过率重复性应不大于 0.5 %，波数重复性应不超过 0.5 cm</w:t>
      </w:r>
      <w:r>
        <w:rPr>
          <w:rFonts w:ascii="Times New Roman" w:hAnsi="Times New Roman" w:eastAsia="宋体" w:cs="Times New Roman"/>
          <w:sz w:val="24"/>
          <w:vertAlign w:val="superscript"/>
        </w:rPr>
        <w:t>-1</w:t>
      </w:r>
      <w:r>
        <w:rPr>
          <w:rFonts w:ascii="Times New Roman" w:hAnsi="Times New Roman" w:eastAsia="宋体" w:cs="Times New Roman"/>
          <w:sz w:val="24"/>
        </w:rPr>
        <w:t>，无需额外增加机械装置进行调整，需提供干涉仪构造图和实物照片证明。</w:t>
      </w:r>
      <w:bookmarkEnd w:id="2"/>
    </w:p>
    <w:p w14:paraId="42109704">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1.7检测器：数字化电制冷MCT检测器，</w:t>
      </w:r>
      <w:bookmarkStart w:id="3" w:name="_Hlk224550999"/>
      <w:r>
        <w:rPr>
          <w:rFonts w:ascii="Times New Roman" w:hAnsi="Times New Roman" w:eastAsia="宋体" w:cs="Times New Roman"/>
          <w:sz w:val="24"/>
        </w:rPr>
        <w:t>内置24位高速Delta-SigmaTM 型A/D转换，直接输出数字信号。需提供彩页证明。</w:t>
      </w:r>
      <w:bookmarkEnd w:id="3"/>
    </w:p>
    <w:p w14:paraId="0241E1ED">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1.8采用适用高湿环境的硒化锌窗片，防潮性能好。</w:t>
      </w:r>
    </w:p>
    <w:p w14:paraId="3C4A8CD8">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1.9气体池与红外光谱仪主机集成一体，安装于不大于19寸工业机箱中，光路完全优化，保证最高光通量。</w:t>
      </w:r>
    </w:p>
    <w:p w14:paraId="3B2D8108">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1.10温度范围： T&lt;191°C</w:t>
      </w:r>
    </w:p>
    <w:p w14:paraId="43582B43">
      <w:pPr>
        <w:spacing w:line="360" w:lineRule="auto"/>
        <w:rPr>
          <w:rFonts w:ascii="Times New Roman" w:hAnsi="Times New Roman" w:eastAsia="宋体" w:cs="Times New Roman"/>
          <w:sz w:val="24"/>
        </w:rPr>
      </w:pPr>
      <w:r>
        <w:rPr>
          <w:rFonts w:ascii="Times New Roman" w:hAnsi="Times New Roman" w:eastAsia="宋体" w:cs="Times New Roman"/>
          <w:sz w:val="24"/>
        </w:rPr>
        <w:t>1.11压力范围：&lt;2 bar</w:t>
      </w:r>
    </w:p>
    <w:p w14:paraId="4309DADA">
      <w:pPr>
        <w:spacing w:line="360" w:lineRule="auto"/>
        <w:rPr>
          <w:rFonts w:ascii="Times New Roman" w:hAnsi="Times New Roman" w:eastAsia="宋体" w:cs="Times New Roman"/>
          <w:sz w:val="24"/>
        </w:rPr>
      </w:pPr>
      <w:r>
        <w:rPr>
          <w:rFonts w:ascii="Times New Roman" w:hAnsi="Times New Roman" w:eastAsia="宋体" w:cs="Times New Roman"/>
          <w:sz w:val="24"/>
        </w:rPr>
        <w:t>1.12具有智能的内部温度、内部压力感应接头</w:t>
      </w:r>
    </w:p>
    <w:p w14:paraId="1FEE2587">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1.13气体池有进气口和出气口，且为横向进气，确保气体池的置换效率。</w:t>
      </w:r>
    </w:p>
    <w:p w14:paraId="5BC5FCF0">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1.14专用的混合气体分析软件包，≥300种高分辨率气体谱库（分辨率优于0.06cm-1,且不断更新），最多可同时分析超过25种混合气体。</w:t>
      </w:r>
      <w:bookmarkStart w:id="4" w:name="_Hlk224551300"/>
      <w:r>
        <w:rPr>
          <w:rFonts w:ascii="Times New Roman" w:hAnsi="Times New Roman" w:eastAsia="宋体" w:cs="Times New Roman"/>
          <w:sz w:val="24"/>
        </w:rPr>
        <w:t>需提供可测气体清单和软件功能截图。</w:t>
      </w:r>
      <w:bookmarkEnd w:id="4"/>
    </w:p>
    <w:p w14:paraId="532E2671">
      <w:pPr>
        <w:spacing w:line="360" w:lineRule="auto"/>
        <w:rPr>
          <w:rFonts w:ascii="Times New Roman" w:hAnsi="Times New Roman" w:eastAsia="宋体" w:cs="Times New Roman"/>
          <w:sz w:val="24"/>
        </w:rPr>
      </w:pPr>
      <w:r>
        <w:rPr>
          <w:rFonts w:ascii="Times New Roman" w:hAnsi="Times New Roman" w:eastAsia="宋体" w:cs="Times New Roman"/>
          <w:sz w:val="24"/>
        </w:rPr>
        <w:t>1.15网络化：红外主机与计算机之间通过“以太”网卡连接，无任何限制。红外主机在网络中“即插即用”；计算机可远程控制、采样及数据处理；实时数据共享。</w:t>
      </w:r>
    </w:p>
    <w:p w14:paraId="086F7E3F">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1.16全中文红外控制及数据处理软件：提供仪器控制、谱图显示、提供各类光谱处理函数，如基线校正、标峰、光谱差减等和定量分析。具有中文谱图对比软件、中文内置曲线分峰拟合软件、中文内置H</w:t>
      </w:r>
      <w:r>
        <w:rPr>
          <w:rFonts w:ascii="Times New Roman" w:hAnsi="Times New Roman" w:eastAsia="宋体" w:cs="Times New Roman"/>
          <w:sz w:val="24"/>
          <w:vertAlign w:val="subscript"/>
        </w:rPr>
        <w:t>2</w:t>
      </w:r>
      <w:r>
        <w:rPr>
          <w:rFonts w:ascii="Times New Roman" w:hAnsi="Times New Roman" w:eastAsia="宋体" w:cs="Times New Roman"/>
          <w:sz w:val="24"/>
        </w:rPr>
        <w:t>O/CO</w:t>
      </w:r>
      <w:r>
        <w:rPr>
          <w:rFonts w:ascii="Times New Roman" w:hAnsi="Times New Roman" w:eastAsia="宋体" w:cs="Times New Roman"/>
          <w:sz w:val="24"/>
          <w:vertAlign w:val="subscript"/>
        </w:rPr>
        <w:t>2</w:t>
      </w:r>
      <w:r>
        <w:rPr>
          <w:rFonts w:ascii="Times New Roman" w:hAnsi="Times New Roman" w:eastAsia="宋体" w:cs="Times New Roman"/>
          <w:sz w:val="24"/>
        </w:rPr>
        <w:t>自动补偿软件、中文自检软件：在线诊断，直接给出仪器状态提示，可以快速地排查仪器异常原因。</w:t>
      </w:r>
    </w:p>
    <w:p w14:paraId="72E2338E">
      <w:pPr>
        <w:spacing w:line="360" w:lineRule="auto"/>
        <w:rPr>
          <w:rFonts w:ascii="Times New Roman" w:hAnsi="Times New Roman" w:eastAsia="宋体" w:cs="Times New Roman"/>
          <w:sz w:val="24"/>
        </w:rPr>
      </w:pPr>
      <w:r>
        <w:rPr>
          <w:rFonts w:ascii="Times New Roman" w:hAnsi="Times New Roman" w:eastAsia="宋体" w:cs="Times New Roman"/>
          <w:sz w:val="24"/>
        </w:rPr>
        <w:t>1.17系统须内置全中文的自动检测程序，包括：中文版OQ程序，中文版PQ 程序。</w:t>
      </w:r>
    </w:p>
    <w:p w14:paraId="09141989">
      <w:pPr>
        <w:spacing w:line="360" w:lineRule="auto"/>
        <w:rPr>
          <w:rFonts w:ascii="Times New Roman" w:hAnsi="Times New Roman" w:eastAsia="宋体" w:cs="Times New Roman"/>
          <w:sz w:val="24"/>
        </w:rPr>
      </w:pPr>
      <w:r>
        <w:rPr>
          <w:rFonts w:ascii="Times New Roman" w:hAnsi="Times New Roman" w:eastAsia="宋体" w:cs="Times New Roman"/>
          <w:sz w:val="24"/>
        </w:rPr>
        <w:t>2 气体专用分析软件：</w:t>
      </w:r>
    </w:p>
    <w:p w14:paraId="5ED07947">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2.1对目标气体的分析，需采用谱形拟合算法，对特征区域除目标气之外所有干扰气体同步进行峰型匹配，精准拟合每种组分的谱图及其对总谱贡献，不采用CLS、PLS、输入检量线数学模型分析或非线性最小二乘法等任何基础型定量方式。</w:t>
      </w:r>
      <w:bookmarkStart w:id="5" w:name="_Hlk224551325"/>
      <w:r>
        <w:rPr>
          <w:rFonts w:ascii="Times New Roman" w:hAnsi="Times New Roman" w:eastAsia="宋体" w:cs="Times New Roman"/>
          <w:sz w:val="24"/>
        </w:rPr>
        <w:t>需提供软件截图进行说明。</w:t>
      </w:r>
      <w:bookmarkEnd w:id="5"/>
    </w:p>
    <w:p w14:paraId="5831BDFC">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2.2气体专用软件可定性定量气体光谱库：除部分特殊气体，所供气体红外谱图需达到≤0.06cm</w:t>
      </w:r>
      <w:r>
        <w:rPr>
          <w:rFonts w:ascii="Times New Roman" w:hAnsi="Times New Roman" w:eastAsia="宋体" w:cs="Times New Roman"/>
          <w:sz w:val="24"/>
          <w:vertAlign w:val="superscript"/>
        </w:rPr>
        <w:t>-1</w:t>
      </w:r>
      <w:r>
        <w:rPr>
          <w:rFonts w:ascii="Times New Roman" w:hAnsi="Times New Roman" w:eastAsia="宋体" w:cs="Times New Roman"/>
          <w:sz w:val="24"/>
        </w:rPr>
        <w:t>的分辨率，以实现最精准气体分析（谱图必须为该设备供应厂商原厂所测得，非第三方授权或测试所得，并提供谱图及分辨率证明数据），大于250种定量谱库，分辨率达0.06cm</w:t>
      </w:r>
      <w:r>
        <w:rPr>
          <w:rFonts w:ascii="Times New Roman" w:hAnsi="Times New Roman" w:eastAsia="宋体" w:cs="Times New Roman"/>
          <w:sz w:val="24"/>
          <w:vertAlign w:val="superscript"/>
        </w:rPr>
        <w:t>-1</w:t>
      </w:r>
      <w:r>
        <w:rPr>
          <w:rFonts w:ascii="Times New Roman" w:hAnsi="Times New Roman" w:eastAsia="宋体" w:cs="Times New Roman"/>
          <w:sz w:val="24"/>
        </w:rPr>
        <w:t>，且不断更新，根据用户需求可后续添加新谱图。</w:t>
      </w:r>
    </w:p>
    <w:p w14:paraId="6482D92D">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2.3气体浓度单位可选ppm，百分比，Dynamic。</w:t>
      </w:r>
    </w:p>
    <w:p w14:paraId="6D446838">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2.4气体分析软件带有独立光谱分析窗口,供客户随时查看总谱图，目标气特征区，特征区匹配拟合谱，目标气纯谱，标准参考谱等。</w:t>
      </w:r>
      <w:bookmarkStart w:id="6" w:name="_Hlk224551337"/>
      <w:r>
        <w:rPr>
          <w:rFonts w:ascii="Times New Roman" w:hAnsi="Times New Roman" w:eastAsia="宋体" w:cs="Times New Roman"/>
          <w:sz w:val="24"/>
        </w:rPr>
        <w:t>需提供软件截图进行说明。</w:t>
      </w:r>
      <w:bookmarkEnd w:id="6"/>
    </w:p>
    <w:p w14:paraId="2E1A81D2">
      <w:pPr>
        <w:spacing w:line="360" w:lineRule="auto"/>
        <w:rPr>
          <w:rFonts w:ascii="Times New Roman" w:hAnsi="Times New Roman" w:eastAsia="宋体" w:cs="Times New Roman"/>
          <w:sz w:val="24"/>
        </w:rPr>
      </w:pPr>
      <w:r>
        <w:rPr>
          <w:rFonts w:ascii="Times New Roman" w:hAnsi="Times New Roman" w:eastAsia="宋体" w:cs="Times New Roman"/>
          <w:sz w:val="24"/>
        </w:rPr>
        <w:t>2.5气体分析软件允许用户建立自己的独有的气体模型。</w:t>
      </w:r>
    </w:p>
    <w:p w14:paraId="5C227FF3">
      <w:pPr>
        <w:spacing w:line="360" w:lineRule="auto"/>
        <w:rPr>
          <w:rFonts w:ascii="Times New Roman" w:hAnsi="Times New Roman" w:eastAsia="宋体" w:cs="Times New Roman"/>
          <w:sz w:val="24"/>
        </w:rPr>
      </w:pPr>
      <w:r>
        <w:rPr>
          <w:rFonts w:ascii="Times New Roman" w:hAnsi="Times New Roman" w:eastAsia="黑体" w:cs="Times New Roman"/>
          <w:b/>
          <w:bCs/>
        </w:rPr>
        <w:t>#</w:t>
      </w:r>
      <w:r>
        <w:rPr>
          <w:rFonts w:ascii="Times New Roman" w:hAnsi="Times New Roman" w:eastAsia="宋体" w:cs="Times New Roman"/>
          <w:sz w:val="24"/>
        </w:rPr>
        <w:t>2.6气体分析软件带有时间轴序列，实时监测各种组分浓度值与拟合度的动态变化。需提供软件截图进行说明。</w:t>
      </w:r>
    </w:p>
    <w:p w14:paraId="39088F28">
      <w:pPr>
        <w:spacing w:line="360" w:lineRule="auto"/>
        <w:rPr>
          <w:rFonts w:ascii="Times New Roman" w:hAnsi="Times New Roman" w:eastAsia="宋体" w:cs="Times New Roman"/>
          <w:sz w:val="24"/>
        </w:rPr>
      </w:pPr>
      <w:r>
        <w:rPr>
          <w:rFonts w:ascii="Segoe UI Symbol" w:hAnsi="Segoe UI Symbol" w:eastAsia="宋体" w:cs="Segoe UI Symbol"/>
          <w:sz w:val="24"/>
        </w:rPr>
        <w:t>★</w:t>
      </w:r>
      <w:r>
        <w:rPr>
          <w:rFonts w:ascii="Times New Roman" w:hAnsi="Times New Roman" w:eastAsia="宋体" w:cs="Times New Roman"/>
          <w:sz w:val="24"/>
        </w:rPr>
        <w:t>2.7红外分析软件需将任意组分的真实谱图单独提取并显示，要求提取的谱图只包含目标组分的光谱信息，无其他任何组分的信号叠加，以便操作人员将其与标准谱图进行比对分析。需提供软件截图进行说明。</w:t>
      </w:r>
    </w:p>
    <w:p w14:paraId="043342FE">
      <w:pPr>
        <w:spacing w:line="360" w:lineRule="auto"/>
        <w:rPr>
          <w:rFonts w:ascii="Times New Roman" w:hAnsi="Times New Roman" w:eastAsia="宋体" w:cs="Times New Roman"/>
          <w:sz w:val="24"/>
        </w:rPr>
      </w:pPr>
      <w:r>
        <w:rPr>
          <w:rFonts w:ascii="Times New Roman" w:hAnsi="Times New Roman" w:eastAsia="宋体" w:cs="Times New Roman"/>
          <w:sz w:val="24"/>
        </w:rPr>
        <w:t>3 售后服务：</w:t>
      </w:r>
    </w:p>
    <w:p w14:paraId="0579DCEC">
      <w:pPr>
        <w:spacing w:line="360" w:lineRule="auto"/>
        <w:rPr>
          <w:rFonts w:ascii="Times New Roman" w:hAnsi="Times New Roman" w:eastAsia="宋体" w:cs="Times New Roman"/>
          <w:sz w:val="24"/>
        </w:rPr>
      </w:pPr>
      <w:r>
        <w:rPr>
          <w:rFonts w:ascii="Times New Roman" w:hAnsi="Times New Roman" w:eastAsia="宋体" w:cs="Times New Roman"/>
          <w:sz w:val="24"/>
        </w:rPr>
        <w:t>3.1仪器安装、验收：必须由仪器制造厂商技术人员到现场安装仪器并在用户实验室人员在场的情况下完成仪器设备性能的证明文件。只有在仪器完全正常运转和用户实验室人员确认后，仪器的安装工作才能认为已全部完成。</w:t>
      </w:r>
    </w:p>
    <w:p w14:paraId="7E268B22">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3.2技术培训：现场对用户进行技术培训，培训内容包括仪器的技术原理、仪器操作、数据处理、仪器基本维护等。 </w:t>
      </w:r>
    </w:p>
    <w:p w14:paraId="5A5E4557">
      <w:pPr>
        <w:spacing w:line="360" w:lineRule="auto"/>
        <w:rPr>
          <w:rFonts w:ascii="Times New Roman" w:hAnsi="Times New Roman" w:eastAsia="宋体" w:cs="Times New Roman"/>
          <w:sz w:val="24"/>
        </w:rPr>
      </w:pPr>
      <w:r>
        <w:rPr>
          <w:rFonts w:ascii="Times New Roman" w:hAnsi="Times New Roman" w:eastAsia="宋体" w:cs="Times New Roman"/>
          <w:sz w:val="24"/>
        </w:rPr>
        <w:t>3.3质保期：主机质保一年。</w:t>
      </w:r>
    </w:p>
    <w:p w14:paraId="38FE595A">
      <w:pPr>
        <w:spacing w:line="360" w:lineRule="auto"/>
        <w:rPr>
          <w:rFonts w:ascii="Times New Roman" w:hAnsi="Times New Roman" w:eastAsia="宋体" w:cs="Times New Roman"/>
          <w:sz w:val="24"/>
        </w:rPr>
      </w:pPr>
      <w:r>
        <w:rPr>
          <w:rFonts w:ascii="Times New Roman" w:hAnsi="Times New Roman" w:eastAsia="宋体" w:cs="Times New Roman"/>
          <w:sz w:val="24"/>
        </w:rPr>
        <w:t>4 商务要求</w:t>
      </w:r>
    </w:p>
    <w:p w14:paraId="4C9A851B">
      <w:pPr>
        <w:spacing w:line="360" w:lineRule="auto"/>
        <w:rPr>
          <w:rFonts w:ascii="Times New Roman" w:hAnsi="Times New Roman" w:eastAsia="宋体" w:cs="Times New Roman"/>
          <w:sz w:val="24"/>
        </w:rPr>
      </w:pPr>
      <w:r>
        <w:rPr>
          <w:rFonts w:ascii="Times New Roman" w:hAnsi="Times New Roman" w:eastAsia="宋体" w:cs="Times New Roman"/>
          <w:sz w:val="24"/>
        </w:rPr>
        <w:t>4.1报价包括：所有设备及附件货款、运输费、运输保险费、装卸费、调试费及其他应有的费用。投标人所报价格为货到现场调试完成的最终价格。</w:t>
      </w:r>
    </w:p>
    <w:p w14:paraId="5412D63D">
      <w:pPr>
        <w:spacing w:line="360" w:lineRule="auto"/>
        <w:rPr>
          <w:rFonts w:ascii="Times New Roman" w:hAnsi="Times New Roman" w:eastAsia="宋体" w:cs="Times New Roman"/>
          <w:sz w:val="24"/>
        </w:rPr>
      </w:pPr>
      <w:r>
        <w:rPr>
          <w:rFonts w:ascii="Times New Roman" w:hAnsi="Times New Roman" w:eastAsia="宋体" w:cs="Times New Roman"/>
          <w:sz w:val="24"/>
        </w:rPr>
        <w:t>4.2交货时间：合同签订后120个日历天内交货并完成安装调试。</w:t>
      </w:r>
    </w:p>
    <w:p w14:paraId="18D1103F">
      <w:pPr>
        <w:spacing w:line="360" w:lineRule="auto"/>
        <w:rPr>
          <w:rFonts w:ascii="Times New Roman" w:hAnsi="Times New Roman" w:eastAsia="宋体" w:cs="Times New Roman"/>
          <w:sz w:val="24"/>
        </w:rPr>
      </w:pPr>
      <w:r>
        <w:rPr>
          <w:rFonts w:ascii="Times New Roman" w:hAnsi="Times New Roman" w:eastAsia="宋体" w:cs="Times New Roman"/>
          <w:sz w:val="24"/>
        </w:rPr>
        <w:t>4.3交货地点：采购人指定地点。</w:t>
      </w:r>
    </w:p>
    <w:p w14:paraId="0E79BA32">
      <w:pPr>
        <w:spacing w:line="360" w:lineRule="auto"/>
        <w:rPr>
          <w:rFonts w:ascii="Times New Roman" w:hAnsi="Times New Roman" w:eastAsia="宋体" w:cs="Times New Roman"/>
          <w:sz w:val="24"/>
        </w:rPr>
      </w:pPr>
      <w:r>
        <w:rPr>
          <w:rFonts w:ascii="Times New Roman" w:hAnsi="Times New Roman" w:eastAsia="宋体" w:cs="Times New Roman"/>
          <w:sz w:val="24"/>
        </w:rPr>
        <w:t>4.4免费质保要求：本次采购的设备须提供不少于1年的免费质保，质保期后设备零部件需进行更换的其零部件的价格不高于当时的市面平均价格，终身维修，质保期后仍提供优质售后服务。</w:t>
      </w:r>
    </w:p>
    <w:p w14:paraId="46C39424">
      <w:pPr>
        <w:spacing w:line="360" w:lineRule="auto"/>
        <w:rPr>
          <w:rFonts w:ascii="Times New Roman" w:hAnsi="Times New Roman" w:eastAsia="宋体" w:cs="Times New Roman"/>
          <w:sz w:val="24"/>
        </w:rPr>
      </w:pPr>
      <w:r>
        <w:rPr>
          <w:rFonts w:ascii="Times New Roman" w:hAnsi="Times New Roman" w:eastAsia="宋体" w:cs="Times New Roman"/>
          <w:sz w:val="24"/>
        </w:rPr>
        <w:t>4.5故障响应要求：提供全年7×24小时响应，48小时专业技术人员上门服务；</w:t>
      </w:r>
    </w:p>
    <w:p w14:paraId="3E691A41">
      <w:pPr>
        <w:spacing w:line="360" w:lineRule="auto"/>
        <w:rPr>
          <w:rFonts w:ascii="Times New Roman" w:hAnsi="Times New Roman" w:eastAsia="宋体" w:cs="Times New Roman"/>
          <w:sz w:val="24"/>
        </w:rPr>
      </w:pPr>
      <w:r>
        <w:rPr>
          <w:rFonts w:ascii="Times New Roman" w:hAnsi="Times New Roman" w:eastAsia="宋体" w:cs="Times New Roman"/>
          <w:sz w:val="24"/>
        </w:rPr>
        <w:t>4.6备品备件服务要求：常备备品备件，及时给用户提供所需要的备品备件。</w:t>
      </w:r>
    </w:p>
    <w:p w14:paraId="0A08D6E5">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4.7培训要求：提供至少2-3人就仪器使用方法及理论知识的培训，为期2-3天的时间。 </w:t>
      </w:r>
    </w:p>
    <w:p w14:paraId="445A8D83">
      <w:pPr>
        <w:spacing w:line="360" w:lineRule="auto"/>
        <w:rPr>
          <w:rFonts w:ascii="Times New Roman" w:hAnsi="Times New Roman" w:eastAsia="宋体" w:cs="Times New Roman"/>
          <w:sz w:val="24"/>
        </w:rPr>
      </w:pPr>
      <w:r>
        <w:rPr>
          <w:rFonts w:ascii="Times New Roman" w:hAnsi="Times New Roman" w:eastAsia="宋体" w:cs="Times New Roman"/>
          <w:sz w:val="24"/>
        </w:rPr>
        <w:t>4.8安装调试服务要求：专业的原厂技术工程师提供免费安装调试。</w:t>
      </w:r>
    </w:p>
    <w:p w14:paraId="6D96B690">
      <w:pPr>
        <w:spacing w:line="360" w:lineRule="auto"/>
        <w:rPr>
          <w:rFonts w:ascii="Times New Roman" w:hAnsi="Times New Roman" w:eastAsia="宋体" w:cs="Times New Roman"/>
          <w:sz w:val="24"/>
        </w:rPr>
      </w:pPr>
      <w:r>
        <w:rPr>
          <w:rFonts w:ascii="Times New Roman" w:hAnsi="Times New Roman" w:eastAsia="宋体" w:cs="Times New Roman"/>
          <w:sz w:val="24"/>
        </w:rPr>
        <w:t>4.9其他售后要求：提供技术服务方案，提供在采购人售后服务机构名称、地址，以及专业技术人员名单和联系电话。</w:t>
      </w:r>
    </w:p>
    <w:p w14:paraId="5AC82059">
      <w:pPr>
        <w:spacing w:line="360" w:lineRule="auto"/>
        <w:rPr>
          <w:rFonts w:ascii="Times New Roman" w:hAnsi="Times New Roman" w:eastAsia="宋体" w:cs="Times New Roman"/>
          <w:sz w:val="24"/>
        </w:rPr>
      </w:pPr>
      <w:r>
        <w:rPr>
          <w:rFonts w:ascii="Times New Roman" w:hAnsi="Times New Roman" w:eastAsia="宋体" w:cs="Times New Roman"/>
          <w:sz w:val="24"/>
        </w:rPr>
        <w:t>4.10付款方式：对于国产产品，100%凭用户代表签字并加盖单位公章后的验收报告支付；</w:t>
      </w:r>
    </w:p>
    <w:p w14:paraId="18F7A36D">
      <w:pPr>
        <w:spacing w:line="360" w:lineRule="auto"/>
        <w:rPr>
          <w:rFonts w:ascii="Times New Roman" w:hAnsi="Times New Roman" w:eastAsia="宋体" w:cs="Times New Roman"/>
          <w:sz w:val="24"/>
        </w:rPr>
      </w:pPr>
      <w:r>
        <w:rPr>
          <w:rFonts w:ascii="Times New Roman" w:hAnsi="Times New Roman" w:eastAsia="宋体" w:cs="Times New Roman"/>
          <w:sz w:val="24"/>
        </w:rPr>
        <w:t>对于进口产品，采用即期不可撤消信用证等国际贸易支付条件支付：90%凭合同要求单据支付；10%凭用户代表签字并加盖单位公章后的验收报告支付。</w:t>
      </w:r>
    </w:p>
    <w:p w14:paraId="4F1E4442">
      <w:pPr>
        <w:spacing w:line="360" w:lineRule="auto"/>
        <w:rPr>
          <w:rFonts w:ascii="Times New Roman" w:hAnsi="Times New Roman" w:eastAsia="宋体" w:cs="Times New Roman"/>
          <w:sz w:val="24"/>
        </w:rPr>
      </w:pPr>
      <w:r>
        <w:rPr>
          <w:rFonts w:ascii="Times New Roman" w:hAnsi="Times New Roman" w:eastAsia="宋体" w:cs="Times New Roman"/>
          <w:sz w:val="24"/>
        </w:rPr>
        <w:t>4.11验收要求：按照采购合同的约定和现行国家标准、行业标准以及企业标准对每一项技术、服务、安全标准的履约情况进行确认。采购人有权根据需要设置出厂检验、到货检验、安装调试、配套服务检验等多重验收环节。必要时，采购人有权邀请参加本项目的其他投标人或者第三方机构验收。参与验收的投标人或者第三方机构的意见作为验收书的参考资料一并存档。验收结束后，应当出具验收书，列明各项标准的验收情况及项目总体评价，由验收双方共同签署。</w:t>
      </w:r>
    </w:p>
    <w:p w14:paraId="5AB810A3">
      <w:pPr>
        <w:adjustRightInd w:val="0"/>
        <w:snapToGrid w:val="0"/>
        <w:spacing w:line="360" w:lineRule="auto"/>
        <w:rPr>
          <w:rFonts w:hint="eastAsia" w:ascii="宋体" w:hAnsi="宋体" w:eastAsia="宋体" w:cs="宋体"/>
          <w:b/>
          <w:sz w:val="24"/>
        </w:rPr>
      </w:pPr>
    </w:p>
    <w:p w14:paraId="1BA0F505">
      <w:bookmarkStart w:id="7" w:name="_GoBack"/>
      <w:bookmarkEnd w:id="7"/>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0A167C"/>
    <w:rsid w:val="050A1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2026-07-07T07:04:00Z</dcterms:created>
  <dc:creator>顾嘉宁</dc:creator>
  <cp:lastModifiedBy>顾嘉宁</cp:lastModifiedBy>
  <dcterms:modified xsi:type="dcterms:W3CDTF">2026-07-07T07:04:15Z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E7580E0C932C4D168BDF2D9E069C4807_11</vt:lpwstr>
  </property>
  <property fmtid="{D5CDD505-2E9C-101B-9397-08002B2CF9AE}" pid="4" name="KSOTemplateDocerSaveRecord">
    <vt:lpwstr>eyJoZGlkIjoiNjhlMTZlN2Y4NjY3MzJiZTIyYjE4MjViNDNiNTk2OGQiLCJ1c2VySWQiOiIxNjYzMDExNDYwIn0=</vt:lpwstr>
  </property>
</Properties>
</file>