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  <w:bookmarkStart w:id="0" w:name="_GoBack"/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 xml:space="preserve">第八部分  </w:t>
      </w: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5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  <w:lang w:val="en-US" w:eastAsia="zh-CN"/>
              </w:rPr>
              <w:t>22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气体稳定同位素质谱仪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60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1.2  </w:t>
      </w:r>
      <w:r>
        <w:rPr>
          <w:rFonts w:hint="eastAsia" w:ascii="宋体" w:hAnsi="宋体"/>
          <w:color w:val="auto"/>
          <w:sz w:val="24"/>
          <w:highlight w:val="none"/>
        </w:rPr>
        <w:t>投标人提供的货物须是成熟的全新的产品</w:t>
      </w:r>
      <w:r>
        <w:rPr>
          <w:rFonts w:hint="eastAsia" w:ascii="宋体" w:hAnsi="宋体"/>
          <w:color w:val="auto"/>
          <w:sz w:val="24"/>
          <w:highlight w:val="none"/>
        </w:rPr>
        <w:t>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 xml:space="preserve">1.4  </w:t>
      </w:r>
      <w:r>
        <w:rPr>
          <w:rFonts w:hint="eastAsia" w:ascii="宋体"/>
          <w:color w:val="auto"/>
          <w:sz w:val="24"/>
          <w:highlight w:val="none"/>
        </w:rPr>
        <w:t>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highlight w:val="none"/>
        </w:rPr>
        <w:t>三、具体技术规格</w:t>
      </w:r>
    </w:p>
    <w:p>
      <w:pPr>
        <w:rPr>
          <w:rFonts w:hint="eastAsia"/>
          <w:color w:val="auto"/>
          <w:sz w:val="24"/>
          <w:highlight w:val="none"/>
        </w:rPr>
      </w:pPr>
    </w:p>
    <w:p>
      <w:pPr>
        <w:jc w:val="center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</w:t>
      </w:r>
      <w:r>
        <w:rPr>
          <w:rFonts w:hint="eastAsia"/>
          <w:b/>
          <w:color w:val="auto"/>
          <w:sz w:val="24"/>
          <w:highlight w:val="none"/>
          <w:lang w:val="en-US" w:eastAsia="zh-CN"/>
        </w:rPr>
        <w:t>22</w:t>
      </w:r>
      <w:r>
        <w:rPr>
          <w:rFonts w:hint="eastAsia"/>
          <w:b/>
          <w:color w:val="auto"/>
          <w:sz w:val="24"/>
          <w:highlight w:val="none"/>
        </w:rPr>
        <w:t xml:space="preserve">包 </w:t>
      </w:r>
      <w:r>
        <w:rPr>
          <w:rFonts w:hint="eastAsia"/>
          <w:b/>
          <w:bCs/>
          <w:color w:val="auto"/>
          <w:sz w:val="24"/>
          <w:szCs w:val="24"/>
          <w:highlight w:val="none"/>
        </w:rPr>
        <w:t>气体稳定同位素质谱仪</w:t>
      </w: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技术要求：</w:t>
      </w:r>
    </w:p>
    <w:p>
      <w:pPr>
        <w:rPr>
          <w:b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工作条件：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1.1电源：380V和230V±10%，AC(交流)，50/60Hz 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1.2环境温度：15-27℃（最优：18~21℃）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1.3相对湿度：20-80% 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设备用途：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 xml:space="preserve">用于高精度测定同位素13C. 15N, 18O,34S, 29Si, 30Si, 35Cl, 37Cl, 丰度比，主要包括：主机、连续流万用接口、元素分析仪、气相色谱仪接口、多用途在线气体制备和导入系统等。       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 主机：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3.1.1离子源：高灵敏度电子轰击源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3.1.2离子源室：为无焊缝整块不锈钢，可烘烤到90℃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3.1.3真空系统：带有TMH260 涡轮分子泵和前级真空泵的自动真空系统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3.1.4离子光学：90度优质聚焦，扇形电磁铁，对所有离子束都能达到近100%的传输率，对N2，CO2，SO2，Ar，Kr，Xe的有效半经为不小于40cm, 对H/D 的偏半径为不小于15cm；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3.1.5多元素多用途接收器：具有多个法拉第杯组合的选择，其中五个法拉第杯可同时接受离子束，即CO2，N2O（44，45，46），O2（32，33，34），N2，CO（28，29，30），SO2（64，66），可以以静态模式检测；可额外增加法拉第杯用于高精度测定m/z47、48、49，即Clumped Isotope分析。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3.1.6放大器装于隔离室中保护真空以降低噪声；放大器放大因子可以计算机控制选择切换。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3.1.7每个法拉第接收杯可同时安装两个不同放大器高阻，且软件自动切换高阻。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3.1.8软件可以自动识别和控制外围设备（如EA/GC /多用途样品制备系统等）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3.1.9电气部份：采用内部总线的模块设计。 电子学模块通过-专门设计的光纤接口和计算机联接。所有离子源参数可以由数据系统控制。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3.1.10计算机系统：主流品牌，随机带。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3.1.11软件：用于数据采集，处理和仪器控制的多任务软件。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 连续流万用接口：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3.2.1 万用接口功能包括：所有参考气体的智能连接、自动样品识别、样品气体和参考气体的自动稀释；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3.2.2 可以同时连接5路参考气：C，N，O，S，H的连续测定，不需要手工交换气路，方便操作，节约气体；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3.2.3 参考气自动稀释：根据样品气的信号强度，将参考气自动稀释至任意预设的信号强度，以获得最高的同位素比测定精度；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3.2.4 具有自动测定H3+因子与自动校正功能，可以在样品序列的前、后、进行中的任何时机自动监视H3+因子与校正；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3.2.5 自动监测所有气体的线性、稳定性参数；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3.2.6 可以在15分钟内完成2种参考气的线性测定（每种参考气至少7个数据点），并在20s内切换进行样品测试；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#3.2.7 万用接口采用独立于质谱仪主机的设计，维护时无需关泵关机，可同步运行其它外围设备；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3.3元素分析仪：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3.3.1 元素分析仪与稳定同位素比质谱仪联用，精确和准确测定固体和液体样品中的C、N、S、O、H同位素比值，并且可以同时获得元素百分含量；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3.3.2 采用两套自动控温并联的反应模块，安装在一台元素分析仪上，可测定CNSHO五种元素的同位素；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3.3.3 同时安装双反应器，一个快速燃烧反应器用于测定固体样本中的C，N，S，另一个高温转化反应器用于测定固体或液体样本中的H，O；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#3.3.4 元素分析仪同时安装一台固体和一台液体自动进样器，自动进样器大于100位；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*3.3.5 测试时无需更换反应管及任何其他硬件，在一个样品分析序列中实现固体CNS和液体OH的自动切换，切换时间小于20s；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3.3.6 元素分析仪可以同时安装一个程序升温色谱柱和一个恒温色谱柱；对于程序升温色谱柱，可以在2min内升温至240℃以上，10min内完成一次NCS分析； 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#3.3.7 元素分析仪内置He节约模块，可以降低He消耗量；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3.4气相色谱仪接口：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3.4.1 气相色谱高温转化单元与稳定同位素比质谱仪联用（GC-IRMS），正确和高精度在线测定有机混合物中单个组分13C/12C, 15N/14N, D/H或18O/16O同位素比；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#3.4.2 氧化燃烧管和高温裂解管并联安装在气相色谱高温转化单元内，由软件控制的四通阀自动切换选择需要的反应模式，即从CN模式切换去H/O模式为自动；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3.4.3 快速完成氧化燃烧管和高温裂解管的切换，切换时间小于20s；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*3.4.4 在样品分析序列中，具有随时进行反应管再生的功能，即氧化燃烧管的再氧化和高温裂解管的涂碳；在其他前处理装置的运行中，可同时后台运行反应管的再生功能；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3.4.5 采用零死体积、内壁惰性光滑无粘滞设计的微通道接口连接GC色谱柱与高温转化单元；确保同位素不分馏、分析结果准确性和高度重现性，并且不会影响色谱分离效果，确保最优化的峰形；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#3.4.6同位素质谱仪与气相色谱仪、高温转化单元以及相应控制软件为同一品牌，以保证联用技术的稳定性、软件硬件的兼容性和维护的便捷性；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3.5多用途在线气体制备和导入系统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用于水平衡，碳酸盐，溶解无机碳，空气中二氧化碳，氧气，氮气等样品制备，并引入至同位素比质谱仪中；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 单次采样可多次定量环进样，连续采集样品片段；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3.5.2 具有自动峰高认定和自动稀释功能，以获得最大的样品量动态范围；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#3.5.3 带有大于90位、用户可编程、温度可控的自动进样器；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3.6痕量气体预浓缩装置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3.6.1 用于测定自然浓度和同位素自然丰度下N2O 和CH4 的同位素特征；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3.6.2只需不超过100mL 的空气样品量，就可以实现高精度测定自然浓度（CH4 : 1700 ppb; N2O : 330 ppb）下CH4 的13C/12C 和N2O 的15N/14N 和18O/16O;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3.6.3可以使用带有阀门的样品瓶手动导入样品气体。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3.7技术指标：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3.7.1质量数范围：1～130 amu，同时，恒定10kV加速电压；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#3.7.2质量分辨率： &gt; 200（10 % 峰谷）；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#3.7.3绝对灵敏度：800 分子/离子(连续流模式)；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3.7.4离子源线性：δ13C的变化小于0.02‰/nA；δ18O的变化小于0.03‰/nA；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3.7.5连续流样品消耗（CO2）小于0.06 nmol/s，产生5nA=1.5V @m/z 44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3.7.6.H3+因子：&lt;10ppm/nA稳定性好于0.03ppm/nA/h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3.7.7峰顶平坦度：好于2x10-4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3.7.8丰度灵敏度：质量数44在质量数45处的贡献小于2x10-6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#3.7.9加速电压：10KV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3.7.10. 分析器有效半径：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CNOS不小于40cm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H/D 不小于15cm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3.7.11.  放大器输出范围 ：0-50V(高阻放大器为3X108欧姆)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3.7.12. 连续流参考气精度（1σ，峰高信号：5nA）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δ13C-CO2: 1σ&lt;0.06‰；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δ18O-CO2: 1σ&lt;0.06‰；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δ15N-N2: 1σ&lt;0.06‰；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δ34S-SO2: 1σ&lt;0.1‰；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δ2H-H2: 1σ&lt;0.2‰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3.7.13. 元素分析仪及其接口：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外精度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13C: (50ug)：0.10‰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(5 ug)：0.2‰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15N: (50ug)：0.15‰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(10ug) ：0.4‰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18O: (50ug苯甲酸)：0.4‰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H/D: (25ug苯甲酸)：3‰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18O: (0.5ul H2O)：0.2‰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H/D: (0.5ul H2O) ：2‰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元素浓度：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C：1%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N：1%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3.7.14 多用途在线气体制备和导入系统基本性能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#3.7.14.1 多用途在线气体制备和导入系统的参考气线性：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δ13C-CO2: &lt;0.02‰/nA；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δ18O-CO2: &lt;0.02‰/nA；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δ2H-H2: &lt;0.2‰/nA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3.7.14.2 多用途在线气体制备和导入系统与同位素质谱仪联用外精度：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水平衡：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δ18O: 1σ&lt;0.1‰ (0.5ml H2O)（DELTA Q：＜0.08‰）；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δ2H: 1σ&lt;2‰ (0.2ml H2O)；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碳酸盐 (100μg)：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δ13C: 1σ&lt;0.1‰; 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δ18O: 1σ&lt;0.1‰；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3.7.15气相-同位素质谱联用的外精度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δ13C: 1σ&lt;0.2‰ @10ng C； 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δ15N: 1σ&lt;0.5‰ @50ng N；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δ18O: 1σ&lt;0.8‰ @80ng O；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δ2H: 1σ&lt;2.5‰ @30ng H；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痕量气体预浓缩装置与同位素质谱仪联用外精度：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3.7.16供试样品为具有自然痕量气体浓度和同位素自然丰度的100mL空气。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外精度（N=5）        浓度（PPM）    δ (‰ )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CH4中的13C/12C      1.7              0.5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N2O中的15N/14N      0.33             0.5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N2O中的18O/16O     </w:t>
      </w:r>
      <w:r>
        <w:rPr>
          <w:rFonts w:hint="eastAsia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/>
          <w:color w:val="auto"/>
          <w:sz w:val="24"/>
          <w:highlight w:val="none"/>
        </w:rPr>
        <w:t xml:space="preserve">0.33           </w:t>
      </w:r>
      <w:r>
        <w:rPr>
          <w:rFonts w:hint="eastAsia"/>
          <w:color w:val="auto"/>
          <w:sz w:val="24"/>
          <w:highlight w:val="none"/>
          <w:lang w:val="en-US" w:eastAsia="zh-CN"/>
        </w:rPr>
        <w:t xml:space="preserve">  </w:t>
      </w:r>
      <w:r>
        <w:rPr>
          <w:rFonts w:hint="eastAsia"/>
          <w:color w:val="auto"/>
          <w:sz w:val="24"/>
          <w:highlight w:val="none"/>
        </w:rPr>
        <w:t>1.0</w:t>
      </w:r>
    </w:p>
    <w:p>
      <w:pPr>
        <w:spacing w:line="360" w:lineRule="auto"/>
        <w:ind w:firstLine="480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*4. 产品配置要求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 主机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4.1.1稳定同位素比质谱仪主机（包括控制和数据采集处理系统、计算机、打印机、标配备件及起始工具包等）及零备件包，1套；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4.1.2 H/D 接收器系统（两个法拉第杯），1套；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4.1.3差分抽气系统，1套；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4.1.4连续流样品制备装置接口，1套；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4.1.5动态快速燃烧和高温裂解一体化元素分析仪，元素分析仪C、N、S、H、O零备件和消耗品包，元素分析仪的液体进样组件(自动进样器)，硫组件，液体自动进样器，1套；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4.1.6专用气相色谱仪， N、O选件， C、H选件， C、H零备件包，液体自动进样器，1套；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4.1.7多用途样品制备装置（包括酸泵、可加热样品盘），碳酸盐选件及备件包，零备件包，铂黑棒2包(50/包)，双冷阱，1套；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4.1.8痕量气体预浓缩装置：CH4/N2O痕量气体预浓缩装置，1套。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  要求的附件、专用工具和消耗品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4.2.1 15kV A两小时UPS电源，1套；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4.2.2载气及参考气并配置钢瓶减压阀、不锈钢气路管线等，1套，包含：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He（99.996%） 150bar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CO2（99.995%） 60bar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N2（99.999%）150bar 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H2（99.995%）150bar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O2（99.996%） 60bar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CO（99.996%）150bar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He中1%H2（99.999%）混合气150bar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He中1%CO2（99.995%）混合气150bar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CH4（99.995%）150bar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SO2（99.98%） 4bar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CO \SO2\H2 采用8L钢瓶，其他采用40L钢瓶；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4.2.3静音空压机，流量50L/min，最大压力：0.8MPa，储气罐：24L，噪音水平：40dB，1套；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4.2.3标准物质（C、N、H、O）1套.</w:t>
      </w:r>
    </w:p>
    <w:p>
      <w:pPr>
        <w:spacing w:line="360" w:lineRule="auto"/>
        <w:ind w:left="523" w:hanging="523" w:hangingChars="218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</w:t>
      </w:r>
    </w:p>
    <w:p>
      <w:pPr>
        <w:tabs>
          <w:tab w:val="left" w:pos="540"/>
        </w:tabs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5.  技术文件：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5.1为便于买方设备的安装前期工作的顺利进行，中标人须在合同生效后30天内向买方提供一套完整的产品资料，包括使用说明书、操作手册、安装要求，本项资料的提供不影响随机资料、投标资料的提供。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5.2厂商提供的所有计算机软件都须是正版软件，其软件必须有原始安装盘，且购买方合法拥有。所有计算机软件须提供操作、安装、维护手册。厂商须免费为购买方提供仪器使用期内应用软件升级服务，并优惠提供必要的硬件升级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 设备安装调试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1.1.1 供货商在接到用户安装通知后，须在10工作日内安排有经验的工程师到现场安装仪器，并在40工作日内安装、调试完毕；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1.1.2 安装工程师对本标书中提出的性能指标须逐项演示给用户，所有验收指标要求一次完成；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1.1.3 安装、调试过程中，安装工程师有义务对用户讲解仪器的操作及注意事项，对用户提出的问题安装工程师须认真给予正确完整的讲解和回答；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1.1.4 对使用人员要由厂商提供不少于10工作日的本地培训(可以和安装调试同时进行)。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1.1.5 投标人提供给买方的货物，其所有部件都必须是原厂生产的最新、全新优质产品，且在中国境内买方拥有合法的产权和使用权；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1.1.6 卖方须提供该设备出厂质量检测标准、试验方法和验收标准；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1.1.7 质量符合买方要求，并符合厂家规定的各项检测标准，同时按厂家标准验收程序和中国国家计量标准部门的有关规程验收；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1.1.8 验收合格后，提供保修保证书及服务卡。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 技术培训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1.2.1 在仪器使用3-6个月后，卖方与用户协商，由卖方派高级应用人员在用户处进行仪器操作、仪器维护、软件应用的深入培训，并解答有关在仪器使用过程中遇到的问题；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1.2.2 卖方应定期举办培训班，由高级应用人员培训讲解，该培训班对用户免费.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 保修期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1.3.1 仪器自验收签字之日起，保修期2年，仪器终生维修；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1.3.2 卖方在中国设有保税库、办事处和维修站保证长期、优惠、及时提供零备件和优质、优惠的维修服务，提供软件终生免费升级。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1.4 维修响应时间：供货商在接到用户维修申请后72小时内派维修工程师到现场维修。保修期内，如仪器出现故障（消耗品和人为损坏除外），保修期顺延。保修期内，由于仪器设计缺陷或仪器本身的质量问题，出现故障而连续3个月内未将其修好，供货商保证免费更换全新的仪器(如有新型号同类仪器，均免费更换)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1.5 厂商须提供为保证仪器设备正常运行和维护所需要的专用工具、常用消耗品等。并在标书中列明常用消耗品，易损材料等数量、单价供买方选购参考。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1套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（四） 交货地点：</w:t>
      </w:r>
    </w:p>
    <w:p>
      <w:pPr>
        <w:spacing w:line="360" w:lineRule="auto"/>
        <w:ind w:firstLine="24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新疆乌鲁木齐，用户指定地点。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（五）交货日期：</w:t>
      </w:r>
    </w:p>
    <w:p>
      <w:pPr>
        <w:spacing w:line="360" w:lineRule="auto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合同后4个月。</w:t>
      </w:r>
    </w:p>
    <w:p>
      <w:pPr>
        <w:rPr>
          <w:color w:val="auto"/>
          <w:highlight w:val="none"/>
        </w:rPr>
      </w:pPr>
    </w:p>
    <w:bookmarkEnd w:id="0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</w:pPr>
    <w:r>
      <w:rPr>
        <w:rFonts w:hint="eastAsia"/>
        <w:i/>
      </w:rPr>
      <w:t>中国科学院2023年仪器设备部门集中采购项目招标文件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kYzdjODk4ZWI5MDNiZmQ2YmU5MDUyNmUyYTY1OWUifQ=="/>
  </w:docVars>
  <w:rsids>
    <w:rsidRoot w:val="652116D1"/>
    <w:rsid w:val="6521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2023-07-25T11:58:00Z</dcterms:created>
  <dc:creator>godjiao</dc:creator>
  <cp:lastModifiedBy>godjiao</cp:lastModifiedBy>
  <dcterms:modified xsi:type="dcterms:W3CDTF">2023-07-25T11:58:29Z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47DE2781339A4E5A8E29350A688ED885_11</vt:lpwstr>
  </property>
</Properties>
</file>