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numPr>
          <w:ilvl w:val="0"/>
          <w:numId w:val="0"/>
        </w:numPr>
        <w:spacing w:line="360" w:lineRule="auto"/>
        <w:ind w:left="0" w:leftChars="0" w:firstLine="480" w:firstLineChars="200"/>
        <w:contextualSpacing/>
        <w:jc w:val="left"/>
        <w:rPr>
          <w:rFonts w:asciiTheme="minorEastAsia" w:hAnsiTheme="minorEastAsia" w:eastAsiaTheme="minorEastAsia"/>
          <w:b/>
          <w:sz w:val="24"/>
          <w:szCs w:val="24"/>
          <w:highlight w:val="none"/>
        </w:rPr>
      </w:pPr>
      <w:r>
        <w:rPr>
          <w:rFonts w:hint="eastAsia" w:asciiTheme="minorEastAsia" w:hAnsiTheme="minorEastAsia" w:eastAsiaTheme="minorEastAsia"/>
          <w:bCs/>
          <w:sz w:val="24"/>
          <w:highlight w:val="none"/>
          <w:lang w:val="en-US" w:eastAsia="zh-CN"/>
        </w:rPr>
        <w:t>三、</w:t>
      </w:r>
      <w:r>
        <w:rPr>
          <w:rFonts w:asciiTheme="minorEastAsia" w:hAnsiTheme="minorEastAsia" w:eastAsiaTheme="minorEastAsia"/>
          <w:b/>
          <w:sz w:val="24"/>
          <w:szCs w:val="24"/>
          <w:highlight w:val="none"/>
        </w:rPr>
        <w:t>技术要求</w:t>
      </w:r>
    </w:p>
    <w:p>
      <w:pPr>
        <w:pStyle w:val="6"/>
        <w:numPr>
          <w:ilvl w:val="0"/>
          <w:numId w:val="0"/>
        </w:numPr>
        <w:spacing w:line="360" w:lineRule="auto"/>
        <w:ind w:left="0" w:leftChars="0" w:firstLine="480" w:firstLineChars="200"/>
        <w:contextualSpacing/>
        <w:jc w:val="left"/>
        <w:rPr>
          <w:rFonts w:hint="default" w:asciiTheme="minorEastAsia" w:hAnsiTheme="minorEastAsia" w:eastAsiaTheme="minorEastAsia"/>
          <w:bCs/>
          <w:sz w:val="24"/>
          <w:highlight w:val="none"/>
          <w:lang w:val="en-US" w:eastAsia="zh-CN"/>
        </w:rPr>
      </w:pPr>
      <w:r>
        <w:rPr>
          <w:rFonts w:hint="eastAsia" w:asciiTheme="minorEastAsia" w:hAnsiTheme="minorEastAsia" w:eastAsiaTheme="minorEastAsia"/>
          <w:bCs/>
          <w:sz w:val="24"/>
          <w:highlight w:val="none"/>
          <w:lang w:val="en-US" w:eastAsia="zh-CN"/>
        </w:rPr>
        <w:t>（一）基本要求</w:t>
      </w:r>
    </w:p>
    <w:p>
      <w:pPr>
        <w:pStyle w:val="6"/>
        <w:numPr>
          <w:ilvl w:val="0"/>
          <w:numId w:val="0"/>
        </w:numPr>
        <w:spacing w:line="360" w:lineRule="auto"/>
        <w:ind w:left="0" w:leftChars="0" w:firstLine="480" w:firstLineChars="200"/>
        <w:contextualSpacing/>
        <w:jc w:val="left"/>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lang w:val="en-US" w:eastAsia="zh-CN"/>
        </w:rPr>
        <w:t>1.</w:t>
      </w:r>
      <w:r>
        <w:rPr>
          <w:rFonts w:hint="eastAsia" w:asciiTheme="minorEastAsia" w:hAnsiTheme="minorEastAsia" w:eastAsiaTheme="minorEastAsia"/>
          <w:bCs/>
          <w:sz w:val="24"/>
          <w:highlight w:val="none"/>
        </w:rPr>
        <w:t>采购标的需实现的功能或者目标</w:t>
      </w:r>
    </w:p>
    <w:p>
      <w:pPr>
        <w:spacing w:line="360" w:lineRule="auto"/>
        <w:ind w:firstLine="480" w:firstLineChars="200"/>
        <w:jc w:val="left"/>
        <w:rPr>
          <w:rFonts w:hint="eastAsia" w:asciiTheme="minorEastAsia" w:hAnsiTheme="minorEastAsia" w:eastAsiaTheme="minorEastAsia"/>
          <w:bCs/>
          <w:sz w:val="24"/>
          <w:highlight w:val="none"/>
          <w:lang w:val="en-US" w:eastAsia="zh-CN"/>
        </w:rPr>
      </w:pPr>
      <w:r>
        <w:rPr>
          <w:rFonts w:hint="eastAsia" w:ascii="宋体" w:hAnsi="宋体" w:cs="宋体"/>
          <w:sz w:val="24"/>
        </w:rPr>
        <w:t>本次采购是</w:t>
      </w:r>
      <w:r>
        <w:rPr>
          <w:rFonts w:hint="eastAsia" w:ascii="宋体" w:hAnsi="宋体"/>
          <w:sz w:val="24"/>
          <w:u w:val="single"/>
        </w:rPr>
        <w:t>三院区绿植租摆服务项目</w:t>
      </w:r>
      <w:r>
        <w:rPr>
          <w:rFonts w:hint="eastAsia" w:ascii="宋体" w:hAnsi="宋体" w:cs="宋体"/>
          <w:sz w:val="24"/>
        </w:rPr>
        <w:t>，供应商应根据</w:t>
      </w:r>
      <w:r>
        <w:rPr>
          <w:rFonts w:hint="eastAsia" w:ascii="宋体" w:hAnsi="宋体" w:cs="宋体"/>
          <w:sz w:val="24"/>
          <w:lang w:val="en-US" w:eastAsia="zh-CN"/>
        </w:rPr>
        <w:t>招标</w:t>
      </w:r>
      <w:r>
        <w:rPr>
          <w:rFonts w:hint="eastAsia" w:ascii="宋体" w:hAnsi="宋体" w:cs="宋体"/>
          <w:sz w:val="24"/>
        </w:rPr>
        <w:t>文件所提出的设备技术规格和服务要求，以优良的服务和优惠的价格充分显示自己的竞争实力。</w:t>
      </w:r>
    </w:p>
    <w:p>
      <w:pPr>
        <w:pStyle w:val="6"/>
        <w:numPr>
          <w:ilvl w:val="0"/>
          <w:numId w:val="0"/>
        </w:numPr>
        <w:spacing w:line="360" w:lineRule="auto"/>
        <w:ind w:left="0" w:leftChars="0" w:firstLine="480" w:firstLineChars="200"/>
        <w:contextualSpacing/>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二）</w:t>
      </w:r>
      <w:r>
        <w:rPr>
          <w:rFonts w:hint="eastAsia" w:ascii="宋体" w:hAnsi="宋体" w:eastAsia="宋体" w:cs="宋体"/>
          <w:bCs/>
          <w:sz w:val="24"/>
          <w:szCs w:val="24"/>
          <w:highlight w:val="none"/>
        </w:rPr>
        <w:t>服务内容及要求/货物技术要求</w:t>
      </w:r>
    </w:p>
    <w:p>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lang w:val="en-US" w:eastAsia="zh-CN" w:bidi="ar-SA"/>
        </w:rPr>
      </w:pPr>
      <w:r>
        <w:rPr>
          <w:rFonts w:hint="eastAsia" w:ascii="宋体" w:hAnsi="宋体" w:eastAsia="宋体" w:cs="宋体"/>
          <w:b/>
          <w:color w:val="000000"/>
          <w:kern w:val="0"/>
          <w:sz w:val="24"/>
          <w:szCs w:val="24"/>
          <w:lang w:val="en-US" w:eastAsia="zh-CN"/>
        </w:rPr>
        <w:t>1.</w:t>
      </w:r>
      <w:r>
        <w:rPr>
          <w:rFonts w:hint="eastAsia" w:ascii="宋体" w:hAnsi="宋体" w:eastAsia="宋体" w:cs="宋体"/>
          <w:b/>
          <w:color w:val="000000"/>
          <w:kern w:val="0"/>
          <w:sz w:val="24"/>
          <w:szCs w:val="24"/>
          <w:lang w:val="en-US" w:eastAsia="zh-CN" w:bidi="ar-SA"/>
        </w:rPr>
        <w:t>规格及数量</w:t>
      </w:r>
    </w:p>
    <w:p>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1.1本部院区绿植租摆项目：730盆</w:t>
      </w:r>
    </w:p>
    <w:p>
      <w:pPr>
        <w:pStyle w:val="6"/>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1.2常营院区绿植租摆项目：790盆</w:t>
      </w:r>
    </w:p>
    <w:p>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1.3石景山院区绿植租摆项目：320盆</w:t>
      </w:r>
    </w:p>
    <w:p>
      <w:pPr>
        <w:pStyle w:val="7"/>
        <w:keepNext w:val="0"/>
        <w:keepLines w:val="0"/>
        <w:pageBreakBefore w:val="0"/>
        <w:widowControl w:val="0"/>
        <w:kinsoku/>
        <w:wordWrap/>
        <w:overflowPunct/>
        <w:topLinePunct w:val="0"/>
        <w:autoSpaceDE/>
        <w:autoSpaceDN/>
        <w:bidi w:val="0"/>
        <w:spacing w:line="360" w:lineRule="auto"/>
        <w:ind w:left="0" w:leftChars="0" w:firstLine="480" w:firstLineChars="200"/>
        <w:jc w:val="left"/>
        <w:textAlignment w:val="auto"/>
        <w:rPr>
          <w:rFonts w:hint="eastAsia" w:ascii="宋体" w:hAnsi="宋体" w:eastAsia="宋体" w:cs="宋体"/>
          <w:b/>
          <w:bCs/>
          <w:color w:val="000000"/>
          <w:kern w:val="0"/>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b/>
          <w:bCs/>
          <w:color w:val="000000"/>
          <w:kern w:val="0"/>
          <w:sz w:val="24"/>
          <w:szCs w:val="24"/>
        </w:rPr>
        <w:t>服务要求：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lang w:eastAsia="zh-CN"/>
        </w:rPr>
        <w:t>供应商</w:t>
      </w:r>
      <w:r>
        <w:rPr>
          <w:rFonts w:hint="eastAsia" w:ascii="宋体" w:hAnsi="宋体" w:eastAsia="宋体" w:cs="宋体"/>
          <w:sz w:val="24"/>
          <w:szCs w:val="24"/>
        </w:rPr>
        <w:t>必须承诺</w:t>
      </w:r>
      <w:r>
        <w:rPr>
          <w:rFonts w:hint="eastAsia" w:ascii="宋体" w:hAnsi="宋体" w:eastAsia="宋体" w:cs="宋体"/>
          <w:sz w:val="24"/>
          <w:szCs w:val="24"/>
          <w:lang w:val="en-US" w:eastAsia="zh-CN"/>
        </w:rPr>
        <w:t>每个院区</w:t>
      </w:r>
      <w:r>
        <w:rPr>
          <w:rFonts w:hint="eastAsia" w:ascii="宋体" w:hAnsi="宋体" w:eastAsia="宋体" w:cs="宋体"/>
          <w:sz w:val="24"/>
          <w:szCs w:val="24"/>
        </w:rPr>
        <w:t>至少选派1名专职人员，常驻采购方，对摆放的植物进行日常的维护，包括但不限于浇水、擦拭、修剪枯叶等工作。保证绿植如数如质、常青常绿，并保持较好的观赏效果。如遇绿植株叶色枯黄、萎缩等，</w:t>
      </w:r>
      <w:r>
        <w:rPr>
          <w:rFonts w:hint="eastAsia" w:ascii="宋体" w:hAnsi="宋体" w:eastAsia="宋体" w:cs="宋体"/>
          <w:sz w:val="24"/>
          <w:szCs w:val="24"/>
          <w:lang w:eastAsia="zh-CN"/>
        </w:rPr>
        <w:t>供应商</w:t>
      </w:r>
      <w:r>
        <w:rPr>
          <w:rFonts w:hint="eastAsia" w:ascii="宋体" w:hAnsi="宋体" w:eastAsia="宋体" w:cs="宋体"/>
          <w:sz w:val="24"/>
          <w:szCs w:val="24"/>
        </w:rPr>
        <w:t>应及时响应，并于48小时之内调换完毕。</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应每周对摆放的植物进行巡视，对于生长不良的植物随时进行更换。</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3如遇采购人特殊需求，</w:t>
      </w:r>
      <w:r>
        <w:rPr>
          <w:rFonts w:hint="eastAsia" w:ascii="宋体" w:hAnsi="宋体" w:eastAsia="宋体" w:cs="宋体"/>
          <w:sz w:val="24"/>
          <w:szCs w:val="24"/>
          <w:lang w:eastAsia="zh-CN"/>
        </w:rPr>
        <w:t>供应商</w:t>
      </w:r>
      <w:r>
        <w:rPr>
          <w:rFonts w:hint="eastAsia" w:ascii="宋体" w:hAnsi="宋体" w:eastAsia="宋体" w:cs="宋体"/>
          <w:sz w:val="24"/>
          <w:szCs w:val="24"/>
        </w:rPr>
        <w:t>应在接到采购人电话通知后，24小时之内将植物运至指定位置。</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default"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2.</w:t>
      </w:r>
      <w:r>
        <w:rPr>
          <w:rFonts w:hint="eastAsia" w:ascii="宋体" w:hAnsi="宋体" w:eastAsia="宋体" w:cs="宋体"/>
          <w:sz w:val="24"/>
          <w:szCs w:val="24"/>
        </w:rPr>
        <w:t>4合同签订后14日内，供应商需按“</w:t>
      </w:r>
      <w:r>
        <w:rPr>
          <w:rFonts w:hint="eastAsia" w:ascii="宋体" w:hAnsi="宋体" w:eastAsia="宋体" w:cs="宋体"/>
          <w:sz w:val="24"/>
          <w:szCs w:val="24"/>
          <w:lang w:val="en-US" w:eastAsia="zh-CN"/>
        </w:rPr>
        <w:t>3</w:t>
      </w:r>
      <w:r>
        <w:rPr>
          <w:rFonts w:hint="eastAsia" w:ascii="宋体" w:hAnsi="宋体" w:eastAsia="宋体" w:cs="宋体"/>
          <w:sz w:val="24"/>
          <w:szCs w:val="24"/>
        </w:rPr>
        <w:t>.绿植摆放范围、规格要求及数量”的要求，将采购人核准的绿植摆放到指定地点</w:t>
      </w:r>
      <w:r>
        <w:rPr>
          <w:rFonts w:hint="eastAsia" w:ascii="宋体" w:hAnsi="宋体" w:eastAsia="宋体" w:cs="宋体"/>
          <w:sz w:val="24"/>
          <w:szCs w:val="24"/>
          <w:lang w:eastAsia="zh-CN"/>
        </w:rPr>
        <w:t>。</w:t>
      </w:r>
      <w:r>
        <w:rPr>
          <w:rFonts w:hint="eastAsia" w:ascii="宋体" w:hAnsi="宋体" w:eastAsia="宋体" w:cs="宋体"/>
          <w:sz w:val="24"/>
          <w:szCs w:val="24"/>
        </w:rPr>
        <w:t>并在采购单位接到特殊任务时及时抽调工作人员进行绿植及花卉的摆放及搬运；在重大活动和节日期间需应采购单位要求适当增加节日花卉摆放。</w:t>
      </w:r>
    </w:p>
    <w:p>
      <w:pPr>
        <w:pStyle w:val="6"/>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lang w:val="en-US" w:eastAsia="zh-CN"/>
        </w:rPr>
        <w:t>3.</w:t>
      </w:r>
      <w:r>
        <w:rPr>
          <w:rFonts w:hint="eastAsia" w:ascii="宋体" w:hAnsi="宋体" w:eastAsia="宋体" w:cs="宋体"/>
          <w:b/>
          <w:color w:val="000000"/>
          <w:kern w:val="0"/>
          <w:sz w:val="24"/>
          <w:szCs w:val="24"/>
        </w:rPr>
        <w:t>绿植摆放范围、规格要求及数量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color w:val="FF0000"/>
          <w:sz w:val="24"/>
          <w:szCs w:val="24"/>
        </w:rPr>
      </w:pPr>
      <w:r>
        <w:rPr>
          <w:rFonts w:hint="eastAsia" w:ascii="宋体" w:hAnsi="宋体" w:eastAsia="宋体" w:cs="宋体"/>
          <w:sz w:val="24"/>
          <w:szCs w:val="24"/>
          <w:lang w:val="en-US" w:eastAsia="zh-CN"/>
        </w:rPr>
        <w:t>3.1本部</w:t>
      </w:r>
      <w:r>
        <w:rPr>
          <w:rFonts w:hint="eastAsia" w:ascii="宋体" w:hAnsi="宋体" w:eastAsia="宋体" w:cs="宋体"/>
          <w:sz w:val="24"/>
          <w:szCs w:val="24"/>
        </w:rPr>
        <w:t>绿植摆放明细</w:t>
      </w:r>
    </w:p>
    <w:tbl>
      <w:tblPr>
        <w:tblStyle w:val="4"/>
        <w:tblW w:w="8955"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1230"/>
        <w:gridCol w:w="3030"/>
        <w:gridCol w:w="2235"/>
        <w:gridCol w:w="2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3" w:hRule="atLeast"/>
        </w:trPr>
        <w:tc>
          <w:tcPr>
            <w:tcW w:w="123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区域</w:t>
            </w: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位置</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规格(m)</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数量（盆）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A楼</w:t>
            </w: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B1层急诊大厅</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门诊一层大厅</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0.5</w:t>
            </w:r>
            <w:r>
              <w:rPr>
                <w:rFonts w:hint="eastAsia" w:ascii="宋体" w:hAnsi="宋体" w:eastAsia="宋体" w:cs="宋体"/>
                <w:kern w:val="0"/>
                <w:sz w:val="24"/>
                <w:szCs w:val="24"/>
                <w:lang w:val="en-US" w:eastAsia="zh-CN"/>
              </w:rPr>
              <w:t>-0.8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color w:val="auto"/>
                <w:kern w:val="0"/>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color w:val="auto"/>
                <w:kern w:val="0"/>
                <w:sz w:val="24"/>
                <w:szCs w:val="24"/>
              </w:rPr>
              <w:t>2.5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color w:val="auto"/>
                <w:kern w:val="0"/>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4.8-5.0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门诊</w:t>
            </w:r>
            <w:r>
              <w:rPr>
                <w:rFonts w:hint="eastAsia" w:ascii="宋体" w:hAnsi="宋体" w:eastAsia="宋体" w:cs="宋体"/>
                <w:kern w:val="0"/>
                <w:sz w:val="24"/>
                <w:szCs w:val="24"/>
                <w:lang w:val="en-US" w:eastAsia="zh-CN"/>
              </w:rPr>
              <w:t>二至九</w:t>
            </w:r>
            <w:r>
              <w:rPr>
                <w:rFonts w:hint="eastAsia" w:ascii="宋体" w:hAnsi="宋体" w:eastAsia="宋体" w:cs="宋体"/>
                <w:kern w:val="0"/>
                <w:sz w:val="24"/>
                <w:szCs w:val="24"/>
              </w:rPr>
              <w:t>层</w:t>
            </w:r>
          </w:p>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公共区</w:t>
            </w:r>
            <w:r>
              <w:rPr>
                <w:rFonts w:hint="eastAsia" w:ascii="宋体" w:hAnsi="宋体" w:eastAsia="宋体" w:cs="宋体"/>
                <w:kern w:val="0"/>
                <w:sz w:val="24"/>
                <w:szCs w:val="24"/>
                <w:lang w:val="en-US" w:eastAsia="zh-CN"/>
              </w:rPr>
              <w:t>域</w:t>
            </w:r>
            <w:r>
              <w:rPr>
                <w:rFonts w:hint="eastAsia" w:ascii="宋体" w:hAnsi="宋体" w:eastAsia="宋体" w:cs="宋体"/>
                <w:kern w:val="0"/>
                <w:sz w:val="24"/>
                <w:szCs w:val="24"/>
              </w:rPr>
              <w:t>和电梯</w:t>
            </w:r>
            <w:r>
              <w:rPr>
                <w:rFonts w:hint="eastAsia" w:ascii="宋体" w:hAnsi="宋体" w:eastAsia="宋体" w:cs="宋体"/>
                <w:kern w:val="0"/>
                <w:sz w:val="24"/>
                <w:szCs w:val="24"/>
                <w:lang w:val="en-US" w:eastAsia="zh-CN"/>
              </w:rPr>
              <w:t>厅</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门诊手术室</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耳鼻喉</w:t>
            </w:r>
            <w:r>
              <w:rPr>
                <w:rFonts w:hint="eastAsia" w:ascii="宋体" w:hAnsi="宋体" w:eastAsia="宋体" w:cs="宋体"/>
                <w:kern w:val="0"/>
                <w:sz w:val="24"/>
                <w:szCs w:val="24"/>
              </w:rPr>
              <w:t>眩晕</w:t>
            </w:r>
            <w:r>
              <w:rPr>
                <w:rFonts w:hint="eastAsia" w:ascii="宋体" w:hAnsi="宋体" w:eastAsia="宋体" w:cs="宋体"/>
                <w:kern w:val="0"/>
                <w:sz w:val="24"/>
                <w:szCs w:val="24"/>
                <w:lang w:val="en-US" w:eastAsia="zh-CN"/>
              </w:rPr>
              <w:t>诊室</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特需</w:t>
            </w:r>
            <w:r>
              <w:rPr>
                <w:rFonts w:hint="eastAsia" w:ascii="宋体" w:hAnsi="宋体" w:eastAsia="宋体" w:cs="宋体"/>
                <w:kern w:val="0"/>
                <w:sz w:val="24"/>
                <w:szCs w:val="24"/>
                <w:lang w:val="en-US" w:eastAsia="zh-CN"/>
              </w:rPr>
              <w:t>门诊</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0.5-0.8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门诊十层</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0.5</w:t>
            </w:r>
            <w:r>
              <w:rPr>
                <w:rFonts w:hint="eastAsia" w:ascii="宋体" w:hAnsi="宋体" w:eastAsia="宋体" w:cs="宋体"/>
                <w:kern w:val="0"/>
                <w:sz w:val="24"/>
                <w:szCs w:val="24"/>
                <w:lang w:val="en-US" w:eastAsia="zh-CN"/>
              </w:rPr>
              <w:t>-0.8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0.8</w:t>
            </w:r>
            <w:r>
              <w:rPr>
                <w:rFonts w:hint="eastAsia" w:ascii="宋体" w:hAnsi="宋体" w:eastAsia="宋体" w:cs="宋体"/>
                <w:color w:val="auto"/>
                <w:kern w:val="0"/>
                <w:sz w:val="24"/>
                <w:szCs w:val="24"/>
                <w:highlight w:val="none"/>
                <w:lang w:val="en-US" w:eastAsia="zh-CN"/>
              </w:rPr>
              <w:t>-1.0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1.8-2.0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2.5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小计</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371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B楼</w:t>
            </w: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核磁室</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1.8-2.0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住院服务中心</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1.8-2.0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院医室</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1.8-2.0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手术室</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地下</w:t>
            </w:r>
            <w:r>
              <w:rPr>
                <w:rFonts w:hint="eastAsia" w:ascii="宋体" w:hAnsi="宋体" w:eastAsia="宋体" w:cs="宋体"/>
                <w:kern w:val="0"/>
                <w:sz w:val="24"/>
                <w:szCs w:val="24"/>
                <w:lang w:val="en-US" w:eastAsia="zh-CN"/>
              </w:rPr>
              <w:t>一</w:t>
            </w:r>
            <w:r>
              <w:rPr>
                <w:rFonts w:hint="eastAsia" w:ascii="宋体" w:hAnsi="宋体" w:eastAsia="宋体" w:cs="宋体"/>
                <w:kern w:val="0"/>
                <w:sz w:val="24"/>
                <w:szCs w:val="24"/>
              </w:rPr>
              <w:t>层至十</w:t>
            </w:r>
            <w:r>
              <w:rPr>
                <w:rFonts w:hint="eastAsia" w:ascii="宋体" w:hAnsi="宋体" w:eastAsia="宋体" w:cs="宋体"/>
                <w:kern w:val="0"/>
                <w:sz w:val="24"/>
                <w:szCs w:val="24"/>
                <w:lang w:val="en-US" w:eastAsia="zh-CN"/>
              </w:rPr>
              <w:t>三</w:t>
            </w:r>
            <w:r>
              <w:rPr>
                <w:rFonts w:hint="eastAsia" w:ascii="宋体" w:hAnsi="宋体" w:eastAsia="宋体" w:cs="宋体"/>
                <w:kern w:val="0"/>
                <w:sz w:val="24"/>
                <w:szCs w:val="24"/>
              </w:rPr>
              <w:t>层</w:t>
            </w:r>
            <w:r>
              <w:rPr>
                <w:rFonts w:hint="eastAsia" w:ascii="宋体" w:hAnsi="宋体" w:eastAsia="宋体" w:cs="宋体"/>
                <w:kern w:val="0"/>
                <w:sz w:val="24"/>
                <w:szCs w:val="24"/>
                <w:lang w:val="en-US" w:eastAsia="zh-CN"/>
              </w:rPr>
              <w:t>电梯厅</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1.6</w:t>
            </w:r>
            <w:r>
              <w:rPr>
                <w:rFonts w:hint="eastAsia" w:ascii="宋体" w:hAnsi="宋体" w:eastAsia="宋体" w:cs="宋体"/>
                <w:kern w:val="0"/>
                <w:sz w:val="24"/>
                <w:szCs w:val="24"/>
                <w:lang w:val="en-US" w:eastAsia="zh-CN"/>
              </w:rPr>
              <w:t>-1.8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1.8-2.0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小计</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D、E楼</w:t>
            </w: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公共区</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六楼专家办公区</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肝胆科</w:t>
            </w:r>
            <w:r>
              <w:rPr>
                <w:rFonts w:hint="eastAsia" w:ascii="宋体" w:hAnsi="宋体" w:eastAsia="宋体" w:cs="宋体"/>
                <w:kern w:val="0"/>
                <w:sz w:val="24"/>
                <w:szCs w:val="24"/>
                <w:lang w:val="en-US" w:eastAsia="zh-CN"/>
              </w:rPr>
              <w:t>病房（二个病区）</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产科特需</w:t>
            </w:r>
            <w:r>
              <w:rPr>
                <w:rFonts w:hint="eastAsia" w:ascii="宋体" w:hAnsi="宋体" w:eastAsia="宋体" w:cs="宋体"/>
                <w:kern w:val="0"/>
                <w:sz w:val="24"/>
                <w:szCs w:val="24"/>
                <w:lang w:val="en-US" w:eastAsia="zh-CN"/>
              </w:rPr>
              <w:t>病房</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小计</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行政办公区</w:t>
            </w: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一至四层公共区域</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3层会议室</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四层办公室（12间）</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0.5-0.8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小计</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G楼</w:t>
            </w: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病房13间</w:t>
            </w:r>
          </w:p>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护士站3间</w:t>
            </w:r>
          </w:p>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会议室1间</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0.5-0.8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小计</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西小院</w:t>
            </w: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一层</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0</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1.8-2.0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2层</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0.</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1.8-2.0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color w:val="FF0000"/>
                <w:kern w:val="0"/>
                <w:sz w:val="24"/>
                <w:szCs w:val="24"/>
              </w:rPr>
            </w:pPr>
            <w:r>
              <w:rPr>
                <w:rFonts w:hint="eastAsia" w:ascii="宋体" w:hAnsi="宋体" w:eastAsia="宋体" w:cs="宋体"/>
                <w:kern w:val="0"/>
                <w:sz w:val="24"/>
                <w:szCs w:val="24"/>
                <w:lang w:val="en-US" w:eastAsia="zh-CN"/>
              </w:rPr>
              <w:t>3层</w:t>
            </w:r>
          </w:p>
        </w:tc>
        <w:tc>
          <w:tcPr>
            <w:tcW w:w="2235" w:type="dxa"/>
            <w:shd w:val="clear" w:color="auto" w:fill="FFFFFF"/>
            <w:vAlign w:val="center"/>
          </w:tcPr>
          <w:p>
            <w:pPr>
              <w:widowControl/>
              <w:adjustRightInd w:val="0"/>
              <w:snapToGrid w:val="0"/>
              <w:jc w:val="center"/>
              <w:rPr>
                <w:rFonts w:hint="eastAsia" w:ascii="宋体" w:hAnsi="宋体" w:eastAsia="宋体" w:cs="宋体"/>
                <w:color w:val="FF0000"/>
                <w:kern w:val="0"/>
                <w:sz w:val="24"/>
                <w:szCs w:val="24"/>
              </w:rPr>
            </w:pPr>
            <w:r>
              <w:rPr>
                <w:rFonts w:hint="eastAsia" w:ascii="宋体" w:hAnsi="宋体" w:eastAsia="宋体" w:cs="宋体"/>
                <w:kern w:val="0"/>
                <w:sz w:val="24"/>
                <w:szCs w:val="24"/>
                <w:lang w:val="en-US" w:eastAsia="zh-CN"/>
              </w:rPr>
              <w:t>0.5-0.8</w:t>
            </w:r>
          </w:p>
        </w:tc>
        <w:tc>
          <w:tcPr>
            <w:tcW w:w="2460" w:type="dxa"/>
            <w:shd w:val="clear" w:color="auto" w:fill="FFFFFF"/>
            <w:vAlign w:val="center"/>
          </w:tcPr>
          <w:p>
            <w:pPr>
              <w:widowControl/>
              <w:adjustRightInd w:val="0"/>
              <w:snapToGrid w:val="0"/>
              <w:jc w:val="center"/>
              <w:rPr>
                <w:rFonts w:hint="eastAsia" w:ascii="宋体" w:hAnsi="宋体" w:eastAsia="宋体" w:cs="宋体"/>
                <w:color w:val="FF0000"/>
                <w:kern w:val="0"/>
                <w:sz w:val="24"/>
                <w:szCs w:val="24"/>
              </w:rPr>
            </w:pPr>
            <w:r>
              <w:rPr>
                <w:rFonts w:hint="eastAsia" w:ascii="宋体" w:hAnsi="宋体" w:eastAsia="宋体" w:cs="宋体"/>
                <w:kern w:val="0"/>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color w:val="FF0000"/>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color w:val="FF0000"/>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color w:val="FF0000"/>
                <w:kern w:val="0"/>
                <w:sz w:val="24"/>
                <w:szCs w:val="24"/>
              </w:rPr>
            </w:pPr>
            <w:r>
              <w:rPr>
                <w:rFonts w:hint="eastAsia" w:ascii="宋体" w:hAnsi="宋体" w:eastAsia="宋体" w:cs="宋体"/>
                <w:kern w:val="0"/>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color w:val="FF0000"/>
                <w:kern w:val="0"/>
                <w:sz w:val="24"/>
                <w:szCs w:val="24"/>
              </w:rPr>
            </w:pPr>
            <w:r>
              <w:rPr>
                <w:rFonts w:hint="eastAsia" w:ascii="宋体" w:hAnsi="宋体" w:eastAsia="宋体" w:cs="宋体"/>
                <w:kern w:val="0"/>
                <w:sz w:val="24"/>
                <w:szCs w:val="24"/>
              </w:rPr>
              <w:t>小计</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其他区域</w:t>
            </w: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教</w:t>
            </w:r>
            <w:r>
              <w:rPr>
                <w:rFonts w:hint="eastAsia" w:ascii="宋体" w:hAnsi="宋体" w:eastAsia="宋体" w:cs="宋体"/>
                <w:kern w:val="0"/>
                <w:sz w:val="24"/>
                <w:szCs w:val="24"/>
                <w:lang w:val="en-US" w:eastAsia="zh-CN"/>
              </w:rPr>
              <w:t>育处</w:t>
            </w:r>
            <w:r>
              <w:rPr>
                <w:rFonts w:hint="eastAsia" w:ascii="宋体" w:hAnsi="宋体" w:eastAsia="宋体" w:cs="宋体"/>
                <w:kern w:val="0"/>
                <w:sz w:val="24"/>
                <w:szCs w:val="24"/>
              </w:rPr>
              <w:t>五层会议室</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职工食堂</w:t>
            </w:r>
            <w:r>
              <w:rPr>
                <w:rFonts w:hint="eastAsia" w:ascii="宋体" w:hAnsi="宋体" w:eastAsia="宋体" w:cs="宋体"/>
                <w:kern w:val="0"/>
                <w:sz w:val="24"/>
                <w:szCs w:val="24"/>
                <w:lang w:val="en-US" w:eastAsia="zh-CN"/>
              </w:rPr>
              <w:t>大厅</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1.8-2.0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老干部活动中心</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highlight w:val="none"/>
                <w:shd w:val="clear" w:color="auto" w:fill="auto"/>
                <w:lang w:val="en-US" w:eastAsia="zh-CN"/>
              </w:rPr>
              <w:t>肾内科透析室一</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highlight w:val="none"/>
                <w:shd w:val="clear" w:color="auto" w:fill="auto"/>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highlight w:val="none"/>
                <w:shd w:val="clear" w:color="auto" w:fill="aut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rPr>
              <w:t>药物临床试验机构办公室</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rPr>
            </w:pPr>
            <w:r>
              <w:rPr>
                <w:rFonts w:hint="eastAsia" w:ascii="宋体" w:hAnsi="宋体" w:eastAsia="宋体" w:cs="宋体"/>
                <w:kern w:val="0"/>
                <w:sz w:val="24"/>
                <w:szCs w:val="24"/>
                <w:highlight w:val="none"/>
                <w:shd w:val="clear" w:color="auto" w:fill="auto"/>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rPr>
            </w:pPr>
            <w:r>
              <w:rPr>
                <w:rFonts w:hint="eastAsia" w:ascii="宋体" w:hAnsi="宋体" w:eastAsia="宋体" w:cs="宋体"/>
                <w:kern w:val="0"/>
                <w:sz w:val="24"/>
                <w:szCs w:val="24"/>
                <w:highlight w:val="none"/>
                <w:shd w:val="clear" w:color="auto" w:fill="auto"/>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rPr>
            </w:pPr>
            <w:r>
              <w:rPr>
                <w:rFonts w:hint="eastAsia" w:ascii="宋体" w:hAnsi="宋体" w:eastAsia="宋体" w:cs="宋体"/>
                <w:kern w:val="0"/>
                <w:sz w:val="24"/>
                <w:szCs w:val="24"/>
                <w:highlight w:val="none"/>
                <w:shd w:val="clear" w:color="auto" w:fill="auto"/>
                <w:lang w:val="en-US" w:eastAsia="zh-CN"/>
              </w:rPr>
              <w:t>0.8</w:t>
            </w:r>
            <w:r>
              <w:rPr>
                <w:rFonts w:hint="eastAsia" w:ascii="宋体" w:hAnsi="宋体" w:eastAsia="宋体" w:cs="宋体"/>
                <w:color w:val="auto"/>
                <w:kern w:val="0"/>
                <w:sz w:val="24"/>
                <w:szCs w:val="24"/>
                <w:highlight w:val="none"/>
                <w:lang w:val="en-US" w:eastAsia="zh-CN"/>
              </w:rPr>
              <w:t>-1.0</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rPr>
            </w:pPr>
            <w:r>
              <w:rPr>
                <w:rFonts w:hint="eastAsia" w:ascii="宋体" w:hAnsi="宋体" w:eastAsia="宋体" w:cs="宋体"/>
                <w:kern w:val="0"/>
                <w:sz w:val="24"/>
                <w:szCs w:val="24"/>
                <w:highlight w:val="none"/>
                <w:shd w:val="clear" w:color="auto" w:fil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rPr>
            </w:pPr>
            <w:r>
              <w:rPr>
                <w:rFonts w:hint="eastAsia" w:ascii="宋体" w:hAnsi="宋体" w:eastAsia="宋体" w:cs="宋体"/>
                <w:kern w:val="0"/>
                <w:sz w:val="24"/>
                <w:szCs w:val="24"/>
                <w:highlight w:val="none"/>
                <w:shd w:val="clear" w:color="auto" w:fill="auto"/>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1.6-1.8</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研究型病房</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restart"/>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规划建设处</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0.3</w:t>
            </w:r>
            <w:r>
              <w:rPr>
                <w:rFonts w:hint="eastAsia" w:ascii="宋体" w:hAnsi="宋体" w:eastAsia="宋体" w:cs="宋体"/>
                <w:kern w:val="0"/>
                <w:sz w:val="24"/>
                <w:szCs w:val="24"/>
                <w:highlight w:val="none"/>
                <w:lang w:val="en-US" w:eastAsia="zh-CN"/>
              </w:rPr>
              <w:t>-0.5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rPr>
              <w:t>1.2-1.5</w:t>
            </w: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highlight w:val="none"/>
                <w:shd w:val="clear" w:color="auto" w:fil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vMerge w:val="continue"/>
            <w:shd w:val="clear" w:color="auto" w:fill="FFFFFF"/>
            <w:vAlign w:val="center"/>
          </w:tcPr>
          <w:p>
            <w:pPr>
              <w:widowControl/>
              <w:adjustRightInd w:val="0"/>
              <w:snapToGrid w:val="0"/>
              <w:jc w:val="center"/>
              <w:rPr>
                <w:rFonts w:hint="eastAsia" w:ascii="宋体" w:hAnsi="宋体" w:eastAsia="宋体" w:cs="宋体"/>
                <w:kern w:val="0"/>
                <w:sz w:val="24"/>
                <w:szCs w:val="24"/>
              </w:rPr>
            </w:pP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rPr>
              <w:t>小计</w:t>
            </w: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lang w:val="en-US" w:eastAsia="zh-CN"/>
              </w:rPr>
              <w:t>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30" w:type="dxa"/>
            <w:shd w:val="clear" w:color="auto" w:fill="FFFFFF"/>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总计</w:t>
            </w:r>
          </w:p>
        </w:tc>
        <w:tc>
          <w:tcPr>
            <w:tcW w:w="303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p>
        </w:tc>
        <w:tc>
          <w:tcPr>
            <w:tcW w:w="2235"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p>
        </w:tc>
        <w:tc>
          <w:tcPr>
            <w:tcW w:w="2460" w:type="dxa"/>
            <w:shd w:val="clear" w:color="auto" w:fill="FFFFFF"/>
            <w:vAlign w:val="center"/>
          </w:tcPr>
          <w:p>
            <w:pPr>
              <w:widowControl/>
              <w:adjustRightInd w:val="0"/>
              <w:snapToGrid w:val="0"/>
              <w:jc w:val="center"/>
              <w:rPr>
                <w:rFonts w:hint="eastAsia" w:ascii="宋体" w:hAnsi="宋体" w:eastAsia="宋体" w:cs="宋体"/>
                <w:kern w:val="0"/>
                <w:sz w:val="24"/>
                <w:szCs w:val="24"/>
                <w:highlight w:val="none"/>
                <w:shd w:val="clear" w:color="auto" w:fill="auto"/>
                <w:lang w:val="en-US" w:eastAsia="zh-CN"/>
              </w:rPr>
            </w:pPr>
            <w:r>
              <w:rPr>
                <w:rFonts w:hint="eastAsia" w:ascii="宋体" w:hAnsi="宋体" w:eastAsia="宋体" w:cs="宋体"/>
                <w:kern w:val="0"/>
                <w:sz w:val="24"/>
                <w:szCs w:val="24"/>
                <w:lang w:val="en-US" w:eastAsia="zh-CN"/>
              </w:rPr>
              <w:t>730</w:t>
            </w:r>
          </w:p>
        </w:tc>
      </w:tr>
    </w:tbl>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spacing w:beforeLines="0" w:afterLines="0" w:line="360" w:lineRule="auto"/>
        <w:ind w:firstLine="480" w:firstLineChars="200"/>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3.2</w:t>
      </w:r>
      <w:r>
        <w:rPr>
          <w:rFonts w:hint="eastAsia" w:ascii="宋体" w:hAnsi="宋体" w:eastAsia="宋体" w:cs="宋体"/>
          <w:b w:val="0"/>
          <w:bCs w:val="0"/>
          <w:sz w:val="24"/>
          <w:szCs w:val="24"/>
          <w:highlight w:val="none"/>
        </w:rPr>
        <w:t>绿植摆放</w:t>
      </w:r>
      <w:r>
        <w:rPr>
          <w:rFonts w:hint="eastAsia" w:ascii="宋体" w:hAnsi="宋体" w:eastAsia="宋体" w:cs="宋体"/>
          <w:b w:val="0"/>
          <w:bCs w:val="0"/>
          <w:sz w:val="24"/>
          <w:szCs w:val="24"/>
          <w:highlight w:val="none"/>
          <w:lang w:eastAsia="zh-CN"/>
        </w:rPr>
        <w:t>明细（</w:t>
      </w:r>
      <w:r>
        <w:rPr>
          <w:rFonts w:hint="eastAsia" w:ascii="宋体" w:hAnsi="宋体" w:eastAsia="宋体" w:cs="宋体"/>
          <w:b w:val="0"/>
          <w:bCs w:val="0"/>
          <w:sz w:val="24"/>
          <w:szCs w:val="24"/>
          <w:highlight w:val="none"/>
          <w:lang w:val="en-US" w:eastAsia="zh-CN"/>
        </w:rPr>
        <w:t>常营院区</w:t>
      </w:r>
      <w:r>
        <w:rPr>
          <w:rFonts w:hint="eastAsia" w:ascii="宋体" w:hAnsi="宋体" w:eastAsia="宋体" w:cs="宋体"/>
          <w:b w:val="0"/>
          <w:bCs w:val="0"/>
          <w:sz w:val="24"/>
          <w:szCs w:val="24"/>
          <w:highlight w:val="none"/>
          <w:lang w:eastAsia="zh-CN"/>
        </w:rPr>
        <w:t>）</w:t>
      </w:r>
    </w:p>
    <w:tbl>
      <w:tblPr>
        <w:tblStyle w:val="4"/>
        <w:tblpPr w:leftFromText="180" w:rightFromText="180" w:vertAnchor="text" w:horzAnchor="page" w:tblpX="1622" w:tblpY="25"/>
        <w:tblOverlap w:val="never"/>
        <w:tblW w:w="88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150"/>
        <w:gridCol w:w="2833"/>
        <w:gridCol w:w="2083"/>
        <w:gridCol w:w="18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1" w:hRule="atLeast"/>
        </w:trPr>
        <w:tc>
          <w:tcPr>
            <w:tcW w:w="21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区域</w:t>
            </w:r>
          </w:p>
        </w:tc>
        <w:tc>
          <w:tcPr>
            <w:tcW w:w="283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位置</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 xml:space="preserve">   规格(m)</w:t>
            </w:r>
          </w:p>
        </w:tc>
        <w:tc>
          <w:tcPr>
            <w:tcW w:w="181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数量（盆）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restart"/>
            <w:tcBorders>
              <w:top w:val="single" w:color="000000" w:sz="4" w:space="0"/>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门诊楼</w:t>
            </w:r>
          </w:p>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（1号楼、5号楼）</w:t>
            </w:r>
          </w:p>
        </w:tc>
        <w:tc>
          <w:tcPr>
            <w:tcW w:w="2833" w:type="dxa"/>
            <w:vMerge w:val="restart"/>
            <w:tcBorders>
              <w:top w:val="single" w:color="000000" w:sz="4" w:space="0"/>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一层大厅</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w:t>
            </w:r>
          </w:p>
        </w:tc>
        <w:tc>
          <w:tcPr>
            <w:tcW w:w="181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0.3-0.5（开花）</w:t>
            </w:r>
          </w:p>
        </w:tc>
        <w:tc>
          <w:tcPr>
            <w:tcW w:w="181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1.2-1.5</w:t>
            </w:r>
          </w:p>
        </w:tc>
        <w:tc>
          <w:tcPr>
            <w:tcW w:w="1817" w:type="dxa"/>
            <w:tcBorders>
              <w:top w:val="single" w:color="000000" w:sz="4" w:space="0"/>
              <w:left w:val="single" w:color="000000" w:sz="4" w:space="0"/>
              <w:bottom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auto"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1817" w:type="dxa"/>
            <w:tcBorders>
              <w:top w:val="single" w:color="auto"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2.8-3.0</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3.8-4.0（盆景）</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restart"/>
            <w:tcBorders>
              <w:top w:val="single" w:color="000000" w:sz="4" w:space="0"/>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二至五层</w:t>
            </w:r>
          </w:p>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电梯间及诊区、公共区域</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1.2-1.5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restart"/>
            <w:tcBorders>
              <w:top w:val="single" w:color="000000" w:sz="4" w:space="0"/>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地下一层急诊</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0.5-0.8</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1.2-1.5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restart"/>
            <w:tcBorders>
              <w:top w:val="single" w:color="000000" w:sz="4" w:space="0"/>
              <w:left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走廊、连廊</w:t>
            </w:r>
          </w:p>
        </w:tc>
        <w:tc>
          <w:tcPr>
            <w:tcW w:w="2833" w:type="dxa"/>
            <w:vMerge w:val="restart"/>
            <w:tcBorders>
              <w:top w:val="single" w:color="000000" w:sz="4" w:space="0"/>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地下一层至五层</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1.2-1.5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1.8-2.0</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restart"/>
            <w:tcBorders>
              <w:top w:val="single" w:color="000000" w:sz="4" w:space="0"/>
              <w:left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住院二部</w:t>
            </w:r>
          </w:p>
          <w:p>
            <w:pPr>
              <w:pStyle w:val="3"/>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rPr>
              <w:t>（2号楼）</w:t>
            </w:r>
          </w:p>
        </w:tc>
        <w:tc>
          <w:tcPr>
            <w:tcW w:w="283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地下一层至十一层</w:t>
            </w:r>
          </w:p>
          <w:p>
            <w:pPr>
              <w:pStyle w:val="3"/>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rPr>
              <w:t>电梯间及公共区域</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000000" w:sz="4" w:space="0"/>
            </w:tcBorders>
            <w:vAlign w:val="center"/>
          </w:tcPr>
          <w:p>
            <w:pPr>
              <w:pStyle w:val="3"/>
              <w:rPr>
                <w:rFonts w:hint="eastAsia" w:ascii="宋体" w:hAnsi="宋体" w:eastAsia="宋体" w:cs="宋体"/>
                <w:kern w:val="0"/>
                <w:sz w:val="24"/>
                <w:szCs w:val="24"/>
                <w:lang w:val="en-US" w:eastAsia="zh-CN"/>
              </w:rPr>
            </w:pPr>
          </w:p>
        </w:tc>
        <w:tc>
          <w:tcPr>
            <w:tcW w:w="2833" w:type="dxa"/>
            <w:vMerge w:val="restart"/>
            <w:tcBorders>
              <w:top w:val="single" w:color="000000" w:sz="4" w:space="0"/>
              <w:left w:val="single" w:color="000000" w:sz="4" w:space="0"/>
              <w:right w:val="single" w:color="000000" w:sz="4" w:space="0"/>
            </w:tcBorders>
            <w:vAlign w:val="center"/>
          </w:tcPr>
          <w:p>
            <w:pPr>
              <w:pStyle w:val="3"/>
              <w:ind w:left="0" w:leftChars="0" w:firstLine="0" w:firstLineChars="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3个标准化病区</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000000" w:sz="4" w:space="0"/>
            </w:tcBorders>
            <w:vAlign w:val="center"/>
          </w:tcPr>
          <w:p>
            <w:pPr>
              <w:pStyle w:val="3"/>
              <w:rPr>
                <w:rFonts w:hint="eastAsia" w:ascii="宋体" w:hAnsi="宋体" w:eastAsia="宋体" w:cs="宋体"/>
                <w:kern w:val="0"/>
                <w:sz w:val="24"/>
                <w:szCs w:val="24"/>
                <w:lang w:val="en-US" w:eastAsia="zh-CN"/>
              </w:rPr>
            </w:pPr>
          </w:p>
        </w:tc>
        <w:tc>
          <w:tcPr>
            <w:tcW w:w="2833" w:type="dxa"/>
            <w:vMerge w:val="continue"/>
            <w:tcBorders>
              <w:left w:val="single" w:color="000000" w:sz="4" w:space="0"/>
              <w:bottom w:val="single" w:color="000000" w:sz="4" w:space="0"/>
              <w:right w:val="single" w:color="000000" w:sz="4" w:space="0"/>
            </w:tcBorders>
            <w:vAlign w:val="center"/>
          </w:tcPr>
          <w:p>
            <w:pPr>
              <w:pStyle w:val="3"/>
              <w:ind w:left="0" w:leftChars="0" w:firstLine="0" w:firstLineChars="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1.2-1.5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000000" w:sz="4" w:space="0"/>
            </w:tcBorders>
            <w:vAlign w:val="center"/>
          </w:tcPr>
          <w:p>
            <w:pPr>
              <w:pStyle w:val="3"/>
              <w:rPr>
                <w:rFonts w:hint="eastAsia" w:ascii="宋体" w:hAnsi="宋体" w:eastAsia="宋体" w:cs="宋体"/>
                <w:kern w:val="0"/>
                <w:sz w:val="24"/>
                <w:szCs w:val="24"/>
                <w:lang w:val="en-US" w:eastAsia="zh-CN"/>
              </w:rPr>
            </w:pPr>
          </w:p>
        </w:tc>
        <w:tc>
          <w:tcPr>
            <w:tcW w:w="2833" w:type="dxa"/>
            <w:vMerge w:val="restart"/>
            <w:tcBorders>
              <w:top w:val="single" w:color="000000" w:sz="4" w:space="0"/>
              <w:left w:val="single" w:color="000000" w:sz="4" w:space="0"/>
              <w:right w:val="single" w:color="000000" w:sz="4" w:space="0"/>
            </w:tcBorders>
            <w:vAlign w:val="center"/>
          </w:tcPr>
          <w:p>
            <w:pPr>
              <w:pStyle w:val="3"/>
              <w:ind w:left="0" w:leftChars="0"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特需病区</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bottom w:val="single" w:color="000000" w:sz="4" w:space="0"/>
              <w:right w:val="single" w:color="000000" w:sz="4" w:space="0"/>
            </w:tcBorders>
            <w:vAlign w:val="center"/>
          </w:tcPr>
          <w:p>
            <w:pPr>
              <w:pStyle w:val="3"/>
              <w:rPr>
                <w:rFonts w:hint="eastAsia" w:ascii="宋体" w:hAnsi="宋体" w:eastAsia="宋体" w:cs="宋体"/>
                <w:kern w:val="0"/>
                <w:sz w:val="24"/>
                <w:szCs w:val="24"/>
                <w:lang w:val="en-US" w:eastAsia="zh-CN"/>
              </w:rPr>
            </w:pPr>
          </w:p>
        </w:tc>
        <w:tc>
          <w:tcPr>
            <w:tcW w:w="2833" w:type="dxa"/>
            <w:vMerge w:val="continue"/>
            <w:tcBorders>
              <w:left w:val="single" w:color="000000" w:sz="4" w:space="0"/>
              <w:bottom w:val="single" w:color="000000" w:sz="4" w:space="0"/>
              <w:right w:val="single" w:color="000000" w:sz="4" w:space="0"/>
            </w:tcBorders>
            <w:vAlign w:val="center"/>
          </w:tcPr>
          <w:p>
            <w:pPr>
              <w:pStyle w:val="3"/>
              <w:ind w:left="0" w:leftChars="0" w:firstLine="0" w:firstLineChars="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1.2-1.5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81" w:hRule="atLeast"/>
        </w:trPr>
        <w:tc>
          <w:tcPr>
            <w:tcW w:w="2150" w:type="dxa"/>
            <w:tcBorders>
              <w:top w:val="single" w:color="000000" w:sz="4" w:space="0"/>
              <w:left w:val="single" w:color="auto" w:sz="4" w:space="0"/>
              <w:bottom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住院一部</w:t>
            </w:r>
          </w:p>
          <w:p>
            <w:pPr>
              <w:pStyle w:val="3"/>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（4号楼）</w:t>
            </w:r>
          </w:p>
        </w:tc>
        <w:tc>
          <w:tcPr>
            <w:tcW w:w="283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一层至十二层</w:t>
            </w:r>
          </w:p>
          <w:p>
            <w:pPr>
              <w:pStyle w:val="3"/>
              <w:ind w:left="0" w:leftChars="0"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电梯间及公共区域</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46" w:hRule="atLeast"/>
        </w:trPr>
        <w:tc>
          <w:tcPr>
            <w:tcW w:w="2150" w:type="dxa"/>
            <w:vMerge w:val="restart"/>
            <w:tcBorders>
              <w:top w:val="single" w:color="auto" w:sz="4" w:space="0"/>
              <w:left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科研楼</w:t>
            </w:r>
          </w:p>
          <w:p>
            <w:pPr>
              <w:pStyle w:val="3"/>
              <w:rPr>
                <w:rFonts w:hint="eastAsia" w:ascii="宋体" w:hAnsi="宋体" w:eastAsia="宋体" w:cs="宋体"/>
                <w:sz w:val="24"/>
                <w:szCs w:val="24"/>
                <w:lang w:val="en-US" w:eastAsia="zh-CN"/>
              </w:rPr>
            </w:pPr>
            <w:r>
              <w:rPr>
                <w:rFonts w:hint="eastAsia" w:ascii="宋体" w:hAnsi="宋体" w:eastAsia="宋体" w:cs="宋体"/>
                <w:kern w:val="0"/>
                <w:sz w:val="24"/>
                <w:szCs w:val="24"/>
                <w:lang w:val="en-US" w:eastAsia="zh-CN"/>
              </w:rPr>
              <w:t>（3号楼）</w:t>
            </w:r>
          </w:p>
        </w:tc>
        <w:tc>
          <w:tcPr>
            <w:tcW w:w="2833" w:type="dxa"/>
            <w:tcBorders>
              <w:top w:val="single" w:color="000000" w:sz="4" w:space="0"/>
              <w:left w:val="single" w:color="auto"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一层至十一层</w:t>
            </w:r>
          </w:p>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电梯间</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restart"/>
            <w:tcBorders>
              <w:top w:val="single" w:color="000000" w:sz="4" w:space="0"/>
              <w:left w:val="single" w:color="auto" w:sz="4" w:space="0"/>
              <w:right w:val="single" w:color="000000" w:sz="4" w:space="0"/>
            </w:tcBorders>
            <w:vAlign w:val="center"/>
          </w:tcPr>
          <w:p>
            <w:pPr>
              <w:widowControl/>
              <w:adjustRightInd w:val="0"/>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三层会议室、报告厅</w:t>
            </w: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0.3-0.5（开花）</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0.5-0.8</w:t>
            </w:r>
          </w:p>
        </w:tc>
        <w:tc>
          <w:tcPr>
            <w:tcW w:w="1817" w:type="dxa"/>
            <w:tcBorders>
              <w:top w:val="single" w:color="000000" w:sz="4" w:space="0"/>
              <w:left w:val="single" w:color="000000" w:sz="4" w:space="0"/>
              <w:bottom w:val="single" w:color="000000"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000000" w:sz="4" w:space="0"/>
              <w:left w:val="single" w:color="000000" w:sz="4" w:space="0"/>
              <w:bottom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1.2-1.5</w:t>
            </w:r>
          </w:p>
        </w:tc>
        <w:tc>
          <w:tcPr>
            <w:tcW w:w="1817" w:type="dxa"/>
            <w:tcBorders>
              <w:top w:val="single" w:color="000000" w:sz="4" w:space="0"/>
              <w:left w:val="single" w:color="000000"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auto" w:sz="4" w:space="0"/>
            </w:tcBorders>
            <w:vAlign w:val="top"/>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auto" w:sz="4" w:space="0"/>
              <w:bottom w:val="single" w:color="auto" w:sz="4" w:space="0"/>
              <w:right w:val="single" w:color="000000"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181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auto" w:sz="4" w:space="0"/>
            </w:tcBorders>
            <w:vAlign w:val="top"/>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restart"/>
            <w:tcBorders>
              <w:top w:val="single" w:color="auto" w:sz="4" w:space="0"/>
              <w:left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四层、五层办公区</w:t>
            </w:r>
          </w:p>
        </w:tc>
        <w:tc>
          <w:tcPr>
            <w:tcW w:w="208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0.3-0.5</w:t>
            </w:r>
          </w:p>
        </w:tc>
        <w:tc>
          <w:tcPr>
            <w:tcW w:w="181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vMerge w:val="continue"/>
            <w:tcBorders>
              <w:left w:val="single" w:color="auto" w:sz="4" w:space="0"/>
              <w:right w:val="single" w:color="auto" w:sz="4" w:space="0"/>
            </w:tcBorders>
            <w:vAlign w:val="top"/>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0.5-0.8 </w:t>
            </w:r>
          </w:p>
        </w:tc>
        <w:tc>
          <w:tcPr>
            <w:tcW w:w="181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1" w:hRule="atLeast"/>
        </w:trPr>
        <w:tc>
          <w:tcPr>
            <w:tcW w:w="2150" w:type="dxa"/>
            <w:vMerge w:val="continue"/>
            <w:tcBorders>
              <w:left w:val="single" w:color="auto" w:sz="4" w:space="0"/>
              <w:right w:val="single" w:color="auto" w:sz="4" w:space="0"/>
            </w:tcBorders>
            <w:vAlign w:val="top"/>
          </w:tcPr>
          <w:p>
            <w:pPr>
              <w:widowControl/>
              <w:adjustRightInd w:val="0"/>
              <w:snapToGrid w:val="0"/>
              <w:jc w:val="center"/>
              <w:rPr>
                <w:rFonts w:hint="eastAsia" w:ascii="宋体" w:hAnsi="宋体" w:eastAsia="宋体" w:cs="宋体"/>
                <w:kern w:val="0"/>
                <w:sz w:val="24"/>
                <w:szCs w:val="24"/>
                <w:lang w:val="en-US" w:eastAsia="zh-CN"/>
              </w:rPr>
            </w:pPr>
          </w:p>
        </w:tc>
        <w:tc>
          <w:tcPr>
            <w:tcW w:w="2833" w:type="dxa"/>
            <w:vMerge w:val="continue"/>
            <w:tcBorders>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1.6-1.8</w:t>
            </w:r>
          </w:p>
        </w:tc>
        <w:tc>
          <w:tcPr>
            <w:tcW w:w="181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150" w:type="dxa"/>
            <w:tcBorders>
              <w:top w:val="single" w:color="auto" w:sz="4" w:space="0"/>
              <w:left w:val="single" w:color="auto" w:sz="4" w:space="0"/>
              <w:bottom w:val="single" w:color="auto" w:sz="4" w:space="0"/>
              <w:right w:val="single" w:color="auto" w:sz="4" w:space="0"/>
            </w:tcBorders>
            <w:vAlign w:val="top"/>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合计</w:t>
            </w:r>
          </w:p>
        </w:tc>
        <w:tc>
          <w:tcPr>
            <w:tcW w:w="283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2083"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p>
        </w:tc>
        <w:tc>
          <w:tcPr>
            <w:tcW w:w="1817"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790</w:t>
            </w:r>
          </w:p>
        </w:tc>
      </w:tr>
    </w:tbl>
    <w:p>
      <w:pPr>
        <w:pStyle w:val="6"/>
        <w:ind w:left="0" w:leftChars="0" w:firstLine="0" w:firstLineChars="0"/>
        <w:rPr>
          <w:rFonts w:hint="eastAsia" w:ascii="宋体" w:hAnsi="宋体" w:eastAsia="宋体" w:cs="宋体"/>
          <w:b/>
          <w:color w:val="000000"/>
          <w:kern w:val="0"/>
          <w:sz w:val="24"/>
          <w:szCs w:val="24"/>
        </w:rPr>
      </w:pP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spacing w:beforeLines="0" w:afterLines="0" w:line="360" w:lineRule="auto"/>
        <w:ind w:firstLine="480" w:firstLineChars="200"/>
        <w:jc w:val="both"/>
        <w:rPr>
          <w:rFonts w:hint="eastAsia" w:ascii="宋体" w:hAnsi="宋体" w:eastAsia="宋体" w:cs="宋体"/>
          <w:b/>
          <w:bCs/>
          <w:color w:val="FF0000"/>
          <w:sz w:val="24"/>
          <w:szCs w:val="24"/>
          <w:highlight w:val="none"/>
        </w:rPr>
      </w:pPr>
      <w:r>
        <w:rPr>
          <w:rFonts w:hint="eastAsia" w:ascii="宋体" w:hAnsi="宋体" w:eastAsia="宋体" w:cs="宋体"/>
          <w:b w:val="0"/>
          <w:bCs w:val="0"/>
          <w:sz w:val="24"/>
          <w:szCs w:val="24"/>
          <w:highlight w:val="none"/>
          <w:lang w:val="en-US" w:eastAsia="zh-CN"/>
        </w:rPr>
        <w:t>3.3</w:t>
      </w:r>
      <w:r>
        <w:rPr>
          <w:rFonts w:hint="eastAsia" w:ascii="宋体" w:hAnsi="宋体" w:eastAsia="宋体" w:cs="宋体"/>
          <w:b w:val="0"/>
          <w:bCs w:val="0"/>
          <w:sz w:val="24"/>
          <w:szCs w:val="24"/>
          <w:highlight w:val="none"/>
        </w:rPr>
        <w:t>绿植摆放</w:t>
      </w:r>
      <w:r>
        <w:rPr>
          <w:rFonts w:hint="eastAsia" w:ascii="宋体" w:hAnsi="宋体" w:eastAsia="宋体" w:cs="宋体"/>
          <w:b w:val="0"/>
          <w:bCs w:val="0"/>
          <w:sz w:val="24"/>
          <w:szCs w:val="24"/>
          <w:highlight w:val="none"/>
          <w:lang w:eastAsia="zh-CN"/>
        </w:rPr>
        <w:t>明细（</w:t>
      </w:r>
      <w:r>
        <w:rPr>
          <w:rFonts w:hint="eastAsia" w:ascii="宋体" w:hAnsi="宋体" w:eastAsia="宋体" w:cs="宋体"/>
          <w:b w:val="0"/>
          <w:bCs w:val="0"/>
          <w:sz w:val="24"/>
          <w:szCs w:val="24"/>
          <w:highlight w:val="none"/>
          <w:lang w:val="en-US" w:eastAsia="zh-CN"/>
        </w:rPr>
        <w:t>石景山院区</w:t>
      </w:r>
      <w:r>
        <w:rPr>
          <w:rFonts w:hint="eastAsia" w:ascii="宋体" w:hAnsi="宋体" w:eastAsia="宋体" w:cs="宋体"/>
          <w:b w:val="0"/>
          <w:bCs w:val="0"/>
          <w:sz w:val="24"/>
          <w:szCs w:val="24"/>
          <w:highlight w:val="none"/>
          <w:lang w:eastAsia="zh-CN"/>
        </w:rPr>
        <w:t>）</w:t>
      </w:r>
    </w:p>
    <w:tbl>
      <w:tblPr>
        <w:tblStyle w:val="4"/>
        <w:tblW w:w="872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3"/>
        <w:gridCol w:w="3796"/>
        <w:gridCol w:w="2177"/>
        <w:gridCol w:w="1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区域</w:t>
            </w:r>
          </w:p>
        </w:tc>
        <w:tc>
          <w:tcPr>
            <w:tcW w:w="3796"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位置</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规格(m)</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数量（盆）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restart"/>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门诊</w:t>
            </w:r>
          </w:p>
        </w:tc>
        <w:tc>
          <w:tcPr>
            <w:tcW w:w="3796" w:type="dxa"/>
            <w:vMerge w:val="restart"/>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一层</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0.3-0.5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0.5-0.8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0.8-1.0</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kern w:val="0"/>
                <w:sz w:val="24"/>
                <w:szCs w:val="24"/>
                <w:highlight w:val="none"/>
                <w:lang w:val="en-US" w:eastAsia="zh-CN"/>
              </w:rPr>
              <w:t>1.5-1.6</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6-1.8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2.0-2.5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restart"/>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二层</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0.3-0.5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kern w:val="0"/>
                <w:sz w:val="24"/>
                <w:szCs w:val="24"/>
                <w:highlight w:val="none"/>
                <w:lang w:val="en-US" w:eastAsia="zh-CN"/>
              </w:rPr>
              <w:t>0.5-0.8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kern w:val="0"/>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color w:val="auto"/>
                <w:kern w:val="0"/>
                <w:sz w:val="24"/>
                <w:szCs w:val="24"/>
                <w:highlight w:val="none"/>
                <w:lang w:val="en-US" w:eastAsia="zh-CN"/>
              </w:rPr>
              <w:t>0.8-1.0</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r>
              <w:rPr>
                <w:rFonts w:hint="eastAsia" w:ascii="宋体" w:hAnsi="宋体" w:eastAsia="宋体" w:cs="宋体"/>
                <w:color w:val="auto"/>
                <w:kern w:val="0"/>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color w:val="auto"/>
                <w:kern w:val="0"/>
                <w:sz w:val="24"/>
                <w:szCs w:val="24"/>
                <w:highlight w:val="none"/>
                <w:lang w:val="en-US" w:eastAsia="zh-CN"/>
              </w:rPr>
              <w:t>1.2-1.5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r>
              <w:rPr>
                <w:rFonts w:hint="eastAsia" w:ascii="宋体" w:hAnsi="宋体" w:eastAsia="宋体" w:cs="宋体"/>
                <w:color w:val="auto"/>
                <w:kern w:val="0"/>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color w:val="auto"/>
                <w:kern w:val="0"/>
                <w:sz w:val="24"/>
                <w:szCs w:val="24"/>
                <w:highlight w:val="none"/>
                <w:lang w:val="en-US" w:eastAsia="zh-CN"/>
              </w:rPr>
              <w:t>1.6-1.8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r>
              <w:rPr>
                <w:rFonts w:hint="eastAsia" w:ascii="宋体" w:hAnsi="宋体" w:eastAsia="宋体" w:cs="宋体"/>
                <w:color w:val="auto"/>
                <w:kern w:val="0"/>
                <w:sz w:val="24"/>
                <w:szCs w:val="24"/>
                <w:highlight w:val="none"/>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ind w:firstLine="960" w:firstLineChars="400"/>
              <w:jc w:val="center"/>
              <w:rPr>
                <w:rFonts w:hint="eastAsia" w:ascii="宋体" w:hAnsi="宋体" w:eastAsia="宋体" w:cs="宋体"/>
                <w:color w:val="auto"/>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kern w:val="0"/>
                <w:sz w:val="24"/>
                <w:szCs w:val="24"/>
                <w:highlight w:val="none"/>
                <w:lang w:val="en-US" w:eastAsia="zh-CN"/>
              </w:rPr>
              <w:t>2.0-2.5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kern w:val="0"/>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bottom w:val="nil"/>
            </w:tcBorders>
            <w:shd w:val="clear" w:color="auto" w:fill="FFFFFF"/>
            <w:textDirection w:val="tbRlV"/>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restart"/>
            <w:tcBorders>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三层</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kern w:val="0"/>
                <w:sz w:val="24"/>
                <w:szCs w:val="24"/>
                <w:highlight w:val="none"/>
                <w:lang w:val="en-US" w:eastAsia="zh-CN"/>
              </w:rPr>
              <w:t>0.3-0.5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rPr>
            </w:pPr>
            <w:r>
              <w:rPr>
                <w:rFonts w:hint="eastAsia" w:ascii="宋体" w:hAnsi="宋体" w:eastAsia="宋体" w:cs="宋体"/>
                <w:kern w:val="0"/>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ind w:firstLine="1200" w:firstLineChars="500"/>
              <w:jc w:val="center"/>
              <w:rPr>
                <w:rFonts w:hint="eastAsia" w:ascii="宋体" w:hAnsi="宋体" w:eastAsia="宋体" w:cs="宋体"/>
                <w:color w:val="auto"/>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0.8-1.0</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1.2-1.5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1.6-1.8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restart"/>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四层</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0.3-0.5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tcBorders>
              <w:bottom w:val="single" w:color="auto" w:sz="4" w:space="0"/>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0.5-0.8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tcBorders>
              <w:top w:val="single" w:color="auto" w:sz="4" w:space="0"/>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0.8-1.0</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2177" w:type="dxa"/>
            <w:tcBorders>
              <w:top w:val="single" w:color="auto" w:sz="4" w:space="0"/>
            </w:tcBorders>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1.2-1.5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tcBorders>
              <w:bottom w:val="single" w:color="auto" w:sz="4" w:space="0"/>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1.6-1.8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tcBorders>
              <w:top w:val="nil"/>
              <w:bottom w:val="nil"/>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2177" w:type="dxa"/>
            <w:tcBorders>
              <w:top w:val="single" w:color="auto" w:sz="4" w:space="0"/>
            </w:tcBorders>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rPr>
            </w:pPr>
            <w:r>
              <w:rPr>
                <w:rFonts w:hint="eastAsia" w:ascii="宋体" w:hAnsi="宋体" w:eastAsia="宋体" w:cs="宋体"/>
                <w:kern w:val="0"/>
                <w:sz w:val="24"/>
                <w:szCs w:val="24"/>
                <w:highlight w:val="none"/>
                <w:lang w:val="en-US" w:eastAsia="zh-CN"/>
              </w:rPr>
              <w:t>2.0-2.5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eastAsia="zh-CN"/>
              </w:rPr>
            </w:pPr>
          </w:p>
        </w:tc>
        <w:tc>
          <w:tcPr>
            <w:tcW w:w="3796"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小计</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rPr>
            </w:pPr>
            <w:r>
              <w:rPr>
                <w:rFonts w:hint="eastAsia" w:ascii="宋体" w:hAnsi="宋体" w:eastAsia="宋体" w:cs="宋体"/>
                <w:kern w:val="0"/>
                <w:sz w:val="24"/>
                <w:szCs w:val="24"/>
                <w:highlight w:val="none"/>
                <w:lang w:val="en-US" w:eastAsia="zh-CN"/>
              </w:rPr>
              <w:t>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辅诊楼</w:t>
            </w:r>
          </w:p>
        </w:tc>
        <w:tc>
          <w:tcPr>
            <w:tcW w:w="3796"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一至五层</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0.5-0.8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sz w:val="24"/>
                <w:szCs w:val="24"/>
              </w:rPr>
            </w:pPr>
            <w:r>
              <w:rPr>
                <w:rFonts w:hint="eastAsia" w:ascii="宋体" w:hAnsi="宋体" w:eastAsia="宋体" w:cs="宋体"/>
                <w:kern w:val="0"/>
                <w:sz w:val="24"/>
                <w:szCs w:val="24"/>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住院部</w:t>
            </w:r>
          </w:p>
        </w:tc>
        <w:tc>
          <w:tcPr>
            <w:tcW w:w="3796"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一至九层电梯厅</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1.6-1.8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bidi="ar-SA"/>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restart"/>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行政楼</w:t>
            </w:r>
          </w:p>
        </w:tc>
        <w:tc>
          <w:tcPr>
            <w:tcW w:w="3796" w:type="dxa"/>
            <w:vMerge w:val="restart"/>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一至三层</w:t>
            </w:r>
          </w:p>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0.3-0.5</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0.5-0.8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0.8-1.0</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3796" w:type="dxa"/>
            <w:vMerge w:val="continue"/>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1.6-1.8</w:t>
            </w: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73"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3796"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小计</w:t>
            </w: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73"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总计</w:t>
            </w:r>
          </w:p>
        </w:tc>
        <w:tc>
          <w:tcPr>
            <w:tcW w:w="3796"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2177"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p>
        </w:tc>
        <w:tc>
          <w:tcPr>
            <w:tcW w:w="1774" w:type="dxa"/>
            <w:shd w:val="clear" w:color="auto" w:fill="FFFFFF"/>
            <w:vAlign w:val="center"/>
          </w:tcPr>
          <w:p>
            <w:pPr>
              <w:widowControl/>
              <w:adjustRightInd w:val="0"/>
              <w:snapToGrid w:val="0"/>
              <w:spacing w:line="240" w:lineRule="auto"/>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320</w:t>
            </w:r>
          </w:p>
        </w:tc>
      </w:tr>
    </w:tbl>
    <w:p>
      <w:pPr>
        <w:pStyle w:val="6"/>
        <w:ind w:firstLine="480"/>
        <w:rPr>
          <w:rFonts w:hint="eastAsia" w:ascii="宋体" w:hAnsi="宋体" w:eastAsia="宋体" w:cs="宋体"/>
          <w:b/>
          <w:color w:val="000000"/>
          <w:kern w:val="0"/>
          <w:sz w:val="24"/>
          <w:szCs w:val="24"/>
        </w:rPr>
      </w:pPr>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textAlignment w:val="auto"/>
        <w:rPr>
          <w:rFonts w:hint="eastAsia" w:ascii="宋体" w:hAnsi="宋体" w:eastAsia="宋体" w:cs="宋体"/>
          <w:b w:val="0"/>
          <w:bCs/>
          <w:color w:val="000000"/>
          <w:sz w:val="24"/>
          <w:szCs w:val="24"/>
          <w:u w:val="none"/>
        </w:rPr>
      </w:pPr>
      <w:r>
        <w:rPr>
          <w:rFonts w:hint="eastAsia" w:ascii="宋体" w:hAnsi="宋体" w:eastAsia="宋体" w:cs="宋体"/>
          <w:b w:val="0"/>
          <w:bCs/>
          <w:sz w:val="24"/>
          <w:szCs w:val="24"/>
          <w:u w:val="none"/>
          <w:lang w:val="en-US" w:eastAsia="zh-CN"/>
        </w:rPr>
        <w:t>4.</w:t>
      </w:r>
      <w:r>
        <w:rPr>
          <w:rFonts w:hint="eastAsia" w:ascii="宋体" w:hAnsi="宋体" w:eastAsia="宋体" w:cs="宋体"/>
          <w:b w:val="0"/>
          <w:bCs/>
          <w:sz w:val="24"/>
          <w:szCs w:val="24"/>
          <w:u w:val="none"/>
          <w:lang w:eastAsia="zh-CN"/>
        </w:rPr>
        <w:t>供应商</w:t>
      </w:r>
      <w:r>
        <w:rPr>
          <w:rFonts w:hint="eastAsia" w:ascii="宋体" w:hAnsi="宋体" w:eastAsia="宋体" w:cs="宋体"/>
          <w:b w:val="0"/>
          <w:bCs/>
          <w:sz w:val="24"/>
          <w:szCs w:val="24"/>
          <w:u w:val="none"/>
        </w:rPr>
        <w:t>针对本项目提供租摆装饰方案（提供每种规格的植物配置</w:t>
      </w:r>
      <w:r>
        <w:rPr>
          <w:rFonts w:hint="eastAsia" w:ascii="宋体" w:hAnsi="宋体" w:cs="宋体"/>
          <w:b w:val="0"/>
          <w:bCs/>
          <w:sz w:val="24"/>
          <w:szCs w:val="24"/>
          <w:u w:val="none"/>
          <w:lang w:val="en-US" w:eastAsia="zh-CN"/>
        </w:rPr>
        <w:t>方案，并</w:t>
      </w:r>
      <w:r>
        <w:rPr>
          <w:rFonts w:hint="eastAsia" w:ascii="宋体" w:hAnsi="宋体" w:eastAsia="宋体" w:cs="宋体"/>
          <w:b w:val="0"/>
          <w:bCs/>
          <w:sz w:val="24"/>
          <w:szCs w:val="24"/>
          <w:u w:val="none"/>
        </w:rPr>
        <w:t>详细列明植物名称及图片）</w:t>
      </w:r>
      <w:r>
        <w:rPr>
          <w:rFonts w:hint="eastAsia" w:ascii="宋体" w:hAnsi="宋体" w:eastAsia="宋体" w:cs="宋体"/>
          <w:b w:val="0"/>
          <w:bCs/>
          <w:color w:val="000000"/>
          <w:sz w:val="24"/>
          <w:szCs w:val="24"/>
          <w:u w:val="none"/>
        </w:rPr>
        <w:t>。</w:t>
      </w:r>
    </w:p>
    <w:p>
      <w:pPr>
        <w:keepNext w:val="0"/>
        <w:keepLines w:val="0"/>
        <w:pageBreakBefore w:val="0"/>
        <w:widowControl w:val="0"/>
        <w:numPr>
          <w:ilvl w:val="0"/>
          <w:numId w:val="0"/>
        </w:numPr>
        <w:kinsoku/>
        <w:wordWrap/>
        <w:overflowPunct/>
        <w:topLinePunct w:val="0"/>
        <w:autoSpaceDE/>
        <w:autoSpaceDN/>
        <w:bidi w:val="0"/>
        <w:spacing w:line="360" w:lineRule="auto"/>
        <w:ind w:leftChars="0" w:firstLine="480" w:firstLineChars="200"/>
        <w:textAlignment w:val="auto"/>
        <w:rPr>
          <w:rFonts w:hint="eastAsia" w:ascii="宋体" w:hAnsi="宋体" w:eastAsia="宋体" w:cs="宋体"/>
          <w:b w:val="0"/>
          <w:bCs/>
          <w:color w:val="000000"/>
          <w:sz w:val="24"/>
          <w:szCs w:val="24"/>
          <w:u w:val="none"/>
        </w:rPr>
      </w:pPr>
      <w:r>
        <w:rPr>
          <w:rFonts w:hint="eastAsia" w:ascii="宋体" w:hAnsi="宋体" w:eastAsia="宋体" w:cs="宋体"/>
          <w:b w:val="0"/>
          <w:bCs/>
          <w:color w:val="000000"/>
          <w:sz w:val="24"/>
          <w:szCs w:val="24"/>
          <w:u w:val="none"/>
          <w:lang w:val="en-US" w:eastAsia="zh-CN"/>
        </w:rPr>
        <w:t>5.</w:t>
      </w:r>
      <w:r>
        <w:rPr>
          <w:rFonts w:hint="eastAsia" w:ascii="宋体" w:hAnsi="宋体" w:eastAsia="宋体" w:cs="宋体"/>
          <w:b w:val="0"/>
          <w:bCs/>
          <w:color w:val="000000"/>
          <w:sz w:val="24"/>
          <w:szCs w:val="24"/>
          <w:u w:val="none"/>
          <w:lang w:eastAsia="zh-CN"/>
        </w:rPr>
        <w:t>供应商</w:t>
      </w:r>
      <w:r>
        <w:rPr>
          <w:rFonts w:hint="eastAsia" w:ascii="宋体" w:hAnsi="宋体" w:eastAsia="宋体" w:cs="宋体"/>
          <w:b w:val="0"/>
          <w:bCs/>
          <w:color w:val="000000"/>
          <w:sz w:val="24"/>
          <w:szCs w:val="24"/>
          <w:u w:val="none"/>
        </w:rPr>
        <w:t>摆放及养护标准（包括但不限于以下标准）。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5.1</w:t>
      </w:r>
      <w:r>
        <w:rPr>
          <w:rFonts w:hint="eastAsia" w:ascii="宋体" w:hAnsi="宋体" w:eastAsia="宋体" w:cs="宋体"/>
          <w:sz w:val="24"/>
          <w:szCs w:val="24"/>
        </w:rPr>
        <w:t>租摆植物应在保持正常的生长状况的原则下保证植物长势良好、植株茁壮、无枯枝干叶、无病虫害、植物面层具有光泽、叶片无尘土；</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5.2</w:t>
      </w:r>
      <w:r>
        <w:rPr>
          <w:rFonts w:hint="eastAsia" w:ascii="宋体" w:hAnsi="宋体" w:eastAsia="宋体" w:cs="宋体"/>
          <w:sz w:val="24"/>
          <w:szCs w:val="24"/>
        </w:rPr>
        <w:t>固定摆放的植物应根据其生长按时补充养份；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5.3</w:t>
      </w:r>
      <w:r>
        <w:rPr>
          <w:rFonts w:hint="eastAsia" w:ascii="宋体" w:hAnsi="宋体" w:eastAsia="宋体" w:cs="宋体"/>
          <w:sz w:val="24"/>
          <w:szCs w:val="24"/>
        </w:rPr>
        <w:t>应保持美观、清洁，与医院风格统一协调；</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5.4</w:t>
      </w:r>
      <w:r>
        <w:rPr>
          <w:rFonts w:hint="eastAsia" w:ascii="宋体" w:hAnsi="宋体" w:eastAsia="宋体" w:cs="宋体"/>
          <w:sz w:val="24"/>
          <w:szCs w:val="24"/>
        </w:rPr>
        <w:t>绿植套筒应根据项目要求统一定制，并保证托盘统一、干净整洁。</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5.5</w:t>
      </w:r>
      <w:r>
        <w:rPr>
          <w:rFonts w:hint="eastAsia" w:ascii="宋体" w:hAnsi="宋体" w:eastAsia="宋体" w:cs="宋体"/>
          <w:sz w:val="24"/>
          <w:szCs w:val="24"/>
        </w:rPr>
        <w:t>更换频率要求：公共区域及外围规定</w:t>
      </w:r>
      <w:r>
        <w:rPr>
          <w:rFonts w:hint="eastAsia" w:ascii="宋体" w:hAnsi="宋体" w:cs="宋体"/>
          <w:sz w:val="24"/>
          <w:szCs w:val="24"/>
          <w:lang w:val="en-US" w:eastAsia="zh-CN"/>
        </w:rPr>
        <w:t>最迟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30</w:t>
      </w:r>
      <w:r>
        <w:rPr>
          <w:rFonts w:hint="eastAsia" w:ascii="宋体" w:hAnsi="宋体" w:eastAsia="宋体" w:cs="宋体"/>
          <w:b/>
          <w:sz w:val="24"/>
          <w:szCs w:val="24"/>
          <w:u w:val="single"/>
        </w:rPr>
        <w:t xml:space="preserve"> </w:t>
      </w:r>
      <w:r>
        <w:rPr>
          <w:rFonts w:hint="eastAsia" w:ascii="宋体" w:hAnsi="宋体" w:eastAsia="宋体" w:cs="宋体"/>
          <w:sz w:val="24"/>
          <w:szCs w:val="24"/>
        </w:rPr>
        <w:t>天调换一次，其他区域规定</w:t>
      </w:r>
      <w:r>
        <w:rPr>
          <w:rFonts w:hint="eastAsia" w:ascii="宋体" w:hAnsi="宋体" w:cs="宋体"/>
          <w:sz w:val="24"/>
          <w:szCs w:val="24"/>
          <w:lang w:val="en-US" w:eastAsia="zh-CN"/>
        </w:rPr>
        <w:t>最迟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single"/>
        </w:rPr>
        <w:t>0</w:t>
      </w:r>
      <w:r>
        <w:rPr>
          <w:rFonts w:hint="eastAsia" w:ascii="宋体" w:hAnsi="宋体" w:eastAsia="宋体" w:cs="宋体"/>
          <w:b/>
          <w:sz w:val="24"/>
          <w:szCs w:val="24"/>
          <w:u w:val="single"/>
        </w:rPr>
        <w:t xml:space="preserve"> </w:t>
      </w:r>
      <w:r>
        <w:rPr>
          <w:rFonts w:hint="eastAsia" w:ascii="宋体" w:hAnsi="宋体" w:eastAsia="宋体" w:cs="宋体"/>
          <w:sz w:val="24"/>
          <w:szCs w:val="24"/>
        </w:rPr>
        <w:t>天调换一次（可根据具体季节予以调整，由15日至60日为限）；</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5.6</w:t>
      </w:r>
      <w:r>
        <w:rPr>
          <w:rFonts w:hint="eastAsia" w:ascii="宋体" w:hAnsi="宋体" w:eastAsia="宋体" w:cs="宋体"/>
          <w:sz w:val="24"/>
          <w:szCs w:val="24"/>
        </w:rPr>
        <w:t>装饰性饰物的更换频率要求：根据装饰方案具体确认；</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5.7</w:t>
      </w:r>
      <w:r>
        <w:rPr>
          <w:rFonts w:hint="eastAsia" w:ascii="宋体" w:hAnsi="宋体" w:eastAsia="宋体" w:cs="宋体"/>
          <w:sz w:val="24"/>
          <w:szCs w:val="24"/>
        </w:rPr>
        <w:t>每次调换的植物质量标准必须达到要求，并根据</w:t>
      </w:r>
      <w:r>
        <w:rPr>
          <w:rFonts w:hint="eastAsia" w:ascii="宋体" w:hAnsi="宋体" w:cs="宋体"/>
          <w:sz w:val="24"/>
          <w:szCs w:val="24"/>
          <w:lang w:val="en-US" w:eastAsia="zh-CN"/>
        </w:rPr>
        <w:t>采购人</w:t>
      </w:r>
      <w:r>
        <w:rPr>
          <w:rFonts w:hint="eastAsia" w:ascii="宋体" w:hAnsi="宋体" w:eastAsia="宋体" w:cs="宋体"/>
          <w:sz w:val="24"/>
          <w:szCs w:val="24"/>
        </w:rPr>
        <w:t>的要求适时更换植物的品种；</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5.8</w:t>
      </w:r>
      <w:r>
        <w:rPr>
          <w:rFonts w:hint="eastAsia" w:ascii="宋体" w:hAnsi="宋体" w:eastAsia="宋体" w:cs="宋体"/>
          <w:sz w:val="24"/>
          <w:szCs w:val="24"/>
          <w:lang w:eastAsia="zh-CN"/>
        </w:rPr>
        <w:t>供应商</w:t>
      </w:r>
      <w:r>
        <w:rPr>
          <w:rFonts w:hint="eastAsia" w:ascii="宋体" w:hAnsi="宋体" w:eastAsia="宋体" w:cs="宋体"/>
          <w:sz w:val="24"/>
          <w:szCs w:val="24"/>
        </w:rPr>
        <w:t>针对</w:t>
      </w:r>
      <w:r>
        <w:rPr>
          <w:rFonts w:hint="eastAsia" w:ascii="宋体" w:hAnsi="宋体" w:eastAsia="宋体" w:cs="宋体"/>
          <w:sz w:val="24"/>
          <w:szCs w:val="24"/>
          <w:lang w:eastAsia="zh-CN"/>
        </w:rPr>
        <w:t>采购商</w:t>
      </w:r>
      <w:r>
        <w:rPr>
          <w:rFonts w:hint="eastAsia" w:ascii="宋体" w:hAnsi="宋体" w:eastAsia="宋体" w:cs="宋体"/>
          <w:sz w:val="24"/>
          <w:szCs w:val="24"/>
        </w:rPr>
        <w:t>特殊需求、节假日等情况</w:t>
      </w:r>
      <w:r>
        <w:rPr>
          <w:rFonts w:hint="eastAsia" w:ascii="宋体" w:hAnsi="宋体" w:eastAsia="宋体" w:cs="宋体"/>
          <w:sz w:val="24"/>
          <w:szCs w:val="24"/>
          <w:lang w:eastAsia="zh-CN"/>
        </w:rPr>
        <w:t>制定</w:t>
      </w:r>
      <w:r>
        <w:rPr>
          <w:rFonts w:hint="eastAsia" w:ascii="宋体" w:hAnsi="宋体" w:eastAsia="宋体" w:cs="宋体"/>
          <w:sz w:val="24"/>
          <w:szCs w:val="24"/>
        </w:rPr>
        <w:t>应急方案。</w:t>
      </w:r>
    </w:p>
    <w:p>
      <w:pPr>
        <w:pStyle w:val="6"/>
        <w:numPr>
          <w:ilvl w:val="0"/>
          <w:numId w:val="1"/>
        </w:numPr>
        <w:spacing w:line="360" w:lineRule="auto"/>
        <w:contextualSpacing/>
        <w:jc w:val="left"/>
        <w:rPr>
          <w:rFonts w:hint="eastAsia" w:asciiTheme="minorEastAsia" w:hAnsiTheme="minorEastAsia" w:eastAsiaTheme="minorEastAsia"/>
          <w:bCs/>
          <w:sz w:val="24"/>
          <w:highlight w:val="none"/>
          <w:lang w:val="en-US" w:eastAsia="zh-CN"/>
        </w:rPr>
      </w:pPr>
      <w:r>
        <w:rPr>
          <w:rFonts w:hint="eastAsia" w:asciiTheme="minorEastAsia" w:hAnsiTheme="minorEastAsia" w:eastAsiaTheme="minorEastAsia"/>
          <w:bCs/>
          <w:sz w:val="24"/>
          <w:highlight w:val="none"/>
          <w:lang w:val="en-US" w:eastAsia="zh-CN"/>
        </w:rPr>
        <w:t>其他要求：</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left"/>
        <w:textAlignment w:val="auto"/>
        <w:rPr>
          <w:rFonts w:hint="default" w:asciiTheme="minorEastAsia" w:hAnsiTheme="minorEastAsia" w:eastAsiaTheme="minorEastAsia"/>
          <w:bCs/>
          <w:sz w:val="24"/>
          <w:highlight w:val="none"/>
          <w:lang w:val="en-US" w:eastAsia="zh-CN"/>
        </w:rPr>
      </w:pPr>
      <w:r>
        <w:rPr>
          <w:rFonts w:hint="default" w:asciiTheme="minorEastAsia" w:hAnsiTheme="minorEastAsia" w:eastAsiaTheme="minorEastAsia"/>
          <w:bCs/>
          <w:sz w:val="24"/>
          <w:highlight w:val="none"/>
          <w:lang w:val="en-US" w:eastAsia="zh-CN"/>
        </w:rPr>
        <w:t>采购</w:t>
      </w:r>
      <w:r>
        <w:rPr>
          <w:rFonts w:hint="eastAsia" w:asciiTheme="minorEastAsia" w:hAnsiTheme="minorEastAsia" w:eastAsiaTheme="minorEastAsia"/>
          <w:bCs/>
          <w:sz w:val="24"/>
          <w:highlight w:val="none"/>
          <w:lang w:val="en-US" w:eastAsia="zh-CN"/>
        </w:rPr>
        <w:t>人</w:t>
      </w:r>
      <w:r>
        <w:rPr>
          <w:rFonts w:hint="default" w:asciiTheme="minorEastAsia" w:hAnsiTheme="minorEastAsia" w:eastAsiaTheme="minorEastAsia"/>
          <w:bCs/>
          <w:sz w:val="24"/>
          <w:highlight w:val="none"/>
          <w:lang w:val="en-US" w:eastAsia="zh-CN"/>
        </w:rPr>
        <w:t>是根据中华人民共和国法律依法成立的非营利性医疗机构，</w:t>
      </w:r>
      <w:r>
        <w:rPr>
          <w:rFonts w:hint="eastAsia" w:asciiTheme="minorEastAsia" w:hAnsiTheme="minorEastAsia" w:eastAsiaTheme="minorEastAsia"/>
          <w:bCs/>
          <w:sz w:val="24"/>
          <w:highlight w:val="none"/>
          <w:lang w:val="en-US" w:eastAsia="zh-CN"/>
        </w:rPr>
        <w:t>采购</w:t>
      </w:r>
      <w:r>
        <w:rPr>
          <w:rFonts w:hint="default" w:asciiTheme="minorEastAsia" w:hAnsiTheme="minorEastAsia" w:eastAsiaTheme="minorEastAsia"/>
          <w:bCs/>
          <w:sz w:val="24"/>
          <w:highlight w:val="none"/>
          <w:lang w:val="en-US" w:eastAsia="zh-CN"/>
        </w:rPr>
        <w:t>目的包括但不限于采购商向供应商租摆绿植，供应商负责该租摆绿植的养护工作，同时供应商保证其提供的绿植鲜活、健康、茂盛，并保持较好的观赏效果，满足采购商医疗、生产、工作的要求。</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left"/>
        <w:textAlignment w:val="auto"/>
        <w:rPr>
          <w:rFonts w:hint="default" w:asciiTheme="minorEastAsia" w:hAnsiTheme="minorEastAsia" w:eastAsiaTheme="minorEastAsia"/>
          <w:bCs/>
          <w:sz w:val="24"/>
          <w:highlight w:val="none"/>
          <w:lang w:val="en-US" w:eastAsia="zh-CN"/>
        </w:rPr>
      </w:pPr>
    </w:p>
    <w:p>
      <w:pPr>
        <w:spacing w:line="360" w:lineRule="auto"/>
        <w:ind w:firstLine="720" w:firstLineChars="200"/>
        <w:jc w:val="left"/>
        <w:rPr>
          <w:sz w:val="36"/>
          <w:szCs w:val="36"/>
        </w:rPr>
      </w:pPr>
      <w:r>
        <w:rPr>
          <w:sz w:val="36"/>
          <w:szCs w:val="36"/>
        </w:rPr>
        <w:br w:type="page"/>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2BCB02"/>
    <w:multiLevelType w:val="singleLevel"/>
    <w:tmpl w:val="182BCB02"/>
    <w:lvl w:ilvl="0" w:tentative="0">
      <w:start w:val="6"/>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wZGE1MDQxZjI0MTBlMTY3ZGU0MzI3NzJmNmRmOTQifQ=="/>
  </w:docVars>
  <w:rsids>
    <w:rsidRoot w:val="00000000"/>
    <w:rsid w:val="677D2D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index 4"/>
    <w:basedOn w:val="1"/>
    <w:next w:val="1"/>
    <w:unhideWhenUsed/>
    <w:qFormat/>
    <w:uiPriority w:val="99"/>
    <w:pPr>
      <w:spacing w:before="100" w:beforeAutospacing="1" w:after="100" w:afterAutospacing="1"/>
      <w:ind w:left="600" w:leftChars="600"/>
    </w:pPr>
  </w:style>
  <w:style w:type="paragraph" w:styleId="3">
    <w:name w:val="Normal Indent"/>
    <w:basedOn w:val="1"/>
    <w:qFormat/>
    <w:uiPriority w:val="0"/>
    <w:pPr>
      <w:autoSpaceDE w:val="0"/>
      <w:autoSpaceDN w:val="0"/>
      <w:adjustRightInd w:val="0"/>
      <w:ind w:firstLine="420"/>
      <w:jc w:val="left"/>
    </w:pPr>
    <w:rPr>
      <w:rFonts w:ascii="宋体"/>
      <w:sz w:val="24"/>
    </w:rPr>
  </w:style>
  <w:style w:type="paragraph" w:customStyle="1" w:styleId="6">
    <w:name w:val="列出段落1"/>
    <w:basedOn w:val="1"/>
    <w:autoRedefine/>
    <w:qFormat/>
    <w:uiPriority w:val="34"/>
    <w:pPr>
      <w:ind w:firstLine="420" w:firstLineChars="200"/>
    </w:pPr>
    <w:rPr>
      <w:rFonts w:ascii="Calibri" w:hAnsi="Calibri"/>
      <w:szCs w:val="22"/>
    </w:rPr>
  </w:style>
  <w:style w:type="paragraph" w:customStyle="1" w:styleId="7">
    <w:name w:val="List Paragraph"/>
    <w:basedOn w:val="1"/>
    <w:autoRedefine/>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2024-04-09T09:25:05Z</dcterms:created>
  <dc:creator>zxhd</dc:creator>
  <cp:lastModifiedBy>WYJ</cp:lastModifiedBy>
  <dcterms:modified xsi:type="dcterms:W3CDTF">2024-04-09T09:25:26Z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DD0661F9D04D438EBC31DED319A8975B_12</vt:lpwstr>
  </property>
</Properties>
</file>