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4DBC7F">
      <w:pPr>
        <w:tabs>
          <w:tab w:val="left" w:pos="4800"/>
        </w:tabs>
        <w:spacing w:before="57" w:line="224" w:lineRule="auto"/>
        <w:ind w:left="3737"/>
        <w:rPr>
          <w:rFonts w:ascii="宋体" w:hAnsi="宋体" w:eastAsia="宋体" w:cs="宋体"/>
          <w:color w:val="auto"/>
          <w:spacing w:val="11"/>
          <w:sz w:val="28"/>
          <w:szCs w:val="28"/>
        </w:rPr>
      </w:pPr>
      <w:r>
        <w:rPr>
          <w:rFonts w:ascii="宋体" w:hAnsi="宋体" w:eastAsia="宋体" w:cs="宋体"/>
          <w:color w:val="auto"/>
          <w:spacing w:val="11"/>
          <w:sz w:val="28"/>
          <w:szCs w:val="28"/>
        </w:rPr>
        <w:tab/>
      </w:r>
    </w:p>
    <w:p w14:paraId="24EE1200">
      <w:pPr>
        <w:numPr>
          <w:ilvl w:val="0"/>
          <w:numId w:val="1"/>
        </w:numPr>
        <w:spacing w:before="57" w:line="224" w:lineRule="auto"/>
        <w:ind w:left="3737"/>
        <w:rPr>
          <w:rFonts w:ascii="宋体" w:hAnsi="宋体" w:eastAsia="宋体" w:cs="宋体"/>
          <w:color w:val="auto"/>
          <w:spacing w:val="11"/>
          <w:sz w:val="28"/>
          <w:szCs w:val="28"/>
          <w:lang w:eastAsia="zh-CN"/>
        </w:rPr>
      </w:pPr>
      <w:r>
        <w:rPr>
          <w:rFonts w:ascii="宋体" w:hAnsi="宋体" w:eastAsia="宋体" w:cs="宋体"/>
          <w:color w:val="auto"/>
          <w:spacing w:val="11"/>
          <w:sz w:val="28"/>
          <w:szCs w:val="28"/>
        </w:rPr>
        <w:t>竞争性谈判</w:t>
      </w:r>
      <w:r>
        <w:rPr>
          <w:rFonts w:hint="eastAsia" w:ascii="宋体" w:hAnsi="宋体" w:eastAsia="宋体" w:cs="宋体"/>
          <w:color w:val="auto"/>
          <w:spacing w:val="11"/>
          <w:sz w:val="28"/>
          <w:szCs w:val="28"/>
          <w:lang w:eastAsia="zh-CN"/>
        </w:rPr>
        <w:t>公告</w:t>
      </w:r>
    </w:p>
    <w:p w14:paraId="4D96E9CF">
      <w:pPr>
        <w:spacing w:before="57" w:line="224" w:lineRule="auto"/>
        <w:rPr>
          <w:rFonts w:ascii="宋体" w:hAnsi="宋体" w:eastAsia="宋体" w:cs="宋体"/>
          <w:color w:val="auto"/>
          <w:spacing w:val="11"/>
          <w:sz w:val="28"/>
          <w:szCs w:val="28"/>
          <w:lang w:eastAsia="zh-CN"/>
        </w:rPr>
      </w:pPr>
    </w:p>
    <w:p w14:paraId="50FF0B9B">
      <w:pPr>
        <w:spacing w:before="187" w:line="221" w:lineRule="auto"/>
        <w:ind w:left="8" w:right="25" w:firstLine="732" w:firstLineChars="300"/>
        <w:rPr>
          <w:rFonts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黑龙江省锦融工程项目管理有限责任公司</w:t>
      </w:r>
      <w:r>
        <w:rPr>
          <w:rFonts w:ascii="宋体" w:hAnsi="宋体" w:eastAsia="宋体" w:cs="宋体"/>
          <w:color w:val="auto"/>
          <w:spacing w:val="2"/>
          <w:sz w:val="24"/>
          <w:szCs w:val="24"/>
          <w:lang w:eastAsia="zh-CN"/>
        </w:rPr>
        <w:t>受</w:t>
      </w:r>
      <w:r>
        <w:rPr>
          <w:rFonts w:hint="eastAsia" w:ascii="宋体" w:hAnsi="宋体" w:eastAsia="宋体" w:cs="宋体"/>
          <w:color w:val="auto"/>
          <w:spacing w:val="2"/>
          <w:sz w:val="24"/>
          <w:szCs w:val="24"/>
          <w:lang w:eastAsia="zh-CN"/>
        </w:rPr>
        <w:t>黑河市职业技术教育中心学校</w:t>
      </w:r>
      <w:r>
        <w:rPr>
          <w:rFonts w:ascii="宋体" w:hAnsi="宋体" w:eastAsia="宋体" w:cs="宋体"/>
          <w:color w:val="auto"/>
          <w:spacing w:val="2"/>
          <w:sz w:val="24"/>
          <w:szCs w:val="24"/>
          <w:lang w:eastAsia="zh-CN"/>
        </w:rPr>
        <w:t>委托，依据《政府采购法》及</w:t>
      </w:r>
      <w:r>
        <w:rPr>
          <w:rFonts w:ascii="宋体" w:hAnsi="宋体" w:eastAsia="宋体" w:cs="宋体"/>
          <w:color w:val="auto"/>
          <w:spacing w:val="1"/>
          <w:sz w:val="24"/>
          <w:szCs w:val="24"/>
          <w:lang w:eastAsia="zh-CN"/>
        </w:rPr>
        <w:t>相关法规，对</w:t>
      </w:r>
      <w:r>
        <w:rPr>
          <w:rFonts w:hint="eastAsia" w:ascii="宋体" w:hAnsi="宋体" w:eastAsia="宋体" w:cs="宋体"/>
          <w:color w:val="auto"/>
          <w:spacing w:val="4"/>
          <w:sz w:val="24"/>
          <w:szCs w:val="24"/>
          <w:lang w:eastAsia="zh-CN"/>
        </w:rPr>
        <w:t>黑河市职业技术教育中心学校VR思政（党建）教学实践中心设备购置项目</w:t>
      </w:r>
      <w:r>
        <w:rPr>
          <w:rFonts w:ascii="宋体" w:hAnsi="宋体" w:eastAsia="宋体" w:cs="宋体"/>
          <w:color w:val="auto"/>
          <w:spacing w:val="2"/>
          <w:sz w:val="24"/>
          <w:szCs w:val="24"/>
          <w:lang w:eastAsia="zh-CN"/>
        </w:rPr>
        <w:t>采购及服务进行国内竞争性谈判，现欢迎</w:t>
      </w:r>
      <w:r>
        <w:rPr>
          <w:rFonts w:ascii="宋体" w:hAnsi="宋体" w:eastAsia="宋体" w:cs="宋体"/>
          <w:color w:val="auto"/>
          <w:spacing w:val="1"/>
          <w:sz w:val="24"/>
          <w:szCs w:val="24"/>
          <w:lang w:eastAsia="zh-CN"/>
        </w:rPr>
        <w:t>国内合格供应商前来参加。</w:t>
      </w:r>
    </w:p>
    <w:p w14:paraId="1AC439BA">
      <w:pPr>
        <w:numPr>
          <w:ilvl w:val="0"/>
          <w:numId w:val="2"/>
        </w:numPr>
        <w:spacing w:before="192" w:line="221" w:lineRule="auto"/>
        <w:ind w:left="4"/>
        <w:rPr>
          <w:rFonts w:hint="eastAsia"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项目名称：</w:t>
      </w:r>
      <w:r>
        <w:rPr>
          <w:rFonts w:ascii="宋体" w:hAnsi="宋体" w:eastAsia="宋体" w:cs="宋体"/>
          <w:color w:val="auto"/>
          <w:spacing w:val="-48"/>
          <w:sz w:val="24"/>
          <w:szCs w:val="24"/>
          <w:lang w:eastAsia="zh-CN"/>
        </w:rPr>
        <w:t xml:space="preserve"> </w:t>
      </w:r>
      <w:r>
        <w:rPr>
          <w:rFonts w:hint="eastAsia" w:ascii="宋体" w:hAnsi="宋体" w:eastAsia="宋体" w:cs="宋体"/>
          <w:color w:val="auto"/>
          <w:spacing w:val="4"/>
          <w:sz w:val="24"/>
          <w:szCs w:val="24"/>
          <w:lang w:eastAsia="zh-CN"/>
        </w:rPr>
        <w:t>黑河市职业技术教育中心学校VR思政（党建）教学实践中心</w:t>
      </w:r>
    </w:p>
    <w:p w14:paraId="1002EA7C">
      <w:pPr>
        <w:numPr>
          <w:ilvl w:val="0"/>
          <w:numId w:val="0"/>
        </w:numPr>
        <w:spacing w:before="192" w:line="221" w:lineRule="auto"/>
        <w:ind w:firstLine="1736" w:firstLineChars="700"/>
        <w:rPr>
          <w:rFonts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设备购置项目</w:t>
      </w:r>
    </w:p>
    <w:p w14:paraId="48E120F2">
      <w:pPr>
        <w:spacing w:before="193" w:line="420" w:lineRule="exact"/>
        <w:ind w:left="4"/>
        <w:rPr>
          <w:rFonts w:hint="default" w:ascii="Lucida Sans Unicode" w:hAnsi="Lucida Sans Unicode" w:eastAsia="Lucida Sans Unicode" w:cs="Lucida Sans Unicode"/>
          <w:color w:val="auto"/>
          <w:sz w:val="24"/>
          <w:szCs w:val="24"/>
          <w:lang w:val="en-US" w:eastAsia="zh-CN"/>
        </w:rPr>
      </w:pPr>
      <w:r>
        <w:rPr>
          <w:rFonts w:ascii="宋体" w:hAnsi="宋体" w:eastAsia="宋体" w:cs="宋体"/>
          <w:color w:val="auto"/>
          <w:spacing w:val="1"/>
          <w:position w:val="18"/>
          <w:sz w:val="24"/>
          <w:szCs w:val="24"/>
          <w:lang w:eastAsia="zh-CN"/>
        </w:rPr>
        <w:t>二、项目编号：</w:t>
      </w:r>
      <w:r>
        <w:rPr>
          <w:rFonts w:hint="eastAsia" w:ascii="宋体" w:hAnsi="宋体" w:eastAsia="宋体" w:cs="宋体"/>
          <w:color w:val="auto"/>
          <w:spacing w:val="1"/>
          <w:position w:val="18"/>
          <w:sz w:val="24"/>
          <w:szCs w:val="24"/>
          <w:lang w:eastAsia="zh-CN"/>
        </w:rPr>
        <w:t>H</w:t>
      </w:r>
      <w:r>
        <w:rPr>
          <w:rFonts w:ascii="宋体" w:hAnsi="宋体" w:eastAsia="宋体" w:cs="宋体"/>
          <w:color w:val="auto"/>
          <w:spacing w:val="1"/>
          <w:position w:val="18"/>
          <w:sz w:val="24"/>
          <w:szCs w:val="24"/>
          <w:lang w:eastAsia="zh-CN"/>
        </w:rPr>
        <w:t>JRZ-20240</w:t>
      </w:r>
      <w:r>
        <w:rPr>
          <w:rFonts w:hint="eastAsia" w:ascii="宋体" w:hAnsi="宋体" w:eastAsia="宋体" w:cs="宋体"/>
          <w:color w:val="auto"/>
          <w:spacing w:val="1"/>
          <w:position w:val="18"/>
          <w:sz w:val="24"/>
          <w:szCs w:val="24"/>
          <w:lang w:val="en-US" w:eastAsia="zh-CN"/>
        </w:rPr>
        <w:t>58</w:t>
      </w:r>
    </w:p>
    <w:p w14:paraId="039A2592">
      <w:pPr>
        <w:spacing w:before="1" w:line="201" w:lineRule="auto"/>
        <w:ind w:left="1"/>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三、预算金额：</w:t>
      </w:r>
      <w:r>
        <w:rPr>
          <w:rFonts w:hint="eastAsia" w:ascii="宋体" w:hAnsi="宋体" w:eastAsia="宋体" w:cs="宋体"/>
          <w:color w:val="auto"/>
          <w:spacing w:val="2"/>
          <w:sz w:val="24"/>
          <w:szCs w:val="24"/>
          <w:lang w:val="en-US" w:eastAsia="zh-CN"/>
        </w:rPr>
        <w:t>490</w:t>
      </w: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lang w:eastAsia="zh-CN"/>
        </w:rPr>
        <w:t>0</w:t>
      </w:r>
      <w:r>
        <w:rPr>
          <w:rFonts w:hint="eastAsia" w:ascii="宋体" w:hAnsi="宋体" w:eastAsia="宋体" w:cs="宋体"/>
          <w:color w:val="auto"/>
          <w:spacing w:val="2"/>
          <w:sz w:val="24"/>
          <w:szCs w:val="24"/>
          <w:lang w:eastAsia="zh-CN"/>
        </w:rPr>
        <w:t>00.00元</w:t>
      </w:r>
    </w:p>
    <w:p w14:paraId="384B5FCF">
      <w:pPr>
        <w:spacing w:before="174" w:line="221" w:lineRule="auto"/>
        <w:rPr>
          <w:rFonts w:ascii="宋体" w:hAnsi="宋体" w:eastAsia="宋体" w:cs="宋体"/>
          <w:color w:val="auto"/>
          <w:spacing w:val="7"/>
          <w:sz w:val="24"/>
          <w:szCs w:val="24"/>
          <w:lang w:eastAsia="zh-CN"/>
        </w:rPr>
      </w:pPr>
      <w:r>
        <w:rPr>
          <w:rFonts w:ascii="宋体" w:hAnsi="宋体" w:eastAsia="宋体" w:cs="宋体"/>
          <w:color w:val="auto"/>
          <w:spacing w:val="7"/>
          <w:sz w:val="24"/>
          <w:szCs w:val="24"/>
          <w:lang w:eastAsia="zh-CN"/>
        </w:rPr>
        <w:t>四、谈判内容</w:t>
      </w:r>
    </w:p>
    <w:tbl>
      <w:tblPr>
        <w:tblStyle w:val="8"/>
        <w:tblW w:w="100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434"/>
        <w:gridCol w:w="6481"/>
        <w:gridCol w:w="600"/>
        <w:gridCol w:w="960"/>
        <w:gridCol w:w="1167"/>
      </w:tblGrid>
      <w:tr w14:paraId="3FF85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1CDAB97C">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序号</w:t>
            </w:r>
          </w:p>
        </w:tc>
        <w:tc>
          <w:tcPr>
            <w:tcW w:w="434" w:type="dxa"/>
          </w:tcPr>
          <w:p w14:paraId="222CC449">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名称</w:t>
            </w:r>
          </w:p>
        </w:tc>
        <w:tc>
          <w:tcPr>
            <w:tcW w:w="6481" w:type="dxa"/>
          </w:tcPr>
          <w:p w14:paraId="1A2FD20B">
            <w:pPr>
              <w:widowControl w:val="0"/>
              <w:spacing w:line="276" w:lineRule="auto"/>
              <w:jc w:val="center"/>
              <w:rPr>
                <w:rFonts w:hint="eastAsia" w:asciiTheme="minorEastAsia" w:hAnsiTheme="minorEastAsia" w:eastAsiaTheme="minorEastAsia"/>
                <w:b/>
                <w:bCs/>
                <w:sz w:val="21"/>
                <w:szCs w:val="21"/>
              </w:rPr>
            </w:pPr>
            <w:r>
              <w:rPr>
                <w:rFonts w:hint="eastAsia" w:cs="微软雅黑" w:asciiTheme="minorEastAsia" w:hAnsiTheme="minorEastAsia" w:eastAsiaTheme="minorEastAsia"/>
                <w:b/>
                <w:bCs/>
                <w:color w:val="000000" w:themeColor="text1"/>
                <w:sz w:val="21"/>
                <w:szCs w:val="21"/>
                <w14:textFill>
                  <w14:solidFill>
                    <w14:schemeClr w14:val="tx1"/>
                  </w14:solidFill>
                </w14:textFill>
              </w:rPr>
              <w:t>技术配置参数</w:t>
            </w:r>
          </w:p>
        </w:tc>
        <w:tc>
          <w:tcPr>
            <w:tcW w:w="600" w:type="dxa"/>
          </w:tcPr>
          <w:p w14:paraId="1C5D075E">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数量</w:t>
            </w:r>
          </w:p>
        </w:tc>
        <w:tc>
          <w:tcPr>
            <w:tcW w:w="960" w:type="dxa"/>
          </w:tcPr>
          <w:p w14:paraId="3715B29F">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单价</w:t>
            </w:r>
          </w:p>
        </w:tc>
        <w:tc>
          <w:tcPr>
            <w:tcW w:w="1167" w:type="dxa"/>
          </w:tcPr>
          <w:p w14:paraId="3A1A3D8F">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总价</w:t>
            </w:r>
          </w:p>
        </w:tc>
      </w:tr>
      <w:tr w14:paraId="35D8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277F65E3">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w:t>
            </w:r>
          </w:p>
        </w:tc>
        <w:tc>
          <w:tcPr>
            <w:tcW w:w="434" w:type="dxa"/>
          </w:tcPr>
          <w:p w14:paraId="2E76B1C8">
            <w:pPr>
              <w:widowControl w:val="0"/>
              <w:spacing w:line="276" w:lineRule="auto"/>
              <w:jc w:val="center"/>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VR党建智慧沙盘</w:t>
            </w:r>
          </w:p>
        </w:tc>
        <w:tc>
          <w:tcPr>
            <w:tcW w:w="6481" w:type="dxa"/>
          </w:tcPr>
          <w:p w14:paraId="7E8236C2">
            <w:pPr>
              <w:pStyle w:val="10"/>
              <w:widowControl w:val="0"/>
              <w:numPr>
                <w:ilvl w:val="0"/>
                <w:numId w:val="3"/>
              </w:numPr>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整体设计</w:t>
            </w:r>
          </w:p>
          <w:p w14:paraId="4A777233">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1、、配置：i7 16G内存 显卡：3050 6G 硬盘512G</w:t>
            </w:r>
          </w:p>
          <w:p w14:paraId="1AC3F4E4">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2、音频系统：内置8Ω5W*2扬声器/Built-in 8 Ω 5 w * 2 speakers</w:t>
            </w:r>
          </w:p>
          <w:p w14:paraId="3D7A55DB">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3、面板尺寸：≥55寸 显示面积-1209(H) × 680(V) mm 显示模式 16:9 显示类型：TFT-LCD </w:t>
            </w:r>
          </w:p>
          <w:p w14:paraId="24BFFE1B">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4、最大分辨率3840 × 2160 </w:t>
            </w:r>
          </w:p>
          <w:p w14:paraId="45BBEB9D">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5、显示色彩 16.7M 亮度≥400cd/m² </w:t>
            </w:r>
          </w:p>
          <w:p w14:paraId="650B8922">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6、场频/Field Frequency 60Hz </w:t>
            </w:r>
          </w:p>
          <w:p w14:paraId="664D5834">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7、≥40点触摸，PC全高清 HDMI  4K。</w:t>
            </w:r>
          </w:p>
          <w:p w14:paraId="43D98C95">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8、机壳材质五金，有独立触控开关</w:t>
            </w:r>
          </w:p>
          <w:p w14:paraId="4B48E133">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9、旋钮控制器：通过平移、旋转实现党建内容全沉浸式的交互学习，3D、裸眼效果。设备支持可外接电视、LED、投影等外设，扩展性强，适合各类场景。</w:t>
            </w:r>
          </w:p>
          <w:p w14:paraId="0F9E0494">
            <w:pPr>
              <w:pStyle w:val="10"/>
              <w:widowControl w:val="0"/>
              <w:numPr>
                <w:ilvl w:val="0"/>
                <w:numId w:val="0"/>
              </w:numPr>
              <w:spacing w:line="276" w:lineRule="auto"/>
              <w:ind w:leftChars="0"/>
              <w:jc w:val="left"/>
              <w:rPr>
                <w:rFonts w:hint="default" w:cs="宋体" w:asciiTheme="minorEastAsia" w:hAnsiTheme="minorEastAsia" w:eastAsiaTheme="minorEastAsia"/>
                <w:sz w:val="21"/>
                <w:szCs w:val="21"/>
                <w:lang w:val="en-US"/>
              </w:rPr>
            </w:pPr>
            <w:r>
              <w:rPr>
                <w:rFonts w:hint="eastAsia" w:cs="宋体" w:asciiTheme="minorEastAsia" w:hAnsiTheme="minorEastAsia" w:eastAsiaTheme="minorEastAsia"/>
                <w:sz w:val="21"/>
                <w:szCs w:val="21"/>
              </w:rPr>
              <w:t>10、配置</w:t>
            </w:r>
            <w:r>
              <w:rPr>
                <w:rFonts w:hint="eastAsia" w:cs="宋体" w:asciiTheme="minorEastAsia" w:hAnsiTheme="minorEastAsia" w:eastAsiaTheme="minorEastAsia"/>
                <w:sz w:val="21"/>
                <w:szCs w:val="21"/>
                <w:lang w:val="en-US" w:eastAsia="zh-CN"/>
              </w:rPr>
              <w:t>显示设备及支架</w:t>
            </w:r>
          </w:p>
          <w:p w14:paraId="7AFFFD0C">
            <w:pPr>
              <w:pStyle w:val="10"/>
              <w:widowControl w:val="0"/>
              <w:numPr>
                <w:ilvl w:val="0"/>
                <w:numId w:val="3"/>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系统</w:t>
            </w:r>
          </w:p>
          <w:p w14:paraId="3CECBBE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智慧党建平台系统包含六大平台，内容丰富、科技感十足，可体验30万平米的数字展馆。</w:t>
            </w:r>
          </w:p>
          <w:p w14:paraId="1E7A56E4">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（一）、VR科技党建平台系统：</w:t>
            </w:r>
          </w:p>
          <w:p w14:paraId="5CE70557">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该平台采用开启虚拟化学习教育模式，运用虚拟现实技术，提升党性修养，红色教育，通过虚拟技术还原红色革命历史环境，实现沉浸式学习。重走长征路，重温革命圣地红色历史瞬间，走近革命先烈，直观感受红色精神。以多维度提升党员实践能力；</w:t>
            </w:r>
          </w:p>
          <w:p w14:paraId="466237A5">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2、该平台需要具备精致的设计理念，科技感的令牌控制器交互、一体化的设计、触控大屏操作简单、不用外露线材、无需独立的定位支架、电脑、音箱、蓝牙内置方便维护、占地面积小。</w:t>
            </w:r>
          </w:p>
          <w:p w14:paraId="7C2513EF">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3、该平台重走长征路系列内容包含：高品质3D建模，真实历史事件还原，每个故事带有观后讲解。模拟真实环境天气系统，包含日照、下雨、下雪、脚印等。</w:t>
            </w:r>
          </w:p>
          <w:p w14:paraId="358328A0">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4、该平台展馆系列包含：每个虚拟展馆面积大于2000平米，内容大于10个子主题；包含虚拟解说员。</w:t>
            </w:r>
          </w:p>
          <w:p w14:paraId="622180CD">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5、该平台所有资源配音解说真人配音，自由模式和非自由模式随意切换、支持交互、包括视频、图片点击等、3D建模展馆。</w:t>
            </w:r>
          </w:p>
          <w:p w14:paraId="1EF890C1">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6、该平台可通过令牌旋转器来控制3D视角旋转、移动进行学习观看。</w:t>
            </w:r>
          </w:p>
          <w:p w14:paraId="0E7619D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7、VR科技党建平台系统;</w:t>
            </w:r>
          </w:p>
          <w:p w14:paraId="46BD21C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7.1党史系列：</w:t>
            </w:r>
          </w:p>
          <w:p w14:paraId="50641CE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7.1.1《党史体验馆》该内容包含：长征、红船会议、中国共产党第四次全国代表大会、南昌起义、五卅运动、八七会议、井冈山会师、中华工农兵苏维埃第一次全国代表大会、遵义会议、洛川会议、中国国共产党六届六中(扩大)全会、中国共产党第七次全国代表大会等。</w:t>
            </w:r>
          </w:p>
          <w:p w14:paraId="6B1CE86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7.1.2《抗日纪念馆》该内容包含：民族危机、国共合作、延安灯塔、日军暴行、浴血疆场、国际支援、历史胜利七个部分，每个部分包含多个历史事件。</w:t>
            </w:r>
          </w:p>
          <w:p w14:paraId="6D55059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7.1.3《解放战争馆》该内容包含：重庆谈判、四保临江战役、孟良崮战役、定陶战役、千里跃进大别山、宜瓦战役、临汾战役、洛阳战役、豫东战役、济南战役、淮海战役、辽沈战役、平津战役、渡江战役、中华人民共和国成立。</w:t>
            </w:r>
          </w:p>
          <w:p w14:paraId="0F66965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7.2强国之路系列（中华人民共和国成立70周年光辉历程）：</w:t>
            </w:r>
          </w:p>
          <w:p w14:paraId="74D908C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7.2.1《强国之路-中国航天》该内容包含：酒泉火箭发射中心体验长征一号发射，东方红一号、神舟一号、神舟五号、神舟九号于天宫一号对接、墨子号、北斗卫星导航系统、嫦娥三号，图文观看整个航天发展历程。可使用令牌进行与虚拟场景中物件交互，交互点包含：启动长征一号发射。</w:t>
            </w:r>
          </w:p>
          <w:p w14:paraId="4C3012C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7.2.2《强国之路-中国海洋》该内容包含：体验辽宁号航母、蛟龙号、海洋石油981深水半潜式钻井平台、雪龙号极地考察船。</w:t>
            </w:r>
          </w:p>
          <w:p w14:paraId="1C714C4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7.2.3《强国之路-伟大复兴》该内容包含：我国首颗原子弹爆炸场景、两弹一星功勋、500米口径球面射电望远镜(天眼)、中国复兴号动车组并开启动车。可使用令牌进行与虚拟场景中物件交互，交互点包含：启动原子弹爆炸。</w:t>
            </w:r>
          </w:p>
          <w:p w14:paraId="5870290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7.3改革开放史：</w:t>
            </w:r>
          </w:p>
          <w:p w14:paraId="4586249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7.3.1《改革开放馆》该内容包含：农村经济体制改革拉开序幕、中美正式建立外交关系、首批经济特区设立、家庭联产承包责任制确立、新中国首家证券交易所成立、秦山核电站建成发电、邓小平视察南方并发表重要谈话、中国正式加入世界贸易组织（WTO）、全面取消农业税、北京奥运会成功举办、河北雄安新区设立、“一带一路”国际合作高峰论坛举行等。</w:t>
            </w:r>
          </w:p>
          <w:p w14:paraId="47E3CF4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7.4新时代系列：</w:t>
            </w:r>
          </w:p>
          <w:p w14:paraId="6534F1D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7.4.1《十九大展馆》该内容包含：大会主题、十个方面历史性成就、两大重大判断、一个历史使命与“四个伟大”、一个重大思想、十四条基本方略 、九个方面理论分析和政策指导 、社会主义核心价值观、建设现代化经济体系、两个阶段战略安排、十九大直抵人心的19句话。</w:t>
            </w:r>
          </w:p>
          <w:p w14:paraId="6BF8D02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7.4.2《新时代中国发展成就馆》该内容包含“开辟治国理政新境界 开创中国特色社会主义事业新局面”、“坚持中国特色社会主义政治发展道路 推进国家治理体系和治理能力现代化”、“绿水青山就是金山银山 社会主义生态文明迈入新阶段”、“实现强军目标 建设世界一流军队”、“不忘初心 牢记使命 永远奋斗”等11个主题。</w:t>
            </w:r>
          </w:p>
          <w:p w14:paraId="431A29B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7.4.3《习近平重要讲话》该内容包含：全面从严治党、一带一路、改革开放、科技创新、中非命运共同体、军队建设、人民健康、教育发展、妇女工作、青少年儿童、体育强国、海洋强国、进博会演讲、宣传思想工作。</w:t>
            </w:r>
          </w:p>
          <w:p w14:paraId="1B4A971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7.5重走长征路系列：</w:t>
            </w:r>
          </w:p>
          <w:p w14:paraId="6FB3995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7.5.1《长征-红军爬雪山》该内容包含：雪崩、丰碑、背铁锅的司务长、《七律·长征》诗词等故事。可使用令牌进行与虚拟场景中人物交互，交互点包含：救掉下悬崖的红军战士。</w:t>
            </w:r>
          </w:p>
          <w:p w14:paraId="44DC7D5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7.5.2《长征-红军过草地》该内容包含：陷入泥潭的红军战士、吃树皮、尝毒草、七根火柴的故事等故事，可使用令牌进行与虚拟场景中人物交互，交互点包含：拿树皮、吃树皮、拿党证。</w:t>
            </w:r>
          </w:p>
          <w:p w14:paraId="00CFB1E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7.5.3《长征-强渡大渡河》该内容包含：“夜袭安顺场”和“强渡大渡河”两个章节。</w:t>
            </w:r>
          </w:p>
          <w:p w14:paraId="7B9DB64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7.6中国共产党建党100周年</w:t>
            </w:r>
          </w:p>
          <w:p w14:paraId="7BDCEDE2">
            <w:pPr>
              <w:widowControl w:val="0"/>
              <w:spacing w:line="276" w:lineRule="auto"/>
              <w:ind w:firstLine="210" w:firstLineChars="10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该内容包含：中国共产党诞生、土地革命战争时期、抗日战争时期、全国解放战争时期、建设社会主义新中国、走中国特色社会主义道路、中国特色社会主义新时代七个部分，每个部分包含多个历史事件。</w:t>
            </w:r>
          </w:p>
          <w:p w14:paraId="653AB60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7.6.1《百年党史-党的创建》</w:t>
            </w:r>
          </w:p>
          <w:p w14:paraId="43670B0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7.6.2《百年党史-土地革命》</w:t>
            </w:r>
          </w:p>
          <w:p w14:paraId="3BC6B63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7.6.3《百年党史-抗日战争》</w:t>
            </w:r>
          </w:p>
          <w:p w14:paraId="77E7C7C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7.6.4《百年党史-解放战争》</w:t>
            </w:r>
          </w:p>
          <w:p w14:paraId="670F6B8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7.6.5《百年党史-新中国成立》</w:t>
            </w:r>
          </w:p>
          <w:p w14:paraId="0D42B46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7.6.6《百年党史-改革开放》</w:t>
            </w:r>
          </w:p>
          <w:p w14:paraId="0CBC978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7.6.7《百年党史-新时代》</w:t>
            </w:r>
          </w:p>
          <w:p w14:paraId="4F456E1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7.7廉政教育</w:t>
            </w:r>
          </w:p>
          <w:p w14:paraId="6FACB45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7.7.1《廉政教育馆》该内容包含：高瞻远瞩、英明决策、古代廉史、强化法律监督 维护公平正义、反腐倡廉 重拳出击、以史为鉴、警钟长鸣、以廉为荣 以贪为耻、反四风、八项规定、国家级案例、典型案例、算好人生七笔账、钱权色。</w:t>
            </w:r>
          </w:p>
          <w:p w14:paraId="36959DD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8、该平台提供预览播控平台，可以快速预览内容、快速进入学习，统一管理。</w:t>
            </w:r>
          </w:p>
          <w:p w14:paraId="2EBA8D0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9、★为保证该平台后期持续稳定运行，根据需要实现与时俱进的模块升级功能，需提供针对本项目的技术指标确认函及售后服务承诺函并加盖公章。</w:t>
            </w:r>
          </w:p>
          <w:p w14:paraId="76C0BFF0">
            <w:pPr>
              <w:widowControl w:val="0"/>
              <w:numPr>
                <w:ilvl w:val="0"/>
                <w:numId w:val="4"/>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、智慧党建平台系统：</w:t>
            </w:r>
          </w:p>
          <w:p w14:paraId="402ECFC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1、中央组织：该平台包含人民网链接，可以查看国家领导人介绍。</w:t>
            </w:r>
          </w:p>
          <w:p w14:paraId="4FF2CE5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2、党规党章：该平台收录了权威的文档，供党建学习和资料查阅。</w:t>
            </w:r>
          </w:p>
          <w:p w14:paraId="7FCA3FC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3、红色云游：可自行添加多个全景连接，双屏互动展示，建立具有地方特色的线上红色学习阵地。</w:t>
            </w:r>
          </w:p>
          <w:p w14:paraId="57066D9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4、党的思想理论：该平台收录了党建网的文章，供党建学习和资料查阅。</w:t>
            </w:r>
          </w:p>
          <w:p w14:paraId="758EB810">
            <w:pPr>
              <w:pStyle w:val="10"/>
              <w:widowControl w:val="0"/>
              <w:numPr>
                <w:ilvl w:val="0"/>
                <w:numId w:val="5"/>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云课堂：该平台内含十六节中央党校、团校精品课程。</w:t>
            </w:r>
          </w:p>
          <w:p w14:paraId="3BEC2C7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6、欢迎界面：该平台可进行后台修改文字编辑欢迎界面，迎接莅临领导。</w:t>
            </w:r>
          </w:p>
          <w:p w14:paraId="55310E9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7、组织结构：该平台可进行后台修改，编辑单位的党支部架构情况。</w:t>
            </w:r>
          </w:p>
          <w:p w14:paraId="1D0B8C1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8、单位介绍：该平台可以放置单位的PPT进行展示。</w:t>
            </w:r>
          </w:p>
          <w:p w14:paraId="54FCEF5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9、党建活动：该平台可以放置单位每次的党员活动照片和视频进行展示。</w:t>
            </w:r>
          </w:p>
          <w:p w14:paraId="5588466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10、时政要闻：该平台链接了求是网、中国共产党新闻网、人民网、学习强国网，供党建学习和资料查阅。</w:t>
            </w:r>
          </w:p>
          <w:p w14:paraId="63F7A313">
            <w:pPr>
              <w:pStyle w:val="10"/>
              <w:widowControl w:val="0"/>
              <w:spacing w:line="276" w:lineRule="auto"/>
              <w:ind w:left="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11、单位官网：该平台可以放置单位的官网网站进行展示。</w:t>
            </w:r>
          </w:p>
          <w:p w14:paraId="4E235813">
            <w:pPr>
              <w:pStyle w:val="10"/>
              <w:widowControl w:val="0"/>
              <w:spacing w:line="276" w:lineRule="auto"/>
              <w:ind w:left="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12、宣传视频：该平台可以放置单位的宣传视频进行展示。</w:t>
            </w:r>
          </w:p>
          <w:p w14:paraId="725EF61A">
            <w:pPr>
              <w:pStyle w:val="10"/>
              <w:widowControl w:val="0"/>
              <w:spacing w:line="276" w:lineRule="auto"/>
              <w:ind w:left="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13、入党宣誓：该平台为数字化的宣誓墙。</w:t>
            </w:r>
          </w:p>
          <w:p w14:paraId="75494A60">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（三）、数字创作平台系统：</w:t>
            </w:r>
          </w:p>
          <w:p w14:paraId="536B37B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1、该软件需支持数字展馆模版不低于2个，用户创建不低于5个自定义数字展厅。</w:t>
            </w:r>
          </w:p>
          <w:p w14:paraId="5503D0B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2、该软件需支持用户上传图片、视频、文字、配音等信息，编辑完成后，自动生成一个数字展馆，可一键切换墙体颜色，变换不同风格。</w:t>
            </w:r>
          </w:p>
          <w:p w14:paraId="3C9D62B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3、该软件的数字展馆可通过多点触摸技术进行交互体验，可自定义编辑。</w:t>
            </w:r>
          </w:p>
          <w:p w14:paraId="655FFD8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4、该软件创建的数字展厅需支持手动操作和自动播放两种模式。</w:t>
            </w:r>
          </w:p>
          <w:p w14:paraId="10D51E7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5、该软件创建的数字展厅需支持镜头的自由缩放和高度调节。</w:t>
            </w:r>
          </w:p>
          <w:p w14:paraId="495A84B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6、该软件创建的数字展厅需支持一键静音。</w:t>
            </w:r>
          </w:p>
          <w:p w14:paraId="4FD2D09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7、该软件支持数字展厅编辑时，每个模块显示标识，可直观的对应模块进行编辑修改。</w:t>
            </w:r>
          </w:p>
          <w:p w14:paraId="2717F595">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（四）、红色全景平台系统：</w:t>
            </w:r>
          </w:p>
          <w:p w14:paraId="279B411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1、该平台红色全景内容不低于12个。</w:t>
            </w:r>
          </w:p>
          <w:p w14:paraId="2C9752E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2、该平台每个红色全景内容不低于20张全景图片。</w:t>
            </w:r>
          </w:p>
          <w:p w14:paraId="258E1EC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3、该平台红色全景内容支持每个模块的语音介绍,真人配音。</w:t>
            </w:r>
          </w:p>
          <w:p w14:paraId="068C29C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4、该平台红色全景内容支持平面地图展示，一目了然观看及操作。</w:t>
            </w:r>
          </w:p>
          <w:p w14:paraId="18EEF41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5、该平台内容支持镜头的自由缩放和高度调节。</w:t>
            </w:r>
          </w:p>
          <w:p w14:paraId="2788F70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红色全景平台包含：《八一南昌起义纪念馆》、《改革开放40周年（珠海）》、《井冈山革命博物馆》、《平津战役纪念馆》、《延安革命纪念馆》、《沂蒙山纪念馆》、《李大钊故居》、《遵义会议》、《中央西北局纪念馆》、《杨家岭革命旧址》、《冀东烈士陵园》。</w:t>
            </w:r>
          </w:p>
          <w:p w14:paraId="6BD762A0">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（五）、党的二十大平台系统：</w:t>
            </w:r>
          </w:p>
          <w:p w14:paraId="30DE960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w:t>
            </w:r>
            <w:r>
              <w:rPr>
                <w:rFonts w:cs="宋体" w:asciiTheme="minorEastAsia" w:hAnsiTheme="minorEastAsia" w:eastAsiaTheme="minorEastAsia"/>
                <w:sz w:val="21"/>
                <w:szCs w:val="21"/>
              </w:rPr>
              <w:t>《党的二十大精神数字展厅》，运用3D沉浸式技术，影像音结合，全方位、立体化、全景式构建数字展厅，数字</w:t>
            </w:r>
            <w:r>
              <w:rPr>
                <w:rFonts w:hint="eastAsia" w:cs="宋体" w:asciiTheme="minorEastAsia" w:hAnsiTheme="minorEastAsia" w:eastAsiaTheme="minorEastAsia"/>
                <w:sz w:val="21"/>
                <w:szCs w:val="21"/>
              </w:rPr>
              <w:t>展馆面积大于2000平米，内容大于10个子主题；包含虚拟解说员，配音解说真人配音，自由模式和非自由模式随意切换、支持交互、包括视频、图片点击等、3D建模展馆。</w:t>
            </w:r>
          </w:p>
          <w:p w14:paraId="60C9A35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w:t>
            </w:r>
            <w:r>
              <w:rPr>
                <w:rFonts w:cs="宋体" w:asciiTheme="minorEastAsia" w:hAnsiTheme="minorEastAsia" w:eastAsiaTheme="minorEastAsia"/>
                <w:sz w:val="21"/>
                <w:szCs w:val="21"/>
              </w:rPr>
              <w:t>《党的二十大报告思维导学》，利用思维导图梳理党的二十大报告的理论脉络，将习近平总书记作报告的原音原像嵌入导图之中，框架清晰、体系完整、概括精炼，深度凝练党的二十大报告精华。</w:t>
            </w:r>
          </w:p>
          <w:p w14:paraId="2659453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w:t>
            </w:r>
            <w:r>
              <w:rPr>
                <w:rFonts w:cs="宋体" w:asciiTheme="minorEastAsia" w:hAnsiTheme="minorEastAsia" w:eastAsiaTheme="minorEastAsia"/>
                <w:sz w:val="21"/>
                <w:szCs w:val="21"/>
              </w:rPr>
              <w:t>《党的二十大报告学习问答》，链接党的二十大的相关重要网站，拓展学习党的二十大精神的途径，汇百家之言，解二十大精神之义。</w:t>
            </w:r>
          </w:p>
          <w:p w14:paraId="1F78963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w:t>
            </w:r>
            <w:r>
              <w:rPr>
                <w:rFonts w:cs="宋体" w:asciiTheme="minorEastAsia" w:hAnsiTheme="minorEastAsia" w:eastAsiaTheme="minorEastAsia"/>
                <w:sz w:val="21"/>
                <w:szCs w:val="21"/>
              </w:rPr>
              <w:t>《“数”读二十大》，以数字为学习导引，凝练总结关于党的二十大报告的重要论述，“数”读二十大，速览二十大。</w:t>
            </w:r>
          </w:p>
          <w:p w14:paraId="0B88F0A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w:t>
            </w:r>
            <w:r>
              <w:rPr>
                <w:rFonts w:cs="宋体" w:asciiTheme="minorEastAsia" w:hAnsiTheme="minorEastAsia" w:eastAsiaTheme="minorEastAsia"/>
                <w:sz w:val="21"/>
                <w:szCs w:val="21"/>
              </w:rPr>
              <w:t>《党的二十大金句》，看二十大金句原文，赏二十大金句音像，聆听党的二十大振聋发聩的时代强音，感受中国共产党深厚的家国情怀。</w:t>
            </w:r>
          </w:p>
          <w:p w14:paraId="0E7F9ED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w:t>
            </w:r>
            <w:r>
              <w:rPr>
                <w:rFonts w:cs="宋体" w:asciiTheme="minorEastAsia" w:hAnsiTheme="minorEastAsia" w:eastAsiaTheme="minorEastAsia"/>
                <w:sz w:val="21"/>
                <w:szCs w:val="21"/>
              </w:rPr>
              <w:t>《党的二十大报告学习测试》通过党的二十大报告的题目进行自学自测，查漏补缺，检验学习报告的精准度，提升自我学习能力，提高理论水平。</w:t>
            </w:r>
          </w:p>
          <w:p w14:paraId="3B740A4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w:t>
            </w:r>
            <w:r>
              <w:rPr>
                <w:rFonts w:cs="宋体" w:asciiTheme="minorEastAsia" w:hAnsiTheme="minorEastAsia" w:eastAsiaTheme="minorEastAsia"/>
                <w:sz w:val="21"/>
                <w:szCs w:val="21"/>
              </w:rPr>
              <w:t>《党的二十大精神党员活动》学二十大精神，付之于实践。留下组织学习实践的光影，记录学习二十大的足迹，展现新时代党员的风采。</w:t>
            </w:r>
          </w:p>
          <w:p w14:paraId="7533284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w:t>
            </w:r>
            <w:r>
              <w:rPr>
                <w:rFonts w:cs="宋体" w:asciiTheme="minorEastAsia" w:hAnsiTheme="minorEastAsia" w:eastAsiaTheme="minorEastAsia"/>
                <w:sz w:val="21"/>
                <w:szCs w:val="21"/>
              </w:rPr>
              <w:t>《党的二十大报告专家解读》内含内含中央党校、中央团校多位专家教授解读“党的二十大报告”视频课程38门。</w:t>
            </w:r>
          </w:p>
          <w:p w14:paraId="04637EA6">
            <w:pPr>
              <w:pStyle w:val="11"/>
              <w:widowControl w:val="0"/>
              <w:numPr>
                <w:ilvl w:val="0"/>
                <w:numId w:val="6"/>
              </w:numPr>
              <w:spacing w:line="276" w:lineRule="auto"/>
              <w:ind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该平台可通过令牌旋转器来控制3D视角旋转、移动进行学习观看。</w:t>
            </w:r>
          </w:p>
          <w:p w14:paraId="2CB43A00">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10、该平台支持双屏交互展示，一个屏幕显示，另外屏幕交互。</w:t>
            </w:r>
          </w:p>
          <w:p w14:paraId="722FDA01">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（六）、党建大数据：</w:t>
            </w:r>
          </w:p>
          <w:p w14:paraId="1216BC1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1、该软件通过智慧党建管理系统平台大数据，全方位可视化展示各党支部信息。包括党员年龄、党龄、人数、学历、男女比例、民族，各支部三会一课学习情况、党组织会议开展情况等。</w:t>
            </w:r>
          </w:p>
          <w:p w14:paraId="725D547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2、该软件通过EXCEL表格直观的后台编辑数据。</w:t>
            </w:r>
          </w:p>
          <w:p w14:paraId="47F546D6">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（七）、答题软件（多人）： </w:t>
            </w:r>
          </w:p>
          <w:p w14:paraId="79E5707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1、该平台自带海量党建试题，</w:t>
            </w:r>
          </w:p>
          <w:p w14:paraId="3D3B991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2、该平台支持手机扫码进行多人计时答题竞赛。</w:t>
            </w:r>
          </w:p>
          <w:p w14:paraId="5F7F648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3、该平台可按分类选择试题，同时大屏显示实时排名，</w:t>
            </w:r>
          </w:p>
          <w:p w14:paraId="3576FA9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4、该平台支持自定义题库。</w:t>
            </w:r>
          </w:p>
          <w:p w14:paraId="419793C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5、该平台支持成绩单导出。</w:t>
            </w:r>
          </w:p>
          <w:p w14:paraId="51E6475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6、该平台支持不低于100人同时在线答题。</w:t>
            </w:r>
          </w:p>
          <w:p w14:paraId="37199BF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7、该平台支持局域网部署。</w:t>
            </w:r>
          </w:p>
          <w:p w14:paraId="547BB66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8、得分排行：该平台可查看答题考核的结果，同时管理员也可以导出党员的学习成绩。</w:t>
            </w:r>
          </w:p>
          <w:p w14:paraId="53696816">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（八）、</w:t>
            </w:r>
            <w:r>
              <w:rPr>
                <w:rFonts w:cs="宋体" w:asciiTheme="minorEastAsia" w:hAnsiTheme="minorEastAsia" w:eastAsiaTheme="minorEastAsia"/>
                <w:sz w:val="21"/>
                <w:szCs w:val="21"/>
              </w:rPr>
              <w:t>主题教育学习平台</w:t>
            </w:r>
            <w:r>
              <w:rPr>
                <w:rFonts w:hint="eastAsia" w:cs="宋体" w:asciiTheme="minorEastAsia" w:hAnsiTheme="minorEastAsia" w:eastAsiaTheme="minorEastAsia"/>
                <w:sz w:val="21"/>
                <w:szCs w:val="21"/>
              </w:rPr>
              <w:t>系统：</w:t>
            </w:r>
          </w:p>
          <w:p w14:paraId="7C2A507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w:t>
            </w:r>
            <w:r>
              <w:rPr>
                <w:rFonts w:cs="宋体" w:asciiTheme="minorEastAsia" w:hAnsiTheme="minorEastAsia" w:eastAsiaTheme="minorEastAsia"/>
                <w:sz w:val="21"/>
                <w:szCs w:val="21"/>
              </w:rPr>
              <w:t>《学习贯彻习**新时代中国特色社会主义思想主题教育-数字展厅》，运用3D沉浸式技术，影像音结合，全方位、立体化、全景式构建数字展厅，数字展馆面积大于2000平米，包含虚拟解说员，配音解说真人配音，自由模式和非自由模式随意切换、支持交互、包括视频、图片点击等、3D建模展馆。通过更直观、生动的学习体验，加深对新思想的理解和记忆。</w:t>
            </w:r>
          </w:p>
          <w:p w14:paraId="7E228BA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w:t>
            </w:r>
            <w:r>
              <w:rPr>
                <w:rFonts w:cs="宋体" w:asciiTheme="minorEastAsia" w:hAnsiTheme="minorEastAsia" w:eastAsiaTheme="minorEastAsia"/>
                <w:sz w:val="21"/>
                <w:szCs w:val="21"/>
              </w:rPr>
              <w:t>《专家解读》，内含中央党校、中央团校多位专家教授解读，用户可以通过专家的解读深入了解红色知识的背景和内涵。</w:t>
            </w:r>
          </w:p>
          <w:p w14:paraId="3B5A570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w:t>
            </w:r>
            <w:r>
              <w:rPr>
                <w:rFonts w:cs="宋体" w:asciiTheme="minorEastAsia" w:hAnsiTheme="minorEastAsia" w:eastAsiaTheme="minorEastAsia"/>
                <w:sz w:val="21"/>
                <w:szCs w:val="21"/>
              </w:rPr>
              <w:t>《学习测试》，自带海量“习**新时代中国特色社会主义思想主题教育”试题，可以帮助用户检验自己对于学习内容的掌握程度，同时也可以查缺补漏，进一步提高学习效果。</w:t>
            </w:r>
          </w:p>
          <w:p w14:paraId="5B7A3A9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w:t>
            </w:r>
            <w:r>
              <w:rPr>
                <w:rFonts w:cs="宋体" w:asciiTheme="minorEastAsia" w:hAnsiTheme="minorEastAsia" w:eastAsiaTheme="minorEastAsia"/>
                <w:sz w:val="21"/>
                <w:szCs w:val="21"/>
              </w:rPr>
              <w:t>《学习资料》，提供了丰富的“习**新时代中国特色社会主义思想主题教育”学习资料，方便查阅学习，进一步提升学习红色知识的效果和效率。</w:t>
            </w:r>
          </w:p>
          <w:p w14:paraId="173734F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5、★为保证内容的权威准确性，需提供售后服务承诺函和技术指标确认函并加盖公章。</w:t>
            </w:r>
          </w:p>
          <w:p w14:paraId="3A11592E">
            <w:pPr>
              <w:pStyle w:val="2"/>
              <w:widowControl w:val="0"/>
              <w:ind w:firstLine="0"/>
              <w:jc w:val="both"/>
              <w:rPr>
                <w:rFonts w:eastAsiaTheme="minorEastAsia"/>
              </w:rPr>
            </w:pPr>
            <w:r>
              <w:rPr>
                <w:rFonts w:hint="eastAsia" w:cs="宋体" w:asciiTheme="minorEastAsia" w:hAnsiTheme="minorEastAsia" w:eastAsiaTheme="minorEastAsia"/>
                <w:sz w:val="21"/>
                <w:szCs w:val="21"/>
              </w:rPr>
              <w:t>6、所有</w:t>
            </w:r>
            <w:r>
              <w:rPr>
                <w:rFonts w:hint="eastAsia" w:cs="宋体" w:asciiTheme="minorEastAsia" w:hAnsiTheme="minorEastAsia" w:eastAsiaTheme="minorEastAsia"/>
                <w:kern w:val="2"/>
                <w:sz w:val="21"/>
                <w:szCs w:val="21"/>
              </w:rPr>
              <w:t>★项必须满足，否则投标无效。</w:t>
            </w:r>
          </w:p>
        </w:tc>
        <w:tc>
          <w:tcPr>
            <w:tcW w:w="600" w:type="dxa"/>
          </w:tcPr>
          <w:p w14:paraId="7B15E4B4">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1台</w:t>
            </w:r>
          </w:p>
        </w:tc>
        <w:tc>
          <w:tcPr>
            <w:tcW w:w="960" w:type="dxa"/>
            <w:shd w:val="clear" w:color="auto" w:fill="auto"/>
            <w:vAlign w:val="center"/>
          </w:tcPr>
          <w:p w14:paraId="2379E65D">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123000</w:t>
            </w:r>
          </w:p>
        </w:tc>
        <w:tc>
          <w:tcPr>
            <w:tcW w:w="1167" w:type="dxa"/>
            <w:shd w:val="clear" w:color="auto" w:fill="auto"/>
            <w:vAlign w:val="center"/>
          </w:tcPr>
          <w:p w14:paraId="69896E22">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123000</w:t>
            </w:r>
          </w:p>
        </w:tc>
      </w:tr>
      <w:tr w14:paraId="5CCE9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1D9F0D64">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w:t>
            </w:r>
          </w:p>
        </w:tc>
        <w:tc>
          <w:tcPr>
            <w:tcW w:w="434" w:type="dxa"/>
          </w:tcPr>
          <w:p w14:paraId="2019BA21">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VR红色骑行</w:t>
            </w:r>
          </w:p>
        </w:tc>
        <w:tc>
          <w:tcPr>
            <w:tcW w:w="6481" w:type="dxa"/>
          </w:tcPr>
          <w:p w14:paraId="6B27126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一、整体设计</w:t>
            </w:r>
          </w:p>
          <w:p w14:paraId="6737FF4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1、动感单车</w:t>
            </w:r>
          </w:p>
          <w:p w14:paraId="1BA7305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单车参数：产品尺寸1000mm（长）X510mm（宽）X1250mm（高）；</w:t>
            </w:r>
          </w:p>
          <w:p w14:paraId="43179B6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包装尺寸：1050mm（长）X255mm（宽）X940mm（高）；净重：33KG  </w:t>
            </w:r>
          </w:p>
          <w:p w14:paraId="56CB617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传动方式：皮带传动;阻力系统：磁控阻力系统</w:t>
            </w:r>
          </w:p>
          <w:p w14:paraId="01B68AC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软件支持版本：IOS10.0以上，安卓5.0以上。</w:t>
            </w:r>
          </w:p>
          <w:p w14:paraId="6174486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2、主机</w:t>
            </w:r>
          </w:p>
          <w:p w14:paraId="4446828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内存:16GB DDR4 3200Mhz 硬盘:512GB M.2 2280 PCIe 4.0 </w:t>
            </w:r>
          </w:p>
          <w:p w14:paraId="2374521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处理器:i5-12400F 显卡:NVDIA GTX 1660SUPER 6G  电源:310W  </w:t>
            </w:r>
          </w:p>
          <w:p w14:paraId="4C30524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主机尺寸：长298mm*宽145mm*高340mm（13.6L） </w:t>
            </w:r>
          </w:p>
          <w:p w14:paraId="5DE04B2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3、显示器</w:t>
            </w:r>
          </w:p>
          <w:p w14:paraId="12BB440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屏幕尺寸：≥65英寸;电视类型：全面屏 4K高清;屏幕分辨率：≥3840*2160</w:t>
            </w:r>
          </w:p>
          <w:p w14:paraId="0D52E7F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CPU架构：四核A35;系统：Android;WIFI频段：2.4G</w:t>
            </w:r>
          </w:p>
          <w:p w14:paraId="44EDE01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运行内存/RAM：1.5GB;背光方式：直下式/DLED</w:t>
            </w:r>
          </w:p>
          <w:p w14:paraId="14E0A7B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CPU核心数：四核;存储内存：≥8GB</w:t>
            </w:r>
          </w:p>
          <w:p w14:paraId="07BFB40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HDR显示：不支持HDR;屏幕比例：16:9</w:t>
            </w:r>
          </w:p>
          <w:p w14:paraId="0CBDA7F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4、VR头盔</w:t>
            </w:r>
          </w:p>
          <w:p w14:paraId="4ECB124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4K高清屏幕(3664x1920)；≥90Hz刷新率；菲涅耳镜片，FOV：98°；头&amp;手6Dof交互；≥6GB 内存/128GB 存储；双Mic降噪；高通骁龙XR2平台；软绑带设计，串流模式开机自动开启。</w:t>
            </w:r>
          </w:p>
          <w:p w14:paraId="123321A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5、Pad播控</w:t>
            </w:r>
          </w:p>
          <w:p w14:paraId="2E58257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台电（TECLAST）M40重量：0.9kg;屏幕尺寸：10.1英寸</w:t>
            </w:r>
          </w:p>
          <w:p w14:paraId="6391FBE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容量：≥6GB运存+128G存储;核心数：八核处理器</w:t>
            </w:r>
          </w:p>
          <w:p w14:paraId="3B76BCF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厚度：7.1-9mm;可扩展容量：最大支持128GB</w:t>
            </w:r>
          </w:p>
          <w:p w14:paraId="11A6C2D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分辨率：≥1920*1200;屏幕尺寸：10.1英寸</w:t>
            </w:r>
          </w:p>
          <w:p w14:paraId="052CED4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支持IPv6：不支持IPv6;特性：3G或4G;上网系统：Android</w:t>
            </w:r>
          </w:p>
          <w:p w14:paraId="7029BDC6">
            <w:pPr>
              <w:widowControl w:val="0"/>
              <w:numPr>
                <w:ilvl w:val="0"/>
                <w:numId w:val="3"/>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VR红色骑行系统软件</w:t>
            </w:r>
          </w:p>
          <w:p w14:paraId="140C00A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1、产品需在党的理论指导下通过VR技术复原中国共产党的重要历史事件，让学习者通过VR头盔，身临其境感受和参与到事件中去，能够提升学习者的学习兴趣、加强学习力度和学习效果；</w:t>
            </w:r>
          </w:p>
          <w:p w14:paraId="1668F1A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2、产品将党建与运动相结合，跨越虚拟与现实，是可以多人互动的党史学习骑行设备；</w:t>
            </w:r>
          </w:p>
          <w:p w14:paraId="051CDD7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3、产品需要具备简洁精致外观，动感单车、VR头盔与电脑主机一体化设计，PAD播控操作简单，不用外露线材，支架美观大方、电脑、音箱、蓝牙内置方便维护、占地面积小。无需外网同样正常使用；</w:t>
            </w:r>
          </w:p>
          <w:p w14:paraId="76DA6CC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产品采用开启虚拟化学习教育模式，运用虚拟现实技术，提升党性修养，红色教育，通过虚拟技术还原红色革命历史环境，实现沉浸式学习。还原井冈山革命根据地风貌，重温革命圣地红色历史瞬间，走近革命先烈，直观感受红色精神。以多维度提升党员实践能力；</w:t>
            </w:r>
          </w:p>
          <w:p w14:paraId="6ACAE14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5、产品所有内容包含：高品质3D建模，真实历史事件还原，每个主题带有讲解。模拟真实自然环境，包含位置、地形地貌、气候、生物、岩石矿物等。</w:t>
            </w:r>
          </w:p>
          <w:p w14:paraId="6F8B17A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6、产品所有软件分辨率不低于4K，骑行时内容自动播放，内容播放不可后退。骑行至重要主题内容行程自动停驻，待解说完成后可继续骑行。</w:t>
            </w:r>
          </w:p>
          <w:p w14:paraId="30A8BA1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7、产品所有资源配音解说系真人配音。</w:t>
            </w:r>
          </w:p>
          <w:p w14:paraId="1AA844B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8、产品所有资源VR模式和PC模式随意切换、支持单机自由体验，单人体验场景中自动生成多个虚拟角色；</w:t>
            </w:r>
          </w:p>
          <w:p w14:paraId="11A3B60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9、产品所有资源支持多机联动交互，多机联动情况下，可以看到每个体验者的虚拟人形象，并同步位置信息。</w:t>
            </w:r>
          </w:p>
          <w:p w14:paraId="2A335710">
            <w:pPr>
              <w:pStyle w:val="10"/>
              <w:widowControl w:val="0"/>
              <w:numPr>
                <w:ilvl w:val="0"/>
                <w:numId w:val="7"/>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产品所有资源体验者实际骑行速度与虚拟场景中骑行速度保持一致。</w:t>
            </w:r>
          </w:p>
          <w:p w14:paraId="67193FA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10、产品需支持VR模式下有线串流和无线串流两种模式。</w:t>
            </w:r>
          </w:p>
          <w:p w14:paraId="66C52E3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11、产品资源需包含：该产品包含2大系列内容：中国精神系列、党史百年系列，内容不低于9个。</w:t>
            </w:r>
          </w:p>
          <w:p w14:paraId="43C9B78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12、(1)党史系列：</w:t>
            </w:r>
          </w:p>
          <w:p w14:paraId="5182044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该系列包含从1921年中国共产党成立到2021年建党百年的重大事件，百年百事、每年一记以3D沉浸式展示。内容包含：</w:t>
            </w:r>
          </w:p>
          <w:p w14:paraId="475B4B7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《中国共产党成立》</w:t>
            </w:r>
          </w:p>
          <w:p w14:paraId="67DCD42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《中国革命的新道路 》</w:t>
            </w:r>
          </w:p>
          <w:p w14:paraId="3FC6576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《中华民族的抗日战争》</w:t>
            </w:r>
          </w:p>
          <w:p w14:paraId="0468271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《为建立新中国而奋斗》</w:t>
            </w:r>
          </w:p>
          <w:p w14:paraId="3834700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《建设社会主义新中国》</w:t>
            </w:r>
          </w:p>
          <w:p w14:paraId="516F653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《改革开放时期》</w:t>
            </w:r>
          </w:p>
          <w:p w14:paraId="4D4307D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《中国特色社会主义的开创和发展》</w:t>
            </w:r>
          </w:p>
          <w:p w14:paraId="39474FB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《中国特色社会主义新时代》每个内容体验时长不低于5分钟。</w:t>
            </w:r>
          </w:p>
          <w:p w14:paraId="1B80402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(2)中国精神系列：</w:t>
            </w:r>
          </w:p>
          <w:p w14:paraId="652BB32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《井冈山精神》该内容包含圣火燎原、井冈风貌、井冈山雕塑、井冈山革命根据地的创立、三湾改编、革命旧址群、朱毛会师、雷打石、黄洋界保卫战、井冈山精神解读，内容体验时长不低于10分钟。</w:t>
            </w:r>
          </w:p>
          <w:p w14:paraId="7BF1A549">
            <w:pPr>
              <w:widowControl w:val="0"/>
              <w:numPr>
                <w:ilvl w:val="0"/>
                <w:numId w:val="8"/>
              </w:numPr>
              <w:spacing w:line="276" w:lineRule="auto"/>
              <w:jc w:val="left"/>
            </w:pPr>
            <w:r>
              <w:rPr>
                <w:rFonts w:hint="eastAsia" w:cs="宋体" w:asciiTheme="minorEastAsia" w:hAnsiTheme="minorEastAsia" w:eastAsiaTheme="minorEastAsia"/>
                <w:sz w:val="21"/>
                <w:szCs w:val="21"/>
              </w:rPr>
              <w:t>★为保证该产品后期持续稳定运行，根据需要实现与时俱进的模块升级功能和保证内容的权威准确性，需提供售后服务承诺函和针对本项目的技术指标确认函并加盖公章。</w:t>
            </w:r>
          </w:p>
          <w:p w14:paraId="5A438B76">
            <w:pPr>
              <w:pStyle w:val="2"/>
              <w:widowControl w:val="0"/>
              <w:ind w:firstLine="0"/>
              <w:jc w:val="both"/>
              <w:rPr>
                <w:rFonts w:eastAsiaTheme="minorEastAsia"/>
              </w:rPr>
            </w:pPr>
            <w:r>
              <w:rPr>
                <w:rFonts w:hint="eastAsia" w:cs="宋体" w:asciiTheme="minorEastAsia" w:hAnsiTheme="minorEastAsia" w:eastAsiaTheme="minorEastAsia"/>
                <w:sz w:val="21"/>
                <w:szCs w:val="21"/>
              </w:rPr>
              <w:t>14、所有</w:t>
            </w:r>
            <w:r>
              <w:rPr>
                <w:rFonts w:hint="eastAsia" w:cs="宋体" w:asciiTheme="minorEastAsia" w:hAnsiTheme="minorEastAsia" w:eastAsiaTheme="minorEastAsia"/>
                <w:kern w:val="2"/>
                <w:sz w:val="21"/>
                <w:szCs w:val="21"/>
              </w:rPr>
              <w:t>★项必须满足，否则投标无效。</w:t>
            </w:r>
          </w:p>
        </w:tc>
        <w:tc>
          <w:tcPr>
            <w:tcW w:w="600" w:type="dxa"/>
          </w:tcPr>
          <w:p w14:paraId="61D232A5">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1台</w:t>
            </w:r>
          </w:p>
        </w:tc>
        <w:tc>
          <w:tcPr>
            <w:tcW w:w="960" w:type="dxa"/>
            <w:shd w:val="clear" w:color="auto" w:fill="auto"/>
            <w:vAlign w:val="center"/>
          </w:tcPr>
          <w:p w14:paraId="09D0EF8C">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100000</w:t>
            </w:r>
          </w:p>
        </w:tc>
        <w:tc>
          <w:tcPr>
            <w:tcW w:w="1167" w:type="dxa"/>
            <w:shd w:val="clear" w:color="auto" w:fill="auto"/>
            <w:vAlign w:val="center"/>
          </w:tcPr>
          <w:p w14:paraId="14F31974">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100000</w:t>
            </w:r>
          </w:p>
        </w:tc>
      </w:tr>
      <w:tr w14:paraId="59145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29C652A4">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3</w:t>
            </w:r>
          </w:p>
        </w:tc>
        <w:tc>
          <w:tcPr>
            <w:tcW w:w="434" w:type="dxa"/>
          </w:tcPr>
          <w:p w14:paraId="0DD38AF6">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VR思政实践教学系统一体机</w:t>
            </w:r>
          </w:p>
        </w:tc>
        <w:tc>
          <w:tcPr>
            <w:tcW w:w="6481" w:type="dxa"/>
          </w:tcPr>
          <w:p w14:paraId="3FEA133F">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一、整体设计</w:t>
            </w:r>
          </w:p>
          <w:p w14:paraId="2C53F0F1">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屏幕分辨率不低于3664x1920；刷新率不低于90Hz；菲涅耳镜片，FOV不低于98°；支持头&amp;手6Dof交互；6GB 内存/128GB 存储；双Mic降噪；高通骁龙XR2平台；软绑带设计，定制化开机系统，屏蔽原生娱乐、游戏系统。</w:t>
            </w:r>
          </w:p>
          <w:p w14:paraId="718A4F9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二、VR思政实践教学系统一体机系统</w:t>
            </w:r>
          </w:p>
          <w:p w14:paraId="5FC8F5A8">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1、该平台需在党的理论执导下通过VR技术复原中国共产党的历史中重要事件，让学习者通过VR头盔，身临其境感受和参与到事件中去，能够提升学习者的学习兴趣、加强学习力度和学习效果；</w:t>
            </w:r>
          </w:p>
          <w:p w14:paraId="2D435CA0">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2、该平台可通过VR虚拟现实，来提升场馆中党建部分的科技感，让参观体验者感受更好；</w:t>
            </w:r>
          </w:p>
          <w:p w14:paraId="0A2121E9">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3、该平台屏蔽所有非学习相关的 VR 影视、游戏等内容；支持无外网的场景，无需外网同样正常使用。</w:t>
            </w:r>
          </w:p>
          <w:p w14:paraId="0457315A">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4、该平台采用开启虚拟化学习教育模式，运用虚拟现实技术，提升党性修养，红色教育，通过虚拟技术还原红色革命历史环境，实现沉浸式学习。重走长征路，重温革命圣地红色历史瞬间，走近革命先烈，直观感受红色精神。以多维度提升党员实践能力；</w:t>
            </w:r>
          </w:p>
          <w:p w14:paraId="5916DB8A">
            <w:pPr>
              <w:pStyle w:val="11"/>
              <w:widowControl w:val="0"/>
              <w:numPr>
                <w:ilvl w:val="0"/>
                <w:numId w:val="9"/>
              </w:numPr>
              <w:spacing w:line="276" w:lineRule="auto"/>
              <w:ind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该平台需具有预览功能，可以通过点击图标预览内容视频或幻灯片；</w:t>
            </w:r>
          </w:p>
          <w:p w14:paraId="0CE29E24">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6、该平台在播放VR内容时，大屏同步显示VR头显视角的画面，且画面全屏显示；</w:t>
            </w:r>
          </w:p>
          <w:p w14:paraId="291DAAD1">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7、该平台需实现系统级控制，通过平台可以控制WINDOWS系统音量大小，并有WINDOWS系统关机/重启的快捷按键设计；</w:t>
            </w:r>
          </w:p>
          <w:p w14:paraId="2DF3D423">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8、软件内容直接安装到设备中，进行实时渲染，低延迟，画面效果可发挥设备最大性能。</w:t>
            </w:r>
          </w:p>
          <w:p w14:paraId="14EFA370">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9、体验者在VR眼镜中可自由视角旋转、移动、交互，更接近人体自然行为。</w:t>
            </w:r>
          </w:p>
          <w:p w14:paraId="5BBA2C00">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10、交互性：支持体验者通过手柄经行交互。</w:t>
            </w:r>
          </w:p>
          <w:p w14:paraId="186BF9E4">
            <w:pPr>
              <w:pStyle w:val="11"/>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11、VR设备支持独立使用观看，方便随时随地开展活动。</w:t>
            </w:r>
          </w:p>
          <w:p w14:paraId="10A2015A">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12、该平台内容模块需含有中国精神系列，其中：</w:t>
            </w:r>
          </w:p>
          <w:p w14:paraId="7C48BC84">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（1）伟大建党精神：《中国共产党人的“精神家园”》</w:t>
            </w:r>
          </w:p>
          <w:p w14:paraId="67B0951A">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新民主主义革命时期：《延安精神》、《半条被子的故事》、《井冈红旗》、《星火相传》、《页朵誓词》、《三湾改编》、《革命旧址》、《雷石铁纪》、《朱毛会师》、《激战黄洋》、《瑞金出发》、《血战湘江》、《遵义会议》、《四渡赤水》、《巧渡金沙江》、《强渡大渡河》、《飞夺泸定桥》、《爬雪山》、《过草地》</w:t>
            </w:r>
          </w:p>
          <w:p w14:paraId="1D3740E8">
            <w:pPr>
              <w:pStyle w:val="6"/>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（3）社会主义革命和建设时期:《红旗渠精神》、《塞罕坝精神》、《长征一号火箭》、《东方红一号卫星》、《原子弹》</w:t>
            </w:r>
          </w:p>
          <w:p w14:paraId="14CEC3A3">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（4）改革开放和社会主义现代化建设新时期：《改革开放精神》、《中国改革的一声惊雷》、《载人航天精神》、《神舟九号与天宫一号对接》、《海洋石油981》、《辽宁舰》、《雪龙号极地考察船》</w:t>
            </w:r>
          </w:p>
          <w:p w14:paraId="1E05EC76">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(5)中国特色社会主义新时代：《北斗卫星》、《墨子号卫星》、《嫦娥三号探测器》、《蛟龙号载人潜水器》《复兴号高铁》、《中国天眼》</w:t>
            </w:r>
          </w:p>
          <w:p w14:paraId="3514E3A1">
            <w:pPr>
              <w:pStyle w:val="6"/>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（6）马克思主义:《马克思主义的创立过程》、《真理的味道非常甜》</w:t>
            </w:r>
          </w:p>
          <w:p w14:paraId="6869A08C">
            <w:pPr>
              <w:pStyle w:val="6"/>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(7)工匠精神 :《鲁班工匠精神》</w:t>
            </w:r>
          </w:p>
          <w:p w14:paraId="66EE896F">
            <w:pPr>
              <w:pStyle w:val="6"/>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13、七个模块，不低于40个高品质建模制作的3D红色内容，每个内容基于次世代3D渲染技术、高端贴图烘焙技术、3Dmax、Unity引擎动画等技术；真人配音解说，分辨率不低于8k。每个内容保证故事的完整性和高品质效果，需要具有以下制作流程标准要求：</w:t>
            </w:r>
          </w:p>
          <w:p w14:paraId="15D1AB26">
            <w:pPr>
              <w:pStyle w:val="6"/>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使用3D建模软件（如Maya、Blender、3ds Max等）创建角色、道具和场景的3D模型。</w:t>
            </w:r>
          </w:p>
          <w:p w14:paraId="584B9CC8">
            <w:pPr>
              <w:pStyle w:val="6"/>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材质选择：为每个模型选择合适的材质，如金属、塑料、布料等。</w:t>
            </w:r>
          </w:p>
          <w:p w14:paraId="0D7CA777">
            <w:pPr>
              <w:pStyle w:val="6"/>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贴图制作：为模型制作纹理贴图，以增加模型的细节和真实感。</w:t>
            </w:r>
          </w:p>
          <w:p w14:paraId="2F6D2101">
            <w:pPr>
              <w:pStyle w:val="6"/>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灯光设置：根据场景需求设置灯光，包括主光源、辅助光源和环境光等。</w:t>
            </w:r>
          </w:p>
          <w:p w14:paraId="0C821D23">
            <w:pPr>
              <w:pStyle w:val="6"/>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摄影机设置：放置和调整摄影机，确定影片的视角和构图。</w:t>
            </w:r>
          </w:p>
          <w:p w14:paraId="548E0628">
            <w:pPr>
              <w:pStyle w:val="6"/>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骨骼绑定：为角色和道具绑定骨骼，以便进行动画制作。</w:t>
            </w:r>
          </w:p>
          <w:p w14:paraId="048ED358">
            <w:pPr>
              <w:pStyle w:val="6"/>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动画制作：根据故事情节和角色设定，为角色和场景添加动画效果。</w:t>
            </w:r>
          </w:p>
          <w:p w14:paraId="52D9D1A0">
            <w:pPr>
              <w:pStyle w:val="6"/>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特效制作：根据需要添加各种特效，如火焰、烟雾、水流等。</w:t>
            </w:r>
          </w:p>
          <w:p w14:paraId="7D440766">
            <w:pPr>
              <w:pStyle w:val="6"/>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根据需要选择不同的渲染引擎或渲染器（如Arnold、Redshift、V-Ray等）。</w:t>
            </w:r>
          </w:p>
          <w:p w14:paraId="7A82415F">
            <w:pPr>
              <w:pStyle w:val="6"/>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合成：将渲染出的各个镜头和特效在后期软件中进行合成。</w:t>
            </w:r>
          </w:p>
          <w:p w14:paraId="244A42AD">
            <w:pPr>
              <w:pStyle w:val="6"/>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调色：对影片进行整体或局部的色彩调整，以达到预期的视觉效果。</w:t>
            </w:r>
          </w:p>
          <w:p w14:paraId="66B007CE">
            <w:pPr>
              <w:pStyle w:val="6"/>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音效制作：为影片添加音效，如角色对话、环境声音、特效声音等。</w:t>
            </w:r>
          </w:p>
          <w:p w14:paraId="675E9C4B">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14、该平台内容模块需含有思政全景系列，不低于30个高品质红色全景内容，，每个全景内容不低于20张全景图片；含真人配音解说，含场景点击跳转，为保障游览流畅度，跳转每个场景的时间不高于1秒。通过VR技术，打造沉浸式、全景式的思政红色教育平台，实现红色文化的数字化再现与互动体验，促进红色精神的传承与弘扬。</w:t>
            </w:r>
          </w:p>
          <w:p w14:paraId="6709D6F3">
            <w:pPr>
              <w:pStyle w:val="6"/>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近代不平等条约陈列馆》、《八一南昌起义纪念馆》、《井冈山革命博物馆》、《平津战役纪念馆》、《延安革命纪念馆》、《沂蒙山纪念馆》、《李大钊故居》、《遵义会议纪念馆》、《中央西北局纪念馆》、《杨家岭革命旧址》、《冀东烈士陵园》、《毛主席故居（韶山）》、《铁的新四军》、《国民党一大会议纪念馆》、《海军诞生地纪念馆》、《红军东征纪念馆》、《南京大屠杀纪念馆》、《南京杭州上海解放70周年纪念馆》、《南京总统府》、《上海四行仓库纪念馆》、《中共一大会议纪念馆》、《皖南事变纪念馆》、《雨花台烈士陵园》、《中共四大会议纪念馆》、《渡江胜利纪念馆》、《冀中冉庄地道战展馆》、《红旗渠纪念馆》、《焦裕禄纪念馆》、《南京长江大桥纪念馆》、《改革开放40周年（珠海）》</w:t>
            </w:r>
          </w:p>
          <w:p w14:paraId="6E3250E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16、该平台内容模块需含有四史专区，其中：</w:t>
            </w:r>
          </w:p>
          <w:p w14:paraId="40FA5B37">
            <w:pPr>
              <w:pStyle w:val="6"/>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、党史：</w:t>
            </w:r>
            <w:r>
              <w:rPr>
                <w:rFonts w:cs="宋体" w:asciiTheme="minorEastAsia" w:hAnsiTheme="minorEastAsia" w:eastAsiaTheme="minorEastAsia"/>
                <w:sz w:val="21"/>
                <w:szCs w:val="21"/>
              </w:rPr>
              <w:t>《长征-红军爬雪山》</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《长征-红军过草地》</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《长征-强渡大渡河》</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《党史体验馆》</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《抗日纪念馆》</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《解放战争馆》</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《百年党史-党的创建》</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《百年党史-土地革命》</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《百年党史-抗日战争》</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《百年党史-解放战争》</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《百年党史-新中国成立》</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《百年党史-改革开放》</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《百年党史-新时代》</w:t>
            </w:r>
          </w:p>
          <w:p w14:paraId="7CA23C1C">
            <w:pPr>
              <w:pStyle w:val="6"/>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、新中国史：《新时代中国发展成就馆》</w:t>
            </w:r>
          </w:p>
          <w:p w14:paraId="204D302D">
            <w:pPr>
              <w:pStyle w:val="6"/>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、改革开放史：《改革开放馆》</w:t>
            </w:r>
          </w:p>
          <w:p w14:paraId="367B17BE">
            <w:pPr>
              <w:pStyle w:val="6"/>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、新时代：《党的二十大精神》、《习近平重要讲话》、《十九大展馆》、《新时代中国发展成就馆》</w:t>
            </w:r>
          </w:p>
          <w:p w14:paraId="4DF70630">
            <w:pPr>
              <w:pStyle w:val="6"/>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、模范人物：《县委书记的榜样焦裕禄》</w:t>
            </w:r>
          </w:p>
          <w:p w14:paraId="6D06BD99">
            <w:pPr>
              <w:pStyle w:val="6"/>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（6）、重大成就：</w:t>
            </w:r>
            <w:r>
              <w:rPr>
                <w:rFonts w:cs="宋体" w:asciiTheme="minorEastAsia" w:hAnsiTheme="minorEastAsia" w:eastAsiaTheme="minorEastAsia"/>
                <w:sz w:val="21"/>
                <w:szCs w:val="21"/>
              </w:rPr>
              <w:t>《强国之路-中国航天》</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《强国之路-中国海洋》</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《强国之路-伟大复兴》</w:t>
            </w:r>
          </w:p>
          <w:p w14:paraId="1A8E050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17、★为保证内容的权威准确性， 需提供售后服务承诺函和技术指标确认函并加盖公章。</w:t>
            </w:r>
          </w:p>
          <w:p w14:paraId="1F0AD56C">
            <w:pPr>
              <w:pStyle w:val="2"/>
              <w:widowControl w:val="0"/>
              <w:ind w:firstLine="0"/>
              <w:jc w:val="both"/>
              <w:rPr>
                <w:rFonts w:eastAsiaTheme="minorEastAsia"/>
              </w:rPr>
            </w:pPr>
            <w:r>
              <w:rPr>
                <w:rFonts w:hint="eastAsia" w:cs="宋体" w:asciiTheme="minorEastAsia" w:hAnsiTheme="minorEastAsia" w:eastAsiaTheme="minorEastAsia"/>
                <w:sz w:val="21"/>
                <w:szCs w:val="21"/>
              </w:rPr>
              <w:t>18、所有</w:t>
            </w:r>
            <w:r>
              <w:rPr>
                <w:rFonts w:hint="eastAsia" w:cs="宋体" w:asciiTheme="minorEastAsia" w:hAnsiTheme="minorEastAsia" w:eastAsiaTheme="minorEastAsia"/>
                <w:kern w:val="2"/>
                <w:sz w:val="21"/>
                <w:szCs w:val="21"/>
              </w:rPr>
              <w:t>★项必须满足，否则投标无效。</w:t>
            </w:r>
          </w:p>
        </w:tc>
        <w:tc>
          <w:tcPr>
            <w:tcW w:w="600" w:type="dxa"/>
          </w:tcPr>
          <w:p w14:paraId="01E05A9B">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12台</w:t>
            </w:r>
          </w:p>
        </w:tc>
        <w:tc>
          <w:tcPr>
            <w:tcW w:w="960" w:type="dxa"/>
            <w:shd w:val="clear" w:color="auto" w:fill="auto"/>
            <w:vAlign w:val="center"/>
          </w:tcPr>
          <w:p w14:paraId="3313DC92">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10150</w:t>
            </w:r>
          </w:p>
        </w:tc>
        <w:tc>
          <w:tcPr>
            <w:tcW w:w="1167" w:type="dxa"/>
            <w:shd w:val="clear" w:color="auto" w:fill="auto"/>
            <w:vAlign w:val="center"/>
          </w:tcPr>
          <w:p w14:paraId="77DD71FC">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121800</w:t>
            </w:r>
          </w:p>
        </w:tc>
      </w:tr>
      <w:tr w14:paraId="43482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148993FD">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4</w:t>
            </w:r>
          </w:p>
        </w:tc>
        <w:tc>
          <w:tcPr>
            <w:tcW w:w="434" w:type="dxa"/>
          </w:tcPr>
          <w:p w14:paraId="2647783A">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AR党建互动魔屏</w:t>
            </w:r>
          </w:p>
        </w:tc>
        <w:tc>
          <w:tcPr>
            <w:tcW w:w="6481" w:type="dxa"/>
          </w:tcPr>
          <w:p w14:paraId="1BA21A14">
            <w:pPr>
              <w:widowControl w:val="0"/>
              <w:spacing w:line="276" w:lineRule="auto"/>
              <w:jc w:val="both"/>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一、整体设计</w:t>
            </w:r>
          </w:p>
          <w:p w14:paraId="5D9C873D">
            <w:pPr>
              <w:widowControl w:val="0"/>
              <w:spacing w:line="276" w:lineRule="auto"/>
              <w:jc w:val="both"/>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1、一体化机柜：机柜尺寸：90cm（长）X60cm（宽）X1.5m（高），</w:t>
            </w:r>
          </w:p>
          <w:p w14:paraId="40E02BEB">
            <w:pPr>
              <w:widowControl w:val="0"/>
              <w:spacing w:line="276" w:lineRule="auto"/>
              <w:ind w:firstLine="210" w:firstLineChars="100"/>
              <w:jc w:val="both"/>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产品承重：≥90KG，产品材质：冷轧钢材，产品颜色：亮银色。                           </w:t>
            </w:r>
          </w:p>
          <w:p w14:paraId="74BF0440">
            <w:pPr>
              <w:widowControl w:val="0"/>
              <w:spacing w:line="276" w:lineRule="auto"/>
              <w:jc w:val="both"/>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2、AR互动系统主机：</w:t>
            </w:r>
          </w:p>
          <w:p w14:paraId="37115AB9">
            <w:pPr>
              <w:widowControl w:val="0"/>
              <w:spacing w:line="276" w:lineRule="auto"/>
              <w:jc w:val="left"/>
              <w:textAlignment w:val="baseline"/>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内存:16GB DDR4 3200Mhz  硬盘:512GB M.2 2280 PCIe 4.0  处理器:i5-12400F  显卡:NVDIA GTX 1660SUPER 6G  电源:310W  主机尺寸：长298mm*宽145mm*高340mm（13.6L） 无线键盘鼠标套装。     </w:t>
            </w:r>
            <w:r>
              <w:rPr>
                <w:rFonts w:hint="eastAsia" w:cs="宋体" w:asciiTheme="minorEastAsia" w:hAnsiTheme="minorEastAsia" w:eastAsiaTheme="minorEastAsia"/>
                <w:sz w:val="21"/>
                <w:szCs w:val="21"/>
              </w:rPr>
              <w:t xml:space="preserve">                                                                                                          3、人体捕捉摄像头：</w:t>
            </w:r>
          </w:p>
          <w:p w14:paraId="0A29D7D5">
            <w:pPr>
              <w:widowControl w:val="0"/>
              <w:spacing w:line="276" w:lineRule="auto"/>
              <w:jc w:val="left"/>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产品尺寸：250mm（长）X85mm（宽）X65mm（高），产品毛重约：1.25KG，1080P高清视频，主动式红外检测，识别6人、25个骨骼点，拇指追踪，零点平衡麦克风。                                                                                                                                  4、显示屏：</w:t>
            </w:r>
          </w:p>
          <w:p w14:paraId="0CD9FF8C">
            <w:pPr>
              <w:widowControl w:val="0"/>
              <w:spacing w:line="276" w:lineRule="auto"/>
              <w:jc w:val="left"/>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屏幕尺寸：≥75英寸，亮度：200-300尼特，屏幕比例：16:9，屏幕分辨率：超高清4K，</w:t>
            </w:r>
          </w:p>
          <w:p w14:paraId="3175C55F">
            <w:pPr>
              <w:widowControl w:val="0"/>
              <w:spacing w:line="276" w:lineRule="auto"/>
              <w:jc w:val="left"/>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CPU核心数：四核，存储内存：8GB，HDR显示：不支持HDR，色域标准：DCI-P3。</w:t>
            </w:r>
          </w:p>
          <w:p w14:paraId="4E07E60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二、AR党建互动魔屏系统</w:t>
            </w:r>
          </w:p>
          <w:p w14:paraId="37391730">
            <w:pPr>
              <w:widowControl w:val="0"/>
              <w:spacing w:line="276" w:lineRule="auto"/>
              <w:ind w:firstLine="420" w:firstLineChars="200"/>
              <w:jc w:val="left"/>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该软件使用的是</w:t>
            </w:r>
            <w:r>
              <w:rPr>
                <w:rFonts w:cs="宋体" w:asciiTheme="minorEastAsia" w:hAnsiTheme="minorEastAsia" w:eastAsiaTheme="minorEastAsia"/>
                <w:sz w:val="21"/>
                <w:szCs w:val="21"/>
              </w:rPr>
              <w:t>结合Kinect体感器摄像头和Unity游戏引擎的技术。首先，通过Kinect摄像头获取用户的深度图像和骨骼动态，这些数据将被传输到Unity引擎进行处理。在Unity中，根据骨骼数据识别出人体的部位和动作，用于定位用户在虚拟环境中的位置和姿态。</w:t>
            </w:r>
          </w:p>
          <w:p w14:paraId="5524E400">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w:t>
            </w:r>
            <w:r>
              <w:rPr>
                <w:rFonts w:cs="宋体" w:asciiTheme="minorEastAsia" w:hAnsiTheme="minorEastAsia" w:eastAsiaTheme="minorEastAsia"/>
                <w:sz w:val="21"/>
                <w:szCs w:val="21"/>
              </w:rPr>
              <w:t>《入党宣誓》：</w:t>
            </w:r>
            <w:r>
              <w:rPr>
                <w:rFonts w:cs="宋体" w:asciiTheme="minorEastAsia" w:hAnsiTheme="minorEastAsia" w:eastAsiaTheme="minorEastAsia"/>
                <w:sz w:val="21"/>
                <w:szCs w:val="21"/>
              </w:rPr>
              <w:tab/>
            </w:r>
          </w:p>
          <w:p w14:paraId="1BFDA43A">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w:t>
            </w:r>
            <w:r>
              <w:rPr>
                <w:rFonts w:cs="宋体" w:asciiTheme="minorEastAsia" w:hAnsiTheme="minorEastAsia" w:eastAsiaTheme="minorEastAsia"/>
                <w:sz w:val="21"/>
                <w:szCs w:val="21"/>
              </w:rPr>
              <w:t>AR入党宣誓，面对党旗，右手握拳齐肩，许下庄严的入党誓言，扫码可取宣誓照片。</w:t>
            </w:r>
          </w:p>
          <w:p w14:paraId="3A36D0A8">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增强现实（AR）技术：使用AR技术，通过摄像头捕捉用户面对党旗的实时画面。当用户做出握拳动作时，系统识别该手势，并在虚拟环境中生成相应的动画效果，如党旗飘扬、誓言文字浮现等。</w:t>
            </w:r>
          </w:p>
          <w:p w14:paraId="6317810E">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骨骼跟踪与识别：利用Kinect的骨骼跟踪功能，识别用户的动作，确保握拳的高度与位置与虚拟环境中的动作相匹配。</w:t>
            </w:r>
          </w:p>
          <w:p w14:paraId="660C4719">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用户界面与交互设计：设计简洁的界面，引导用户完成宣誓流程，并提供扫描二维码获取宣誓照片的功能。</w:t>
            </w:r>
          </w:p>
          <w:p w14:paraId="4C6E32F8">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w:t>
            </w:r>
            <w:r>
              <w:rPr>
                <w:rFonts w:cs="宋体" w:asciiTheme="minorEastAsia" w:hAnsiTheme="minorEastAsia" w:eastAsiaTheme="minorEastAsia"/>
                <w:sz w:val="21"/>
                <w:szCs w:val="21"/>
              </w:rPr>
              <w:t>《习总书记的足迹》：</w:t>
            </w:r>
          </w:p>
          <w:p w14:paraId="1282C2F5">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介绍：通过一张中国地图，一起回顾习近平总书记的足迹</w:t>
            </w:r>
          </w:p>
          <w:p w14:paraId="7D4C97F0">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视频播放与上传：通过Unity的UI系统集成视频播放功能，允许用户上传自己的视频素材，并集成到地图上的相应位置。</w:t>
            </w:r>
          </w:p>
          <w:p w14:paraId="5F679B1A">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动态内容更新：设计后端服务，允许用户自行更新视频内容，并实时反映在地图上。</w:t>
            </w:r>
          </w:p>
          <w:p w14:paraId="306720AB">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w:t>
            </w:r>
            <w:r>
              <w:rPr>
                <w:rFonts w:cs="宋体" w:asciiTheme="minorEastAsia" w:hAnsiTheme="minorEastAsia" w:eastAsiaTheme="minorEastAsia"/>
                <w:sz w:val="21"/>
                <w:szCs w:val="21"/>
              </w:rPr>
              <w:t>《强国之路AR拍照》与《重走长征路AR拍照》：</w:t>
            </w:r>
          </w:p>
          <w:p w14:paraId="09C780EB">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介绍：通过换装体验红军及三军服饰，还能融合生成专属自己的穿越照，实现每一个人的重走长征路及军旅梦。</w:t>
            </w:r>
          </w:p>
          <w:p w14:paraId="497FAEB8">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3D服装建模与纹理映射：使用3D建模软件创建红军和三军的服装模型，并为其添加逼真的纹理和细节。</w:t>
            </w:r>
          </w:p>
          <w:p w14:paraId="376C3A30">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实时动画与骨骼绑定：使用Kinect骨骼数据实时驱动虚拟服装的动画效果，确保服装随着用户的动作而变化。</w:t>
            </w:r>
          </w:p>
          <w:p w14:paraId="0E0DDD79">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抠图与合成技术：使用图像处理技术将用户从背景中分离出来，并与虚拟服装进行合成。</w:t>
            </w:r>
          </w:p>
          <w:p w14:paraId="6D88E41F">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用户交互设计：设计简洁的界面，允许用户选择服装、拍照并保存照片。</w:t>
            </w:r>
          </w:p>
          <w:p w14:paraId="16ECFDDF">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w:t>
            </w:r>
            <w:r>
              <w:rPr>
                <w:rFonts w:cs="宋体" w:asciiTheme="minorEastAsia" w:hAnsiTheme="minorEastAsia" w:eastAsiaTheme="minorEastAsia"/>
                <w:sz w:val="21"/>
                <w:szCs w:val="21"/>
              </w:rPr>
              <w:t>《穿越党史墙互动游戏》：</w:t>
            </w:r>
          </w:p>
          <w:p w14:paraId="49824A9C">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介绍：通过穿越墙来了趣味党史互动，在体感冲关中学习重温历史</w:t>
            </w:r>
          </w:p>
          <w:p w14:paraId="7EA21DF3">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AR墙设计：使用AR技术创建一个虚拟的“党史墙”，允许用户与之互动。</w:t>
            </w:r>
          </w:p>
          <w:p w14:paraId="370A9FDA">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题库管理：设计后端服务，允许管理员添加、修改和删除题目。</w:t>
            </w:r>
          </w:p>
          <w:p w14:paraId="761D4CB2">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多人互动与实时答题：使用Unity的</w:t>
            </w:r>
            <w:r>
              <w:rPr>
                <w:rFonts w:hint="eastAsia" w:cs="宋体" w:asciiTheme="minorEastAsia" w:hAnsiTheme="minorEastAsia" w:eastAsiaTheme="minorEastAsia"/>
                <w:sz w:val="21"/>
                <w:szCs w:val="21"/>
              </w:rPr>
              <w:t>多人</w:t>
            </w:r>
            <w:r>
              <w:rPr>
                <w:rFonts w:cs="宋体" w:asciiTheme="minorEastAsia" w:hAnsiTheme="minorEastAsia" w:eastAsiaTheme="minorEastAsia"/>
                <w:sz w:val="21"/>
                <w:szCs w:val="21"/>
              </w:rPr>
              <w:t>功能，允许多个玩家同时参与答题，并实时显示答题结果。</w:t>
            </w:r>
          </w:p>
          <w:p w14:paraId="0FA5FB48">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w:t>
            </w:r>
            <w:r>
              <w:rPr>
                <w:rFonts w:cs="宋体" w:asciiTheme="minorEastAsia" w:hAnsiTheme="minorEastAsia" w:eastAsiaTheme="minorEastAsia"/>
                <w:sz w:val="21"/>
                <w:szCs w:val="21"/>
              </w:rPr>
              <w:t>《体感红色漫画》：</w:t>
            </w:r>
          </w:p>
          <w:p w14:paraId="3A1287A3">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图像识别与抠像处理：利用图像处理技术识别用户图像并从背景中抠出。</w:t>
            </w:r>
          </w:p>
          <w:p w14:paraId="2D29F896">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风格转换与漫画效果：通过图像处理算法将真实图像转换为漫画风格，并融合到红色漫画背景中。</w:t>
            </w:r>
          </w:p>
          <w:p w14:paraId="056B75E9">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实时渲染与合成：在用户的设备上实时渲染合成后的图像，为用户提供即时的体验反馈。</w:t>
            </w:r>
          </w:p>
          <w:p w14:paraId="75F4369D">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介绍：通过抠像的形式将人物融入到革命漫画中。并且将人物画面风格做漫画效果处理，使得抠像人物与漫画融为一体，让你体验亲自”参演”红色动漫的感觉。</w:t>
            </w:r>
          </w:p>
          <w:p w14:paraId="1B153CDB">
            <w:pPr>
              <w:widowControl/>
              <w:tabs>
                <w:tab w:val="left" w:pos="360"/>
              </w:tabs>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安全与隐私保护：</w:t>
            </w:r>
          </w:p>
          <w:p w14:paraId="47251821">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数据加密传输：确保用户数据在传输过程中进行加密处理，防止数据泄露。</w:t>
            </w:r>
          </w:p>
          <w:p w14:paraId="237D6241">
            <w:pPr>
              <w:widowControl/>
              <w:numPr>
                <w:ilvl w:val="0"/>
                <w:numId w:val="9"/>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★为保证内容的权威准确性，需提供售后服务承诺函和技术指标确认函并加盖公章。</w:t>
            </w:r>
          </w:p>
          <w:p w14:paraId="76C01157">
            <w:pPr>
              <w:pStyle w:val="2"/>
              <w:widowControl w:val="0"/>
              <w:ind w:firstLine="0"/>
              <w:jc w:val="both"/>
            </w:pPr>
            <w:r>
              <w:rPr>
                <w:rFonts w:hint="eastAsia"/>
              </w:rPr>
              <w:t>7、</w:t>
            </w:r>
            <w:r>
              <w:rPr>
                <w:rFonts w:hint="eastAsia" w:cs="宋体" w:asciiTheme="minorEastAsia" w:hAnsiTheme="minorEastAsia" w:eastAsiaTheme="minorEastAsia"/>
                <w:sz w:val="21"/>
                <w:szCs w:val="21"/>
              </w:rPr>
              <w:t>所有</w:t>
            </w:r>
            <w:r>
              <w:rPr>
                <w:rFonts w:hint="eastAsia" w:cs="宋体" w:asciiTheme="minorEastAsia" w:hAnsiTheme="minorEastAsia" w:eastAsiaTheme="minorEastAsia"/>
                <w:kern w:val="2"/>
                <w:sz w:val="21"/>
                <w:szCs w:val="21"/>
              </w:rPr>
              <w:t>★项必须满足，否则投标无效。</w:t>
            </w:r>
          </w:p>
        </w:tc>
        <w:tc>
          <w:tcPr>
            <w:tcW w:w="600" w:type="dxa"/>
          </w:tcPr>
          <w:p w14:paraId="3290E928">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1台</w:t>
            </w:r>
          </w:p>
        </w:tc>
        <w:tc>
          <w:tcPr>
            <w:tcW w:w="960" w:type="dxa"/>
            <w:shd w:val="clear" w:color="auto" w:fill="auto"/>
            <w:vAlign w:val="center"/>
          </w:tcPr>
          <w:p w14:paraId="1D468CDE">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88000</w:t>
            </w:r>
          </w:p>
        </w:tc>
        <w:tc>
          <w:tcPr>
            <w:tcW w:w="1167" w:type="dxa"/>
            <w:shd w:val="clear" w:color="auto" w:fill="auto"/>
            <w:vAlign w:val="center"/>
          </w:tcPr>
          <w:p w14:paraId="74E81892">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88000</w:t>
            </w:r>
          </w:p>
        </w:tc>
      </w:tr>
      <w:tr w14:paraId="4B97B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465C16F7">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5</w:t>
            </w:r>
          </w:p>
        </w:tc>
        <w:tc>
          <w:tcPr>
            <w:tcW w:w="434" w:type="dxa"/>
          </w:tcPr>
          <w:p w14:paraId="37A899D2">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智慧组合桌椅</w:t>
            </w:r>
          </w:p>
        </w:tc>
        <w:tc>
          <w:tcPr>
            <w:tcW w:w="6481" w:type="dxa"/>
          </w:tcPr>
          <w:p w14:paraId="4FA1867D">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智慧课桌：</w:t>
            </w:r>
          </w:p>
          <w:p w14:paraId="0B1702D6">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1.桌面：E1级高密度板台面，厚度为25MM，内材经过防虫、防腐的化学处理，强度高、钢性好、不变形、比重合理；封边：PVC胶边；游离甲醛释放量优于国家标准，密度≥750公斤/立方米，游离甲醛含量≤8mg/100g；</w:t>
            </w:r>
          </w:p>
          <w:p w14:paraId="78BD414A">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2.桌架：1.2-1.5mm厚蛋管冷轧钢立柱，1.0mm冷轧钢横梁，表面高温静电喷涂；</w:t>
            </w:r>
          </w:p>
          <w:p w14:paraId="7B5E5274">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3.书网：材料为0.7mm冷轧钢架，表面高温静电喷涂；</w:t>
            </w:r>
          </w:p>
          <w:p w14:paraId="538F13D3">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4.挡板：挡板E1级高密度板采用12MM，内材经过防虫、防腐的化学处理，强度高、钢性好、不变形、比重合理；封边：PVC胶边；游离甲醛释放量优于国家标准，密度≥750公斤/立方米，游离甲醛含量≤8mg/100g；</w:t>
            </w:r>
          </w:p>
          <w:p w14:paraId="22E9B5F5">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5.脚轮：可调节高低，两个带刹车轮，两个不带刹车，方便用户随时调节桌面平整；</w:t>
            </w:r>
          </w:p>
          <w:p w14:paraId="7E6E4A7F">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6.折叠：整个桌子可90度折叠，节省空间；</w:t>
            </w:r>
          </w:p>
          <w:p w14:paraId="58579C32">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7.木板颜色：多色可选或提供样品色定制；</w:t>
            </w:r>
          </w:p>
          <w:p w14:paraId="311B9E3E">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8.平衡码（选配）：1.可固定拼接、整体移动；2.可固定桌面平整；                                                                                              </w:t>
            </w:r>
          </w:p>
          <w:p w14:paraId="27FAE9D7">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9.采用人体工程理念及个性化需求，整件产品拼接好，接缝齐整，整体颜色基本相符，过渡自然；台架有旋转折叠装置，脚轮采用的2.5” PU万向脚轮带刹车，造型美观大方，有现代特色；</w:t>
            </w:r>
          </w:p>
          <w:p w14:paraId="105E4478">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10.产品尺寸（单位mm）:  扇形：六拼直径1500mm，单人位：720*535*750mm。（公差±5mm）                                                                                                                                                                                                  13、★投标智慧组合桌配件，GB 18584-2001 甲醛释放量、可溶性重金属含量、挥发性有机化合物（VOC）含量、（铅/镉/汞/六价铬）全部检测合格，提供由</w:t>
            </w:r>
            <w:r>
              <w:rPr>
                <w:rFonts w:hint="eastAsia" w:cs="宋体" w:asciiTheme="minorEastAsia" w:hAnsiTheme="minorEastAsia" w:eastAsiaTheme="minorEastAsia"/>
                <w:sz w:val="21"/>
                <w:szCs w:val="21"/>
                <w:lang w:val="en-US" w:eastAsia="zh-CN"/>
              </w:rPr>
              <w:t>第三方</w:t>
            </w:r>
            <w:r>
              <w:rPr>
                <w:rFonts w:hint="eastAsia" w:cs="宋体" w:asciiTheme="minorEastAsia" w:hAnsiTheme="minorEastAsia" w:eastAsiaTheme="minorEastAsia"/>
                <w:sz w:val="21"/>
                <w:szCs w:val="21"/>
              </w:rPr>
              <w:t xml:space="preserve">机构出具的检测报告（盖红章复印件原件）                                                                                                                                                                                                             </w:t>
            </w:r>
            <w:r>
              <w:rPr>
                <w:rFonts w:cs="宋体" w:asciiTheme="minorEastAsia" w:hAnsiTheme="minorEastAsia" w:eastAsiaTheme="minorEastAsia"/>
                <w:sz w:val="21"/>
                <w:szCs w:val="21"/>
              </w:rPr>
              <w:t xml:space="preserve">                                                                      </w:t>
            </w:r>
          </w:p>
          <w:p w14:paraId="0EE4AE3C">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14、★为保证产品的品质稳定性，要求生产厂家通过GB/T 27922-2011《商品售后服务评价体系》认证，认证范围涵盖：教学设备（电子讲台、智慧教室课桌椅）的生产售后服务。提供证书（盖红章复印件原件）；</w:t>
            </w:r>
          </w:p>
          <w:p w14:paraId="2F428F83">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学生椅：</w:t>
            </w:r>
          </w:p>
          <w:p w14:paraId="57D108AA">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1.面料，采用优质华宇网布面料，防磨防污性好；颜色可选，背架全新进口PA+30%玻纤；</w:t>
            </w:r>
          </w:p>
          <w:p w14:paraId="25500EC8">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2.辅料：采用优于或等于45#高密度、高弹力定型海绵，可防氧化、防碎，软硬适中，回弹性良好，不易变形；</w:t>
            </w:r>
          </w:p>
          <w:p w14:paraId="7D5AF9AF">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3.扶手：PA+30%玻纤扶手、耐磨；</w:t>
            </w:r>
          </w:p>
          <w:p w14:paraId="0E753DC4">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4.架子：32.5*20.5*T1.5mm厚，Q235碳素钢；</w:t>
            </w:r>
          </w:p>
          <w:p w14:paraId="0292FFC2">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5.功能：座板可翻起、可全折叠；</w:t>
            </w:r>
          </w:p>
          <w:p w14:paraId="0839E208">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6.产品尺寸：L610*W555*H835；</w:t>
            </w:r>
          </w:p>
          <w:p w14:paraId="751965FF">
            <w:pPr>
              <w:pStyle w:val="2"/>
              <w:widowControl w:val="0"/>
              <w:ind w:firstLine="0"/>
              <w:jc w:val="both"/>
              <w:rPr>
                <w:rFonts w:eastAsiaTheme="minorEastAsia"/>
              </w:rPr>
            </w:pPr>
            <w:r>
              <w:rPr>
                <w:rFonts w:hint="eastAsia" w:cs="宋体" w:asciiTheme="minorEastAsia" w:hAnsiTheme="minorEastAsia" w:eastAsiaTheme="minorEastAsia"/>
                <w:sz w:val="21"/>
                <w:szCs w:val="21"/>
              </w:rPr>
              <w:t>7、所有</w:t>
            </w:r>
            <w:r>
              <w:rPr>
                <w:rFonts w:hint="eastAsia" w:cs="宋体" w:asciiTheme="minorEastAsia" w:hAnsiTheme="minorEastAsia" w:eastAsiaTheme="minorEastAsia"/>
                <w:kern w:val="2"/>
                <w:sz w:val="21"/>
                <w:szCs w:val="21"/>
              </w:rPr>
              <w:t>★项必须满足，否则投标无效。</w:t>
            </w:r>
          </w:p>
        </w:tc>
        <w:tc>
          <w:tcPr>
            <w:tcW w:w="600" w:type="dxa"/>
          </w:tcPr>
          <w:p w14:paraId="14A816E3">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24套</w:t>
            </w:r>
          </w:p>
        </w:tc>
        <w:tc>
          <w:tcPr>
            <w:tcW w:w="960" w:type="dxa"/>
            <w:shd w:val="clear" w:color="auto" w:fill="auto"/>
            <w:vAlign w:val="center"/>
          </w:tcPr>
          <w:p w14:paraId="5E2EB0C1">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1050</w:t>
            </w:r>
          </w:p>
        </w:tc>
        <w:tc>
          <w:tcPr>
            <w:tcW w:w="1167" w:type="dxa"/>
          </w:tcPr>
          <w:p w14:paraId="67C2938D">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25200</w:t>
            </w:r>
          </w:p>
        </w:tc>
      </w:tr>
      <w:tr w14:paraId="58BE6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0" w:hRule="atLeast"/>
          <w:jc w:val="center"/>
        </w:trPr>
        <w:tc>
          <w:tcPr>
            <w:tcW w:w="426" w:type="dxa"/>
          </w:tcPr>
          <w:p w14:paraId="1158A987">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6</w:t>
            </w:r>
          </w:p>
        </w:tc>
        <w:tc>
          <w:tcPr>
            <w:tcW w:w="434" w:type="dxa"/>
          </w:tcPr>
          <w:p w14:paraId="037B1C46">
            <w:pPr>
              <w:widowControl w:val="0"/>
              <w:spacing w:line="276" w:lineRule="auto"/>
              <w:jc w:val="both"/>
              <w:rPr>
                <w:rFonts w:hint="eastAsia" w:asciiTheme="minorEastAsia" w:hAnsiTheme="minorEastAsia" w:eastAsiaTheme="minorEastAsia"/>
                <w:sz w:val="21"/>
                <w:szCs w:val="21"/>
              </w:rPr>
            </w:pPr>
            <w:r>
              <w:rPr>
                <w:rFonts w:asciiTheme="minorEastAsia" w:hAnsiTheme="minorEastAsia" w:eastAsiaTheme="minorEastAsia"/>
                <w:sz w:val="21"/>
                <w:szCs w:val="21"/>
              </w:rPr>
              <w:t>声学</w:t>
            </w:r>
            <w:r>
              <w:rPr>
                <w:rFonts w:hint="eastAsia" w:asciiTheme="minorEastAsia" w:hAnsiTheme="minorEastAsia" w:eastAsiaTheme="minorEastAsia"/>
                <w:sz w:val="21"/>
                <w:szCs w:val="21"/>
              </w:rPr>
              <w:t>灯光</w:t>
            </w:r>
            <w:r>
              <w:rPr>
                <w:rFonts w:asciiTheme="minorEastAsia" w:hAnsiTheme="minorEastAsia" w:eastAsiaTheme="minorEastAsia"/>
                <w:sz w:val="21"/>
                <w:szCs w:val="21"/>
              </w:rPr>
              <w:t>处理及</w:t>
            </w:r>
            <w:r>
              <w:rPr>
                <w:rFonts w:hint="eastAsia" w:asciiTheme="minorEastAsia" w:hAnsiTheme="minorEastAsia" w:eastAsiaTheme="minorEastAsia"/>
                <w:sz w:val="21"/>
                <w:szCs w:val="21"/>
              </w:rPr>
              <w:t>文化墙展示</w:t>
            </w:r>
          </w:p>
          <w:p w14:paraId="2C45B4A2">
            <w:pPr>
              <w:widowControl w:val="0"/>
              <w:spacing w:line="276" w:lineRule="auto"/>
              <w:jc w:val="center"/>
              <w:rPr>
                <w:rFonts w:hint="eastAsia" w:asciiTheme="minorEastAsia" w:hAnsiTheme="minorEastAsia" w:eastAsiaTheme="minorEastAsia"/>
                <w:sz w:val="21"/>
                <w:szCs w:val="21"/>
              </w:rPr>
            </w:pPr>
          </w:p>
        </w:tc>
        <w:tc>
          <w:tcPr>
            <w:tcW w:w="6481" w:type="dxa"/>
          </w:tcPr>
          <w:p w14:paraId="572F1A99">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1、地面处理：</w:t>
            </w:r>
          </w:p>
          <w:p w14:paraId="35A361E2">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（1）塑胶地板：采用≥2.0mm厚的运动静音胶垫，采用主要原料为聚氯乙烯，符合国家环保要求，耐磨，有效降低噪音，噪音NR&lt;30dB，混响时间T60&lt;0.6s，PVC塑胶地板。60㎡。</w:t>
            </w:r>
          </w:p>
          <w:p w14:paraId="30AC1C24">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（2）自流平：地面找平(1-3mm） 60㎡。</w:t>
            </w:r>
          </w:p>
          <w:p w14:paraId="5FF68B1B">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2、棚面处理：</w:t>
            </w:r>
          </w:p>
          <w:p w14:paraId="69430584">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矿棉板吊棚：采用不锈钢龙骨吊件，使用600mmX600mm矿棉板吊顶。工艺要求：吊顶的标高要严格控制，拉出通直线，保证吊顶面的平整度；与主体结构及龙骨之间连接固定牢靠；接口严密，板缝顺直，无错台错位，阴阳角收边方正；表面整洁无污迹，无翘曲变形，镀膜完好。60㎡。</w:t>
            </w:r>
          </w:p>
          <w:p w14:paraId="7728D6B7">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（2）矿棉板灯： 尺寸：600mm/600mm，功率:40W，额定相关色温:5000K。9个。</w:t>
            </w:r>
          </w:p>
          <w:p w14:paraId="39C77B9C">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3、文化墙展示墙：石膏板造型配合2㎜厚度亚克力UV背喷和14㎜厚度白色雪弗板。10——15㎡，具体根据教室实际情况实施。</w:t>
            </w:r>
          </w:p>
          <w:p w14:paraId="47175B9A">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4、窗帘:①双层，内层纱、外层布。②与环境色调配适度佳。</w:t>
            </w:r>
          </w:p>
          <w:p w14:paraId="0F5CBD45">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5、水平垂直运输、防护及保洁、辅助线材等。</w:t>
            </w:r>
          </w:p>
          <w:p w14:paraId="17381725">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6、其他:所有设备和线路的安装、运输及调试，窗帘安装等。</w:t>
            </w:r>
          </w:p>
          <w:p w14:paraId="3024FD5B">
            <w:pPr>
              <w:widowControl w:val="0"/>
              <w:spacing w:line="276" w:lineRule="auto"/>
              <w:jc w:val="center"/>
              <w:rPr>
                <w:rFonts w:hint="eastAsia" w:asciiTheme="minorEastAsia" w:hAnsiTheme="minorEastAsia" w:eastAsiaTheme="minorEastAsia"/>
                <w:sz w:val="21"/>
                <w:szCs w:val="21"/>
              </w:rPr>
            </w:pPr>
          </w:p>
        </w:tc>
        <w:tc>
          <w:tcPr>
            <w:tcW w:w="600" w:type="dxa"/>
          </w:tcPr>
          <w:p w14:paraId="752769F8">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1项</w:t>
            </w:r>
          </w:p>
        </w:tc>
        <w:tc>
          <w:tcPr>
            <w:tcW w:w="960" w:type="dxa"/>
            <w:shd w:val="clear" w:color="auto" w:fill="auto"/>
            <w:vAlign w:val="center"/>
          </w:tcPr>
          <w:p w14:paraId="6924A4D8">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32000</w:t>
            </w:r>
          </w:p>
        </w:tc>
        <w:tc>
          <w:tcPr>
            <w:tcW w:w="1167" w:type="dxa"/>
            <w:shd w:val="clear" w:color="auto" w:fill="auto"/>
            <w:vAlign w:val="center"/>
          </w:tcPr>
          <w:p w14:paraId="27B78FB5">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32000</w:t>
            </w:r>
          </w:p>
        </w:tc>
      </w:tr>
      <w:tr w14:paraId="08E7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068" w:type="dxa"/>
            <w:gridSpan w:val="6"/>
          </w:tcPr>
          <w:p w14:paraId="51C8C988">
            <w:pPr>
              <w:widowControl/>
              <w:jc w:val="center"/>
              <w:textAlignment w:val="center"/>
              <w:rPr>
                <w:rFonts w:hint="eastAsia" w:ascii="宋体" w:hAnsi="宋体" w:cs="宋体"/>
                <w:color w:val="000000"/>
                <w:kern w:val="0"/>
                <w:sz w:val="24"/>
                <w:szCs w:val="24"/>
                <w:lang w:bidi="ar"/>
              </w:rPr>
            </w:pPr>
            <w:r>
              <w:rPr>
                <w:rFonts w:hint="eastAsia" w:asciiTheme="minorEastAsia" w:hAnsiTheme="minorEastAsia" w:eastAsiaTheme="minorEastAsia"/>
                <w:sz w:val="21"/>
                <w:szCs w:val="21"/>
              </w:rPr>
              <w:t>总计：490000元（肆拾玖万元）</w:t>
            </w:r>
          </w:p>
        </w:tc>
      </w:tr>
    </w:tbl>
    <w:p w14:paraId="0004A87C">
      <w:pPr>
        <w:spacing w:before="174" w:line="221" w:lineRule="auto"/>
        <w:rPr>
          <w:rFonts w:hint="default" w:ascii="宋体" w:hAnsi="宋体" w:eastAsia="宋体" w:cs="宋体"/>
          <w:color w:val="auto"/>
          <w:spacing w:val="7"/>
          <w:sz w:val="24"/>
          <w:szCs w:val="24"/>
          <w:lang w:val="en-US" w:eastAsia="zh-CN"/>
        </w:rPr>
      </w:pPr>
      <w:r>
        <w:rPr>
          <w:rFonts w:hint="eastAsia" w:ascii="宋体" w:hAnsi="宋体" w:eastAsia="宋体" w:cs="宋体"/>
          <w:b/>
          <w:bCs/>
          <w:color w:val="auto"/>
          <w:spacing w:val="7"/>
          <w:sz w:val="24"/>
          <w:szCs w:val="24"/>
          <w:lang w:val="en-US" w:eastAsia="zh-CN"/>
        </w:rPr>
        <w:t>注：</w:t>
      </w:r>
      <w:r>
        <w:rPr>
          <w:rFonts w:hint="eastAsia" w:ascii="宋体" w:hAnsi="宋体" w:eastAsia="宋体" w:cs="宋体"/>
          <w:color w:val="auto"/>
          <w:spacing w:val="7"/>
          <w:sz w:val="24"/>
          <w:szCs w:val="24"/>
          <w:lang w:eastAsia="zh-CN"/>
        </w:rPr>
        <w:t>为确保所投产品符合技术要求，中标公司需在中标之日起七个工作日之内，按照采购人要求在指定地点提供产品现场演示，演示合格确认无误。如内容无法完全满足，则视为无效中标，</w:t>
      </w:r>
      <w:r>
        <w:rPr>
          <w:rFonts w:hint="eastAsia" w:ascii="宋体" w:hAnsi="宋体" w:eastAsia="宋体" w:cs="宋体"/>
          <w:color w:val="auto"/>
          <w:spacing w:val="7"/>
          <w:sz w:val="24"/>
          <w:szCs w:val="24"/>
          <w:lang w:val="en-US" w:eastAsia="zh-CN"/>
        </w:rPr>
        <w:t>中标人顺延或重新组织招标。</w:t>
      </w:r>
    </w:p>
    <w:p w14:paraId="2541E93B">
      <w:pPr>
        <w:numPr>
          <w:ilvl w:val="0"/>
          <w:numId w:val="12"/>
        </w:numPr>
        <w:spacing w:before="207" w:line="420" w:lineRule="exact"/>
        <w:ind w:left="4"/>
        <w:rPr>
          <w:rFonts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交货地点：</w:t>
      </w:r>
      <w:r>
        <w:rPr>
          <w:rFonts w:hint="eastAsia" w:ascii="宋体" w:hAnsi="宋体"/>
          <w:color w:val="000000"/>
          <w:sz w:val="24"/>
          <w:szCs w:val="24"/>
          <w:lang w:eastAsia="zh-CN"/>
        </w:rPr>
        <w:t>黑河市职业技术教育中心学校</w:t>
      </w:r>
    </w:p>
    <w:p w14:paraId="1A92A8BB">
      <w:pPr>
        <w:numPr>
          <w:ilvl w:val="0"/>
          <w:numId w:val="12"/>
        </w:numPr>
        <w:spacing w:before="207" w:line="420" w:lineRule="exact"/>
        <w:ind w:left="4"/>
        <w:rPr>
          <w:rFonts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合同履行期限：签订</w:t>
      </w:r>
      <w:r>
        <w:rPr>
          <w:rFonts w:hint="eastAsia" w:ascii="宋体" w:hAnsi="宋体" w:eastAsia="宋体" w:cs="宋体"/>
          <w:color w:val="auto"/>
          <w:spacing w:val="2"/>
          <w:sz w:val="24"/>
          <w:szCs w:val="24"/>
          <w:lang w:val="en-US" w:eastAsia="zh-CN"/>
        </w:rPr>
        <w:t>合同</w:t>
      </w:r>
      <w:r>
        <w:rPr>
          <w:rFonts w:hint="eastAsia" w:ascii="宋体" w:hAnsi="宋体" w:eastAsia="宋体" w:cs="宋体"/>
          <w:color w:val="auto"/>
          <w:spacing w:val="2"/>
          <w:sz w:val="24"/>
          <w:szCs w:val="24"/>
          <w:lang w:eastAsia="zh-CN"/>
        </w:rPr>
        <w:t>后30日内完成</w:t>
      </w:r>
      <w:r>
        <w:rPr>
          <w:rFonts w:hint="eastAsia" w:ascii="宋体" w:hAnsi="宋体" w:eastAsia="宋体" w:cs="宋体"/>
          <w:color w:val="auto"/>
          <w:spacing w:val="2"/>
          <w:sz w:val="24"/>
          <w:szCs w:val="24"/>
          <w:lang w:val="en-US" w:eastAsia="zh-CN"/>
        </w:rPr>
        <w:t>供货</w:t>
      </w:r>
    </w:p>
    <w:p w14:paraId="04EA2D26">
      <w:pPr>
        <w:spacing w:before="164" w:line="221" w:lineRule="auto"/>
        <w:ind w:left="3"/>
        <w:rPr>
          <w:rFonts w:cs="宋体" w:asciiTheme="minorEastAsia" w:hAnsiTheme="minorEastAsia" w:eastAsiaTheme="minorEastAsia"/>
          <w:color w:val="auto"/>
          <w:sz w:val="24"/>
          <w:szCs w:val="24"/>
          <w:lang w:eastAsia="zh-CN"/>
        </w:rPr>
      </w:pPr>
      <w:r>
        <w:rPr>
          <w:rFonts w:hint="eastAsia" w:ascii="宋体" w:hAnsi="宋体" w:eastAsia="宋体" w:cs="宋体"/>
          <w:color w:val="auto"/>
          <w:spacing w:val="11"/>
          <w:sz w:val="24"/>
          <w:szCs w:val="24"/>
          <w:lang w:eastAsia="zh-CN"/>
        </w:rPr>
        <w:t>七、</w:t>
      </w:r>
      <w:r>
        <w:rPr>
          <w:rFonts w:hint="eastAsia" w:cs="宋体" w:asciiTheme="minorEastAsia" w:hAnsiTheme="minorEastAsia" w:eastAsiaTheme="minorEastAsia"/>
          <w:color w:val="auto"/>
          <w:spacing w:val="11"/>
          <w:sz w:val="24"/>
          <w:szCs w:val="24"/>
          <w:lang w:eastAsia="zh-CN"/>
        </w:rPr>
        <w:t>参加竞争性谈判的供应商要求：</w:t>
      </w:r>
    </w:p>
    <w:p w14:paraId="21A28DF3">
      <w:pPr>
        <w:widowControl w:val="0"/>
        <w:kinsoku/>
        <w:autoSpaceDE/>
        <w:autoSpaceDN/>
        <w:adjustRightInd/>
        <w:snapToGrid/>
        <w:ind w:firstLine="480" w:firstLineChars="200"/>
        <w:jc w:val="both"/>
        <w:textAlignment w:val="auto"/>
        <w:rPr>
          <w:rFonts w:cs="Times New Roman" w:asciiTheme="minorEastAsia" w:hAnsiTheme="minorEastAsia" w:eastAsiaTheme="minorEastAsia"/>
          <w:snapToGrid/>
          <w:color w:val="auto"/>
          <w:kern w:val="2"/>
          <w:sz w:val="24"/>
          <w:szCs w:val="24"/>
          <w:lang w:eastAsia="zh-CN"/>
        </w:rPr>
      </w:pPr>
      <w:r>
        <w:rPr>
          <w:rFonts w:hint="eastAsia" w:cs="Times New Roman" w:asciiTheme="minorEastAsia" w:hAnsiTheme="minorEastAsia" w:eastAsiaTheme="minorEastAsia"/>
          <w:snapToGrid/>
          <w:color w:val="auto"/>
          <w:kern w:val="2"/>
          <w:sz w:val="24"/>
          <w:szCs w:val="24"/>
          <w:lang w:eastAsia="zh-CN"/>
        </w:rPr>
        <w:t>供应商在资格审查时须提供：</w:t>
      </w:r>
    </w:p>
    <w:p w14:paraId="3ABC2F9E">
      <w:pPr>
        <w:widowControl w:val="0"/>
        <w:kinsoku/>
        <w:autoSpaceDE/>
        <w:autoSpaceDN/>
        <w:adjustRightInd/>
        <w:snapToGrid/>
        <w:ind w:firstLine="480" w:firstLineChars="200"/>
        <w:jc w:val="both"/>
        <w:textAlignment w:val="auto"/>
        <w:rPr>
          <w:rFonts w:cs="Times New Roman" w:asciiTheme="minorEastAsia" w:hAnsiTheme="minorEastAsia" w:eastAsiaTheme="minorEastAsia"/>
          <w:snapToGrid/>
          <w:color w:val="auto"/>
          <w:kern w:val="2"/>
          <w:sz w:val="24"/>
          <w:szCs w:val="24"/>
          <w:lang w:eastAsia="zh-CN"/>
        </w:rPr>
      </w:pPr>
      <w:r>
        <w:rPr>
          <w:rFonts w:hint="eastAsia" w:cs="Times New Roman" w:asciiTheme="minorEastAsia" w:hAnsiTheme="minorEastAsia" w:eastAsiaTheme="minorEastAsia"/>
          <w:snapToGrid/>
          <w:color w:val="auto"/>
          <w:kern w:val="2"/>
          <w:sz w:val="24"/>
          <w:szCs w:val="24"/>
          <w:lang w:eastAsia="zh-CN"/>
        </w:rPr>
        <w:t>1</w:t>
      </w:r>
      <w:r>
        <w:rPr>
          <w:rFonts w:cs="Times New Roman" w:asciiTheme="minorEastAsia" w:hAnsiTheme="minorEastAsia" w:eastAsiaTheme="minorEastAsia"/>
          <w:snapToGrid/>
          <w:color w:val="auto"/>
          <w:kern w:val="2"/>
          <w:sz w:val="24"/>
          <w:szCs w:val="24"/>
          <w:lang w:eastAsia="zh-CN"/>
        </w:rPr>
        <w:t>.</w:t>
      </w:r>
      <w:r>
        <w:rPr>
          <w:rFonts w:hint="eastAsia" w:cs="Times New Roman" w:asciiTheme="minorEastAsia" w:hAnsiTheme="minorEastAsia" w:eastAsiaTheme="minorEastAsia"/>
          <w:snapToGrid/>
          <w:color w:val="auto"/>
          <w:kern w:val="2"/>
          <w:sz w:val="24"/>
          <w:szCs w:val="24"/>
          <w:lang w:val="zh-CN" w:eastAsia="zh-CN"/>
        </w:rPr>
        <w:t>企业营业执照（正本或副本四证合一）（复印件加盖公章）</w:t>
      </w:r>
      <w:r>
        <w:rPr>
          <w:rFonts w:hint="eastAsia" w:cs="Times New Roman" w:asciiTheme="minorEastAsia" w:hAnsiTheme="minorEastAsia" w:eastAsiaTheme="minorEastAsia"/>
          <w:snapToGrid/>
          <w:color w:val="auto"/>
          <w:kern w:val="2"/>
          <w:sz w:val="24"/>
          <w:szCs w:val="24"/>
          <w:lang w:eastAsia="zh-CN"/>
        </w:rPr>
        <w:t>；</w:t>
      </w:r>
    </w:p>
    <w:p w14:paraId="7D12AD00">
      <w:pPr>
        <w:ind w:firstLine="480"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2</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val="zh-CN" w:eastAsia="zh-CN"/>
        </w:rPr>
        <w:t>基本账户开户许可证</w:t>
      </w:r>
      <w:r>
        <w:rPr>
          <w:rFonts w:hint="eastAsia" w:asciiTheme="minorEastAsia" w:hAnsiTheme="minorEastAsia" w:eastAsiaTheme="minorEastAsia"/>
          <w:color w:val="auto"/>
          <w:sz w:val="24"/>
          <w:szCs w:val="24"/>
          <w:lang w:eastAsia="zh-CN"/>
        </w:rPr>
        <w:t>或“基本存款账户信息”证明</w:t>
      </w:r>
      <w:r>
        <w:rPr>
          <w:rFonts w:hint="eastAsia" w:asciiTheme="minorEastAsia" w:hAnsiTheme="minorEastAsia" w:eastAsiaTheme="minorEastAsia"/>
          <w:color w:val="auto"/>
          <w:sz w:val="24"/>
          <w:szCs w:val="24"/>
          <w:lang w:val="zh-CN" w:eastAsia="zh-CN"/>
        </w:rPr>
        <w:t>（复印件加盖公章）</w:t>
      </w:r>
      <w:r>
        <w:rPr>
          <w:rFonts w:hint="eastAsia" w:asciiTheme="minorEastAsia" w:hAnsiTheme="minorEastAsia" w:eastAsiaTheme="minorEastAsia"/>
          <w:color w:val="auto"/>
          <w:sz w:val="24"/>
          <w:szCs w:val="24"/>
          <w:lang w:eastAsia="zh-CN"/>
        </w:rPr>
        <w:t>。</w:t>
      </w:r>
    </w:p>
    <w:p w14:paraId="000AF012">
      <w:pPr>
        <w:widowControl w:val="0"/>
        <w:kinsoku/>
        <w:snapToGrid/>
        <w:ind w:firstLine="480" w:firstLineChars="200"/>
        <w:textAlignment w:val="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3</w:t>
      </w:r>
      <w:r>
        <w:rPr>
          <w:rFonts w:asciiTheme="minorEastAsia" w:hAnsiTheme="minorEastAsia" w:eastAsiaTheme="minorEastAsia"/>
          <w:color w:val="auto"/>
          <w:sz w:val="24"/>
          <w:szCs w:val="24"/>
          <w:lang w:val="zh-CN" w:eastAsia="zh-CN"/>
        </w:rPr>
        <w:t>.</w:t>
      </w:r>
      <w:r>
        <w:rPr>
          <w:rFonts w:hint="eastAsia" w:asciiTheme="minorEastAsia" w:hAnsiTheme="minorEastAsia" w:eastAsiaTheme="minorEastAsia"/>
          <w:color w:val="auto"/>
          <w:sz w:val="24"/>
          <w:szCs w:val="24"/>
          <w:lang w:val="zh-CN" w:eastAsia="zh-CN"/>
        </w:rPr>
        <w:t>供应商必须具有良好的商业信誉和健全的财务会计制度（提供供应商资格承诺函）。</w:t>
      </w:r>
    </w:p>
    <w:p w14:paraId="0902074A">
      <w:pPr>
        <w:pStyle w:val="5"/>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4</w:t>
      </w:r>
      <w:r>
        <w:rPr>
          <w:rFonts w:asciiTheme="minorEastAsia" w:hAnsiTheme="minorEastAsia" w:eastAsiaTheme="minorEastAsia"/>
          <w:sz w:val="24"/>
          <w:szCs w:val="24"/>
        </w:rPr>
        <w:t>.</w:t>
      </w:r>
      <w:r>
        <w:rPr>
          <w:rFonts w:hint="eastAsia" w:asciiTheme="minorEastAsia" w:hAnsiTheme="minorEastAsia" w:eastAsiaTheme="minorEastAsia"/>
          <w:sz w:val="24"/>
          <w:szCs w:val="24"/>
          <w:lang w:val="zh-CN"/>
        </w:rPr>
        <w:t>参照投标（报价）函相关承诺格式内容。重大违法记录，是指供应商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p>
    <w:p w14:paraId="0526D14D">
      <w:pPr>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5</w:t>
      </w: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拟参加本项目的潜在供应商不得被最高人民法院在“信用中国”网站（www.creditchina.gov.cn）或各级信用信息共享平台中列入失信被执行人名单（提供竞争性磋商公告发布之日后网页打印盖单位公章），近三年若有被列入失信被执行人，投标将被拒绝采购将被拒绝，并由采购人或代理机构现场进行核查，并以现场核查结果为准。</w:t>
      </w:r>
    </w:p>
    <w:p w14:paraId="5EE10690">
      <w:pPr>
        <w:ind w:firstLine="480" w:firstLineChars="200"/>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en-US" w:eastAsia="zh-CN"/>
        </w:rPr>
        <w:t>6</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val="zh-CN" w:eastAsia="zh-CN"/>
        </w:rPr>
        <w:t>通过“中国政府采购网”（网址：http://www.ccgp.gov.cn/cr/list）核查供应商政府采购严重违法失信名单；（提供竞争性 磋商公告发布之日后查询结果网页截图盖单位公章），近三年列入：被禁止参加政府采购活动。严重违法失信名单采购将被拒绝，并由采购人或代理机构现场进行核查，并以现场核查结果为准。</w:t>
      </w:r>
    </w:p>
    <w:p w14:paraId="1E3A3531">
      <w:pPr>
        <w:ind w:firstLine="480"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7</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eastAsia="zh-CN"/>
        </w:rPr>
        <w:t>单位负责人为同一人或者存在直接控股、管理关系的不同供应商，不得参加同一合同项下的政府采购活动。</w:t>
      </w:r>
    </w:p>
    <w:p w14:paraId="1D43587F">
      <w:pPr>
        <w:ind w:firstLine="480"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除单一来源采购项目外，为采购项目提供整体设计、规范编制或者项目管理、监理、检测等服务的供应商，不得再参加该采购项目的其他采购活动。</w:t>
      </w:r>
    </w:p>
    <w:p w14:paraId="60D86885">
      <w:pPr>
        <w:spacing w:line="240" w:lineRule="atLeast"/>
        <w:rPr>
          <w:rFonts w:ascii="宋体" w:hAnsi="宋体" w:eastAsia="宋体" w:cs="宋体"/>
          <w:color w:val="auto"/>
          <w:sz w:val="24"/>
          <w:szCs w:val="24"/>
          <w:lang w:eastAsia="zh-CN"/>
        </w:rPr>
      </w:pPr>
      <w:r>
        <w:rPr>
          <w:rFonts w:hint="eastAsia" w:ascii="宋体" w:hAnsi="宋体" w:eastAsia="宋体" w:cs="宋体"/>
          <w:color w:val="auto"/>
          <w:spacing w:val="12"/>
          <w:sz w:val="24"/>
          <w:szCs w:val="24"/>
          <w:lang w:eastAsia="zh-CN"/>
        </w:rPr>
        <w:t>八、参与资格和竞争性谈判文件获取方式、时间及地点：</w:t>
      </w:r>
    </w:p>
    <w:p w14:paraId="7DFB1A45">
      <w:pPr>
        <w:spacing w:line="360" w:lineRule="auto"/>
        <w:ind w:firstLine="540"/>
        <w:rPr>
          <w:rFonts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t>时间：2024年</w:t>
      </w:r>
      <w:r>
        <w:rPr>
          <w:rFonts w:hint="eastAsia" w:ascii="宋体" w:hAnsi="宋体" w:eastAsia="宋体" w:cs="宋体"/>
          <w:color w:val="auto"/>
          <w:spacing w:val="3"/>
          <w:sz w:val="24"/>
          <w:szCs w:val="24"/>
          <w:lang w:val="en-US" w:eastAsia="zh-CN"/>
        </w:rPr>
        <w:t>7</w:t>
      </w:r>
      <w:r>
        <w:rPr>
          <w:rFonts w:hint="eastAsia" w:ascii="宋体" w:hAnsi="宋体" w:eastAsia="宋体" w:cs="宋体"/>
          <w:color w:val="auto"/>
          <w:spacing w:val="3"/>
          <w:sz w:val="24"/>
          <w:szCs w:val="24"/>
          <w:lang w:eastAsia="zh-CN"/>
        </w:rPr>
        <w:t>月2</w:t>
      </w:r>
      <w:r>
        <w:rPr>
          <w:rFonts w:hint="eastAsia" w:ascii="宋体" w:hAnsi="宋体" w:eastAsia="宋体" w:cs="宋体"/>
          <w:color w:val="auto"/>
          <w:spacing w:val="3"/>
          <w:sz w:val="24"/>
          <w:szCs w:val="24"/>
          <w:lang w:val="en-US" w:eastAsia="zh-CN"/>
        </w:rPr>
        <w:t>5</w:t>
      </w:r>
      <w:r>
        <w:rPr>
          <w:rFonts w:hint="eastAsia" w:ascii="宋体" w:hAnsi="宋体" w:eastAsia="宋体" w:cs="宋体"/>
          <w:color w:val="auto"/>
          <w:spacing w:val="3"/>
          <w:sz w:val="24"/>
          <w:szCs w:val="24"/>
          <w:lang w:eastAsia="zh-CN"/>
        </w:rPr>
        <w:t>日至2024年</w:t>
      </w:r>
      <w:r>
        <w:rPr>
          <w:rFonts w:hint="eastAsia" w:ascii="宋体" w:hAnsi="宋体" w:eastAsia="宋体" w:cs="宋体"/>
          <w:color w:val="auto"/>
          <w:spacing w:val="3"/>
          <w:sz w:val="24"/>
          <w:szCs w:val="24"/>
          <w:lang w:val="en-US" w:eastAsia="zh-CN"/>
        </w:rPr>
        <w:t>7</w:t>
      </w:r>
      <w:r>
        <w:rPr>
          <w:rFonts w:hint="eastAsia" w:ascii="宋体" w:hAnsi="宋体" w:eastAsia="宋体" w:cs="宋体"/>
          <w:color w:val="auto"/>
          <w:spacing w:val="3"/>
          <w:sz w:val="24"/>
          <w:szCs w:val="24"/>
          <w:lang w:eastAsia="zh-CN"/>
        </w:rPr>
        <w:t>月2</w:t>
      </w:r>
      <w:r>
        <w:rPr>
          <w:rFonts w:hint="eastAsia" w:ascii="宋体" w:hAnsi="宋体" w:eastAsia="宋体" w:cs="宋体"/>
          <w:color w:val="auto"/>
          <w:spacing w:val="3"/>
          <w:sz w:val="24"/>
          <w:szCs w:val="24"/>
          <w:lang w:val="en-US" w:eastAsia="zh-CN"/>
        </w:rPr>
        <w:t>9</w:t>
      </w:r>
      <w:r>
        <w:rPr>
          <w:rFonts w:hint="eastAsia" w:ascii="宋体" w:hAnsi="宋体" w:eastAsia="宋体" w:cs="宋体"/>
          <w:color w:val="auto"/>
          <w:spacing w:val="3"/>
          <w:sz w:val="24"/>
          <w:szCs w:val="24"/>
          <w:lang w:eastAsia="zh-CN"/>
        </w:rPr>
        <w:t>日，每天上午9时至下午17时（北京时间，</w:t>
      </w:r>
      <w:r>
        <w:rPr>
          <w:rFonts w:ascii="宋体" w:hAnsi="宋体" w:eastAsia="宋体" w:cs="宋体"/>
          <w:color w:val="auto"/>
          <w:spacing w:val="3"/>
          <w:sz w:val="24"/>
          <w:szCs w:val="24"/>
          <w:lang w:eastAsia="zh-CN"/>
        </w:rPr>
        <w:t>法定节假日</w:t>
      </w:r>
      <w:r>
        <w:rPr>
          <w:rFonts w:hint="eastAsia" w:ascii="宋体" w:hAnsi="宋体" w:eastAsia="宋体" w:cs="宋体"/>
          <w:color w:val="auto"/>
          <w:spacing w:val="3"/>
          <w:sz w:val="24"/>
          <w:szCs w:val="24"/>
          <w:lang w:eastAsia="zh-CN"/>
        </w:rPr>
        <w:t>除外）</w:t>
      </w:r>
    </w:p>
    <w:p w14:paraId="75869E70">
      <w:pPr>
        <w:spacing w:line="300" w:lineRule="exact"/>
        <w:ind w:firstLine="540"/>
        <w:rPr>
          <w:rFonts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t>地点：黑龙江省锦融工程项目管理有限责任公司（黑河市龙科街70号）</w:t>
      </w:r>
    </w:p>
    <w:p w14:paraId="5FFF0AEA">
      <w:pPr>
        <w:spacing w:line="360" w:lineRule="auto"/>
        <w:ind w:firstLine="540"/>
        <w:rPr>
          <w:rFonts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t>方式：现场购买</w:t>
      </w:r>
    </w:p>
    <w:p w14:paraId="46108E59">
      <w:pPr>
        <w:spacing w:line="240" w:lineRule="atLeast"/>
        <w:ind w:left="3"/>
        <w:rPr>
          <w:rFonts w:ascii="宋体" w:hAnsi="宋体" w:eastAsia="宋体" w:cs="宋体"/>
          <w:color w:val="auto"/>
          <w:sz w:val="24"/>
          <w:szCs w:val="24"/>
          <w:lang w:eastAsia="zh-CN"/>
        </w:rPr>
      </w:pPr>
      <w:r>
        <w:rPr>
          <w:rFonts w:hint="eastAsia" w:ascii="宋体" w:hAnsi="宋体" w:eastAsia="宋体" w:cs="宋体"/>
          <w:color w:val="auto"/>
          <w:spacing w:val="10"/>
          <w:sz w:val="24"/>
          <w:szCs w:val="24"/>
          <w:lang w:val="en-US" w:eastAsia="zh-CN"/>
        </w:rPr>
        <w:t>九</w:t>
      </w:r>
      <w:r>
        <w:rPr>
          <w:rFonts w:hint="eastAsia" w:ascii="宋体" w:hAnsi="宋体" w:eastAsia="宋体" w:cs="宋体"/>
          <w:color w:val="auto"/>
          <w:spacing w:val="10"/>
          <w:sz w:val="24"/>
          <w:szCs w:val="24"/>
          <w:lang w:eastAsia="zh-CN"/>
        </w:rPr>
        <w:t>、询问提起与受理：</w:t>
      </w:r>
    </w:p>
    <w:p w14:paraId="25A7F13D">
      <w:pPr>
        <w:spacing w:before="192" w:line="240" w:lineRule="atLeast"/>
        <w:ind w:left="365"/>
        <w:rPr>
          <w:rFonts w:ascii="宋体" w:hAnsi="宋体" w:eastAsia="宋体" w:cs="宋体"/>
          <w:color w:val="auto"/>
          <w:sz w:val="24"/>
          <w:szCs w:val="24"/>
          <w:lang w:eastAsia="zh-CN"/>
        </w:rPr>
      </w:pPr>
      <w:r>
        <w:rPr>
          <w:rFonts w:hint="eastAsia" w:ascii="宋体" w:hAnsi="宋体" w:eastAsia="宋体" w:cs="宋体"/>
          <w:color w:val="auto"/>
          <w:spacing w:val="2"/>
          <w:position w:val="17"/>
          <w:sz w:val="24"/>
          <w:szCs w:val="24"/>
          <w:lang w:eastAsia="zh-CN"/>
        </w:rPr>
        <w:t>供应商对采购活动有疑问或有异议的，可</w:t>
      </w:r>
      <w:r>
        <w:rPr>
          <w:rFonts w:hint="eastAsia" w:ascii="宋体" w:hAnsi="宋体" w:eastAsia="宋体" w:cs="宋体"/>
          <w:color w:val="auto"/>
          <w:spacing w:val="1"/>
          <w:position w:val="17"/>
          <w:sz w:val="24"/>
          <w:szCs w:val="24"/>
          <w:lang w:eastAsia="zh-CN"/>
        </w:rPr>
        <w:t>通过以下方式进行询问：</w:t>
      </w:r>
    </w:p>
    <w:p w14:paraId="3FA54252">
      <w:pPr>
        <w:spacing w:line="240" w:lineRule="atLeast"/>
        <w:ind w:left="371"/>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（一）对采购文件的询问</w:t>
      </w:r>
    </w:p>
    <w:p w14:paraId="4788CA0A">
      <w:pPr>
        <w:spacing w:before="193" w:line="240" w:lineRule="atLeast"/>
        <w:ind w:left="387"/>
        <w:rPr>
          <w:rFonts w:hint="default" w:ascii="宋体" w:hAnsi="宋体" w:eastAsia="宋体" w:cs="宋体"/>
          <w:color w:val="auto"/>
          <w:sz w:val="24"/>
          <w:szCs w:val="24"/>
          <w:lang w:val="en-US" w:eastAsia="zh-CN"/>
        </w:rPr>
      </w:pPr>
      <w:r>
        <w:rPr>
          <w:rFonts w:hint="eastAsia" w:ascii="宋体" w:hAnsi="宋体" w:eastAsia="宋体" w:cs="宋体"/>
          <w:color w:val="auto"/>
          <w:spacing w:val="-1"/>
          <w:position w:val="17"/>
          <w:sz w:val="24"/>
          <w:szCs w:val="24"/>
          <w:lang w:eastAsia="zh-CN"/>
        </w:rPr>
        <w:t>电话询问：项目经办人</w:t>
      </w:r>
      <w:r>
        <w:rPr>
          <w:rFonts w:hint="eastAsia" w:ascii="宋体" w:hAnsi="宋体" w:eastAsia="宋体" w:cs="宋体"/>
          <w:color w:val="auto"/>
          <w:spacing w:val="-24"/>
          <w:position w:val="17"/>
          <w:sz w:val="24"/>
          <w:szCs w:val="24"/>
          <w:lang w:eastAsia="zh-CN"/>
        </w:rPr>
        <w:t xml:space="preserve"> </w:t>
      </w:r>
      <w:r>
        <w:rPr>
          <w:rFonts w:hint="eastAsia" w:ascii="宋体" w:hAnsi="宋体" w:eastAsia="宋体" w:cs="宋体"/>
          <w:color w:val="auto"/>
          <w:spacing w:val="-1"/>
          <w:position w:val="17"/>
          <w:sz w:val="24"/>
          <w:szCs w:val="24"/>
          <w:lang w:eastAsia="zh-CN"/>
        </w:rPr>
        <w:t>0</w:t>
      </w:r>
      <w:r>
        <w:rPr>
          <w:rFonts w:ascii="宋体" w:hAnsi="宋体" w:eastAsia="宋体" w:cs="宋体"/>
          <w:color w:val="auto"/>
          <w:spacing w:val="-1"/>
          <w:position w:val="17"/>
          <w:sz w:val="24"/>
          <w:szCs w:val="24"/>
          <w:lang w:eastAsia="zh-CN"/>
        </w:rPr>
        <w:t>456-777770</w:t>
      </w:r>
      <w:r>
        <w:rPr>
          <w:rFonts w:hint="eastAsia" w:ascii="宋体" w:hAnsi="宋体" w:eastAsia="宋体" w:cs="宋体"/>
          <w:color w:val="auto"/>
          <w:spacing w:val="-1"/>
          <w:position w:val="17"/>
          <w:sz w:val="24"/>
          <w:szCs w:val="24"/>
          <w:lang w:val="en-US" w:eastAsia="zh-CN"/>
        </w:rPr>
        <w:t>9</w:t>
      </w:r>
      <w:r>
        <w:rPr>
          <w:rFonts w:hint="eastAsia" w:ascii="宋体" w:hAnsi="宋体" w:eastAsia="宋体" w:cs="宋体"/>
          <w:color w:val="auto"/>
          <w:spacing w:val="-1"/>
          <w:position w:val="17"/>
          <w:sz w:val="24"/>
          <w:szCs w:val="24"/>
          <w:lang w:eastAsia="zh-CN"/>
        </w:rPr>
        <w:t xml:space="preserve"> 电话：0</w:t>
      </w:r>
      <w:r>
        <w:rPr>
          <w:rFonts w:ascii="宋体" w:hAnsi="宋体" w:eastAsia="宋体" w:cs="宋体"/>
          <w:color w:val="auto"/>
          <w:spacing w:val="-1"/>
          <w:position w:val="17"/>
          <w:sz w:val="24"/>
          <w:szCs w:val="24"/>
          <w:lang w:eastAsia="zh-CN"/>
        </w:rPr>
        <w:t>456-777770</w:t>
      </w:r>
      <w:r>
        <w:rPr>
          <w:rFonts w:hint="eastAsia" w:ascii="宋体" w:hAnsi="宋体" w:eastAsia="宋体" w:cs="宋体"/>
          <w:color w:val="auto"/>
          <w:spacing w:val="-1"/>
          <w:position w:val="17"/>
          <w:sz w:val="24"/>
          <w:szCs w:val="24"/>
          <w:lang w:val="en-US" w:eastAsia="zh-CN"/>
        </w:rPr>
        <w:t>9</w:t>
      </w:r>
    </w:p>
    <w:p w14:paraId="49F1475B">
      <w:pPr>
        <w:spacing w:line="240" w:lineRule="atLeast"/>
        <w:ind w:left="371"/>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（二）对评审过程和结果的询问</w:t>
      </w:r>
    </w:p>
    <w:p w14:paraId="56E82CA9">
      <w:pPr>
        <w:spacing w:before="191" w:line="240" w:lineRule="atLeast"/>
        <w:ind w:left="366"/>
        <w:rPr>
          <w:rFonts w:ascii="宋体" w:hAnsi="宋体" w:eastAsia="宋体" w:cs="宋体"/>
          <w:color w:val="auto"/>
          <w:sz w:val="24"/>
          <w:szCs w:val="24"/>
          <w:lang w:eastAsia="zh-CN"/>
        </w:rPr>
      </w:pPr>
      <w:r>
        <w:rPr>
          <w:rFonts w:hint="eastAsia" w:ascii="宋体" w:hAnsi="宋体" w:eastAsia="宋体" w:cs="宋体"/>
          <w:color w:val="auto"/>
          <w:spacing w:val="1"/>
          <w:position w:val="17"/>
          <w:sz w:val="24"/>
          <w:szCs w:val="24"/>
          <w:lang w:eastAsia="zh-CN"/>
        </w:rPr>
        <w:t>递交响应文件的投标人应在评审现场以书面形式向代理机构提出。</w:t>
      </w:r>
    </w:p>
    <w:p w14:paraId="7C490CFE">
      <w:pPr>
        <w:spacing w:line="240" w:lineRule="atLeast"/>
        <w:rPr>
          <w:rFonts w:ascii="宋体" w:hAnsi="宋体" w:eastAsia="宋体" w:cs="宋体"/>
          <w:color w:val="auto"/>
          <w:sz w:val="24"/>
          <w:szCs w:val="24"/>
          <w:lang w:eastAsia="zh-CN"/>
        </w:rPr>
      </w:pPr>
      <w:r>
        <w:rPr>
          <w:rFonts w:hint="eastAsia" w:ascii="宋体" w:hAnsi="宋体" w:eastAsia="宋体" w:cs="宋体"/>
          <w:color w:val="auto"/>
          <w:spacing w:val="10"/>
          <w:sz w:val="24"/>
          <w:szCs w:val="24"/>
          <w:lang w:eastAsia="zh-CN"/>
        </w:rPr>
        <w:t>十、质疑提起与受理：</w:t>
      </w:r>
    </w:p>
    <w:p w14:paraId="661E72D8">
      <w:pPr>
        <w:spacing w:before="192" w:line="240" w:lineRule="atLeast"/>
        <w:ind w:firstLine="244" w:firstLineChars="100"/>
        <w:rPr>
          <w:rFonts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（一）对谈判文件的质疑：成功获取谈判文件</w:t>
      </w:r>
      <w:r>
        <w:rPr>
          <w:rFonts w:hint="eastAsia" w:ascii="宋体" w:hAnsi="宋体" w:eastAsia="宋体" w:cs="宋体"/>
          <w:color w:val="auto"/>
          <w:spacing w:val="1"/>
          <w:sz w:val="24"/>
          <w:szCs w:val="24"/>
          <w:lang w:eastAsia="zh-CN"/>
        </w:rPr>
        <w:t>后，方有资格对谈判文件提出质</w:t>
      </w:r>
      <w:r>
        <w:rPr>
          <w:rFonts w:hint="eastAsia" w:ascii="宋体" w:hAnsi="宋体" w:eastAsia="宋体" w:cs="宋体"/>
          <w:color w:val="auto"/>
          <w:spacing w:val="-5"/>
          <w:sz w:val="24"/>
          <w:szCs w:val="24"/>
          <w:lang w:eastAsia="zh-CN"/>
        </w:rPr>
        <w:t>疑。</w:t>
      </w:r>
    </w:p>
    <w:p w14:paraId="7399DE55">
      <w:pPr>
        <w:spacing w:before="191" w:line="240" w:lineRule="atLeast"/>
        <w:ind w:left="544"/>
        <w:rPr>
          <w:rFonts w:ascii="宋体" w:hAnsi="宋体" w:eastAsia="宋体" w:cs="宋体"/>
          <w:color w:val="auto"/>
          <w:sz w:val="24"/>
          <w:szCs w:val="24"/>
          <w:lang w:eastAsia="zh-CN"/>
        </w:rPr>
      </w:pPr>
      <w:r>
        <w:rPr>
          <w:rFonts w:hint="eastAsia" w:ascii="宋体" w:hAnsi="宋体" w:eastAsia="宋体" w:cs="宋体"/>
          <w:color w:val="auto"/>
          <w:spacing w:val="1"/>
          <w:position w:val="17"/>
          <w:sz w:val="24"/>
          <w:szCs w:val="24"/>
          <w:lang w:eastAsia="zh-CN"/>
        </w:rPr>
        <w:t>采购文件质疑联系人：</w:t>
      </w:r>
      <w:r>
        <w:rPr>
          <w:rFonts w:hint="eastAsia" w:ascii="宋体" w:hAnsi="宋体" w:eastAsia="宋体" w:cs="宋体"/>
          <w:color w:val="auto"/>
          <w:spacing w:val="-19"/>
          <w:position w:val="17"/>
          <w:sz w:val="24"/>
          <w:szCs w:val="24"/>
          <w:lang w:eastAsia="zh-CN"/>
        </w:rPr>
        <w:t xml:space="preserve"> </w:t>
      </w:r>
      <w:r>
        <w:rPr>
          <w:rFonts w:hint="eastAsia" w:ascii="宋体" w:hAnsi="宋体" w:eastAsia="宋体" w:cs="宋体"/>
          <w:color w:val="auto"/>
          <w:spacing w:val="1"/>
          <w:position w:val="17"/>
          <w:sz w:val="24"/>
          <w:szCs w:val="24"/>
          <w:lang w:eastAsia="zh-CN"/>
        </w:rPr>
        <w:t>黑龙江省锦融工程项目管理有限责任公司</w:t>
      </w:r>
    </w:p>
    <w:p w14:paraId="487DDE34">
      <w:pPr>
        <w:spacing w:before="1" w:line="240" w:lineRule="atLeast"/>
        <w:ind w:left="544"/>
        <w:rPr>
          <w:rFonts w:hint="default" w:ascii="宋体" w:hAnsi="宋体" w:eastAsia="宋体" w:cs="宋体"/>
          <w:color w:val="auto"/>
          <w:sz w:val="24"/>
          <w:szCs w:val="24"/>
          <w:lang w:val="en-US" w:eastAsia="zh-CN"/>
        </w:rPr>
      </w:pPr>
      <w:r>
        <w:rPr>
          <w:rFonts w:hint="eastAsia" w:ascii="宋体" w:hAnsi="宋体" w:eastAsia="宋体" w:cs="宋体"/>
          <w:color w:val="auto"/>
          <w:spacing w:val="-2"/>
          <w:sz w:val="24"/>
          <w:szCs w:val="24"/>
          <w:lang w:eastAsia="zh-CN"/>
        </w:rPr>
        <w:t>采购文件质疑联系电话：</w:t>
      </w:r>
      <w:r>
        <w:rPr>
          <w:rFonts w:hint="eastAsia" w:ascii="宋体" w:hAnsi="宋体" w:eastAsia="宋体" w:cs="宋体"/>
          <w:color w:val="auto"/>
          <w:spacing w:val="-11"/>
          <w:sz w:val="24"/>
          <w:szCs w:val="24"/>
          <w:lang w:eastAsia="zh-CN"/>
        </w:rPr>
        <w:t xml:space="preserve"> </w:t>
      </w:r>
      <w:r>
        <w:rPr>
          <w:rFonts w:hint="eastAsia" w:ascii="宋体" w:hAnsi="宋体" w:eastAsia="宋体" w:cs="宋体"/>
          <w:color w:val="auto"/>
          <w:spacing w:val="-2"/>
          <w:sz w:val="24"/>
          <w:szCs w:val="24"/>
          <w:lang w:eastAsia="zh-CN"/>
        </w:rPr>
        <w:t>045</w:t>
      </w:r>
      <w:r>
        <w:rPr>
          <w:rFonts w:ascii="宋体" w:hAnsi="宋体" w:eastAsia="宋体" w:cs="宋体"/>
          <w:color w:val="auto"/>
          <w:spacing w:val="-2"/>
          <w:sz w:val="24"/>
          <w:szCs w:val="24"/>
          <w:lang w:eastAsia="zh-CN"/>
        </w:rPr>
        <w:t>6</w:t>
      </w: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lang w:eastAsia="zh-CN"/>
        </w:rPr>
        <w:t>777770</w:t>
      </w:r>
      <w:r>
        <w:rPr>
          <w:rFonts w:hint="eastAsia" w:ascii="宋体" w:hAnsi="宋体" w:eastAsia="宋体" w:cs="宋体"/>
          <w:color w:val="auto"/>
          <w:spacing w:val="-2"/>
          <w:sz w:val="24"/>
          <w:szCs w:val="24"/>
          <w:lang w:val="en-US" w:eastAsia="zh-CN"/>
        </w:rPr>
        <w:t>9</w:t>
      </w:r>
    </w:p>
    <w:p w14:paraId="1B764776">
      <w:pPr>
        <w:spacing w:before="165" w:line="240" w:lineRule="atLeast"/>
        <w:ind w:left="371"/>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（二）对谈判过程和结果的质疑</w:t>
      </w:r>
    </w:p>
    <w:p w14:paraId="6CD09CD5">
      <w:pPr>
        <w:spacing w:before="190" w:line="240" w:lineRule="atLeast"/>
        <w:ind w:left="5" w:firstLine="409"/>
        <w:rPr>
          <w:rFonts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1.提出质疑的供应商应当是参与所质疑项目采购活动的供应商</w:t>
      </w:r>
      <w:r>
        <w:rPr>
          <w:rFonts w:hint="eastAsia" w:ascii="宋体" w:hAnsi="宋体" w:eastAsia="宋体" w:cs="宋体"/>
          <w:color w:val="auto"/>
          <w:spacing w:val="1"/>
          <w:sz w:val="24"/>
          <w:szCs w:val="24"/>
          <w:lang w:eastAsia="zh-CN"/>
        </w:rPr>
        <w:t>；质疑供应商应当在法定期内一次性提交质疑材料；对采购</w:t>
      </w:r>
      <w:r>
        <w:rPr>
          <w:rFonts w:hint="eastAsia" w:ascii="宋体" w:hAnsi="宋体" w:eastAsia="宋体" w:cs="宋体"/>
          <w:color w:val="auto"/>
          <w:spacing w:val="2"/>
          <w:sz w:val="24"/>
          <w:szCs w:val="24"/>
          <w:lang w:eastAsia="zh-CN"/>
        </w:rPr>
        <w:t>过程提出质疑的，为各采购程序环节结束之日起7个工</w:t>
      </w:r>
      <w:r>
        <w:rPr>
          <w:rFonts w:hint="eastAsia" w:ascii="宋体" w:hAnsi="宋体" w:eastAsia="宋体" w:cs="宋体"/>
          <w:color w:val="auto"/>
          <w:spacing w:val="1"/>
          <w:sz w:val="24"/>
          <w:szCs w:val="24"/>
          <w:lang w:eastAsia="zh-CN"/>
        </w:rPr>
        <w:t>作日提出；对成交结果提出质疑的，为成交结果公告期限届满之日起7</w:t>
      </w:r>
      <w:r>
        <w:rPr>
          <w:rFonts w:hint="eastAsia" w:ascii="宋体" w:hAnsi="宋体" w:eastAsia="宋体" w:cs="宋体"/>
          <w:color w:val="auto"/>
          <w:sz w:val="24"/>
          <w:szCs w:val="24"/>
          <w:lang w:eastAsia="zh-CN"/>
        </w:rPr>
        <w:t>个工作日提出；</w:t>
      </w:r>
    </w:p>
    <w:p w14:paraId="4DF0C3E0">
      <w:pPr>
        <w:spacing w:before="193" w:line="240" w:lineRule="atLeast"/>
        <w:ind w:left="371"/>
        <w:rPr>
          <w:rFonts w:ascii="宋体" w:hAnsi="宋体" w:eastAsia="宋体" w:cs="宋体"/>
          <w:color w:val="auto"/>
          <w:sz w:val="24"/>
          <w:szCs w:val="24"/>
          <w:lang w:eastAsia="zh-CN"/>
        </w:rPr>
      </w:pPr>
      <w:r>
        <w:rPr>
          <w:rFonts w:hint="eastAsia" w:ascii="宋体" w:hAnsi="宋体" w:eastAsia="宋体" w:cs="宋体"/>
          <w:color w:val="auto"/>
          <w:spacing w:val="1"/>
          <w:position w:val="17"/>
          <w:sz w:val="24"/>
          <w:szCs w:val="24"/>
          <w:lang w:eastAsia="zh-CN"/>
        </w:rPr>
        <w:t>2.质疑供应商应当以书面形式向本代理机构提交《质疑函》。</w:t>
      </w:r>
    </w:p>
    <w:p w14:paraId="36D273B7">
      <w:pPr>
        <w:spacing w:before="1" w:line="240" w:lineRule="atLeast"/>
        <w:ind w:left="364"/>
        <w:rPr>
          <w:rFonts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谈判过程和结果质疑：详见成交公告</w:t>
      </w:r>
    </w:p>
    <w:p w14:paraId="60FBF19B">
      <w:pPr>
        <w:spacing w:before="193" w:line="240" w:lineRule="atLeast"/>
        <w:rPr>
          <w:rFonts w:ascii="宋体" w:hAnsi="宋体" w:eastAsia="宋体" w:cs="宋体"/>
          <w:color w:val="auto"/>
          <w:sz w:val="24"/>
          <w:szCs w:val="24"/>
          <w:lang w:eastAsia="zh-CN"/>
        </w:rPr>
      </w:pPr>
      <w:r>
        <w:rPr>
          <w:rFonts w:hint="eastAsia" w:ascii="宋体" w:hAnsi="宋体" w:eastAsia="宋体" w:cs="宋体"/>
          <w:color w:val="auto"/>
          <w:spacing w:val="13"/>
          <w:position w:val="17"/>
          <w:sz w:val="24"/>
          <w:szCs w:val="24"/>
          <w:lang w:eastAsia="zh-CN"/>
        </w:rPr>
        <w:t>十</w:t>
      </w:r>
      <w:r>
        <w:rPr>
          <w:rFonts w:hint="eastAsia" w:ascii="宋体" w:hAnsi="宋体" w:eastAsia="宋体" w:cs="宋体"/>
          <w:color w:val="auto"/>
          <w:spacing w:val="13"/>
          <w:position w:val="17"/>
          <w:sz w:val="24"/>
          <w:szCs w:val="24"/>
          <w:lang w:val="en-US" w:eastAsia="zh-CN"/>
        </w:rPr>
        <w:t>一</w:t>
      </w:r>
      <w:r>
        <w:rPr>
          <w:rFonts w:hint="eastAsia" w:ascii="宋体" w:hAnsi="宋体" w:eastAsia="宋体" w:cs="宋体"/>
          <w:color w:val="auto"/>
          <w:spacing w:val="13"/>
          <w:position w:val="17"/>
          <w:sz w:val="24"/>
          <w:szCs w:val="24"/>
          <w:lang w:eastAsia="zh-CN"/>
        </w:rPr>
        <w:t>、提交竞争性谈判首次响应文件截止时间及谈</w:t>
      </w:r>
      <w:r>
        <w:rPr>
          <w:rFonts w:hint="eastAsia" w:ascii="宋体" w:hAnsi="宋体" w:eastAsia="宋体" w:cs="宋体"/>
          <w:color w:val="auto"/>
          <w:spacing w:val="12"/>
          <w:position w:val="17"/>
          <w:sz w:val="24"/>
          <w:szCs w:val="24"/>
          <w:lang w:eastAsia="zh-CN"/>
        </w:rPr>
        <w:t>判时间、地点：</w:t>
      </w:r>
    </w:p>
    <w:p w14:paraId="03D69E03">
      <w:pPr>
        <w:ind w:firstLine="484" w:firstLineChars="200"/>
        <w:rPr>
          <w:rFonts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递交响应文件截止时间：202</w:t>
      </w:r>
      <w:r>
        <w:rPr>
          <w:rFonts w:ascii="宋体" w:hAnsi="宋体" w:eastAsia="宋体" w:cs="宋体"/>
          <w:color w:val="auto"/>
          <w:spacing w:val="1"/>
          <w:sz w:val="24"/>
          <w:szCs w:val="24"/>
          <w:lang w:eastAsia="zh-CN"/>
        </w:rPr>
        <w:t>4</w:t>
      </w:r>
      <w:r>
        <w:rPr>
          <w:rFonts w:hint="eastAsia" w:ascii="宋体" w:hAnsi="宋体" w:eastAsia="宋体" w:cs="宋体"/>
          <w:color w:val="auto"/>
          <w:spacing w:val="1"/>
          <w:sz w:val="24"/>
          <w:szCs w:val="24"/>
          <w:lang w:eastAsia="zh-CN"/>
        </w:rPr>
        <w:t>年</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lang w:eastAsia="zh-CN"/>
        </w:rPr>
        <w:t>月</w:t>
      </w:r>
      <w:r>
        <w:rPr>
          <w:rFonts w:hint="eastAsia" w:ascii="宋体" w:hAnsi="宋体" w:eastAsia="宋体" w:cs="宋体"/>
          <w:color w:val="auto"/>
          <w:spacing w:val="1"/>
          <w:sz w:val="24"/>
          <w:szCs w:val="24"/>
          <w:lang w:val="en-US" w:eastAsia="zh-CN"/>
        </w:rPr>
        <w:t>30</w:t>
      </w:r>
      <w:r>
        <w:rPr>
          <w:rFonts w:hint="eastAsia" w:ascii="宋体" w:hAnsi="宋体" w:eastAsia="宋体" w:cs="宋体"/>
          <w:color w:val="auto"/>
          <w:spacing w:val="1"/>
          <w:sz w:val="24"/>
          <w:szCs w:val="24"/>
          <w:lang w:eastAsia="zh-CN"/>
        </w:rPr>
        <w:t>日</w:t>
      </w:r>
      <w:r>
        <w:rPr>
          <w:rFonts w:ascii="宋体" w:hAnsi="宋体" w:eastAsia="宋体" w:cs="宋体"/>
          <w:color w:val="auto"/>
          <w:spacing w:val="1"/>
          <w:sz w:val="24"/>
          <w:szCs w:val="24"/>
          <w:lang w:eastAsia="zh-CN"/>
        </w:rPr>
        <w:t>9</w:t>
      </w:r>
      <w:r>
        <w:rPr>
          <w:rFonts w:hint="eastAsia" w:ascii="宋体" w:hAnsi="宋体" w:eastAsia="宋体" w:cs="宋体"/>
          <w:color w:val="auto"/>
          <w:spacing w:val="1"/>
          <w:sz w:val="24"/>
          <w:szCs w:val="24"/>
          <w:lang w:eastAsia="zh-CN"/>
        </w:rPr>
        <w:t>点</w:t>
      </w:r>
      <w:r>
        <w:rPr>
          <w:rFonts w:hint="eastAsia" w:ascii="宋体" w:hAnsi="宋体" w:eastAsia="宋体" w:cs="宋体"/>
          <w:color w:val="auto"/>
          <w:spacing w:val="1"/>
          <w:sz w:val="24"/>
          <w:szCs w:val="24"/>
          <w:lang w:val="en-US" w:eastAsia="zh-CN"/>
        </w:rPr>
        <w:t>0</w:t>
      </w:r>
      <w:r>
        <w:rPr>
          <w:rFonts w:hint="eastAsia" w:ascii="宋体" w:hAnsi="宋体" w:eastAsia="宋体" w:cs="宋体"/>
          <w:color w:val="auto"/>
          <w:spacing w:val="1"/>
          <w:sz w:val="24"/>
          <w:szCs w:val="24"/>
          <w:lang w:eastAsia="zh-CN"/>
        </w:rPr>
        <w:t>0分（北京时间）</w:t>
      </w:r>
    </w:p>
    <w:p w14:paraId="3903EB29">
      <w:pPr>
        <w:spacing w:before="194" w:line="240" w:lineRule="atLeast"/>
        <w:ind w:left="366"/>
        <w:rPr>
          <w:rFonts w:ascii="宋体" w:hAnsi="宋体" w:eastAsia="宋体" w:cs="宋体"/>
          <w:color w:val="auto"/>
          <w:spacing w:val="1"/>
          <w:position w:val="17"/>
          <w:sz w:val="24"/>
          <w:szCs w:val="24"/>
          <w:lang w:eastAsia="zh-CN"/>
        </w:rPr>
      </w:pPr>
      <w:r>
        <w:rPr>
          <w:rFonts w:hint="eastAsia" w:ascii="宋体" w:hAnsi="宋体" w:eastAsia="宋体" w:cs="宋体"/>
          <w:color w:val="auto"/>
          <w:spacing w:val="1"/>
          <w:position w:val="17"/>
          <w:sz w:val="24"/>
          <w:szCs w:val="24"/>
          <w:lang w:eastAsia="zh-CN"/>
        </w:rPr>
        <w:t>递交响应文件地点：黑河市双拥大街21号(爱辉区公安局北侧)</w:t>
      </w:r>
    </w:p>
    <w:p w14:paraId="1ACF36A7">
      <w:pPr>
        <w:spacing w:before="1" w:line="240" w:lineRule="atLeast"/>
        <w:ind w:left="375"/>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响应文件开启时间：</w:t>
      </w:r>
      <w:r>
        <w:rPr>
          <w:rFonts w:hint="eastAsia" w:ascii="宋体" w:hAnsi="宋体" w:eastAsia="宋体" w:cs="宋体"/>
          <w:color w:val="auto"/>
          <w:spacing w:val="1"/>
          <w:sz w:val="24"/>
          <w:szCs w:val="24"/>
          <w:lang w:eastAsia="zh-CN"/>
        </w:rPr>
        <w:t>202</w:t>
      </w:r>
      <w:r>
        <w:rPr>
          <w:rFonts w:ascii="宋体" w:hAnsi="宋体" w:eastAsia="宋体" w:cs="宋体"/>
          <w:color w:val="auto"/>
          <w:spacing w:val="1"/>
          <w:sz w:val="24"/>
          <w:szCs w:val="24"/>
          <w:lang w:eastAsia="zh-CN"/>
        </w:rPr>
        <w:t>4</w:t>
      </w:r>
      <w:r>
        <w:rPr>
          <w:rFonts w:hint="eastAsia" w:ascii="宋体" w:hAnsi="宋体" w:eastAsia="宋体" w:cs="宋体"/>
          <w:color w:val="auto"/>
          <w:spacing w:val="1"/>
          <w:sz w:val="24"/>
          <w:szCs w:val="24"/>
          <w:lang w:eastAsia="zh-CN"/>
        </w:rPr>
        <w:t>年</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lang w:eastAsia="zh-CN"/>
        </w:rPr>
        <w:t>月</w:t>
      </w:r>
      <w:r>
        <w:rPr>
          <w:rFonts w:hint="eastAsia" w:ascii="宋体" w:hAnsi="宋体" w:eastAsia="宋体" w:cs="宋体"/>
          <w:color w:val="auto"/>
          <w:spacing w:val="1"/>
          <w:sz w:val="24"/>
          <w:szCs w:val="24"/>
          <w:lang w:val="en-US" w:eastAsia="zh-CN"/>
        </w:rPr>
        <w:t>30</w:t>
      </w:r>
      <w:r>
        <w:rPr>
          <w:rFonts w:hint="eastAsia" w:ascii="宋体" w:hAnsi="宋体" w:eastAsia="宋体" w:cs="宋体"/>
          <w:color w:val="auto"/>
          <w:spacing w:val="1"/>
          <w:sz w:val="24"/>
          <w:szCs w:val="24"/>
          <w:lang w:eastAsia="zh-CN"/>
        </w:rPr>
        <w:t>日</w:t>
      </w:r>
      <w:r>
        <w:rPr>
          <w:rFonts w:ascii="宋体" w:hAnsi="宋体" w:eastAsia="宋体" w:cs="宋体"/>
          <w:color w:val="auto"/>
          <w:spacing w:val="1"/>
          <w:sz w:val="24"/>
          <w:szCs w:val="24"/>
          <w:lang w:eastAsia="zh-CN"/>
        </w:rPr>
        <w:t>9</w:t>
      </w:r>
      <w:r>
        <w:rPr>
          <w:rFonts w:hint="eastAsia" w:ascii="宋体" w:hAnsi="宋体" w:eastAsia="宋体" w:cs="宋体"/>
          <w:color w:val="auto"/>
          <w:spacing w:val="1"/>
          <w:sz w:val="24"/>
          <w:szCs w:val="24"/>
          <w:lang w:eastAsia="zh-CN"/>
        </w:rPr>
        <w:t>点</w:t>
      </w:r>
      <w:r>
        <w:rPr>
          <w:rFonts w:hint="eastAsia" w:ascii="宋体" w:hAnsi="宋体" w:eastAsia="宋体" w:cs="宋体"/>
          <w:color w:val="auto"/>
          <w:spacing w:val="1"/>
          <w:sz w:val="24"/>
          <w:szCs w:val="24"/>
          <w:lang w:val="en-US" w:eastAsia="zh-CN"/>
        </w:rPr>
        <w:t>0</w:t>
      </w:r>
      <w:r>
        <w:rPr>
          <w:rFonts w:hint="eastAsia" w:ascii="宋体" w:hAnsi="宋体" w:eastAsia="宋体" w:cs="宋体"/>
          <w:color w:val="auto"/>
          <w:spacing w:val="1"/>
          <w:sz w:val="24"/>
          <w:szCs w:val="24"/>
          <w:lang w:eastAsia="zh-CN"/>
        </w:rPr>
        <w:t>0分（北京时间）</w:t>
      </w:r>
    </w:p>
    <w:p w14:paraId="1FA78055">
      <w:pPr>
        <w:spacing w:before="194" w:line="240" w:lineRule="atLeast"/>
        <w:ind w:left="375"/>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响应文件开启地点：黑河市双拥大街21号(爱辉区公安局北侧)</w:t>
      </w:r>
    </w:p>
    <w:p w14:paraId="2A3C785B">
      <w:pPr>
        <w:ind w:firstLine="488" w:firstLineChars="200"/>
        <w:rPr>
          <w:rFonts w:ascii="宋体" w:hAnsi="宋体" w:eastAsia="宋体" w:cs="Times New Roman"/>
          <w:b/>
          <w:snapToGrid/>
          <w:color w:val="auto"/>
          <w:kern w:val="2"/>
          <w:sz w:val="24"/>
          <w:szCs w:val="24"/>
          <w:lang w:eastAsia="zh-CN"/>
        </w:rPr>
      </w:pPr>
      <w:r>
        <w:rPr>
          <w:rFonts w:hint="eastAsia" w:ascii="宋体" w:hAnsi="宋体" w:eastAsia="宋体" w:cs="宋体"/>
          <w:color w:val="auto"/>
          <w:spacing w:val="2"/>
          <w:sz w:val="24"/>
          <w:szCs w:val="24"/>
          <w:lang w:eastAsia="zh-CN"/>
        </w:rPr>
        <w:t>备注：</w:t>
      </w:r>
      <w:r>
        <w:rPr>
          <w:rFonts w:hint="eastAsia" w:ascii="宋体" w:hAnsi="宋体" w:eastAsia="宋体" w:cs="Times New Roman"/>
          <w:b/>
          <w:snapToGrid/>
          <w:color w:val="auto"/>
          <w:kern w:val="2"/>
          <w:sz w:val="24"/>
          <w:szCs w:val="24"/>
          <w:lang w:eastAsia="zh-CN"/>
        </w:rPr>
        <w:t>供应商无须到达开标现场，各投标人应在202</w:t>
      </w:r>
      <w:r>
        <w:rPr>
          <w:rFonts w:ascii="宋体" w:hAnsi="宋体" w:eastAsia="宋体" w:cs="Times New Roman"/>
          <w:b/>
          <w:snapToGrid/>
          <w:color w:val="auto"/>
          <w:kern w:val="2"/>
          <w:sz w:val="24"/>
          <w:szCs w:val="24"/>
          <w:lang w:eastAsia="zh-CN"/>
        </w:rPr>
        <w:t>4</w:t>
      </w:r>
      <w:r>
        <w:rPr>
          <w:rFonts w:hint="eastAsia" w:ascii="宋体" w:hAnsi="宋体" w:eastAsia="宋体" w:cs="Times New Roman"/>
          <w:b/>
          <w:snapToGrid/>
          <w:color w:val="auto"/>
          <w:kern w:val="2"/>
          <w:sz w:val="24"/>
          <w:szCs w:val="24"/>
          <w:lang w:eastAsia="zh-CN"/>
        </w:rPr>
        <w:t>年</w:t>
      </w:r>
      <w:r>
        <w:rPr>
          <w:rFonts w:hint="eastAsia" w:ascii="宋体" w:hAnsi="宋体" w:eastAsia="宋体" w:cs="Times New Roman"/>
          <w:b/>
          <w:snapToGrid/>
          <w:color w:val="auto"/>
          <w:kern w:val="2"/>
          <w:sz w:val="24"/>
          <w:szCs w:val="24"/>
          <w:lang w:val="en-US" w:eastAsia="zh-CN"/>
        </w:rPr>
        <w:t>7</w:t>
      </w:r>
      <w:r>
        <w:rPr>
          <w:rFonts w:hint="eastAsia" w:ascii="宋体" w:hAnsi="宋体" w:eastAsia="宋体" w:cs="Times New Roman"/>
          <w:b/>
          <w:snapToGrid/>
          <w:color w:val="auto"/>
          <w:kern w:val="2"/>
          <w:sz w:val="24"/>
          <w:szCs w:val="24"/>
          <w:lang w:eastAsia="zh-CN"/>
        </w:rPr>
        <w:t>月</w:t>
      </w:r>
      <w:r>
        <w:rPr>
          <w:rFonts w:hint="eastAsia" w:ascii="宋体" w:hAnsi="宋体" w:eastAsia="宋体" w:cs="Times New Roman"/>
          <w:b/>
          <w:snapToGrid/>
          <w:color w:val="auto"/>
          <w:kern w:val="2"/>
          <w:sz w:val="24"/>
          <w:szCs w:val="24"/>
          <w:lang w:val="en-US" w:eastAsia="zh-CN"/>
        </w:rPr>
        <w:t>30</w:t>
      </w:r>
      <w:r>
        <w:rPr>
          <w:rFonts w:hint="eastAsia" w:ascii="宋体" w:hAnsi="宋体" w:eastAsia="宋体" w:cs="Times New Roman"/>
          <w:b/>
          <w:snapToGrid/>
          <w:color w:val="auto"/>
          <w:kern w:val="2"/>
          <w:sz w:val="24"/>
          <w:szCs w:val="24"/>
          <w:lang w:eastAsia="zh-CN"/>
        </w:rPr>
        <w:t>日</w:t>
      </w:r>
      <w:r>
        <w:rPr>
          <w:rFonts w:hint="eastAsia" w:ascii="宋体" w:hAnsi="宋体" w:eastAsia="宋体" w:cs="Times New Roman"/>
          <w:b/>
          <w:snapToGrid/>
          <w:color w:val="auto"/>
          <w:kern w:val="2"/>
          <w:sz w:val="24"/>
          <w:szCs w:val="24"/>
          <w:lang w:val="en-US" w:eastAsia="zh-CN"/>
        </w:rPr>
        <w:t>8</w:t>
      </w:r>
      <w:r>
        <w:rPr>
          <w:rFonts w:hint="eastAsia" w:ascii="宋体" w:hAnsi="宋体" w:eastAsia="宋体" w:cs="Times New Roman"/>
          <w:b/>
          <w:snapToGrid/>
          <w:color w:val="auto"/>
          <w:kern w:val="2"/>
          <w:sz w:val="24"/>
          <w:szCs w:val="24"/>
          <w:lang w:eastAsia="zh-CN"/>
        </w:rPr>
        <w:t>时</w:t>
      </w:r>
      <w:r>
        <w:rPr>
          <w:rFonts w:hint="eastAsia" w:ascii="宋体" w:hAnsi="宋体" w:eastAsia="宋体" w:cs="Times New Roman"/>
          <w:b/>
          <w:snapToGrid/>
          <w:color w:val="auto"/>
          <w:kern w:val="2"/>
          <w:sz w:val="24"/>
          <w:szCs w:val="24"/>
          <w:lang w:val="en-US" w:eastAsia="zh-CN"/>
        </w:rPr>
        <w:t>3</w:t>
      </w:r>
      <w:r>
        <w:rPr>
          <w:rFonts w:hint="eastAsia" w:ascii="宋体" w:hAnsi="宋体" w:eastAsia="宋体" w:cs="Times New Roman"/>
          <w:b/>
          <w:snapToGrid/>
          <w:color w:val="auto"/>
          <w:kern w:val="2"/>
          <w:sz w:val="24"/>
          <w:szCs w:val="24"/>
          <w:lang w:eastAsia="zh-CN"/>
        </w:rPr>
        <w:t>0分至</w:t>
      </w:r>
      <w:r>
        <w:rPr>
          <w:rFonts w:ascii="宋体" w:hAnsi="宋体" w:eastAsia="宋体" w:cs="Times New Roman"/>
          <w:b/>
          <w:snapToGrid/>
          <w:color w:val="auto"/>
          <w:kern w:val="2"/>
          <w:sz w:val="24"/>
          <w:szCs w:val="24"/>
          <w:lang w:eastAsia="zh-CN"/>
        </w:rPr>
        <w:t>9</w:t>
      </w:r>
      <w:r>
        <w:rPr>
          <w:rFonts w:hint="eastAsia" w:ascii="宋体" w:hAnsi="宋体" w:eastAsia="宋体" w:cs="Times New Roman"/>
          <w:b/>
          <w:snapToGrid/>
          <w:color w:val="auto"/>
          <w:kern w:val="2"/>
          <w:sz w:val="24"/>
          <w:szCs w:val="24"/>
          <w:lang w:eastAsia="zh-CN"/>
        </w:rPr>
        <w:t>时</w:t>
      </w:r>
      <w:r>
        <w:rPr>
          <w:rFonts w:hint="eastAsia" w:ascii="宋体" w:hAnsi="宋体" w:eastAsia="宋体" w:cs="Times New Roman"/>
          <w:b/>
          <w:snapToGrid/>
          <w:color w:val="auto"/>
          <w:kern w:val="2"/>
          <w:sz w:val="24"/>
          <w:szCs w:val="24"/>
          <w:lang w:val="en-US" w:eastAsia="zh-CN"/>
        </w:rPr>
        <w:t>0</w:t>
      </w:r>
      <w:r>
        <w:rPr>
          <w:rFonts w:hint="eastAsia" w:ascii="宋体" w:hAnsi="宋体" w:eastAsia="宋体" w:cs="Times New Roman"/>
          <w:b/>
          <w:snapToGrid/>
          <w:color w:val="auto"/>
          <w:kern w:val="2"/>
          <w:sz w:val="24"/>
          <w:szCs w:val="24"/>
          <w:lang w:eastAsia="zh-CN"/>
        </w:rPr>
        <w:t xml:space="preserve">0分将投标文件PDF </w:t>
      </w:r>
      <w:r>
        <w:fldChar w:fldCharType="begin"/>
      </w:r>
      <w:r>
        <w:instrText xml:space="preserve"> HYPERLINK "mailto:格式上传至邮箱hjrz1838@163.com，超过递交时间投标将被拒绝，投标人上传的电子投标文件应保证内容清晰完整，签字盖章齐全，若因内容不清晰不完整无法正常评审的，责任自负。" </w:instrText>
      </w:r>
      <w:r>
        <w:fldChar w:fldCharType="separate"/>
      </w:r>
      <w:r>
        <w:rPr>
          <w:rFonts w:hint="eastAsia" w:ascii="宋体" w:hAnsi="宋体" w:eastAsia="宋体" w:cs="Times New Roman"/>
          <w:b/>
          <w:snapToGrid/>
          <w:color w:val="auto"/>
          <w:kern w:val="2"/>
          <w:sz w:val="24"/>
          <w:szCs w:val="24"/>
          <w:lang w:eastAsia="zh-CN"/>
        </w:rPr>
        <w:t>格式上传至邮箱hjrz1838@163.com，超过递交时间投标将被拒绝，投标人上传的电子投标文件应保证内容清晰完整，签字盖章齐全，若因内容不清晰不完整无法正常评审的，责任自负。</w:t>
      </w:r>
      <w:r>
        <w:rPr>
          <w:rFonts w:hint="eastAsia" w:ascii="宋体" w:hAnsi="宋体" w:eastAsia="宋体" w:cs="Times New Roman"/>
          <w:b/>
          <w:snapToGrid/>
          <w:color w:val="auto"/>
          <w:kern w:val="2"/>
          <w:sz w:val="24"/>
          <w:szCs w:val="24"/>
          <w:lang w:eastAsia="zh-CN"/>
        </w:rPr>
        <w:fldChar w:fldCharType="end"/>
      </w:r>
    </w:p>
    <w:p w14:paraId="75F95225">
      <w:pPr>
        <w:widowControl w:val="0"/>
        <w:kinsoku/>
        <w:autoSpaceDE/>
        <w:autoSpaceDN/>
        <w:adjustRightInd/>
        <w:spacing w:line="360" w:lineRule="auto"/>
        <w:jc w:val="both"/>
        <w:textAlignment w:val="auto"/>
        <w:rPr>
          <w:rFonts w:ascii="仿宋" w:hAnsi="仿宋" w:eastAsia="仿宋" w:cs="宋体"/>
          <w:snapToGrid/>
          <w:color w:val="auto"/>
          <w:sz w:val="24"/>
          <w:szCs w:val="24"/>
          <w:lang w:eastAsia="zh-CN"/>
        </w:rPr>
      </w:pPr>
      <w:r>
        <w:rPr>
          <w:rFonts w:hint="eastAsia" w:ascii="黑体" w:hAnsi="黑体" w:eastAsia="宋体" w:cs="宋体"/>
          <w:bCs/>
          <w:snapToGrid/>
          <w:color w:val="auto"/>
          <w:kern w:val="2"/>
          <w:sz w:val="24"/>
          <w:szCs w:val="24"/>
          <w:lang w:eastAsia="zh-CN"/>
        </w:rPr>
        <w:t>十三、谈判保证金金额及缴纳截止时间</w:t>
      </w:r>
    </w:p>
    <w:tbl>
      <w:tblPr>
        <w:tblStyle w:val="7"/>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3"/>
        <w:gridCol w:w="7092"/>
      </w:tblGrid>
      <w:tr w14:paraId="7FA65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403" w:type="dxa"/>
            <w:tcBorders>
              <w:top w:val="single" w:color="auto" w:sz="4" w:space="0"/>
              <w:left w:val="single" w:color="auto" w:sz="4" w:space="0"/>
              <w:bottom w:val="single" w:color="auto" w:sz="4" w:space="0"/>
              <w:right w:val="single" w:color="auto" w:sz="4" w:space="0"/>
            </w:tcBorders>
            <w:vAlign w:val="center"/>
          </w:tcPr>
          <w:p w14:paraId="0A3C600F">
            <w:pPr>
              <w:widowControl w:val="0"/>
              <w:kinsoku/>
              <w:autoSpaceDE/>
              <w:autoSpaceDN/>
              <w:adjustRightInd/>
              <w:snapToGrid/>
              <w:spacing w:line="360" w:lineRule="auto"/>
              <w:jc w:val="center"/>
              <w:textAlignment w:val="auto"/>
              <w:rPr>
                <w:rFonts w:cs="Times New Roman" w:asciiTheme="minorEastAsia" w:hAnsiTheme="minorEastAsia" w:eastAsiaTheme="minorEastAsia"/>
                <w:b/>
                <w:snapToGrid/>
                <w:color w:val="auto"/>
                <w:kern w:val="2"/>
                <w:sz w:val="24"/>
                <w:szCs w:val="24"/>
                <w:lang w:eastAsia="zh-CN"/>
              </w:rPr>
            </w:pPr>
            <w:r>
              <w:rPr>
                <w:rFonts w:hint="eastAsia" w:cs="Times New Roman" w:asciiTheme="minorEastAsia" w:hAnsiTheme="minorEastAsia" w:eastAsiaTheme="minorEastAsia"/>
                <w:b/>
                <w:snapToGrid/>
                <w:color w:val="auto"/>
                <w:kern w:val="2"/>
                <w:sz w:val="24"/>
                <w:szCs w:val="24"/>
                <w:lang w:eastAsia="zh-CN"/>
              </w:rPr>
              <w:t>谈判保证金金额（元）</w:t>
            </w:r>
          </w:p>
        </w:tc>
        <w:tc>
          <w:tcPr>
            <w:tcW w:w="7092" w:type="dxa"/>
            <w:tcBorders>
              <w:top w:val="single" w:color="auto" w:sz="4" w:space="0"/>
              <w:left w:val="single" w:color="auto" w:sz="4" w:space="0"/>
              <w:bottom w:val="single" w:color="auto" w:sz="4" w:space="0"/>
              <w:right w:val="single" w:color="auto" w:sz="4" w:space="0"/>
            </w:tcBorders>
          </w:tcPr>
          <w:p w14:paraId="493D63A3">
            <w:pPr>
              <w:widowControl w:val="0"/>
              <w:kinsoku/>
              <w:autoSpaceDE/>
              <w:autoSpaceDN/>
              <w:adjustRightInd/>
              <w:snapToGrid/>
              <w:spacing w:line="360" w:lineRule="auto"/>
              <w:jc w:val="center"/>
              <w:textAlignment w:val="auto"/>
              <w:rPr>
                <w:rFonts w:cs="Times New Roman" w:asciiTheme="minorEastAsia" w:hAnsiTheme="minorEastAsia" w:eastAsiaTheme="minorEastAsia"/>
                <w:b/>
                <w:snapToGrid/>
                <w:color w:val="auto"/>
                <w:kern w:val="2"/>
                <w:sz w:val="24"/>
                <w:szCs w:val="24"/>
                <w:lang w:eastAsia="zh-CN"/>
              </w:rPr>
            </w:pPr>
            <w:r>
              <w:rPr>
                <w:rFonts w:hint="eastAsia" w:cs="Times New Roman" w:asciiTheme="minorEastAsia" w:hAnsiTheme="minorEastAsia" w:eastAsiaTheme="minorEastAsia"/>
                <w:b/>
                <w:snapToGrid/>
                <w:color w:val="auto"/>
                <w:kern w:val="2"/>
                <w:sz w:val="24"/>
                <w:szCs w:val="24"/>
                <w:lang w:eastAsia="zh-CN"/>
              </w:rPr>
              <w:t>谈判保证金缴纳截止时间</w:t>
            </w:r>
          </w:p>
        </w:tc>
      </w:tr>
      <w:tr w14:paraId="378A5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2403" w:type="dxa"/>
            <w:tcBorders>
              <w:top w:val="single" w:color="auto" w:sz="4" w:space="0"/>
              <w:left w:val="single" w:color="auto" w:sz="4" w:space="0"/>
              <w:bottom w:val="single" w:color="auto" w:sz="4" w:space="0"/>
              <w:right w:val="single" w:color="auto" w:sz="4" w:space="0"/>
            </w:tcBorders>
            <w:vAlign w:val="center"/>
          </w:tcPr>
          <w:p w14:paraId="1B35A922">
            <w:pPr>
              <w:widowControl w:val="0"/>
              <w:kinsoku/>
              <w:autoSpaceDE/>
              <w:autoSpaceDN/>
              <w:adjustRightInd/>
              <w:snapToGrid/>
              <w:spacing w:line="360" w:lineRule="auto"/>
              <w:jc w:val="center"/>
              <w:textAlignment w:val="auto"/>
              <w:rPr>
                <w:rFonts w:hint="default" w:cs="Times New Roman" w:asciiTheme="minorEastAsia" w:hAnsiTheme="minorEastAsia" w:eastAsiaTheme="minorEastAsia"/>
                <w:b/>
                <w:snapToGrid/>
                <w:color w:val="auto"/>
                <w:kern w:val="2"/>
                <w:sz w:val="24"/>
                <w:szCs w:val="24"/>
                <w:lang w:val="en-US" w:eastAsia="zh-CN"/>
              </w:rPr>
            </w:pPr>
            <w:r>
              <w:rPr>
                <w:rFonts w:hint="eastAsia" w:cs="Times New Roman" w:asciiTheme="minorEastAsia" w:hAnsiTheme="minorEastAsia" w:eastAsiaTheme="minorEastAsia"/>
                <w:b/>
                <w:snapToGrid/>
                <w:color w:val="auto"/>
                <w:kern w:val="2"/>
                <w:sz w:val="24"/>
                <w:szCs w:val="24"/>
                <w:lang w:val="en-US" w:eastAsia="zh-CN"/>
              </w:rPr>
              <w:t>8000</w:t>
            </w:r>
          </w:p>
        </w:tc>
        <w:tc>
          <w:tcPr>
            <w:tcW w:w="7092" w:type="dxa"/>
            <w:tcBorders>
              <w:top w:val="single" w:color="auto" w:sz="4" w:space="0"/>
              <w:left w:val="single" w:color="auto" w:sz="4" w:space="0"/>
              <w:bottom w:val="single" w:color="auto" w:sz="4" w:space="0"/>
              <w:right w:val="single" w:color="auto" w:sz="4" w:space="0"/>
            </w:tcBorders>
          </w:tcPr>
          <w:p w14:paraId="2009A309">
            <w:pPr>
              <w:widowControl w:val="0"/>
              <w:kinsoku/>
              <w:autoSpaceDE/>
              <w:autoSpaceDN/>
              <w:adjustRightInd/>
              <w:snapToGrid/>
              <w:spacing w:line="360" w:lineRule="auto"/>
              <w:ind w:firstLine="482" w:firstLineChars="200"/>
              <w:jc w:val="both"/>
              <w:textAlignment w:val="auto"/>
              <w:rPr>
                <w:rFonts w:cs="宋体" w:asciiTheme="minorEastAsia" w:hAnsiTheme="minorEastAsia" w:eastAsiaTheme="minorEastAsia"/>
                <w:b/>
                <w:snapToGrid/>
                <w:color w:val="auto"/>
                <w:kern w:val="2"/>
                <w:sz w:val="24"/>
                <w:szCs w:val="24"/>
                <w:lang w:eastAsia="zh-CN"/>
              </w:rPr>
            </w:pPr>
            <w:r>
              <w:rPr>
                <w:rFonts w:hint="eastAsia" w:cs="宋体" w:asciiTheme="minorEastAsia" w:hAnsiTheme="minorEastAsia" w:eastAsiaTheme="minorEastAsia"/>
                <w:b/>
                <w:snapToGrid/>
                <w:color w:val="auto"/>
                <w:kern w:val="2"/>
                <w:sz w:val="24"/>
                <w:szCs w:val="24"/>
                <w:lang w:eastAsia="zh-CN"/>
              </w:rPr>
              <w:t>从企业基本账户转账方式缴纳的保证金，请在响应文件递交截止前到达“黑龙江省锦融工程项目管理有限责任公司”</w:t>
            </w:r>
            <w:r>
              <w:rPr>
                <w:rFonts w:hint="eastAsia" w:cs="宋体" w:asciiTheme="minorEastAsia" w:hAnsiTheme="minorEastAsia" w:eastAsiaTheme="minorEastAsia"/>
                <w:b/>
                <w:bCs/>
                <w:snapToGrid/>
                <w:color w:val="auto"/>
                <w:kern w:val="2"/>
                <w:sz w:val="24"/>
                <w:szCs w:val="24"/>
                <w:lang w:eastAsia="zh-CN"/>
              </w:rPr>
              <w:t>账</w:t>
            </w:r>
            <w:r>
              <w:rPr>
                <w:rFonts w:hint="eastAsia" w:cs="宋体" w:asciiTheme="minorEastAsia" w:hAnsiTheme="minorEastAsia" w:eastAsiaTheme="minorEastAsia"/>
                <w:b/>
                <w:snapToGrid/>
                <w:color w:val="auto"/>
                <w:kern w:val="2"/>
                <w:sz w:val="24"/>
                <w:szCs w:val="24"/>
                <w:lang w:eastAsia="zh-CN"/>
              </w:rPr>
              <w:t>户，“黑龙江省锦融工程项目管理有限责任公司”以银行出具的纸质回单或网上银行电子回单日期为实际到账日期，否则响应无效。</w:t>
            </w:r>
          </w:p>
          <w:p w14:paraId="07642A82">
            <w:pPr>
              <w:widowControl w:val="0"/>
              <w:kinsoku/>
              <w:autoSpaceDE/>
              <w:autoSpaceDN/>
              <w:adjustRightInd/>
              <w:snapToGrid/>
              <w:spacing w:line="360" w:lineRule="auto"/>
              <w:jc w:val="both"/>
              <w:textAlignment w:val="auto"/>
              <w:rPr>
                <w:rFonts w:cs="宋体" w:asciiTheme="minorEastAsia" w:hAnsiTheme="minorEastAsia" w:eastAsiaTheme="minorEastAsia"/>
                <w:snapToGrid/>
                <w:color w:val="auto"/>
                <w:kern w:val="2"/>
                <w:sz w:val="24"/>
                <w:szCs w:val="24"/>
                <w:lang w:eastAsia="zh-CN"/>
              </w:rPr>
            </w:pPr>
            <w:r>
              <w:rPr>
                <w:rFonts w:hint="eastAsia" w:cs="宋体" w:asciiTheme="minorEastAsia" w:hAnsiTheme="minorEastAsia" w:eastAsiaTheme="minorEastAsia"/>
                <w:snapToGrid/>
                <w:color w:val="auto"/>
                <w:kern w:val="2"/>
                <w:sz w:val="24"/>
                <w:szCs w:val="24"/>
                <w:lang w:eastAsia="zh-CN"/>
              </w:rPr>
              <w:t>户  名：黑龙江省锦融工程项目管理有限责任公司</w:t>
            </w:r>
          </w:p>
          <w:p w14:paraId="4832F715">
            <w:pPr>
              <w:widowControl w:val="0"/>
              <w:kinsoku/>
              <w:autoSpaceDE/>
              <w:autoSpaceDN/>
              <w:adjustRightInd/>
              <w:snapToGrid/>
              <w:spacing w:line="360" w:lineRule="auto"/>
              <w:jc w:val="both"/>
              <w:textAlignment w:val="auto"/>
              <w:rPr>
                <w:rFonts w:cs="Times New Roman" w:asciiTheme="minorEastAsia" w:hAnsiTheme="minorEastAsia" w:eastAsiaTheme="minorEastAsia"/>
                <w:snapToGrid/>
                <w:color w:val="auto"/>
                <w:kern w:val="2"/>
                <w:sz w:val="24"/>
                <w:szCs w:val="24"/>
                <w:lang w:eastAsia="zh-CN"/>
              </w:rPr>
            </w:pPr>
            <w:r>
              <w:rPr>
                <w:rFonts w:hint="eastAsia" w:cs="宋体" w:asciiTheme="minorEastAsia" w:hAnsiTheme="minorEastAsia" w:eastAsiaTheme="minorEastAsia"/>
                <w:snapToGrid/>
                <w:color w:val="auto"/>
                <w:kern w:val="2"/>
                <w:sz w:val="24"/>
                <w:szCs w:val="24"/>
                <w:lang w:eastAsia="zh-CN"/>
              </w:rPr>
              <w:t>开户行：</w:t>
            </w:r>
            <w:r>
              <w:rPr>
                <w:rFonts w:hint="eastAsia" w:cs="Times New Roman" w:asciiTheme="minorEastAsia" w:hAnsiTheme="minorEastAsia" w:eastAsiaTheme="minorEastAsia"/>
                <w:snapToGrid/>
                <w:color w:val="auto"/>
                <w:kern w:val="2"/>
                <w:sz w:val="24"/>
                <w:szCs w:val="24"/>
                <w:lang w:eastAsia="zh-CN"/>
              </w:rPr>
              <w:t>黑河建行分行营业部</w:t>
            </w:r>
          </w:p>
          <w:p w14:paraId="0B9FC3D8">
            <w:pPr>
              <w:widowControl w:val="0"/>
              <w:kinsoku/>
              <w:autoSpaceDE/>
              <w:autoSpaceDN/>
              <w:adjustRightInd/>
              <w:snapToGrid/>
              <w:spacing w:line="360" w:lineRule="auto"/>
              <w:jc w:val="both"/>
              <w:textAlignment w:val="auto"/>
              <w:rPr>
                <w:rFonts w:cs="宋体" w:asciiTheme="minorEastAsia" w:hAnsiTheme="minorEastAsia" w:eastAsiaTheme="minorEastAsia"/>
                <w:snapToGrid/>
                <w:color w:val="auto"/>
                <w:kern w:val="2"/>
                <w:sz w:val="24"/>
                <w:szCs w:val="24"/>
                <w:lang w:eastAsia="zh-CN"/>
              </w:rPr>
            </w:pPr>
            <w:r>
              <w:rPr>
                <w:rFonts w:hint="eastAsia" w:cs="宋体" w:asciiTheme="minorEastAsia" w:hAnsiTheme="minorEastAsia" w:eastAsiaTheme="minorEastAsia"/>
                <w:snapToGrid/>
                <w:color w:val="auto"/>
                <w:kern w:val="2"/>
                <w:sz w:val="24"/>
                <w:szCs w:val="24"/>
                <w:lang w:eastAsia="zh-CN"/>
              </w:rPr>
              <w:t>账  号：</w:t>
            </w:r>
            <w:r>
              <w:rPr>
                <w:rFonts w:hint="eastAsia" w:cs="Times New Roman" w:asciiTheme="minorEastAsia" w:hAnsiTheme="minorEastAsia" w:eastAsiaTheme="minorEastAsia"/>
                <w:snapToGrid/>
                <w:color w:val="auto"/>
                <w:kern w:val="2"/>
                <w:sz w:val="24"/>
                <w:szCs w:val="24"/>
                <w:lang w:eastAsia="zh-CN"/>
              </w:rPr>
              <w:t>23001736951050501994</w:t>
            </w:r>
          </w:p>
          <w:p w14:paraId="221AB25A">
            <w:pPr>
              <w:widowControl w:val="0"/>
              <w:kinsoku/>
              <w:autoSpaceDE/>
              <w:autoSpaceDN/>
              <w:adjustRightInd/>
              <w:snapToGrid/>
              <w:spacing w:line="360" w:lineRule="auto"/>
              <w:jc w:val="both"/>
              <w:textAlignment w:val="auto"/>
              <w:rPr>
                <w:rFonts w:cs="Times New Roman" w:asciiTheme="minorEastAsia" w:hAnsiTheme="minorEastAsia" w:eastAsiaTheme="minorEastAsia"/>
                <w:b/>
                <w:snapToGrid/>
                <w:color w:val="auto"/>
                <w:kern w:val="2"/>
                <w:sz w:val="24"/>
                <w:szCs w:val="24"/>
                <w:lang w:eastAsia="zh-CN"/>
              </w:rPr>
            </w:pPr>
            <w:r>
              <w:rPr>
                <w:rFonts w:hint="eastAsia" w:cs="宋体" w:asciiTheme="minorEastAsia" w:hAnsiTheme="minorEastAsia" w:eastAsiaTheme="minorEastAsia"/>
                <w:snapToGrid/>
                <w:color w:val="auto"/>
                <w:kern w:val="2"/>
                <w:sz w:val="24"/>
                <w:szCs w:val="24"/>
                <w:lang w:eastAsia="zh-CN"/>
              </w:rPr>
              <w:t>汇款用途：</w:t>
            </w:r>
            <w:r>
              <w:rPr>
                <w:rFonts w:hint="eastAsia" w:ascii="宋体" w:hAnsi="宋体" w:eastAsia="宋体" w:cs="宋体"/>
                <w:color w:val="auto"/>
                <w:spacing w:val="4"/>
                <w:sz w:val="24"/>
                <w:szCs w:val="24"/>
                <w:lang w:eastAsia="zh-CN"/>
              </w:rPr>
              <w:t>黑河市职业技术教育中心学校VR思政（党建）教学实践中心设备购置项目</w:t>
            </w:r>
            <w:r>
              <w:rPr>
                <w:rFonts w:hint="eastAsia" w:cs="宋体" w:asciiTheme="minorEastAsia" w:hAnsiTheme="minorEastAsia" w:eastAsiaTheme="minorEastAsia"/>
                <w:snapToGrid/>
                <w:color w:val="auto"/>
                <w:kern w:val="2"/>
                <w:sz w:val="24"/>
                <w:szCs w:val="24"/>
                <w:lang w:eastAsia="zh-CN"/>
              </w:rPr>
              <w:t>谈判保证金</w:t>
            </w:r>
          </w:p>
        </w:tc>
      </w:tr>
    </w:tbl>
    <w:p w14:paraId="12896A78">
      <w:pPr>
        <w:ind w:firstLine="482" w:firstLineChars="200"/>
        <w:rPr>
          <w:rFonts w:ascii="宋体" w:hAnsi="宋体" w:eastAsia="宋体" w:cs="Times New Roman"/>
          <w:b/>
          <w:snapToGrid/>
          <w:color w:val="auto"/>
          <w:kern w:val="2"/>
          <w:sz w:val="24"/>
          <w:szCs w:val="24"/>
          <w:lang w:eastAsia="zh-CN"/>
        </w:rPr>
      </w:pPr>
    </w:p>
    <w:p w14:paraId="5031C823">
      <w:pPr>
        <w:ind w:firstLine="562" w:firstLineChars="200"/>
        <w:rPr>
          <w:rFonts w:ascii="宋体" w:hAnsi="宋体" w:eastAsia="宋体" w:cs="Times New Roman"/>
          <w:b/>
          <w:snapToGrid/>
          <w:color w:val="auto"/>
          <w:kern w:val="2"/>
          <w:sz w:val="28"/>
          <w:szCs w:val="28"/>
          <w:lang w:eastAsia="zh-CN"/>
        </w:rPr>
      </w:pPr>
    </w:p>
    <w:p w14:paraId="667EBB4A">
      <w:pPr>
        <w:spacing w:before="194" w:line="240" w:lineRule="atLeast"/>
        <w:rPr>
          <w:rFonts w:ascii="宋体" w:hAnsi="宋体" w:eastAsia="宋体" w:cs="宋体"/>
          <w:color w:val="auto"/>
          <w:sz w:val="24"/>
          <w:szCs w:val="24"/>
        </w:rPr>
      </w:pPr>
      <w:r>
        <w:rPr>
          <w:rFonts w:hint="eastAsia" w:ascii="宋体" w:hAnsi="宋体" w:eastAsia="宋体" w:cs="宋体"/>
          <w:color w:val="auto"/>
          <w:spacing w:val="11"/>
          <w:sz w:val="24"/>
          <w:szCs w:val="24"/>
        </w:rPr>
        <w:t>十</w:t>
      </w:r>
      <w:r>
        <w:rPr>
          <w:rFonts w:hint="eastAsia" w:ascii="宋体" w:hAnsi="宋体" w:eastAsia="宋体" w:cs="宋体"/>
          <w:color w:val="auto"/>
          <w:spacing w:val="11"/>
          <w:sz w:val="24"/>
          <w:szCs w:val="24"/>
          <w:lang w:eastAsia="zh-CN"/>
        </w:rPr>
        <w:t>四</w:t>
      </w:r>
      <w:r>
        <w:rPr>
          <w:rFonts w:hint="eastAsia" w:ascii="宋体" w:hAnsi="宋体" w:eastAsia="宋体" w:cs="宋体"/>
          <w:color w:val="auto"/>
          <w:spacing w:val="11"/>
          <w:sz w:val="24"/>
          <w:szCs w:val="24"/>
        </w:rPr>
        <w:t>、发布公告的媒介</w:t>
      </w:r>
    </w:p>
    <w:p w14:paraId="10B7AF40">
      <w:pPr>
        <w:spacing w:line="240" w:lineRule="atLeast"/>
        <w:ind w:firstLine="484" w:firstLineChars="200"/>
        <w:rPr>
          <w:rFonts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中</w:t>
      </w:r>
      <w:r>
        <w:rPr>
          <w:rFonts w:ascii="宋体" w:hAnsi="宋体" w:eastAsia="宋体" w:cs="宋体"/>
          <w:color w:val="auto"/>
          <w:spacing w:val="1"/>
          <w:sz w:val="24"/>
          <w:szCs w:val="24"/>
          <w:lang w:eastAsia="zh-CN"/>
        </w:rPr>
        <w:t>国</w:t>
      </w:r>
      <w:r>
        <w:rPr>
          <w:rFonts w:hint="eastAsia" w:ascii="宋体" w:hAnsi="宋体" w:eastAsia="宋体" w:cs="宋体"/>
          <w:color w:val="auto"/>
          <w:spacing w:val="1"/>
          <w:sz w:val="24"/>
          <w:szCs w:val="24"/>
          <w:lang w:val="en-US" w:eastAsia="zh-CN"/>
        </w:rPr>
        <w:t>政府采购网</w:t>
      </w:r>
      <w:r>
        <w:rPr>
          <w:rFonts w:ascii="宋体" w:hAnsi="宋体" w:eastAsia="宋体" w:cs="宋体"/>
          <w:color w:val="auto"/>
          <w:spacing w:val="1"/>
          <w:sz w:val="24"/>
          <w:szCs w:val="24"/>
          <w:lang w:eastAsia="zh-CN"/>
        </w:rPr>
        <w:t>（</w:t>
      </w:r>
      <w:r>
        <w:rPr>
          <w:rFonts w:hint="eastAsia"/>
        </w:rPr>
        <w:t>http://www.ccgp.gov.cn/</w:t>
      </w:r>
      <w:r>
        <w:rPr>
          <w:rFonts w:ascii="宋体" w:hAnsi="宋体" w:eastAsia="宋体" w:cs="宋体"/>
          <w:color w:val="auto"/>
          <w:spacing w:val="1"/>
          <w:sz w:val="24"/>
          <w:szCs w:val="24"/>
          <w:lang w:eastAsia="zh-CN"/>
        </w:rPr>
        <w:t>）</w:t>
      </w:r>
    </w:p>
    <w:p w14:paraId="065C2516">
      <w:pPr>
        <w:spacing w:line="240" w:lineRule="atLeast"/>
        <w:rPr>
          <w:rFonts w:ascii="宋体" w:hAnsi="宋体" w:eastAsia="宋体" w:cs="宋体"/>
          <w:color w:val="auto"/>
          <w:sz w:val="24"/>
          <w:szCs w:val="24"/>
          <w:lang w:eastAsia="zh-CN"/>
        </w:rPr>
      </w:pPr>
      <w:r>
        <w:rPr>
          <w:rFonts w:hint="eastAsia" w:ascii="宋体" w:hAnsi="宋体" w:eastAsia="宋体" w:cs="宋体"/>
          <w:color w:val="auto"/>
          <w:spacing w:val="10"/>
          <w:sz w:val="24"/>
          <w:szCs w:val="24"/>
          <w:lang w:eastAsia="zh-CN"/>
        </w:rPr>
        <w:t>十五、联系信息</w:t>
      </w:r>
    </w:p>
    <w:p w14:paraId="5895BE89">
      <w:pPr>
        <w:spacing w:before="193" w:line="240" w:lineRule="atLeast"/>
        <w:ind w:left="378"/>
        <w:rPr>
          <w:rFonts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1.采购人信息</w:t>
      </w:r>
    </w:p>
    <w:p w14:paraId="15002ED7">
      <w:pPr>
        <w:spacing w:before="164" w:line="240" w:lineRule="atLeast"/>
        <w:ind w:left="544"/>
        <w:rPr>
          <w:rFonts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采购单位：黑河市职业技术教育中心学校</w:t>
      </w:r>
    </w:p>
    <w:p w14:paraId="63DF0B83">
      <w:pPr>
        <w:spacing w:before="193" w:line="240" w:lineRule="atLeast"/>
        <w:ind w:left="544"/>
        <w:rPr>
          <w:rFonts w:hint="default" w:ascii="宋体" w:hAnsi="宋体" w:eastAsia="宋体" w:cs="宋体"/>
          <w:color w:val="auto"/>
          <w:sz w:val="24"/>
          <w:szCs w:val="24"/>
          <w:lang w:val="en-US" w:eastAsia="zh-CN"/>
        </w:rPr>
      </w:pPr>
      <w:r>
        <w:rPr>
          <w:rFonts w:hint="eastAsia" w:ascii="宋体" w:hAnsi="宋体" w:eastAsia="宋体" w:cs="宋体"/>
          <w:color w:val="auto"/>
          <w:position w:val="17"/>
          <w:sz w:val="24"/>
          <w:szCs w:val="24"/>
          <w:lang w:eastAsia="zh-CN"/>
        </w:rPr>
        <w:t>采购单位联系人：</w:t>
      </w:r>
      <w:r>
        <w:rPr>
          <w:rFonts w:hint="eastAsia" w:ascii="宋体" w:hAnsi="宋体" w:eastAsia="宋体" w:cs="宋体"/>
          <w:color w:val="auto"/>
          <w:position w:val="17"/>
          <w:sz w:val="24"/>
          <w:szCs w:val="24"/>
          <w:lang w:val="en-US" w:eastAsia="zh-CN"/>
        </w:rPr>
        <w:t>谢女士</w:t>
      </w:r>
    </w:p>
    <w:p w14:paraId="3C228D40">
      <w:pPr>
        <w:spacing w:before="1" w:line="240" w:lineRule="atLeast"/>
        <w:ind w:left="545"/>
        <w:rPr>
          <w:rFonts w:hint="eastAsia" w:ascii="宋体" w:hAnsi="宋体" w:eastAsia="宋体" w:cs="宋体"/>
          <w:color w:val="auto"/>
          <w:spacing w:val="-21"/>
          <w:sz w:val="24"/>
          <w:szCs w:val="24"/>
          <w:lang w:eastAsia="zh-CN"/>
        </w:rPr>
      </w:pPr>
      <w:r>
        <w:rPr>
          <w:rFonts w:hint="eastAsia" w:ascii="宋体" w:hAnsi="宋体" w:eastAsia="宋体" w:cs="宋体"/>
          <w:color w:val="auto"/>
          <w:spacing w:val="-1"/>
          <w:sz w:val="24"/>
          <w:szCs w:val="24"/>
          <w:lang w:eastAsia="zh-CN"/>
        </w:rPr>
        <w:t>地址：</w:t>
      </w:r>
      <w:r>
        <w:rPr>
          <w:rFonts w:hint="eastAsia" w:ascii="宋体" w:hAnsi="宋体" w:eastAsia="宋体" w:cs="宋体"/>
          <w:color w:val="auto"/>
          <w:spacing w:val="-21"/>
          <w:sz w:val="24"/>
          <w:szCs w:val="24"/>
          <w:lang w:eastAsia="zh-CN"/>
        </w:rPr>
        <w:t>黑河市职业技术教育中心学校河南屯校区</w:t>
      </w:r>
    </w:p>
    <w:p w14:paraId="79B1035D">
      <w:pPr>
        <w:spacing w:before="164" w:line="240" w:lineRule="atLeast"/>
        <w:ind w:left="546"/>
        <w:rPr>
          <w:rFonts w:ascii="宋体" w:hAnsi="宋体" w:eastAsia="宋体" w:cs="宋体"/>
          <w:color w:val="auto"/>
          <w:sz w:val="24"/>
          <w:szCs w:val="24"/>
          <w:lang w:eastAsia="zh-CN"/>
        </w:rPr>
      </w:pPr>
      <w:r>
        <w:rPr>
          <w:rFonts w:hint="eastAsia" w:ascii="宋体" w:hAnsi="宋体" w:eastAsia="宋体" w:cs="宋体"/>
          <w:color w:val="auto"/>
          <w:spacing w:val="-2"/>
          <w:position w:val="17"/>
          <w:sz w:val="24"/>
          <w:szCs w:val="24"/>
          <w:lang w:eastAsia="zh-CN"/>
        </w:rPr>
        <w:t>联系方式：</w:t>
      </w:r>
      <w:r>
        <w:rPr>
          <w:rFonts w:hint="eastAsia" w:ascii="宋体" w:hAnsi="宋体" w:eastAsia="宋体" w:cs="宋体"/>
          <w:color w:val="auto"/>
          <w:spacing w:val="-8"/>
          <w:position w:val="17"/>
          <w:sz w:val="24"/>
          <w:szCs w:val="24"/>
          <w:lang w:eastAsia="zh-CN"/>
        </w:rPr>
        <w:t>0456-6772812</w:t>
      </w:r>
    </w:p>
    <w:p w14:paraId="7A429BE8">
      <w:pPr>
        <w:spacing w:before="1" w:line="240" w:lineRule="atLeast"/>
        <w:ind w:left="371"/>
        <w:rPr>
          <w:rFonts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2.采购代理机构</w:t>
      </w:r>
    </w:p>
    <w:p w14:paraId="370A5ECF">
      <w:pPr>
        <w:spacing w:before="165" w:line="240" w:lineRule="atLeast"/>
        <w:ind w:left="547"/>
        <w:rPr>
          <w:rFonts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名称：黑龙江省锦融工程项目管理有限责任公司</w:t>
      </w:r>
    </w:p>
    <w:p w14:paraId="7F342898">
      <w:pPr>
        <w:spacing w:before="192" w:line="240" w:lineRule="atLeast"/>
        <w:ind w:left="545"/>
        <w:rPr>
          <w:rFonts w:ascii="宋体" w:hAnsi="宋体" w:eastAsia="宋体" w:cs="宋体"/>
          <w:color w:val="auto"/>
          <w:sz w:val="24"/>
          <w:szCs w:val="24"/>
          <w:lang w:eastAsia="zh-CN"/>
        </w:rPr>
      </w:pPr>
      <w:r>
        <w:rPr>
          <w:rFonts w:hint="eastAsia" w:ascii="宋体" w:hAnsi="宋体" w:eastAsia="宋体" w:cs="宋体"/>
          <w:color w:val="auto"/>
          <w:position w:val="17"/>
          <w:sz w:val="24"/>
          <w:szCs w:val="24"/>
          <w:lang w:eastAsia="zh-CN"/>
        </w:rPr>
        <w:t>地址： 黑河市龙科街70号</w:t>
      </w:r>
    </w:p>
    <w:p w14:paraId="387BAC0F">
      <w:pPr>
        <w:spacing w:before="1" w:line="240" w:lineRule="atLeast"/>
        <w:ind w:left="546"/>
        <w:rPr>
          <w:rFonts w:hint="default" w:ascii="宋体" w:hAnsi="宋体" w:eastAsia="宋体" w:cs="宋体"/>
          <w:color w:val="auto"/>
          <w:sz w:val="24"/>
          <w:szCs w:val="24"/>
          <w:lang w:val="en-US" w:eastAsia="zh-CN"/>
        </w:rPr>
      </w:pPr>
      <w:r>
        <w:rPr>
          <w:rFonts w:hint="eastAsia" w:ascii="宋体" w:hAnsi="宋体" w:eastAsia="宋体" w:cs="宋体"/>
          <w:color w:val="auto"/>
          <w:spacing w:val="-3"/>
          <w:sz w:val="24"/>
          <w:szCs w:val="24"/>
          <w:lang w:eastAsia="zh-CN"/>
        </w:rPr>
        <w:t>联系方式：</w:t>
      </w:r>
      <w:r>
        <w:rPr>
          <w:rFonts w:hint="eastAsia" w:ascii="宋体" w:hAnsi="宋体" w:eastAsia="宋体" w:cs="宋体"/>
          <w:color w:val="auto"/>
          <w:spacing w:val="-18"/>
          <w:sz w:val="24"/>
          <w:szCs w:val="24"/>
          <w:lang w:eastAsia="zh-CN"/>
        </w:rPr>
        <w:t xml:space="preserve"> </w:t>
      </w:r>
      <w:r>
        <w:rPr>
          <w:rFonts w:hint="eastAsia" w:ascii="宋体" w:hAnsi="宋体" w:eastAsia="宋体" w:cs="宋体"/>
          <w:color w:val="auto"/>
          <w:spacing w:val="-3"/>
          <w:sz w:val="24"/>
          <w:szCs w:val="24"/>
          <w:lang w:eastAsia="zh-CN"/>
        </w:rPr>
        <w:t>045</w:t>
      </w:r>
      <w:r>
        <w:rPr>
          <w:rFonts w:ascii="宋体" w:hAnsi="宋体" w:eastAsia="宋体" w:cs="宋体"/>
          <w:color w:val="auto"/>
          <w:spacing w:val="-3"/>
          <w:sz w:val="24"/>
          <w:szCs w:val="24"/>
          <w:lang w:eastAsia="zh-CN"/>
        </w:rPr>
        <w:t>6</w:t>
      </w:r>
      <w:r>
        <w:rPr>
          <w:rFonts w:hint="eastAsia" w:ascii="宋体" w:hAnsi="宋体" w:eastAsia="宋体" w:cs="宋体"/>
          <w:color w:val="auto"/>
          <w:spacing w:val="-3"/>
          <w:sz w:val="24"/>
          <w:szCs w:val="24"/>
          <w:lang w:eastAsia="zh-CN"/>
        </w:rPr>
        <w:t>-</w:t>
      </w:r>
      <w:r>
        <w:rPr>
          <w:rFonts w:ascii="宋体" w:hAnsi="宋体" w:eastAsia="宋体" w:cs="宋体"/>
          <w:color w:val="auto"/>
          <w:spacing w:val="-3"/>
          <w:sz w:val="24"/>
          <w:szCs w:val="24"/>
          <w:lang w:eastAsia="zh-CN"/>
        </w:rPr>
        <w:t>777770</w:t>
      </w:r>
      <w:r>
        <w:rPr>
          <w:rFonts w:hint="eastAsia" w:ascii="宋体" w:hAnsi="宋体" w:eastAsia="宋体" w:cs="宋体"/>
          <w:color w:val="auto"/>
          <w:spacing w:val="-3"/>
          <w:sz w:val="24"/>
          <w:szCs w:val="24"/>
          <w:lang w:val="en-US" w:eastAsia="zh-CN"/>
        </w:rPr>
        <w:t>9</w:t>
      </w:r>
    </w:p>
    <w:p w14:paraId="69B530E2">
      <w:pPr>
        <w:spacing w:before="1" w:line="210" w:lineRule="auto"/>
        <w:jc w:val="right"/>
        <w:rPr>
          <w:rFonts w:hint="eastAsia" w:ascii="宋体" w:hAnsi="宋体" w:eastAsia="宋体" w:cs="宋体"/>
          <w:color w:val="auto"/>
          <w:spacing w:val="-2"/>
          <w:sz w:val="24"/>
          <w:szCs w:val="24"/>
          <w:lang w:eastAsia="zh-CN"/>
        </w:rPr>
      </w:pPr>
    </w:p>
    <w:p w14:paraId="572D7B22">
      <w:pPr>
        <w:spacing w:before="1" w:line="210" w:lineRule="auto"/>
        <w:jc w:val="right"/>
        <w:rPr>
          <w:rFonts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2024年0</w:t>
      </w:r>
      <w:r>
        <w:rPr>
          <w:rFonts w:hint="eastAsia" w:ascii="宋体" w:hAnsi="宋体" w:eastAsia="宋体" w:cs="宋体"/>
          <w:color w:val="auto"/>
          <w:spacing w:val="-2"/>
          <w:sz w:val="24"/>
          <w:szCs w:val="24"/>
          <w:lang w:val="en-US" w:eastAsia="zh-CN"/>
        </w:rPr>
        <w:t>7</w:t>
      </w:r>
      <w:r>
        <w:rPr>
          <w:rFonts w:hint="eastAsia" w:ascii="宋体" w:hAnsi="宋体" w:eastAsia="宋体" w:cs="宋体"/>
          <w:color w:val="auto"/>
          <w:spacing w:val="-2"/>
          <w:sz w:val="24"/>
          <w:szCs w:val="24"/>
          <w:lang w:eastAsia="zh-CN"/>
        </w:rPr>
        <w:t>月2</w:t>
      </w:r>
      <w:r>
        <w:rPr>
          <w:rFonts w:hint="eastAsia" w:ascii="宋体" w:hAnsi="宋体" w:eastAsia="宋体" w:cs="宋体"/>
          <w:color w:val="auto"/>
          <w:spacing w:val="-2"/>
          <w:sz w:val="24"/>
          <w:szCs w:val="24"/>
          <w:lang w:val="en-US" w:eastAsia="zh-CN"/>
        </w:rPr>
        <w:t>4</w:t>
      </w:r>
      <w:r>
        <w:rPr>
          <w:rFonts w:ascii="宋体" w:hAnsi="宋体" w:eastAsia="宋体" w:cs="宋体"/>
          <w:color w:val="auto"/>
          <w:spacing w:val="-2"/>
          <w:sz w:val="24"/>
          <w:szCs w:val="24"/>
          <w:lang w:eastAsia="zh-CN"/>
        </w:rPr>
        <w:t>日</w:t>
      </w:r>
    </w:p>
    <w:p w14:paraId="6D84BAC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Lucida Sans Unicode">
    <w:panose1 w:val="020B0602030504020204"/>
    <w:charset w:val="00"/>
    <w:family w:val="swiss"/>
    <w:pitch w:val="default"/>
    <w:sig w:usb0="80001AFF" w:usb1="0000396B" w:usb2="00000000" w:usb3="00000000" w:csb0="200000BF" w:csb1="D7F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BE10A0"/>
    <w:multiLevelType w:val="singleLevel"/>
    <w:tmpl w:val="9EBE10A0"/>
    <w:lvl w:ilvl="0" w:tentative="0">
      <w:start w:val="1"/>
      <w:numFmt w:val="chineseCounting"/>
      <w:suff w:val="space"/>
      <w:lvlText w:val="第%1章"/>
      <w:lvlJc w:val="left"/>
      <w:rPr>
        <w:rFonts w:hint="eastAsia"/>
      </w:rPr>
    </w:lvl>
  </w:abstractNum>
  <w:abstractNum w:abstractNumId="1">
    <w:nsid w:val="A417E5E6"/>
    <w:multiLevelType w:val="singleLevel"/>
    <w:tmpl w:val="A417E5E6"/>
    <w:lvl w:ilvl="0" w:tentative="0">
      <w:start w:val="2"/>
      <w:numFmt w:val="chineseCounting"/>
      <w:suff w:val="nothing"/>
      <w:lvlText w:val="（%1）"/>
      <w:lvlJc w:val="left"/>
      <w:rPr>
        <w:rFonts w:hint="eastAsia"/>
      </w:rPr>
    </w:lvl>
  </w:abstractNum>
  <w:abstractNum w:abstractNumId="2">
    <w:nsid w:val="AC1CF508"/>
    <w:multiLevelType w:val="singleLevel"/>
    <w:tmpl w:val="AC1CF508"/>
    <w:lvl w:ilvl="0" w:tentative="0">
      <w:start w:val="1"/>
      <w:numFmt w:val="chineseCounting"/>
      <w:suff w:val="nothing"/>
      <w:lvlText w:val="%1、"/>
      <w:lvlJc w:val="left"/>
      <w:rPr>
        <w:rFonts w:hint="eastAsia"/>
      </w:rPr>
    </w:lvl>
  </w:abstractNum>
  <w:abstractNum w:abstractNumId="3">
    <w:nsid w:val="F9830EF8"/>
    <w:multiLevelType w:val="singleLevel"/>
    <w:tmpl w:val="F9830EF8"/>
    <w:lvl w:ilvl="0" w:tentative="0">
      <w:start w:val="5"/>
      <w:numFmt w:val="chineseCounting"/>
      <w:suff w:val="nothing"/>
      <w:lvlText w:val="%1、"/>
      <w:lvlJc w:val="left"/>
      <w:rPr>
        <w:rFonts w:hint="eastAsia"/>
      </w:rPr>
    </w:lvl>
  </w:abstractNum>
  <w:abstractNum w:abstractNumId="4">
    <w:nsid w:val="FBAEA848"/>
    <w:multiLevelType w:val="multilevel"/>
    <w:tmpl w:val="FBAEA848"/>
    <w:lvl w:ilvl="0" w:tentative="0">
      <w:start w:val="1"/>
      <w:numFmt w:val="decimal"/>
      <w:suff w:val="nothing"/>
      <w:lvlText w:val="（%1）"/>
      <w:lvlJc w:val="left"/>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02E10DBF"/>
    <w:multiLevelType w:val="multilevel"/>
    <w:tmpl w:val="02E10DBF"/>
    <w:lvl w:ilvl="0" w:tentative="0">
      <w:start w:val="5"/>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0E4B0B14"/>
    <w:multiLevelType w:val="multilevel"/>
    <w:tmpl w:val="0E4B0B14"/>
    <w:lvl w:ilvl="0" w:tentative="0">
      <w:start w:val="9"/>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11BEF162"/>
    <w:multiLevelType w:val="singleLevel"/>
    <w:tmpl w:val="11BEF162"/>
    <w:lvl w:ilvl="0" w:tentative="0">
      <w:start w:val="13"/>
      <w:numFmt w:val="decimal"/>
      <w:suff w:val="nothing"/>
      <w:lvlText w:val="%1、"/>
      <w:lvlJc w:val="left"/>
    </w:lvl>
  </w:abstractNum>
  <w:abstractNum w:abstractNumId="8">
    <w:nsid w:val="20260D1C"/>
    <w:multiLevelType w:val="multilevel"/>
    <w:tmpl w:val="20260D1C"/>
    <w:lvl w:ilvl="0" w:tentative="0">
      <w:start w:val="9"/>
      <w:numFmt w:val="decimal"/>
      <w:lvlText w:val="%1、"/>
      <w:lvlJc w:val="left"/>
      <w:pPr>
        <w:ind w:left="360" w:hanging="360"/>
      </w:pPr>
      <w:rPr>
        <w:rFonts w:hint="default"/>
      </w:rPr>
    </w:lvl>
    <w:lvl w:ilvl="1" w:tentative="0">
      <w:start w:val="1"/>
      <w:numFmt w:val="decimal"/>
      <w:lvlText w:val="（%2）"/>
      <w:lvlJc w:val="left"/>
      <w:pPr>
        <w:ind w:left="1160" w:hanging="720"/>
      </w:pPr>
      <w:rPr>
        <w:rFonts w:hint="default"/>
      </w:r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2182429E"/>
    <w:multiLevelType w:val="multilevel"/>
    <w:tmpl w:val="2182429E"/>
    <w:lvl w:ilvl="0" w:tentative="0">
      <w:start w:val="1"/>
      <w:numFmt w:val="japaneseCounting"/>
      <w:lvlText w:val="%1、"/>
      <w:lvlJc w:val="left"/>
      <w:pPr>
        <w:ind w:left="360" w:hanging="360"/>
      </w:pPr>
      <w:rPr>
        <w:rFonts w:hint="default"/>
        <w:lang w:val="en-U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4A351C89"/>
    <w:multiLevelType w:val="multilevel"/>
    <w:tmpl w:val="4A351C89"/>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57D24AA4"/>
    <w:multiLevelType w:val="multilevel"/>
    <w:tmpl w:val="57D24AA4"/>
    <w:lvl w:ilvl="0" w:tentative="0">
      <w:start w:val="5"/>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2"/>
  </w:num>
  <w:num w:numId="3">
    <w:abstractNumId w:val="9"/>
  </w:num>
  <w:num w:numId="4">
    <w:abstractNumId w:val="1"/>
  </w:num>
  <w:num w:numId="5">
    <w:abstractNumId w:val="11"/>
  </w:num>
  <w:num w:numId="6">
    <w:abstractNumId w:val="6"/>
  </w:num>
  <w:num w:numId="7">
    <w:abstractNumId w:val="8"/>
  </w:num>
  <w:num w:numId="8">
    <w:abstractNumId w:val="7"/>
  </w:num>
  <w:num w:numId="9">
    <w:abstractNumId w:val="5"/>
  </w:num>
  <w:num w:numId="10">
    <w:abstractNumId w:val="1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RjZGEzNWZiNjYzYTc1NTEyYWM2MzVlZDQ2YjU5NjgifQ=="/>
  </w:docVars>
  <w:rsids>
    <w:rsidRoot w:val="19BA1B13"/>
    <w:rsid w:val="19BA1B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customStyle="1" w:styleId="2">
    <w:name w:val="wang正文"/>
    <w:basedOn w:val="1"/>
    <w:qFormat/>
    <w:uiPriority w:val="0"/>
    <w:pPr>
      <w:tabs>
        <w:tab w:val="left" w:pos="6840"/>
      </w:tabs>
      <w:topLinePunct/>
      <w:ind w:firstLine="420"/>
    </w:pPr>
    <w:rPr>
      <w:kern w:val="0"/>
    </w:rPr>
  </w:style>
  <w:style w:type="paragraph" w:styleId="3">
    <w:name w:val="Body Text"/>
    <w:basedOn w:val="1"/>
    <w:semiHidden/>
    <w:qFormat/>
    <w:uiPriority w:val="0"/>
  </w:style>
  <w:style w:type="paragraph" w:styleId="4">
    <w:name w:val="Body Text Indent"/>
    <w:basedOn w:val="1"/>
    <w:semiHidden/>
    <w:unhideWhenUsed/>
    <w:qFormat/>
    <w:uiPriority w:val="99"/>
    <w:pPr>
      <w:spacing w:after="120"/>
      <w:ind w:left="420" w:leftChars="200"/>
    </w:pPr>
  </w:style>
  <w:style w:type="paragraph" w:styleId="5">
    <w:name w:val="Body Text First Indent"/>
    <w:basedOn w:val="3"/>
    <w:next w:val="1"/>
    <w:unhideWhenUsed/>
    <w:qFormat/>
    <w:uiPriority w:val="99"/>
    <w:pPr>
      <w:widowControl w:val="0"/>
      <w:kinsoku/>
      <w:autoSpaceDE/>
      <w:autoSpaceDN/>
      <w:adjustRightInd/>
      <w:snapToGrid/>
      <w:spacing w:after="120"/>
      <w:ind w:firstLine="420" w:firstLineChars="100"/>
      <w:jc w:val="both"/>
      <w:textAlignment w:val="auto"/>
    </w:pPr>
    <w:rPr>
      <w:rFonts w:ascii="Times New Roman" w:hAnsi="Times New Roman" w:eastAsia="宋体" w:cs="Times New Roman"/>
      <w:snapToGrid/>
      <w:color w:val="auto"/>
      <w:kern w:val="2"/>
      <w:szCs w:val="20"/>
      <w:lang w:eastAsia="zh-CN"/>
    </w:rPr>
  </w:style>
  <w:style w:type="paragraph" w:styleId="6">
    <w:name w:val="Body Text First Indent 2"/>
    <w:basedOn w:val="4"/>
    <w:unhideWhenUsed/>
    <w:qFormat/>
    <w:uiPriority w:val="99"/>
    <w:pPr>
      <w:spacing w:before="120" w:after="0" w:line="360" w:lineRule="exact"/>
      <w:ind w:left="0" w:leftChars="0" w:firstLine="420" w:firstLineChars="200"/>
      <w:jc w:val="left"/>
    </w:pPr>
    <w:rPr>
      <w:rFonts w:asciiTheme="minorHAnsi" w:hAnsiTheme="minorHAnsi" w:cstheme="minorBidi"/>
      <w:sz w:val="28"/>
      <w:szCs w:val="22"/>
    </w:rPr>
  </w:style>
  <w:style w:type="table" w:styleId="8">
    <w:name w:val="Table Grid"/>
    <w:basedOn w:val="7"/>
    <w:qFormat/>
    <w:uiPriority w:val="0"/>
    <w:pPr>
      <w:widowControl w:val="0"/>
      <w:jc w:val="both"/>
    </w:pPr>
    <w:rPr>
      <w:rFonts w:ascii="Calibri" w:hAnsi="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0">
    <w:name w:val="List Paragraph"/>
    <w:basedOn w:val="1"/>
    <w:qFormat/>
    <w:uiPriority w:val="34"/>
    <w:pPr>
      <w:ind w:left="720"/>
      <w:contextualSpacing/>
    </w:pPr>
  </w:style>
  <w:style w:type="paragraph" w:customStyle="1" w:styleId="11">
    <w:name w:val="列表段落1"/>
    <w:basedOn w:val="1"/>
    <w:autoRedefine/>
    <w:qFormat/>
    <w:uiPriority w:val="34"/>
    <w:pPr>
      <w:ind w:firstLine="420" w:firstLineChars="200"/>
    </w:pPr>
    <w:rPr>
      <w:rFonts w:ascii="等线" w:hAnsi="等线" w:eastAsia="等线"/>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Office_12.1.0.17813_F1E327BC-269C-435d-A152-05C5408002CA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2024-07-24T08:58:00Z</dcterms:created>
  <dc:creator>never more</dc:creator>
  <cp:lastModifiedBy>never more</cp:lastModifiedBy>
  <dcterms:modified xsi:type="dcterms:W3CDTF">2024-07-24T08:58:23Z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ICV">
    <vt:lpwstr>D9AD801BC43F43F29FACE36528BFF23A_11</vt:lpwstr>
  </property>
</Properties>
</file>