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5"/>
        <w:numPr>
          <w:ilvl w:val="0"/>
          <w:numId w:val="0"/>
        </w:numPr>
        <w:rPr>
          <w:rFonts w:hint="eastAsia" w:eastAsia="宋体" w:cs="宋体"/>
          <w:color w:val="auto"/>
          <w:kern w:val="0"/>
          <w:sz w:val="36"/>
          <w:szCs w:val="36"/>
          <w:highlight w:val="none"/>
          <w:lang w:eastAsia="zh-CN"/>
        </w:rPr>
        <w:sectPr>
          <w:headerReference r:id="rId4" w:type="first"/>
          <w:footerReference r:id="rId5" w:type="default"/>
          <w:headerReference r:id="rId3" w:type="even"/>
          <w:footerReference r:id="rId6" w:type="even"/>
          <w:pgSz w:w="11906" w:h="16838"/>
          <w:pgMar w:top="1418" w:right="1417" w:bottom="1418" w:left="1417" w:header="851" w:footer="907" w:gutter="0"/>
          <w:pgNumType w:start="1"/>
          <w:cols w:space="720" w:num="1"/>
          <w:titlePg/>
          <w:docGrid w:type="lines" w:linePitch="290" w:charSpace="0"/>
        </w:sectPr>
      </w:pPr>
      <w:r>
        <w:rPr>
          <w:rFonts w:hint="eastAsia" w:eastAsia="宋体" w:cs="宋体"/>
          <w:color w:val="auto"/>
          <w:kern w:val="0"/>
          <w:sz w:val="36"/>
          <w:szCs w:val="36"/>
          <w:highlight w:val="none"/>
          <w:lang w:eastAsia="zh-CN"/>
        </w:rPr>
        <w:drawing>
          <wp:inline distT="0" distB="0" distL="114300" distR="114300">
            <wp:extent cx="5758815" cy="8926195"/>
            <wp:effectExtent l="0" t="0" r="13335" b="8255"/>
            <wp:docPr id="1" name="图片 1" descr="车辆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车辆_00"/>
                    <pic:cNvPicPr>
                      <a:picLocks noChangeAspect="1"/>
                    </pic:cNvPicPr>
                  </pic:nvPicPr>
                  <pic:blipFill>
                    <a:blip r:embed="rId15"/>
                    <a:stretch>
                      <a:fillRect/>
                    </a:stretch>
                  </pic:blipFill>
                  <pic:spPr>
                    <a:xfrm>
                      <a:off x="0" y="0"/>
                      <a:ext cx="5758815" cy="8926195"/>
                    </a:xfrm>
                    <a:prstGeom prst="rect">
                      <a:avLst/>
                    </a:prstGeom>
                  </pic:spPr>
                </pic:pic>
              </a:graphicData>
            </a:graphic>
          </wp:inline>
        </w:drawing>
      </w:r>
    </w:p>
    <w:p>
      <w:pPr>
        <w:rPr>
          <w:color w:val="auto"/>
          <w:highlight w:val="none"/>
        </w:rPr>
        <w:sectPr>
          <w:headerReference r:id="rId7" w:type="default"/>
          <w:footerReference r:id="rId8" w:type="default"/>
          <w:pgSz w:w="11906" w:h="16838"/>
          <w:pgMar w:top="1440" w:right="1800" w:bottom="1440" w:left="1800" w:header="851" w:footer="992" w:gutter="0"/>
          <w:cols w:space="720" w:num="1"/>
          <w:docGrid w:type="lines" w:linePitch="312" w:charSpace="0"/>
        </w:sectPr>
      </w:pPr>
    </w:p>
    <w:p>
      <w:pPr>
        <w:pStyle w:val="2"/>
        <w:rPr>
          <w:color w:val="auto"/>
        </w:rPr>
      </w:pPr>
    </w:p>
    <w:p>
      <w:pPr>
        <w:rPr>
          <w:rFonts w:ascii="宋体" w:hAnsi="宋体" w:cs="宋体"/>
          <w:b/>
          <w:bCs/>
          <w:color w:val="auto"/>
          <w:kern w:val="0"/>
          <w:sz w:val="36"/>
          <w:szCs w:val="36"/>
          <w:highlight w:val="none"/>
        </w:rPr>
      </w:pPr>
    </w:p>
    <w:p>
      <w:pPr>
        <w:pStyle w:val="130"/>
        <w:jc w:val="center"/>
        <w:rPr>
          <w:rFonts w:ascii="宋体" w:hAnsi="宋体"/>
          <w:color w:val="auto"/>
          <w:sz w:val="44"/>
          <w:szCs w:val="44"/>
          <w:highlight w:val="none"/>
          <w:lang w:val="zh-CN"/>
        </w:rPr>
      </w:pPr>
      <w:bookmarkStart w:id="0" w:name="_Toc494375077"/>
      <w:bookmarkStart w:id="1" w:name="_Toc120614210"/>
      <w:bookmarkStart w:id="2" w:name="_Toc16938516"/>
      <w:bookmarkStart w:id="3" w:name="_Toc20823272"/>
      <w:bookmarkStart w:id="4" w:name="_Toc513029200"/>
      <w:bookmarkStart w:id="5" w:name="_Toc523127445"/>
      <w:bookmarkStart w:id="6" w:name="_Toc479757206"/>
      <w:r>
        <w:rPr>
          <w:rFonts w:ascii="宋体" w:hAnsi="宋体"/>
          <w:color w:val="auto"/>
          <w:sz w:val="44"/>
          <w:szCs w:val="44"/>
          <w:highlight w:val="none"/>
          <w:lang w:val="zh-CN"/>
        </w:rPr>
        <w:t>目录</w:t>
      </w:r>
    </w:p>
    <w:p>
      <w:pPr>
        <w:rPr>
          <w:rFonts w:ascii="宋体" w:hAnsi="宋体"/>
          <w:color w:val="auto"/>
          <w:sz w:val="44"/>
          <w:szCs w:val="44"/>
          <w:highlight w:val="none"/>
          <w:lang w:val="zh-CN"/>
        </w:rPr>
      </w:pPr>
    </w:p>
    <w:p>
      <w:pPr>
        <w:pStyle w:val="22"/>
        <w:tabs>
          <w:tab w:val="right" w:leader="dot" w:pos="8296"/>
        </w:tabs>
        <w:rPr>
          <w:rFonts w:asciiTheme="minorEastAsia" w:hAnsiTheme="minorEastAsia" w:eastAsiaTheme="minorEastAsia" w:cstheme="minorBidi"/>
          <w:color w:val="auto"/>
          <w:kern w:val="2"/>
          <w:sz w:val="28"/>
          <w:szCs w:val="28"/>
          <w:highlight w:val="none"/>
        </w:rPr>
      </w:pP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TOC \o "1-1" \h \u </w:instrText>
      </w:r>
      <w:r>
        <w:rPr>
          <w:rFonts w:asciiTheme="minorEastAsia" w:hAnsiTheme="minorEastAsia" w:eastAsiaTheme="minorEastAsia"/>
          <w:color w:val="auto"/>
          <w:sz w:val="28"/>
          <w:szCs w:val="28"/>
          <w:highlight w:val="none"/>
        </w:rPr>
        <w:fldChar w:fldCharType="separate"/>
      </w:r>
      <w:r>
        <w:rPr>
          <w:color w:val="auto"/>
          <w:highlight w:val="none"/>
        </w:rPr>
        <w:fldChar w:fldCharType="begin"/>
      </w:r>
      <w:r>
        <w:rPr>
          <w:color w:val="auto"/>
          <w:highlight w:val="none"/>
        </w:rPr>
        <w:instrText xml:space="preserve"> HYPERLINK \l "_Toc161525970" </w:instrText>
      </w:r>
      <w:r>
        <w:rPr>
          <w:color w:val="auto"/>
          <w:highlight w:val="none"/>
        </w:rPr>
        <w:fldChar w:fldCharType="separate"/>
      </w:r>
      <w:r>
        <w:rPr>
          <w:rStyle w:val="49"/>
          <w:rFonts w:asciiTheme="minorEastAsia" w:hAnsiTheme="minorEastAsia" w:eastAsiaTheme="minorEastAsia"/>
          <w:color w:val="auto"/>
          <w:sz w:val="28"/>
          <w:szCs w:val="28"/>
          <w:highlight w:val="none"/>
        </w:rPr>
        <w:t>须知前附表</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_Toc161525970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1</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p>
    <w:p>
      <w:pPr>
        <w:pStyle w:val="22"/>
        <w:tabs>
          <w:tab w:val="right" w:leader="dot" w:pos="8296"/>
        </w:tabs>
        <w:rPr>
          <w:rFonts w:asciiTheme="minorEastAsia" w:hAnsiTheme="minorEastAsia" w:eastAsiaTheme="minorEastAsia" w:cstheme="minorBidi"/>
          <w:color w:val="auto"/>
          <w:kern w:val="2"/>
          <w:sz w:val="28"/>
          <w:szCs w:val="28"/>
          <w:highlight w:val="none"/>
        </w:rPr>
      </w:pPr>
      <w:r>
        <w:rPr>
          <w:color w:val="auto"/>
          <w:highlight w:val="none"/>
        </w:rPr>
        <w:fldChar w:fldCharType="begin"/>
      </w:r>
      <w:r>
        <w:rPr>
          <w:color w:val="auto"/>
          <w:highlight w:val="none"/>
        </w:rPr>
        <w:instrText xml:space="preserve"> HYPERLINK \l "_Toc161525971" </w:instrText>
      </w:r>
      <w:r>
        <w:rPr>
          <w:color w:val="auto"/>
          <w:highlight w:val="none"/>
        </w:rPr>
        <w:fldChar w:fldCharType="separate"/>
      </w:r>
      <w:r>
        <w:rPr>
          <w:rStyle w:val="49"/>
          <w:rFonts w:asciiTheme="minorEastAsia" w:hAnsiTheme="minorEastAsia" w:eastAsiaTheme="minorEastAsia"/>
          <w:color w:val="auto"/>
          <w:sz w:val="28"/>
          <w:szCs w:val="28"/>
          <w:highlight w:val="none"/>
        </w:rPr>
        <w:t>第一章 招标邀请</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_Toc161525971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7</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p>
    <w:p>
      <w:pPr>
        <w:pStyle w:val="22"/>
        <w:tabs>
          <w:tab w:val="right" w:leader="dot" w:pos="8296"/>
        </w:tabs>
        <w:rPr>
          <w:rFonts w:asciiTheme="minorEastAsia" w:hAnsiTheme="minorEastAsia" w:eastAsiaTheme="minorEastAsia" w:cstheme="minorBidi"/>
          <w:color w:val="auto"/>
          <w:kern w:val="2"/>
          <w:sz w:val="28"/>
          <w:szCs w:val="28"/>
          <w:highlight w:val="none"/>
        </w:rPr>
      </w:pPr>
      <w:r>
        <w:rPr>
          <w:color w:val="auto"/>
          <w:highlight w:val="none"/>
        </w:rPr>
        <w:fldChar w:fldCharType="begin"/>
      </w:r>
      <w:r>
        <w:rPr>
          <w:color w:val="auto"/>
          <w:highlight w:val="none"/>
        </w:rPr>
        <w:instrText xml:space="preserve"> HYPERLINK \l "_Toc161525972" </w:instrText>
      </w:r>
      <w:r>
        <w:rPr>
          <w:color w:val="auto"/>
          <w:highlight w:val="none"/>
        </w:rPr>
        <w:fldChar w:fldCharType="separate"/>
      </w:r>
      <w:r>
        <w:rPr>
          <w:rStyle w:val="49"/>
          <w:rFonts w:asciiTheme="minorEastAsia" w:hAnsiTheme="minorEastAsia" w:eastAsiaTheme="minorEastAsia"/>
          <w:color w:val="auto"/>
          <w:sz w:val="28"/>
          <w:szCs w:val="28"/>
          <w:highlight w:val="none"/>
        </w:rPr>
        <w:t>第二章 投标人须知</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_Toc161525972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10</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p>
    <w:p>
      <w:pPr>
        <w:pStyle w:val="22"/>
        <w:tabs>
          <w:tab w:val="right" w:leader="dot" w:pos="8296"/>
        </w:tabs>
        <w:rPr>
          <w:rFonts w:asciiTheme="minorEastAsia" w:hAnsiTheme="minorEastAsia" w:eastAsiaTheme="minorEastAsia" w:cstheme="minorBidi"/>
          <w:color w:val="auto"/>
          <w:kern w:val="2"/>
          <w:sz w:val="28"/>
          <w:szCs w:val="28"/>
          <w:highlight w:val="none"/>
        </w:rPr>
      </w:pPr>
      <w:r>
        <w:rPr>
          <w:color w:val="auto"/>
          <w:highlight w:val="none"/>
        </w:rPr>
        <w:fldChar w:fldCharType="begin"/>
      </w:r>
      <w:r>
        <w:rPr>
          <w:color w:val="auto"/>
          <w:highlight w:val="none"/>
        </w:rPr>
        <w:instrText xml:space="preserve"> HYPERLINK \l "_Toc161525973" </w:instrText>
      </w:r>
      <w:r>
        <w:rPr>
          <w:color w:val="auto"/>
          <w:highlight w:val="none"/>
        </w:rPr>
        <w:fldChar w:fldCharType="separate"/>
      </w:r>
      <w:r>
        <w:rPr>
          <w:rStyle w:val="49"/>
          <w:rFonts w:asciiTheme="minorEastAsia" w:hAnsiTheme="minorEastAsia" w:eastAsiaTheme="minorEastAsia"/>
          <w:color w:val="auto"/>
          <w:sz w:val="28"/>
          <w:szCs w:val="28"/>
          <w:highlight w:val="none"/>
        </w:rPr>
        <w:t>第三章 评分办法及评分标准</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_Toc161525973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26</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p>
    <w:p>
      <w:pPr>
        <w:pStyle w:val="22"/>
        <w:tabs>
          <w:tab w:val="right" w:leader="dot" w:pos="8296"/>
        </w:tabs>
        <w:rPr>
          <w:rFonts w:asciiTheme="minorEastAsia" w:hAnsiTheme="minorEastAsia" w:eastAsiaTheme="minorEastAsia" w:cstheme="minorBidi"/>
          <w:color w:val="auto"/>
          <w:kern w:val="2"/>
          <w:sz w:val="28"/>
          <w:szCs w:val="28"/>
          <w:highlight w:val="none"/>
        </w:rPr>
      </w:pPr>
      <w:r>
        <w:rPr>
          <w:color w:val="auto"/>
          <w:highlight w:val="none"/>
        </w:rPr>
        <w:fldChar w:fldCharType="begin"/>
      </w:r>
      <w:r>
        <w:rPr>
          <w:color w:val="auto"/>
          <w:highlight w:val="none"/>
        </w:rPr>
        <w:instrText xml:space="preserve"> HYPERLINK \l "_Toc161525974" </w:instrText>
      </w:r>
      <w:r>
        <w:rPr>
          <w:color w:val="auto"/>
          <w:highlight w:val="none"/>
        </w:rPr>
        <w:fldChar w:fldCharType="separate"/>
      </w:r>
      <w:r>
        <w:rPr>
          <w:rStyle w:val="49"/>
          <w:rFonts w:asciiTheme="minorEastAsia" w:hAnsiTheme="minorEastAsia" w:eastAsiaTheme="minorEastAsia"/>
          <w:color w:val="auto"/>
          <w:sz w:val="28"/>
          <w:szCs w:val="28"/>
          <w:highlight w:val="none"/>
        </w:rPr>
        <w:t>第四章拟订立的合同样本</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_Toc161525974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33</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p>
    <w:p>
      <w:pPr>
        <w:pStyle w:val="22"/>
        <w:tabs>
          <w:tab w:val="right" w:leader="dot" w:pos="8296"/>
        </w:tabs>
        <w:rPr>
          <w:rFonts w:asciiTheme="minorEastAsia" w:hAnsiTheme="minorEastAsia" w:eastAsiaTheme="minorEastAsia" w:cstheme="minorBidi"/>
          <w:color w:val="auto"/>
          <w:kern w:val="2"/>
          <w:sz w:val="28"/>
          <w:szCs w:val="28"/>
          <w:highlight w:val="none"/>
        </w:rPr>
      </w:pPr>
      <w:r>
        <w:rPr>
          <w:color w:val="auto"/>
          <w:highlight w:val="none"/>
        </w:rPr>
        <w:fldChar w:fldCharType="begin"/>
      </w:r>
      <w:r>
        <w:rPr>
          <w:color w:val="auto"/>
          <w:highlight w:val="none"/>
        </w:rPr>
        <w:instrText xml:space="preserve"> HYPERLINK \l "_Toc161525975" </w:instrText>
      </w:r>
      <w:r>
        <w:rPr>
          <w:color w:val="auto"/>
          <w:highlight w:val="none"/>
        </w:rPr>
        <w:fldChar w:fldCharType="separate"/>
      </w:r>
      <w:r>
        <w:rPr>
          <w:rStyle w:val="49"/>
          <w:rFonts w:asciiTheme="minorEastAsia" w:hAnsiTheme="minorEastAsia" w:eastAsiaTheme="minorEastAsia"/>
          <w:color w:val="auto"/>
          <w:sz w:val="28"/>
          <w:szCs w:val="28"/>
          <w:highlight w:val="none"/>
        </w:rPr>
        <w:t>第五章 投标文件格式</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_Toc161525975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43</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p>
    <w:p>
      <w:pPr>
        <w:pStyle w:val="22"/>
        <w:tabs>
          <w:tab w:val="right" w:leader="dot" w:pos="8296"/>
        </w:tabs>
        <w:rPr>
          <w:rFonts w:asciiTheme="minorEastAsia" w:hAnsiTheme="minorEastAsia" w:eastAsiaTheme="minorEastAsia" w:cstheme="minorBidi"/>
          <w:color w:val="auto"/>
          <w:kern w:val="2"/>
          <w:sz w:val="28"/>
          <w:szCs w:val="28"/>
          <w:highlight w:val="none"/>
        </w:rPr>
      </w:pPr>
      <w:r>
        <w:rPr>
          <w:color w:val="auto"/>
          <w:highlight w:val="none"/>
        </w:rPr>
        <w:fldChar w:fldCharType="begin"/>
      </w:r>
      <w:r>
        <w:rPr>
          <w:color w:val="auto"/>
          <w:highlight w:val="none"/>
        </w:rPr>
        <w:instrText xml:space="preserve"> HYPERLINK \l "_Toc161525976" </w:instrText>
      </w:r>
      <w:r>
        <w:rPr>
          <w:color w:val="auto"/>
          <w:highlight w:val="none"/>
        </w:rPr>
        <w:fldChar w:fldCharType="separate"/>
      </w:r>
      <w:r>
        <w:rPr>
          <w:rStyle w:val="49"/>
          <w:rFonts w:asciiTheme="minorEastAsia" w:hAnsiTheme="minorEastAsia" w:eastAsiaTheme="minorEastAsia"/>
          <w:color w:val="auto"/>
          <w:sz w:val="28"/>
          <w:szCs w:val="28"/>
          <w:highlight w:val="none"/>
        </w:rPr>
        <w:t>第六章 项目需求</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_Toc161525976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66</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p>
    <w:p>
      <w:pPr>
        <w:rPr>
          <w:rFonts w:ascii="宋体" w:hAnsi="宋体"/>
          <w:color w:val="auto"/>
          <w:highlight w:val="none"/>
        </w:rPr>
      </w:pPr>
      <w:r>
        <w:rPr>
          <w:rFonts w:asciiTheme="minorEastAsia" w:hAnsiTheme="minorEastAsia" w:eastAsiaTheme="minorEastAsia"/>
          <w:color w:val="auto"/>
          <w:sz w:val="28"/>
          <w:szCs w:val="28"/>
          <w:highlight w:val="none"/>
        </w:rPr>
        <w:fldChar w:fldCharType="end"/>
      </w:r>
    </w:p>
    <w:p>
      <w:pPr>
        <w:pStyle w:val="3"/>
        <w:rPr>
          <w:rFonts w:ascii="宋体" w:hAnsi="宋体"/>
          <w:color w:val="auto"/>
          <w:highlight w:val="none"/>
        </w:rPr>
        <w:sectPr>
          <w:pgSz w:w="11906" w:h="16838"/>
          <w:pgMar w:top="1440" w:right="1800" w:bottom="1440" w:left="1800" w:header="851" w:footer="992" w:gutter="0"/>
          <w:cols w:space="720" w:num="1"/>
          <w:docGrid w:type="lines" w:linePitch="312" w:charSpace="0"/>
        </w:sectPr>
      </w:pPr>
      <w:bookmarkStart w:id="123" w:name="_GoBack"/>
      <w:bookmarkEnd w:id="123"/>
      <w:bookmarkStart w:id="7" w:name="_Toc20753"/>
      <w:bookmarkStart w:id="8" w:name="_Toc21554"/>
      <w:bookmarkStart w:id="9" w:name="_Toc534725596"/>
      <w:bookmarkStart w:id="10" w:name="_Toc22122"/>
      <w:bookmarkStart w:id="11" w:name="_Toc13808"/>
    </w:p>
    <w:p>
      <w:pPr>
        <w:pStyle w:val="3"/>
        <w:rPr>
          <w:rFonts w:hint="eastAsia" w:ascii="宋体" w:hAnsi="宋体"/>
          <w:color w:val="auto"/>
          <w:highlight w:val="none"/>
        </w:rPr>
        <w:sectPr>
          <w:headerReference r:id="rId9" w:type="default"/>
          <w:footerReference r:id="rId10" w:type="default"/>
          <w:pgSz w:w="11906" w:h="16838"/>
          <w:pgMar w:top="1440" w:right="1800" w:bottom="1440" w:left="1800" w:header="851" w:footer="992" w:gutter="0"/>
          <w:pgNumType w:start="1"/>
          <w:cols w:space="720" w:num="1"/>
          <w:docGrid w:type="lines" w:linePitch="312" w:charSpace="0"/>
        </w:sectPr>
      </w:pPr>
      <w:bookmarkStart w:id="12" w:name="_Toc161525970"/>
    </w:p>
    <w:p>
      <w:pPr>
        <w:pStyle w:val="3"/>
        <w:rPr>
          <w:rFonts w:ascii="宋体" w:hAnsi="宋体"/>
          <w:color w:val="auto"/>
          <w:highlight w:val="none"/>
          <w:lang w:eastAsia="en-US"/>
        </w:rPr>
      </w:pPr>
      <w:r>
        <w:rPr>
          <w:rFonts w:hint="eastAsia" w:ascii="宋体" w:hAnsi="宋体"/>
          <w:color w:val="auto"/>
          <w:highlight w:val="none"/>
        </w:rPr>
        <w:t>须知前附表</w:t>
      </w:r>
      <w:bookmarkEnd w:id="7"/>
      <w:bookmarkEnd w:id="8"/>
      <w:bookmarkEnd w:id="12"/>
    </w:p>
    <w:tbl>
      <w:tblPr>
        <w:tblStyle w:val="38"/>
        <w:tblW w:w="901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84"/>
        <w:gridCol w:w="1695"/>
        <w:gridCol w:w="663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
                <w:bCs/>
                <w:color w:val="auto"/>
                <w:highlight w:val="none"/>
              </w:rPr>
            </w:pPr>
            <w:r>
              <w:rPr>
                <w:rFonts w:hint="eastAsia" w:ascii="宋体" w:hAnsi="宋体" w:cs="Arial"/>
                <w:b/>
                <w:bCs/>
                <w:color w:val="auto"/>
                <w:highlight w:val="none"/>
              </w:rPr>
              <w:t>序号</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
                <w:bCs/>
                <w:color w:val="auto"/>
                <w:highlight w:val="none"/>
              </w:rPr>
            </w:pPr>
            <w:r>
              <w:rPr>
                <w:rFonts w:hint="eastAsia" w:ascii="宋体" w:hAnsi="宋体" w:cs="Arial"/>
                <w:b/>
                <w:bCs/>
                <w:color w:val="auto"/>
                <w:highlight w:val="none"/>
              </w:rPr>
              <w:t>内  容</w:t>
            </w:r>
          </w:p>
        </w:tc>
        <w:tc>
          <w:tcPr>
            <w:tcW w:w="663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
                <w:bCs/>
                <w:color w:val="auto"/>
                <w:highlight w:val="none"/>
              </w:rPr>
            </w:pPr>
            <w:r>
              <w:rPr>
                <w:rFonts w:hint="eastAsia" w:ascii="宋体" w:hAnsi="宋体" w:cs="Arial"/>
                <w:b/>
                <w:bCs/>
                <w:color w:val="auto"/>
                <w:highlight w:val="none"/>
              </w:rPr>
              <w:t>说明及要求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8" w:hRule="atLeast"/>
          <w:jc w:val="center"/>
        </w:trPr>
        <w:tc>
          <w:tcPr>
            <w:tcW w:w="684" w:type="dxa"/>
            <w:vMerge w:val="restart"/>
            <w:tcBorders>
              <w:top w:val="single" w:color="auto" w:sz="4" w:space="0"/>
              <w:left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ascii="宋体" w:hAnsi="宋体" w:cs="Arial"/>
                <w:bCs/>
                <w:color w:val="auto"/>
                <w:highlight w:val="none"/>
              </w:rPr>
              <w:t>1</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ascii="宋体" w:hAnsi="宋体" w:cs="Arial"/>
                <w:bCs/>
                <w:color w:val="auto"/>
                <w:highlight w:val="none"/>
              </w:rPr>
              <w:t>项目名称</w:t>
            </w:r>
          </w:p>
        </w:tc>
        <w:tc>
          <w:tcPr>
            <w:tcW w:w="6639" w:type="dxa"/>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ascii="宋体" w:hAnsi="宋体" w:cs="Arial"/>
                <w:bCs/>
                <w:color w:val="auto"/>
                <w:highlight w:val="none"/>
              </w:rPr>
            </w:pPr>
            <w:r>
              <w:rPr>
                <w:rFonts w:hint="eastAsia" w:ascii="宋体" w:hAnsi="宋体" w:cs="Arial"/>
                <w:bCs/>
                <w:color w:val="auto"/>
                <w:highlight w:val="none"/>
              </w:rPr>
              <w:t>新疆消防救援总队阿勒泰支队“自然灾害应急能力提升工程”装备配备项目（消防车辆）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84" w:type="dxa"/>
            <w:vMerge w:val="continue"/>
            <w:tcBorders>
              <w:left w:val="single" w:color="auto" w:sz="4" w:space="0"/>
              <w:right w:val="single" w:color="auto" w:sz="4" w:space="0"/>
            </w:tcBorders>
            <w:vAlign w:val="center"/>
          </w:tcPr>
          <w:p>
            <w:pPr>
              <w:spacing w:line="360" w:lineRule="auto"/>
              <w:jc w:val="center"/>
              <w:rPr>
                <w:rFonts w:ascii="宋体" w:hAnsi="宋体" w:cs="Arial"/>
                <w:bCs/>
                <w:color w:val="auto"/>
                <w:highlight w:val="none"/>
              </w:rPr>
            </w:pP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ascii="宋体" w:hAnsi="宋体" w:cs="Arial"/>
                <w:color w:val="auto"/>
                <w:highlight w:val="none"/>
              </w:rPr>
              <w:t>招标编号</w:t>
            </w:r>
          </w:p>
        </w:tc>
        <w:tc>
          <w:tcPr>
            <w:tcW w:w="6639" w:type="dxa"/>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ascii="宋体" w:hAnsi="宋体" w:cs="Arial"/>
                <w:bCs/>
                <w:color w:val="auto"/>
                <w:highlight w:val="none"/>
              </w:rPr>
            </w:pPr>
            <w:r>
              <w:rPr>
                <w:rFonts w:ascii="宋体" w:hAnsi="宋体" w:cs="Arial"/>
                <w:bCs/>
                <w:color w:val="auto"/>
                <w:highlight w:val="none"/>
              </w:rPr>
              <w:t>XJRD-ZFCG-012</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84" w:type="dxa"/>
            <w:vMerge w:val="continue"/>
            <w:tcBorders>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cs="Arial"/>
                <w:color w:val="auto"/>
                <w:highlight w:val="none"/>
              </w:rPr>
            </w:pPr>
            <w:r>
              <w:rPr>
                <w:rFonts w:hint="eastAsia" w:hAnsi="宋体" w:cs="Arial"/>
                <w:bCs/>
                <w:color w:val="auto"/>
                <w:highlight w:val="none"/>
              </w:rPr>
              <w:t>标包编号</w:t>
            </w:r>
          </w:p>
        </w:tc>
        <w:tc>
          <w:tcPr>
            <w:tcW w:w="6639" w:type="dxa"/>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hint="eastAsia" w:hAnsi="宋体" w:cs="Arial"/>
                <w:bCs/>
                <w:color w:val="auto"/>
                <w:highlight w:val="none"/>
                <w:lang w:val="en-US" w:eastAsia="zh-CN"/>
              </w:rPr>
            </w:pPr>
            <w:r>
              <w:rPr>
                <w:rFonts w:hint="eastAsia" w:hAnsi="宋体" w:cs="Arial"/>
                <w:bCs/>
                <w:color w:val="auto"/>
                <w:highlight w:val="none"/>
                <w:lang w:val="en-US" w:eastAsia="zh-CN"/>
              </w:rPr>
              <w:t>第一包：</w:t>
            </w:r>
            <w:r>
              <w:rPr>
                <w:rFonts w:hint="eastAsia" w:hAnsi="宋体" w:cs="Arial"/>
                <w:bCs/>
                <w:color w:val="auto"/>
                <w:highlight w:val="none"/>
                <w:lang w:eastAsia="zh-CN"/>
              </w:rPr>
              <w:t>XJRD-ZFCG-012</w:t>
            </w:r>
            <w:r>
              <w:rPr>
                <w:rFonts w:hint="eastAsia" w:hAnsi="宋体" w:cs="Arial"/>
                <w:bCs/>
                <w:color w:val="auto"/>
                <w:highlight w:val="none"/>
                <w:lang w:val="en-US" w:eastAsia="zh-CN"/>
              </w:rPr>
              <w:t>-1</w:t>
            </w:r>
          </w:p>
          <w:p>
            <w:pPr>
              <w:spacing w:line="360" w:lineRule="auto"/>
              <w:jc w:val="left"/>
              <w:rPr>
                <w:rFonts w:ascii="宋体" w:hAnsi="宋体" w:cs="Arial"/>
                <w:bCs/>
                <w:color w:val="auto"/>
                <w:highlight w:val="none"/>
              </w:rPr>
            </w:pPr>
            <w:r>
              <w:rPr>
                <w:rFonts w:hint="eastAsia" w:hAnsi="宋体" w:cs="Arial"/>
                <w:bCs/>
                <w:color w:val="auto"/>
                <w:highlight w:val="none"/>
                <w:lang w:val="en-US" w:eastAsia="zh-CN"/>
              </w:rPr>
              <w:t>第二包：XJRD-ZFCG-012-2</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1" w:hRule="atLeast"/>
          <w:jc w:val="center"/>
        </w:trPr>
        <w:tc>
          <w:tcPr>
            <w:tcW w:w="684" w:type="dxa"/>
            <w:vMerge w:val="restart"/>
            <w:tcBorders>
              <w:top w:val="single" w:color="auto" w:sz="4" w:space="0"/>
              <w:left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ascii="宋体" w:hAnsi="宋体" w:cs="Arial"/>
                <w:bCs/>
                <w:color w:val="auto"/>
                <w:highlight w:val="none"/>
              </w:rPr>
              <w:t>2</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ascii="宋体" w:hAnsi="宋体" w:cs="Arial"/>
                <w:bCs/>
                <w:color w:val="auto"/>
                <w:highlight w:val="none"/>
              </w:rPr>
              <w:t>资金来源</w:t>
            </w:r>
          </w:p>
        </w:tc>
        <w:tc>
          <w:tcPr>
            <w:tcW w:w="6639" w:type="dxa"/>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ascii="宋体" w:hAnsi="宋体" w:cs="Arial"/>
                <w:bCs/>
                <w:color w:val="auto"/>
                <w:highlight w:val="none"/>
              </w:rPr>
            </w:pPr>
            <w:r>
              <w:rPr>
                <w:rFonts w:hint="eastAsia" w:ascii="宋体" w:hAnsi="宋体" w:cs="Arial"/>
                <w:bCs/>
                <w:color w:val="auto"/>
                <w:highlight w:val="none"/>
              </w:rPr>
              <w:t>财政资金</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vMerge w:val="continue"/>
            <w:tcBorders>
              <w:left w:val="single" w:color="auto" w:sz="4" w:space="0"/>
              <w:right w:val="single" w:color="auto" w:sz="4" w:space="0"/>
            </w:tcBorders>
            <w:vAlign w:val="center"/>
          </w:tcPr>
          <w:p>
            <w:pPr>
              <w:spacing w:line="360" w:lineRule="auto"/>
              <w:jc w:val="center"/>
              <w:rPr>
                <w:rFonts w:ascii="宋体" w:hAnsi="宋体" w:cs="Arial"/>
                <w:bCs/>
                <w:color w:val="auto"/>
                <w:highlight w:val="none"/>
              </w:rPr>
            </w:pPr>
          </w:p>
        </w:tc>
        <w:tc>
          <w:tcPr>
            <w:tcW w:w="1695" w:type="dxa"/>
            <w:vMerge w:val="restart"/>
            <w:tcBorders>
              <w:top w:val="single" w:color="auto" w:sz="4" w:space="0"/>
              <w:left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ascii="宋体" w:hAnsi="宋体" w:cs="Arial"/>
                <w:bCs/>
                <w:color w:val="auto"/>
                <w:highlight w:val="none"/>
              </w:rPr>
              <w:t>预算金额</w:t>
            </w:r>
          </w:p>
          <w:p>
            <w:pPr>
              <w:spacing w:line="360" w:lineRule="auto"/>
              <w:jc w:val="center"/>
              <w:rPr>
                <w:rFonts w:ascii="宋体" w:hAnsi="宋体"/>
                <w:color w:val="auto"/>
                <w:highlight w:val="none"/>
              </w:rPr>
            </w:pPr>
            <w:r>
              <w:rPr>
                <w:rFonts w:hint="eastAsia" w:ascii="宋体" w:hAnsi="宋体" w:cs="Arial"/>
                <w:bCs/>
                <w:color w:val="auto"/>
                <w:highlight w:val="none"/>
              </w:rPr>
              <w:t>最高限价</w:t>
            </w:r>
          </w:p>
        </w:tc>
        <w:tc>
          <w:tcPr>
            <w:tcW w:w="6639" w:type="dxa"/>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ascii="宋体" w:hAnsi="宋体" w:cs="Arial"/>
                <w:bCs/>
                <w:color w:val="auto"/>
                <w:highlight w:val="none"/>
              </w:rPr>
            </w:pPr>
            <w:r>
              <w:rPr>
                <w:rFonts w:hint="eastAsia" w:ascii="宋体" w:hAnsi="宋体" w:cs="Arial"/>
                <w:bCs/>
                <w:color w:val="auto"/>
                <w:highlight w:val="none"/>
              </w:rPr>
              <w:t>预算总金额：591万元，其中：</w:t>
            </w:r>
          </w:p>
          <w:p>
            <w:pPr>
              <w:spacing w:line="360" w:lineRule="auto"/>
              <w:jc w:val="left"/>
              <w:rPr>
                <w:rFonts w:ascii="宋体" w:hAnsi="宋体" w:cs="Arial"/>
                <w:bCs/>
                <w:color w:val="auto"/>
                <w:highlight w:val="none"/>
              </w:rPr>
            </w:pPr>
            <w:r>
              <w:rPr>
                <w:rFonts w:ascii="宋体" w:hAnsi="宋体" w:cs="Arial"/>
                <w:bCs/>
                <w:color w:val="auto"/>
                <w:highlight w:val="none"/>
              </w:rPr>
              <w:t>第一包：</w:t>
            </w:r>
            <w:r>
              <w:rPr>
                <w:rFonts w:hint="eastAsia" w:ascii="宋体" w:hAnsi="宋体" w:cs="Arial"/>
                <w:bCs/>
                <w:color w:val="auto"/>
                <w:highlight w:val="none"/>
              </w:rPr>
              <w:t>201万元；第二包：390万元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vMerge w:val="continue"/>
            <w:tcBorders>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p>
        </w:tc>
        <w:tc>
          <w:tcPr>
            <w:tcW w:w="1695" w:type="dxa"/>
            <w:vMerge w:val="continue"/>
            <w:tcBorders>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p>
        </w:tc>
        <w:tc>
          <w:tcPr>
            <w:tcW w:w="6639" w:type="dxa"/>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ascii="宋体" w:hAnsi="宋体" w:cs="Arial"/>
                <w:bCs/>
                <w:color w:val="auto"/>
                <w:highlight w:val="none"/>
              </w:rPr>
            </w:pPr>
            <w:r>
              <w:rPr>
                <w:rFonts w:hint="eastAsia" w:ascii="宋体" w:hAnsi="宋体" w:cs="Arial"/>
                <w:bCs/>
                <w:color w:val="auto"/>
                <w:highlight w:val="none"/>
              </w:rPr>
              <w:t>最高限价：</w:t>
            </w:r>
          </w:p>
          <w:p>
            <w:pPr>
              <w:spacing w:line="360" w:lineRule="auto"/>
              <w:jc w:val="left"/>
              <w:rPr>
                <w:rFonts w:ascii="宋体" w:hAnsi="宋体" w:cs="Arial"/>
                <w:bCs/>
                <w:color w:val="auto"/>
                <w:highlight w:val="none"/>
              </w:rPr>
            </w:pPr>
            <w:r>
              <w:rPr>
                <w:rFonts w:hint="eastAsia" w:ascii="宋体" w:hAnsi="宋体" w:cs="Arial"/>
                <w:bCs/>
                <w:color w:val="auto"/>
                <w:highlight w:val="none"/>
              </w:rPr>
              <w:t>第一包：201万元；第二包：390万元</w:t>
            </w:r>
          </w:p>
          <w:p>
            <w:pPr>
              <w:pStyle w:val="23"/>
              <w:spacing w:line="360" w:lineRule="auto"/>
              <w:jc w:val="left"/>
              <w:rPr>
                <w:rFonts w:hint="eastAsia" w:asciiTheme="minorEastAsia" w:hAnsiTheme="minorEastAsia" w:eastAsiaTheme="minorEastAsia" w:cstheme="minorEastAsia"/>
                <w:b w:val="0"/>
                <w:bCs/>
                <w:color w:val="auto"/>
                <w:kern w:val="2"/>
                <w:sz w:val="21"/>
                <w:szCs w:val="21"/>
                <w:highlight w:val="none"/>
                <w:lang w:val="en-US" w:eastAsia="zh-CN" w:bidi="ar-SA"/>
              </w:rPr>
            </w:pPr>
            <w:r>
              <w:rPr>
                <w:rFonts w:hint="eastAsia" w:asciiTheme="minorEastAsia" w:hAnsiTheme="minorEastAsia" w:eastAsiaTheme="minorEastAsia" w:cstheme="minorEastAsia"/>
                <w:b w:val="0"/>
                <w:bCs/>
                <w:color w:val="auto"/>
                <w:kern w:val="2"/>
                <w:sz w:val="21"/>
                <w:szCs w:val="21"/>
                <w:highlight w:val="none"/>
                <w:lang w:val="en-US" w:eastAsia="zh-CN" w:bidi="ar-SA"/>
              </w:rPr>
              <w:t>同预算金额，单价的最高限价详见采购需求</w:t>
            </w:r>
          </w:p>
          <w:p>
            <w:pPr>
              <w:spacing w:line="360" w:lineRule="auto"/>
              <w:jc w:val="left"/>
              <w:rPr>
                <w:rFonts w:ascii="宋体" w:hAnsi="宋体" w:cs="Arial"/>
                <w:bCs/>
                <w:color w:val="auto"/>
                <w:highlight w:val="none"/>
              </w:rPr>
            </w:pPr>
            <w:r>
              <w:rPr>
                <w:rFonts w:hint="eastAsia" w:asciiTheme="minorEastAsia" w:hAnsiTheme="minorEastAsia" w:eastAsiaTheme="minorEastAsia" w:cstheme="minorEastAsia"/>
                <w:bCs/>
                <w:color w:val="auto"/>
                <w:highlight w:val="none"/>
              </w:rPr>
              <w:t>（供应商的报价不得超过最高限价及单价的最高限价，否则其响应文件将被拒绝。）</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ascii="宋体" w:hAnsi="宋体" w:cs="Arial"/>
                <w:bCs/>
                <w:color w:val="auto"/>
                <w:highlight w:val="none"/>
              </w:rPr>
              <w:t>3</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ascii="宋体" w:hAnsi="宋体" w:cs="Arial"/>
                <w:bCs/>
                <w:color w:val="auto"/>
                <w:highlight w:val="none"/>
              </w:rPr>
              <w:t>招标方式</w:t>
            </w:r>
          </w:p>
        </w:tc>
        <w:tc>
          <w:tcPr>
            <w:tcW w:w="6639" w:type="dxa"/>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ascii="宋体" w:hAnsi="宋体"/>
                <w:color w:val="auto"/>
                <w:highlight w:val="none"/>
              </w:rPr>
            </w:pPr>
            <w:r>
              <w:rPr>
                <w:rFonts w:hint="eastAsia" w:ascii="宋体" w:hAnsi="宋体"/>
                <w:color w:val="auto"/>
                <w:highlight w:val="none"/>
              </w:rPr>
              <w:t>公开招标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ascii="宋体" w:hAnsi="宋体" w:cs="Arial"/>
                <w:bCs/>
                <w:color w:val="auto"/>
                <w:highlight w:val="none"/>
              </w:rPr>
              <w:t>4</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ascii="宋体" w:hAnsi="宋体" w:cs="Arial"/>
                <w:bCs/>
                <w:color w:val="auto"/>
                <w:highlight w:val="none"/>
              </w:rPr>
              <w:t>招标内容</w:t>
            </w:r>
          </w:p>
        </w:tc>
        <w:tc>
          <w:tcPr>
            <w:tcW w:w="6639" w:type="dxa"/>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ascii="宋体" w:hAnsi="宋体"/>
                <w:color w:val="auto"/>
                <w:highlight w:val="none"/>
              </w:rPr>
            </w:pPr>
            <w:r>
              <w:rPr>
                <w:rFonts w:hint="eastAsia" w:ascii="宋体" w:hAnsi="宋体"/>
                <w:color w:val="auto"/>
                <w:highlight w:val="none"/>
              </w:rPr>
              <w:t>详见本招标文件第六章项目需求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ascii="宋体" w:hAnsi="宋体" w:cs="Arial"/>
                <w:bCs/>
                <w:color w:val="auto"/>
                <w:highlight w:val="none"/>
              </w:rPr>
              <w:t>5</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ascii="宋体" w:hAnsi="宋体" w:cs="Arial"/>
                <w:bCs/>
                <w:color w:val="auto"/>
                <w:highlight w:val="none"/>
              </w:rPr>
              <w:t>服务地点</w:t>
            </w:r>
          </w:p>
        </w:tc>
        <w:tc>
          <w:tcPr>
            <w:tcW w:w="6639" w:type="dxa"/>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ascii="宋体" w:hAnsi="宋体"/>
                <w:color w:val="auto"/>
                <w:highlight w:val="none"/>
              </w:rPr>
            </w:pPr>
            <w:r>
              <w:rPr>
                <w:rFonts w:hint="eastAsia" w:ascii="宋体" w:hAnsi="宋体"/>
                <w:color w:val="auto"/>
                <w:highlight w:val="none"/>
              </w:rPr>
              <w:t>招标人指定地点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color w:val="auto"/>
                <w:highlight w:val="none"/>
              </w:rPr>
            </w:pPr>
            <w:r>
              <w:rPr>
                <w:rFonts w:hint="eastAsia" w:ascii="宋体" w:hAnsi="宋体" w:cs="Arial"/>
                <w:color w:val="auto"/>
                <w:highlight w:val="none"/>
              </w:rPr>
              <w:t>6</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highlight w:val="none"/>
              </w:rPr>
            </w:pPr>
            <w:r>
              <w:rPr>
                <w:rFonts w:hint="eastAsia" w:ascii="宋体" w:hAnsi="宋体" w:cs="宋体"/>
                <w:color w:val="auto"/>
                <w:highlight w:val="none"/>
              </w:rPr>
              <w:t>合同履约期限</w:t>
            </w:r>
          </w:p>
        </w:tc>
        <w:tc>
          <w:tcPr>
            <w:tcW w:w="6639" w:type="dxa"/>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ascii="宋体" w:hAnsi="宋体"/>
                <w:color w:val="auto"/>
                <w:highlight w:val="none"/>
              </w:rPr>
            </w:pPr>
            <w:r>
              <w:rPr>
                <w:rFonts w:hint="eastAsia" w:ascii="宋体" w:hAnsi="宋体"/>
                <w:color w:val="auto"/>
                <w:highlight w:val="none"/>
              </w:rPr>
              <w:t>合同签订后</w:t>
            </w:r>
            <w:r>
              <w:rPr>
                <w:rFonts w:hint="eastAsia" w:ascii="宋体" w:hAnsi="宋体"/>
                <w:color w:val="auto"/>
                <w:highlight w:val="none"/>
                <w:lang w:val="en-US" w:eastAsia="zh-CN"/>
              </w:rPr>
              <w:t>90</w:t>
            </w:r>
            <w:r>
              <w:rPr>
                <w:rFonts w:hint="eastAsia" w:ascii="宋体" w:hAnsi="宋体"/>
                <w:color w:val="auto"/>
                <w:highlight w:val="none"/>
              </w:rPr>
              <w:t>日内交付货物。</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ascii="宋体" w:hAnsi="宋体" w:cs="Arial"/>
                <w:bCs/>
                <w:color w:val="auto"/>
                <w:highlight w:val="none"/>
              </w:rPr>
              <w:t>7</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highlight w:val="none"/>
              </w:rPr>
            </w:pPr>
            <w:r>
              <w:rPr>
                <w:rFonts w:hint="eastAsia" w:ascii="宋体" w:hAnsi="宋体" w:cs="宋体"/>
                <w:color w:val="auto"/>
                <w:highlight w:val="none"/>
              </w:rPr>
              <w:t>质量标准</w:t>
            </w:r>
          </w:p>
        </w:tc>
        <w:tc>
          <w:tcPr>
            <w:tcW w:w="6639" w:type="dxa"/>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ascii="宋体" w:hAnsi="宋体"/>
                <w:color w:val="auto"/>
                <w:highlight w:val="none"/>
              </w:rPr>
            </w:pPr>
            <w:r>
              <w:rPr>
                <w:rFonts w:hint="eastAsia" w:ascii="宋体" w:hAnsi="宋体"/>
                <w:color w:val="auto"/>
                <w:highlight w:val="none"/>
              </w:rPr>
              <w:t>达到招标人要求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ascii="宋体" w:hAnsi="宋体" w:cs="Arial"/>
                <w:bCs/>
                <w:color w:val="auto"/>
                <w:highlight w:val="none"/>
              </w:rPr>
              <w:t>8</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highlight w:val="none"/>
              </w:rPr>
            </w:pPr>
            <w:r>
              <w:rPr>
                <w:rFonts w:hint="eastAsia" w:ascii="宋体" w:hAnsi="宋体" w:cs="宋体"/>
                <w:color w:val="auto"/>
                <w:highlight w:val="none"/>
              </w:rPr>
              <w:t>付款方式</w:t>
            </w:r>
          </w:p>
        </w:tc>
        <w:tc>
          <w:tcPr>
            <w:tcW w:w="6639"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color w:val="auto"/>
                <w:highlight w:val="none"/>
              </w:rPr>
            </w:pPr>
            <w:r>
              <w:rPr>
                <w:rFonts w:hint="eastAsia" w:ascii="宋体" w:hAnsi="宋体"/>
                <w:color w:val="auto"/>
                <w:highlight w:val="none"/>
              </w:rPr>
              <w:t>中标单位按合同约定交付全部产品、安装调试完毕，验收合格并经过结算审计后30日内，采购人按验收报告、结算审计、合同相关条款支付货款100%；如结算审计有审减，按照结算审计结果支付货款；如验收不合格、未完成安装调试，参照违约责任执行。(如采购人有付款需求，在签订合同后，中标单位向采购人提供同等合同金额的银行保函，收到保函，采购人可支付合同金额的100%，待验收合格、安装调试完毕后，根据结算审计结果解除银行质押）。</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ascii="宋体" w:hAnsi="宋体" w:cs="Arial"/>
                <w:bCs/>
                <w:color w:val="auto"/>
                <w:highlight w:val="none"/>
              </w:rPr>
              <w:t>9</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highlight w:val="none"/>
              </w:rPr>
            </w:pPr>
            <w:r>
              <w:rPr>
                <w:rFonts w:hint="eastAsia" w:ascii="宋体" w:hAnsi="宋体" w:cs="宋体"/>
                <w:color w:val="auto"/>
                <w:highlight w:val="none"/>
              </w:rPr>
              <w:t>质量保修期</w:t>
            </w:r>
          </w:p>
        </w:tc>
        <w:tc>
          <w:tcPr>
            <w:tcW w:w="6639"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color w:val="auto"/>
                <w:highlight w:val="none"/>
              </w:rPr>
            </w:pPr>
            <w:r>
              <w:rPr>
                <w:rFonts w:hint="eastAsia" w:ascii="宋体" w:hAnsi="宋体"/>
                <w:color w:val="auto"/>
                <w:highlight w:val="none"/>
              </w:rPr>
              <w:t>消防车辆自验收合格之日起五年，质保期内免费维修更换相关配件。</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ascii="宋体" w:hAnsi="宋体" w:cs="Arial"/>
                <w:bCs/>
                <w:color w:val="auto"/>
                <w:highlight w:val="none"/>
              </w:rPr>
              <w:t>10</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highlight w:val="none"/>
              </w:rPr>
            </w:pPr>
            <w:r>
              <w:rPr>
                <w:rFonts w:hint="eastAsia" w:ascii="宋体" w:hAnsi="宋体" w:cs="宋体"/>
                <w:color w:val="auto"/>
                <w:highlight w:val="none"/>
              </w:rPr>
              <w:t>进口产品</w:t>
            </w:r>
          </w:p>
        </w:tc>
        <w:tc>
          <w:tcPr>
            <w:tcW w:w="6639" w:type="dxa"/>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ascii="宋体" w:hAnsi="宋体"/>
                <w:color w:val="auto"/>
                <w:highlight w:val="none"/>
              </w:rPr>
            </w:pPr>
            <w:r>
              <w:rPr>
                <w:rFonts w:hint="eastAsia" w:ascii="宋体" w:hAnsi="宋体"/>
                <w:color w:val="auto"/>
                <w:highlight w:val="none"/>
              </w:rPr>
              <w:t>本项目不接受进口产品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ascii="宋体" w:hAnsi="宋体" w:cs="Arial"/>
                <w:bCs/>
                <w:color w:val="auto"/>
                <w:highlight w:val="none"/>
              </w:rPr>
              <w:t>11</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highlight w:val="none"/>
              </w:rPr>
            </w:pPr>
            <w:r>
              <w:rPr>
                <w:rFonts w:hint="eastAsia" w:ascii="宋体" w:hAnsi="宋体" w:cs="宋体"/>
                <w:color w:val="auto"/>
                <w:highlight w:val="none"/>
              </w:rPr>
              <w:t>核心产品</w:t>
            </w:r>
          </w:p>
        </w:tc>
        <w:tc>
          <w:tcPr>
            <w:tcW w:w="6639" w:type="dxa"/>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rPr>
                <w:rFonts w:ascii="宋体" w:hAnsi="宋体" w:cs="宋体"/>
                <w:color w:val="auto"/>
                <w:sz w:val="22"/>
                <w:szCs w:val="22"/>
                <w:highlight w:val="none"/>
              </w:rPr>
            </w:pPr>
            <w:r>
              <w:rPr>
                <w:rFonts w:hint="eastAsia" w:ascii="宋体" w:hAnsi="宋体" w:cs="宋体"/>
                <w:color w:val="auto"/>
                <w:sz w:val="22"/>
                <w:szCs w:val="22"/>
                <w:highlight w:val="none"/>
              </w:rPr>
              <w:t>第一包：</w:t>
            </w:r>
            <w:r>
              <w:rPr>
                <w:rFonts w:hint="eastAsia" w:ascii="宋体" w:hAnsi="MS Mincho" w:cs="MS Mincho"/>
                <w:color w:val="auto"/>
                <w:sz w:val="22"/>
                <w:szCs w:val="22"/>
                <w:highlight w:val="none"/>
                <w:lang w:eastAsia="zh-CN"/>
              </w:rPr>
              <w:t>☑</w:t>
            </w:r>
            <w:r>
              <w:rPr>
                <w:rFonts w:hint="eastAsia" w:ascii="宋体" w:hAnsi="宋体" w:cs="宋体"/>
                <w:color w:val="auto"/>
                <w:sz w:val="22"/>
                <w:szCs w:val="22"/>
                <w:highlight w:val="none"/>
              </w:rPr>
              <w:t xml:space="preserve">有  </w:t>
            </w:r>
            <w:r>
              <w:rPr>
                <w:rFonts w:hint="eastAsia" w:ascii="宋体" w:hAnsi="宋体" w:cs="宋体"/>
                <w:color w:val="auto"/>
                <w:sz w:val="22"/>
                <w:szCs w:val="22"/>
                <w:highlight w:val="none"/>
                <w:lang w:eastAsia="zh-CN"/>
              </w:rPr>
              <w:t>□</w:t>
            </w:r>
            <w:r>
              <w:rPr>
                <w:rFonts w:hint="eastAsia" w:ascii="宋体" w:hAnsi="宋体" w:cs="宋体"/>
                <w:color w:val="auto"/>
                <w:sz w:val="22"/>
                <w:szCs w:val="22"/>
                <w:highlight w:val="none"/>
              </w:rPr>
              <w:t>无 核心产品为：破冰除雪车；</w:t>
            </w:r>
          </w:p>
          <w:p>
            <w:pPr>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第二包：</w:t>
            </w:r>
            <w:r>
              <w:rPr>
                <w:rFonts w:hint="eastAsia" w:ascii="宋体" w:hAnsi="MS Mincho" w:cs="MS Mincho"/>
                <w:color w:val="auto"/>
                <w:sz w:val="22"/>
                <w:szCs w:val="22"/>
                <w:highlight w:val="none"/>
                <w:lang w:eastAsia="zh-CN"/>
              </w:rPr>
              <w:t>□</w:t>
            </w:r>
            <w:r>
              <w:rPr>
                <w:rFonts w:hint="eastAsia" w:ascii="宋体" w:hAnsi="宋体" w:cs="宋体"/>
                <w:color w:val="auto"/>
                <w:sz w:val="22"/>
                <w:szCs w:val="22"/>
                <w:highlight w:val="none"/>
              </w:rPr>
              <w:t xml:space="preserve">有  </w:t>
            </w:r>
            <w:r>
              <w:rPr>
                <w:rFonts w:hint="eastAsia" w:ascii="宋体" w:hAnsi="宋体" w:cs="宋体"/>
                <w:color w:val="auto"/>
                <w:sz w:val="22"/>
                <w:szCs w:val="22"/>
                <w:highlight w:val="none"/>
                <w:lang w:eastAsia="zh-CN"/>
              </w:rPr>
              <w:t>☑</w:t>
            </w:r>
            <w:r>
              <w:rPr>
                <w:rFonts w:hint="eastAsia" w:ascii="宋体" w:hAnsi="宋体" w:cs="宋体"/>
                <w:color w:val="auto"/>
                <w:sz w:val="22"/>
                <w:szCs w:val="22"/>
                <w:highlight w:val="none"/>
              </w:rPr>
              <w:t>无 核心产品为：</w:t>
            </w:r>
            <w:r>
              <w:rPr>
                <w:rFonts w:hint="eastAsia" w:ascii="宋体" w:hAnsi="宋体" w:cs="宋体"/>
                <w:color w:val="auto"/>
                <w:sz w:val="22"/>
                <w:szCs w:val="22"/>
                <w:highlight w:val="none"/>
                <w:lang w:val="en-US" w:eastAsia="zh-CN"/>
              </w:rPr>
              <w:t>/</w:t>
            </w:r>
            <w:r>
              <w:rPr>
                <w:rFonts w:hint="eastAsia" w:ascii="宋体" w:hAnsi="宋体" w:cs="宋体"/>
                <w:color w:val="auto"/>
                <w:sz w:val="22"/>
                <w:szCs w:val="22"/>
                <w:highlight w:val="none"/>
              </w:rPr>
              <w:t>；</w:t>
            </w:r>
            <w:r>
              <w:rPr>
                <w:rFonts w:hint="eastAsia" w:ascii="宋体" w:hAnsi="宋体"/>
                <w:color w:val="auto"/>
                <w:highlight w:val="none"/>
              </w:rPr>
              <w:t xml:space="preserve">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ascii="宋体" w:hAnsi="宋体" w:cs="Arial"/>
                <w:bCs/>
                <w:color w:val="auto"/>
                <w:highlight w:val="none"/>
              </w:rPr>
              <w:t>12</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highlight w:val="none"/>
              </w:rPr>
            </w:pPr>
            <w:r>
              <w:rPr>
                <w:rFonts w:hint="eastAsia" w:ascii="宋体" w:hAnsi="宋体" w:cs="宋体"/>
                <w:color w:val="auto"/>
                <w:highlight w:val="none"/>
                <w:lang w:val="zh-CN"/>
              </w:rPr>
              <w:t>构成招标文件的其他文件</w:t>
            </w:r>
          </w:p>
        </w:tc>
        <w:tc>
          <w:tcPr>
            <w:tcW w:w="6639" w:type="dxa"/>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ascii="宋体" w:hAnsi="宋体"/>
                <w:color w:val="auto"/>
                <w:highlight w:val="none"/>
              </w:rPr>
            </w:pPr>
            <w:r>
              <w:rPr>
                <w:rFonts w:hint="eastAsia" w:ascii="宋体" w:hAnsi="宋体"/>
                <w:color w:val="auto"/>
                <w:highlight w:val="none"/>
                <w:lang w:val="zh-CN"/>
              </w:rPr>
              <w:t>招标文件的澄清、修改书及有关补充通知为招标文件的有效组成部分。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2"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ascii="宋体" w:hAnsi="宋体" w:cs="Arial"/>
                <w:bCs/>
                <w:color w:val="auto"/>
                <w:highlight w:val="none"/>
              </w:rPr>
              <w:t>13</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color w:val="auto"/>
                <w:highlight w:val="none"/>
              </w:rPr>
            </w:pPr>
            <w:r>
              <w:rPr>
                <w:rFonts w:hint="eastAsia" w:ascii="宋体" w:hAnsi="宋体" w:cs="Arial"/>
                <w:color w:val="auto"/>
                <w:highlight w:val="none"/>
              </w:rPr>
              <w:t>投标人资格要求</w:t>
            </w:r>
          </w:p>
        </w:tc>
        <w:tc>
          <w:tcPr>
            <w:tcW w:w="6639"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color w:val="auto"/>
                <w:highlight w:val="none"/>
                <w:lang w:val="zh-CN"/>
              </w:rPr>
            </w:pPr>
            <w:r>
              <w:rPr>
                <w:rFonts w:hint="eastAsia" w:ascii="宋体" w:hAnsi="宋体"/>
                <w:color w:val="auto"/>
                <w:highlight w:val="none"/>
                <w:lang w:val="zh-CN"/>
              </w:rPr>
              <w:t>1.满足《中华人民共和国政府采购法》第二十二条规定；</w:t>
            </w:r>
          </w:p>
          <w:p>
            <w:pPr>
              <w:spacing w:line="360" w:lineRule="auto"/>
              <w:rPr>
                <w:rFonts w:ascii="宋体" w:hAnsi="宋体"/>
                <w:color w:val="auto"/>
                <w:highlight w:val="none"/>
                <w:lang w:val="zh-CN"/>
              </w:rPr>
            </w:pPr>
            <w:r>
              <w:rPr>
                <w:rFonts w:hint="eastAsia" w:ascii="宋体" w:hAnsi="宋体"/>
                <w:color w:val="auto"/>
                <w:highlight w:val="none"/>
                <w:lang w:val="zh-CN"/>
              </w:rPr>
              <w:t>2.落实政府采购政策需满足的资格要求：1）本项目</w:t>
            </w:r>
            <w:r>
              <w:rPr>
                <w:rFonts w:hint="eastAsia" w:ascii="宋体" w:hAnsi="宋体"/>
                <w:color w:val="auto"/>
                <w:highlight w:val="none"/>
              </w:rPr>
              <w:t>非专门面向</w:t>
            </w:r>
            <w:r>
              <w:rPr>
                <w:rFonts w:hint="eastAsia" w:ascii="宋体" w:hAnsi="宋体"/>
                <w:color w:val="auto"/>
                <w:highlight w:val="none"/>
                <w:lang w:val="zh-CN"/>
              </w:rPr>
              <w:t>中小企业采购； 2）落实《关于调整优化节能产品、环境标志产品政府采购执行机制的通知》（财库[2019]9号）、财政部《关于进一步加大政府采购支持中小企业力度的通知》（财库〔2022〕19号）、关于印发《政府采购促进中小企业发展管理办法》的通知（财库[2020]46号）、《财政部、司法部关于政府采购支持监狱企业发展有关问题的通知》（财库[2014]68号）和《关于促进残疾人就业政府采购政策的通知》（财库[2017]141号）等政府采购政策。</w:t>
            </w:r>
          </w:p>
          <w:p>
            <w:pPr>
              <w:spacing w:line="360" w:lineRule="auto"/>
              <w:rPr>
                <w:rFonts w:ascii="宋体" w:hAnsi="宋体"/>
                <w:color w:val="auto"/>
                <w:highlight w:val="none"/>
                <w:lang w:val="zh-CN"/>
              </w:rPr>
            </w:pPr>
            <w:r>
              <w:rPr>
                <w:rFonts w:hint="eastAsia" w:ascii="宋体" w:hAnsi="宋体"/>
                <w:color w:val="auto"/>
                <w:highlight w:val="none"/>
              </w:rPr>
              <w:t>3</w:t>
            </w:r>
            <w:r>
              <w:rPr>
                <w:rFonts w:hint="eastAsia" w:ascii="宋体" w:hAnsi="宋体"/>
                <w:color w:val="auto"/>
                <w:highlight w:val="none"/>
                <w:lang w:val="zh-CN"/>
              </w:rPr>
              <w:t>.本项目的特定资格要求：</w:t>
            </w:r>
            <w:r>
              <w:rPr>
                <w:rFonts w:ascii="宋体" w:hAnsi="宋体"/>
                <w:color w:val="auto"/>
                <w:highlight w:val="none"/>
                <w:lang w:val="zh-CN"/>
              </w:rPr>
              <w:t xml:space="preserve"> </w:t>
            </w:r>
          </w:p>
          <w:p>
            <w:pPr>
              <w:spacing w:line="360" w:lineRule="auto"/>
              <w:rPr>
                <w:rFonts w:ascii="宋体" w:hAnsi="宋体"/>
                <w:color w:val="auto"/>
                <w:highlight w:val="none"/>
              </w:rPr>
            </w:pPr>
            <w:r>
              <w:rPr>
                <w:rFonts w:hint="eastAsia" w:ascii="宋体" w:hAnsi="宋体"/>
                <w:color w:val="auto"/>
                <w:highlight w:val="none"/>
              </w:rPr>
              <w:t>3.1与招标人存在利害关系可能影响招标公正性的法人、其他组织或者个人，不得参加同一标段投标或者未划分标段的同一招标不得参加投标；</w:t>
            </w:r>
          </w:p>
          <w:p>
            <w:pPr>
              <w:spacing w:line="360" w:lineRule="auto"/>
              <w:rPr>
                <w:rFonts w:ascii="宋体" w:hAnsi="宋体"/>
                <w:color w:val="auto"/>
                <w:highlight w:val="none"/>
              </w:rPr>
            </w:pPr>
            <w:r>
              <w:rPr>
                <w:rFonts w:hint="eastAsia" w:ascii="宋体" w:hAnsi="宋体"/>
                <w:color w:val="auto"/>
                <w:highlight w:val="none"/>
              </w:rPr>
              <w:t>3.2 投标人负责人为同一人或者存在控股、管理关系的不同单位，不得同时参加本项目的投标。</w:t>
            </w:r>
          </w:p>
          <w:p>
            <w:pPr>
              <w:pStyle w:val="4"/>
              <w:spacing w:line="360" w:lineRule="auto"/>
              <w:ind w:firstLine="0"/>
              <w:rPr>
                <w:rFonts w:ascii="宋体" w:hAnsi="宋体"/>
                <w:color w:val="auto"/>
                <w:highlight w:val="none"/>
              </w:rPr>
            </w:pPr>
            <w:r>
              <w:rPr>
                <w:rFonts w:hint="eastAsia" w:ascii="宋体" w:hAnsi="宋体"/>
                <w:color w:val="auto"/>
                <w:highlight w:val="none"/>
              </w:rPr>
              <w:t>3.3 根据《财政部关于在政府采购活动中查询及使用信用记录有关问题的通知》（财库﹝2016﹞125号）的要求，凡拟参加本次招标项目的投标供应商，如在“信用中国”网（www.creditchina.gov.cn）、中国政府采购网（www.ccgp.gov.cn）列入失信被执行人、重大税收违法案件当事人名单、政府采购严重违法失信行为记录名单的（尚在处罚期内的），将拒绝其参加本次项目投标。</w:t>
            </w:r>
          </w:p>
          <w:p>
            <w:pPr>
              <w:spacing w:line="360" w:lineRule="auto"/>
              <w:rPr>
                <w:rFonts w:ascii="宋体" w:hAnsi="宋体"/>
                <w:color w:val="auto"/>
                <w:highlight w:val="none"/>
              </w:rPr>
            </w:pPr>
            <w:r>
              <w:rPr>
                <w:rFonts w:hint="eastAsia" w:ascii="宋体" w:hAnsi="宋体"/>
                <w:color w:val="auto"/>
                <w:highlight w:val="none"/>
              </w:rPr>
              <w:t>4.本项目不接受联合体投标。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ascii="宋体" w:hAnsi="宋体" w:cs="Arial"/>
                <w:bCs/>
                <w:color w:val="auto"/>
                <w:highlight w:val="none"/>
              </w:rPr>
              <w:t>14</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ascii="宋体" w:hAnsi="宋体" w:cs="Arial"/>
                <w:bCs/>
                <w:color w:val="auto"/>
                <w:highlight w:val="none"/>
              </w:rPr>
              <w:t>投标保证金</w:t>
            </w:r>
          </w:p>
        </w:tc>
        <w:tc>
          <w:tcPr>
            <w:tcW w:w="6639" w:type="dxa"/>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ascii="宋体" w:hAnsi="宋体"/>
                <w:color w:val="auto"/>
                <w:highlight w:val="none"/>
              </w:rPr>
            </w:pPr>
            <w:r>
              <w:rPr>
                <w:rFonts w:hint="eastAsia" w:ascii="宋体" w:hAnsi="宋体"/>
                <w:color w:val="auto"/>
                <w:highlight w:val="none"/>
              </w:rPr>
              <w:t>1.投标保证金金额：</w:t>
            </w:r>
          </w:p>
          <w:p>
            <w:pPr>
              <w:spacing w:line="360" w:lineRule="auto"/>
              <w:jc w:val="left"/>
              <w:rPr>
                <w:rFonts w:ascii="宋体" w:hAnsi="宋体"/>
                <w:color w:val="auto"/>
                <w:highlight w:val="none"/>
              </w:rPr>
            </w:pPr>
            <w:r>
              <w:rPr>
                <w:rFonts w:hint="eastAsia" w:ascii="宋体" w:hAnsi="宋体"/>
                <w:color w:val="auto"/>
                <w:highlight w:val="none"/>
              </w:rPr>
              <w:t>第一包：人民币（大写）：肆万元整（¥</w:t>
            </w:r>
            <w:r>
              <w:rPr>
                <w:rFonts w:ascii="宋体" w:hAnsi="宋体"/>
                <w:color w:val="auto"/>
                <w:highlight w:val="none"/>
              </w:rPr>
              <w:t>4</w:t>
            </w:r>
            <w:r>
              <w:rPr>
                <w:rFonts w:hint="eastAsia" w:ascii="宋体" w:hAnsi="宋体"/>
                <w:color w:val="auto"/>
                <w:highlight w:val="none"/>
              </w:rPr>
              <w:t>0000元）</w:t>
            </w:r>
          </w:p>
          <w:p>
            <w:pPr>
              <w:spacing w:line="360" w:lineRule="auto"/>
              <w:jc w:val="left"/>
              <w:rPr>
                <w:rFonts w:ascii="宋体" w:hAnsi="宋体"/>
                <w:color w:val="auto"/>
                <w:highlight w:val="none"/>
              </w:rPr>
            </w:pPr>
            <w:r>
              <w:rPr>
                <w:rFonts w:hint="eastAsia" w:ascii="宋体" w:hAnsi="宋体"/>
                <w:color w:val="auto"/>
                <w:highlight w:val="none"/>
              </w:rPr>
              <w:t>第二包：人民币（大写）：柒万元整（¥</w:t>
            </w:r>
            <w:r>
              <w:rPr>
                <w:rFonts w:ascii="宋体" w:hAnsi="宋体"/>
                <w:color w:val="auto"/>
                <w:highlight w:val="none"/>
              </w:rPr>
              <w:t>70</w:t>
            </w:r>
            <w:r>
              <w:rPr>
                <w:rFonts w:hint="eastAsia" w:ascii="宋体" w:hAnsi="宋体"/>
                <w:color w:val="auto"/>
                <w:highlight w:val="none"/>
              </w:rPr>
              <w:t>000元）</w:t>
            </w:r>
          </w:p>
          <w:p>
            <w:pPr>
              <w:spacing w:line="360" w:lineRule="auto"/>
              <w:rPr>
                <w:rFonts w:ascii="宋体" w:hAnsi="宋体"/>
                <w:color w:val="auto"/>
                <w:highlight w:val="none"/>
                <w:lang w:val="zh-CN"/>
              </w:rPr>
            </w:pPr>
            <w:r>
              <w:rPr>
                <w:rFonts w:hint="eastAsia" w:ascii="宋体" w:hAnsi="宋体"/>
                <w:color w:val="auto"/>
                <w:highlight w:val="none"/>
              </w:rPr>
              <w:t>2.</w:t>
            </w:r>
            <w:r>
              <w:rPr>
                <w:rFonts w:hint="eastAsia" w:ascii="宋体" w:hAnsi="宋体"/>
                <w:color w:val="auto"/>
                <w:highlight w:val="none"/>
                <w:lang w:val="zh-CN"/>
              </w:rPr>
              <w:t>投标保证金递交截止时间：投标文件递交截止时间前。</w:t>
            </w:r>
          </w:p>
          <w:p>
            <w:pPr>
              <w:spacing w:line="360" w:lineRule="auto"/>
              <w:rPr>
                <w:rFonts w:ascii="宋体" w:hAnsi="宋体"/>
                <w:color w:val="auto"/>
                <w:highlight w:val="none"/>
              </w:rPr>
            </w:pPr>
            <w:r>
              <w:rPr>
                <w:rFonts w:hint="eastAsia" w:ascii="宋体" w:hAnsi="宋体"/>
                <w:color w:val="auto"/>
                <w:highlight w:val="none"/>
              </w:rPr>
              <w:t>3.投标保证金缴纳形式：投标保证金应当以支票、汇票、本票或者金融机构、担保机构出具的保函等非现金形式提交，投标人未按照招标文件要求提交投标保证金的，投标无效。</w:t>
            </w:r>
          </w:p>
          <w:p>
            <w:pPr>
              <w:spacing w:line="360" w:lineRule="auto"/>
              <w:rPr>
                <w:rFonts w:ascii="宋体" w:hAnsi="宋体"/>
                <w:color w:val="auto"/>
                <w:highlight w:val="none"/>
              </w:rPr>
            </w:pPr>
            <w:r>
              <w:rPr>
                <w:rFonts w:hint="eastAsia" w:ascii="宋体" w:hAnsi="宋体"/>
                <w:color w:val="auto"/>
                <w:highlight w:val="none"/>
              </w:rPr>
              <w:t>4.投标保证金由投标人基本账户一次性汇入。投标保证金必须在提交投标文件截止时间前缴纳，投标人应充分考虑资金到账时间，在规定的时限前自行办妥投标保证金交纳手续。投标保证金采取银行转账、电汇方式递交的，以电汇凭证和网银对账单的时间为准，采取支票、银行汇票、保函方式递交的，以实际递交至招标代理机构的时间为准，超过时限交纳投标保证金视为投标无效。</w:t>
            </w:r>
          </w:p>
          <w:p>
            <w:pPr>
              <w:spacing w:line="360" w:lineRule="auto"/>
              <w:rPr>
                <w:rFonts w:ascii="宋体" w:hAnsi="宋体"/>
                <w:color w:val="auto"/>
                <w:highlight w:val="none"/>
              </w:rPr>
            </w:pPr>
            <w:r>
              <w:rPr>
                <w:rFonts w:hint="eastAsia" w:ascii="宋体" w:hAnsi="宋体"/>
                <w:color w:val="auto"/>
                <w:highlight w:val="none"/>
              </w:rPr>
              <w:t>5.投标保证金递交的开户银行及账号如下：</w:t>
            </w:r>
          </w:p>
          <w:p>
            <w:pPr>
              <w:spacing w:line="360" w:lineRule="auto"/>
              <w:rPr>
                <w:rFonts w:ascii="宋体" w:hAnsi="宋体"/>
                <w:color w:val="auto"/>
                <w:highlight w:val="none"/>
              </w:rPr>
            </w:pPr>
            <w:r>
              <w:rPr>
                <w:rFonts w:hint="eastAsia" w:ascii="宋体" w:hAnsi="宋体"/>
                <w:color w:val="auto"/>
                <w:highlight w:val="none"/>
              </w:rPr>
              <w:t>账户名称：新疆润达工程项目管理有限公司</w:t>
            </w:r>
          </w:p>
          <w:p>
            <w:pPr>
              <w:spacing w:line="360" w:lineRule="auto"/>
              <w:rPr>
                <w:rFonts w:hint="default" w:ascii="宋体" w:hAnsi="宋体"/>
                <w:color w:val="auto"/>
                <w:highlight w:val="none"/>
                <w:lang w:val="en-US"/>
              </w:rPr>
            </w:pPr>
            <w:r>
              <w:rPr>
                <w:rFonts w:hint="eastAsia" w:ascii="宋体" w:hAnsi="宋体"/>
                <w:color w:val="auto"/>
                <w:highlight w:val="none"/>
              </w:rPr>
              <w:t>账    号：</w:t>
            </w:r>
            <w:r>
              <w:rPr>
                <w:rFonts w:hint="eastAsia" w:ascii="宋体" w:hAnsi="宋体"/>
                <w:color w:val="auto"/>
                <w:highlight w:val="none"/>
                <w:lang w:val="en-US" w:eastAsia="zh-CN"/>
              </w:rPr>
              <w:t xml:space="preserve">0000020090110004657139   </w:t>
            </w:r>
          </w:p>
          <w:p>
            <w:pPr>
              <w:spacing w:line="360" w:lineRule="auto"/>
              <w:rPr>
                <w:rFonts w:ascii="宋体" w:hAnsi="宋体"/>
                <w:color w:val="auto"/>
                <w:highlight w:val="none"/>
              </w:rPr>
            </w:pPr>
            <w:r>
              <w:rPr>
                <w:rFonts w:hint="eastAsia" w:ascii="宋体" w:hAnsi="宋体"/>
                <w:color w:val="auto"/>
                <w:highlight w:val="none"/>
              </w:rPr>
              <w:t>开户行名称：</w:t>
            </w:r>
            <w:r>
              <w:rPr>
                <w:rFonts w:hint="eastAsia" w:ascii="宋体" w:hAnsi="宋体"/>
                <w:color w:val="auto"/>
                <w:highlight w:val="none"/>
                <w:lang w:val="en-US" w:eastAsia="zh-CN"/>
              </w:rPr>
              <w:t>乌鲁木齐银行新华南路支行</w:t>
            </w:r>
          </w:p>
          <w:p>
            <w:pPr>
              <w:spacing w:line="360" w:lineRule="auto"/>
              <w:rPr>
                <w:rFonts w:ascii="宋体" w:hAnsi="宋体"/>
                <w:color w:val="auto"/>
                <w:highlight w:val="none"/>
              </w:rPr>
            </w:pPr>
            <w:r>
              <w:rPr>
                <w:rFonts w:hint="eastAsia" w:ascii="宋体" w:hAnsi="宋体"/>
                <w:color w:val="auto"/>
                <w:highlight w:val="none"/>
              </w:rPr>
              <w:t>行    号：</w:t>
            </w:r>
            <w:r>
              <w:rPr>
                <w:rFonts w:hint="eastAsia" w:ascii="宋体" w:hAnsi="宋体"/>
                <w:color w:val="auto"/>
                <w:highlight w:val="none"/>
                <w:lang w:val="en-US" w:eastAsia="zh-CN"/>
              </w:rPr>
              <w:t>313881000176</w:t>
            </w:r>
          </w:p>
          <w:p>
            <w:pPr>
              <w:spacing w:line="360" w:lineRule="auto"/>
              <w:rPr>
                <w:rFonts w:ascii="宋体" w:hAnsi="宋体"/>
                <w:color w:val="auto"/>
                <w:highlight w:val="none"/>
              </w:rPr>
            </w:pPr>
            <w:r>
              <w:rPr>
                <w:rFonts w:hint="eastAsia" w:ascii="宋体" w:hAnsi="宋体"/>
                <w:color w:val="auto"/>
                <w:highlight w:val="none"/>
              </w:rPr>
              <w:t>注意：不得以现金的方式和其他的形式缴纳，不得以办事处或其他机构名义缴纳，投标人在缴纳保证金时，需在进账凭证上明确自己用途和投标项目，并注明联系人及电话，以便查对核实。请投标人按上述要求将投标保证金汇入指定的开户银行，未按规定提交投标保证金的投标，将被视为投标无效。保证金事宜请联系财务室：牛静竹 18799019901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ascii="宋体" w:hAnsi="宋体" w:cs="Arial"/>
                <w:bCs/>
                <w:color w:val="auto"/>
                <w:highlight w:val="none"/>
              </w:rPr>
              <w:t>15</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ascii="宋体" w:hAnsi="宋体" w:cs="Arial"/>
                <w:bCs/>
                <w:color w:val="auto"/>
                <w:highlight w:val="none"/>
              </w:rPr>
              <w:t>投标有效期</w:t>
            </w:r>
          </w:p>
        </w:tc>
        <w:tc>
          <w:tcPr>
            <w:tcW w:w="66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Arial"/>
                <w:bCs/>
                <w:color w:val="auto"/>
                <w:highlight w:val="none"/>
              </w:rPr>
            </w:pPr>
            <w:r>
              <w:rPr>
                <w:rFonts w:hint="eastAsia" w:ascii="宋体" w:hAnsi="宋体" w:cs="宋体"/>
                <w:color w:val="auto"/>
                <w:kern w:val="0"/>
                <w:highlight w:val="none"/>
              </w:rPr>
              <w:t>递交</w:t>
            </w:r>
            <w:r>
              <w:rPr>
                <w:rFonts w:ascii="宋体" w:hAnsi="宋体" w:cs="宋体"/>
                <w:color w:val="auto"/>
                <w:kern w:val="0"/>
                <w:highlight w:val="none"/>
              </w:rPr>
              <w:t>投标文件的截止之日</w:t>
            </w:r>
            <w:r>
              <w:rPr>
                <w:rFonts w:hint="eastAsia" w:ascii="宋体" w:hAnsi="宋体" w:cs="宋体"/>
                <w:color w:val="auto"/>
                <w:kern w:val="0"/>
                <w:highlight w:val="none"/>
              </w:rPr>
              <w:t>起90天。</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ascii="宋体" w:hAnsi="宋体" w:cs="Arial"/>
                <w:bCs/>
                <w:color w:val="auto"/>
                <w:highlight w:val="none"/>
              </w:rPr>
              <w:t>16</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ascii="宋体" w:hAnsi="宋体" w:cs="Arial"/>
                <w:bCs/>
                <w:color w:val="auto"/>
                <w:highlight w:val="none"/>
              </w:rPr>
              <w:t>现场踏勘</w:t>
            </w:r>
          </w:p>
        </w:tc>
        <w:tc>
          <w:tcPr>
            <w:tcW w:w="6639" w:type="dxa"/>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ascii="宋体" w:hAnsi="宋体" w:cs="Arial"/>
                <w:bCs/>
                <w:color w:val="auto"/>
                <w:highlight w:val="none"/>
              </w:rPr>
            </w:pPr>
            <w:r>
              <w:rPr>
                <w:rFonts w:hint="eastAsia" w:ascii="宋体" w:hAnsi="宋体" w:cs="Arial"/>
                <w:bCs/>
                <w:color w:val="auto"/>
                <w:highlight w:val="none"/>
              </w:rPr>
              <w:t>本项目不安排现场踏勘。</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ascii="宋体" w:hAnsi="宋体" w:cs="Arial"/>
                <w:bCs/>
                <w:color w:val="auto"/>
                <w:highlight w:val="none"/>
              </w:rPr>
              <w:t>17</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ascii="宋体" w:hAnsi="宋体" w:cs="Arial"/>
                <w:bCs/>
                <w:color w:val="auto"/>
                <w:highlight w:val="none"/>
              </w:rPr>
              <w:t>投标文件</w:t>
            </w:r>
          </w:p>
          <w:p>
            <w:pPr>
              <w:spacing w:line="360" w:lineRule="auto"/>
              <w:jc w:val="center"/>
              <w:rPr>
                <w:rFonts w:ascii="宋体" w:hAnsi="宋体" w:cs="Arial"/>
                <w:bCs/>
                <w:color w:val="auto"/>
                <w:highlight w:val="none"/>
              </w:rPr>
            </w:pPr>
            <w:r>
              <w:rPr>
                <w:rFonts w:hint="eastAsia" w:ascii="宋体" w:hAnsi="宋体" w:cs="Arial"/>
                <w:bCs/>
                <w:color w:val="auto"/>
                <w:highlight w:val="none"/>
              </w:rPr>
              <w:t>份数</w:t>
            </w:r>
          </w:p>
        </w:tc>
        <w:tc>
          <w:tcPr>
            <w:tcW w:w="6639"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color w:val="auto"/>
                <w:highlight w:val="none"/>
              </w:rPr>
            </w:pPr>
            <w:r>
              <w:rPr>
                <w:rFonts w:hint="eastAsia" w:ascii="宋体" w:hAnsi="宋体"/>
                <w:color w:val="auto"/>
                <w:highlight w:val="none"/>
              </w:rPr>
              <w:t>1、一份正本、四份副本</w:t>
            </w:r>
            <w:r>
              <w:rPr>
                <w:rFonts w:hint="eastAsia" w:ascii="宋体" w:hAnsi="宋体"/>
                <w:b/>
                <w:bCs/>
                <w:color w:val="auto"/>
                <w:highlight w:val="none"/>
              </w:rPr>
              <w:t>（报价文件单独胶装成一册，商务技术文件合并胶装）。</w:t>
            </w:r>
          </w:p>
          <w:p>
            <w:pPr>
              <w:spacing w:line="360" w:lineRule="auto"/>
              <w:rPr>
                <w:rFonts w:ascii="宋体" w:hAnsi="宋体" w:cs="Arial"/>
                <w:bCs/>
                <w:color w:val="auto"/>
                <w:highlight w:val="none"/>
              </w:rPr>
            </w:pPr>
            <w:r>
              <w:rPr>
                <w:rFonts w:hint="eastAsia" w:ascii="宋体" w:hAnsi="宋体"/>
                <w:color w:val="auto"/>
                <w:highlight w:val="none"/>
              </w:rPr>
              <w:t>2、电子文档：1份光盘，1份U盘。格式为WORD版和签章后的投标文件正本扫描件PDF版，样品讲解视频（如本项目标包要求提供样品讲解视频）。</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color w:val="auto"/>
                <w:highlight w:val="none"/>
              </w:rPr>
            </w:pPr>
            <w:r>
              <w:rPr>
                <w:rFonts w:hint="eastAsia" w:ascii="宋体" w:hAnsi="宋体" w:cs="Arial"/>
                <w:color w:val="auto"/>
                <w:highlight w:val="none"/>
              </w:rPr>
              <w:t>18</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ascii="宋体" w:hAnsi="宋体" w:cs="Arial"/>
                <w:bCs/>
                <w:color w:val="auto"/>
                <w:highlight w:val="none"/>
              </w:rPr>
              <w:t>投标截止时间及投标文件递交地点</w:t>
            </w:r>
          </w:p>
        </w:tc>
        <w:tc>
          <w:tcPr>
            <w:tcW w:w="6639" w:type="dxa"/>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ascii="宋体" w:hAnsi="宋体" w:cs="Arial"/>
                <w:bCs/>
                <w:color w:val="auto"/>
                <w:highlight w:val="none"/>
              </w:rPr>
            </w:pPr>
            <w:r>
              <w:rPr>
                <w:rFonts w:hint="eastAsia" w:ascii="宋体" w:hAnsi="宋体" w:cs="Arial"/>
                <w:bCs/>
                <w:color w:val="auto"/>
                <w:highlight w:val="none"/>
              </w:rPr>
              <w:t>投标截止时间：2024年</w:t>
            </w:r>
            <w:r>
              <w:rPr>
                <w:rFonts w:hint="eastAsia" w:ascii="宋体" w:hAnsi="宋体" w:cs="Arial"/>
                <w:bCs/>
                <w:color w:val="auto"/>
                <w:highlight w:val="none"/>
                <w:lang w:val="en-US" w:eastAsia="zh-CN"/>
              </w:rPr>
              <w:t>5</w:t>
            </w:r>
            <w:r>
              <w:rPr>
                <w:rFonts w:hint="eastAsia" w:ascii="宋体" w:hAnsi="宋体" w:cs="Arial"/>
                <w:bCs/>
                <w:color w:val="auto"/>
                <w:highlight w:val="none"/>
              </w:rPr>
              <w:t>月</w:t>
            </w:r>
            <w:r>
              <w:rPr>
                <w:rFonts w:hint="eastAsia" w:ascii="宋体" w:hAnsi="宋体" w:cs="Arial"/>
                <w:bCs/>
                <w:color w:val="auto"/>
                <w:highlight w:val="none"/>
                <w:lang w:val="en-US" w:eastAsia="zh-CN"/>
              </w:rPr>
              <w:t>9</w:t>
            </w:r>
            <w:r>
              <w:rPr>
                <w:rFonts w:hint="eastAsia" w:ascii="宋体" w:hAnsi="宋体" w:cs="Arial"/>
                <w:bCs/>
                <w:color w:val="auto"/>
                <w:highlight w:val="none"/>
              </w:rPr>
              <w:t>日 10点 30分(北京时间)</w:t>
            </w:r>
          </w:p>
          <w:p>
            <w:pPr>
              <w:spacing w:line="360" w:lineRule="auto"/>
              <w:jc w:val="left"/>
              <w:rPr>
                <w:rFonts w:hint="default" w:ascii="宋体" w:hAnsi="宋体" w:eastAsia="宋体" w:cs="Arial"/>
                <w:bCs/>
                <w:color w:val="auto"/>
                <w:highlight w:val="none"/>
                <w:lang w:val="en-US" w:eastAsia="zh-CN"/>
              </w:rPr>
            </w:pPr>
            <w:r>
              <w:rPr>
                <w:rFonts w:hint="eastAsia" w:ascii="宋体" w:hAnsi="宋体" w:cs="Arial"/>
                <w:bCs/>
                <w:color w:val="auto"/>
                <w:highlight w:val="none"/>
              </w:rPr>
              <w:t>投标地点：新疆维吾尔自治区乌鲁木齐市水磨沟区准噶尔街299号（益民大厦 5 楼）</w:t>
            </w:r>
            <w:r>
              <w:rPr>
                <w:rFonts w:hint="eastAsia" w:ascii="宋体" w:hAnsi="宋体" w:cs="Arial"/>
                <w:bCs/>
                <w:color w:val="auto"/>
                <w:highlight w:val="none"/>
                <w:lang w:val="en-US" w:eastAsia="zh-CN"/>
              </w:rPr>
              <w:t>开标室3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ascii="宋体" w:hAnsi="宋体" w:cs="Arial"/>
                <w:bCs/>
                <w:color w:val="auto"/>
                <w:highlight w:val="none"/>
              </w:rPr>
              <w:t>19</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ascii="宋体" w:hAnsi="宋体" w:cs="Arial"/>
                <w:bCs/>
                <w:color w:val="auto"/>
                <w:highlight w:val="none"/>
              </w:rPr>
              <w:t>开标时间</w:t>
            </w:r>
          </w:p>
          <w:p>
            <w:pPr>
              <w:spacing w:line="360" w:lineRule="auto"/>
              <w:jc w:val="center"/>
              <w:rPr>
                <w:rFonts w:ascii="宋体" w:hAnsi="宋体" w:cs="Arial"/>
                <w:bCs/>
                <w:color w:val="auto"/>
                <w:highlight w:val="none"/>
              </w:rPr>
            </w:pPr>
            <w:r>
              <w:rPr>
                <w:rFonts w:hint="eastAsia" w:ascii="宋体" w:hAnsi="宋体" w:cs="Arial"/>
                <w:bCs/>
                <w:color w:val="auto"/>
                <w:highlight w:val="none"/>
              </w:rPr>
              <w:t>及地点</w:t>
            </w:r>
          </w:p>
        </w:tc>
        <w:tc>
          <w:tcPr>
            <w:tcW w:w="6639" w:type="dxa"/>
            <w:tcBorders>
              <w:top w:val="single" w:color="auto" w:sz="4" w:space="0"/>
              <w:left w:val="single" w:color="auto" w:sz="4" w:space="0"/>
              <w:bottom w:val="single" w:color="auto" w:sz="4" w:space="0"/>
              <w:right w:val="single" w:color="auto" w:sz="4" w:space="0"/>
            </w:tcBorders>
            <w:vAlign w:val="center"/>
          </w:tcPr>
          <w:p>
            <w:pPr>
              <w:spacing w:line="360" w:lineRule="auto"/>
              <w:ind w:left="1050" w:hanging="1050" w:hangingChars="500"/>
              <w:rPr>
                <w:rFonts w:ascii="宋体" w:hAnsi="宋体" w:cs="Arial"/>
                <w:bCs/>
                <w:color w:val="auto"/>
                <w:highlight w:val="none"/>
              </w:rPr>
            </w:pPr>
            <w:r>
              <w:rPr>
                <w:rFonts w:hint="eastAsia" w:ascii="宋体" w:hAnsi="宋体" w:cs="Arial"/>
                <w:bCs/>
                <w:color w:val="auto"/>
                <w:highlight w:val="none"/>
              </w:rPr>
              <w:t>开标时间：2024年</w:t>
            </w:r>
            <w:r>
              <w:rPr>
                <w:rFonts w:hint="eastAsia" w:ascii="宋体" w:hAnsi="宋体" w:cs="Arial"/>
                <w:bCs/>
                <w:color w:val="auto"/>
                <w:highlight w:val="none"/>
                <w:lang w:val="en-US" w:eastAsia="zh-CN"/>
              </w:rPr>
              <w:t>5</w:t>
            </w:r>
            <w:r>
              <w:rPr>
                <w:rFonts w:hint="eastAsia" w:ascii="宋体" w:hAnsi="宋体" w:cs="Arial"/>
                <w:bCs/>
                <w:color w:val="auto"/>
                <w:highlight w:val="none"/>
              </w:rPr>
              <w:t>月</w:t>
            </w:r>
            <w:r>
              <w:rPr>
                <w:rFonts w:hint="eastAsia" w:ascii="宋体" w:hAnsi="宋体" w:cs="Arial"/>
                <w:bCs/>
                <w:color w:val="auto"/>
                <w:highlight w:val="none"/>
                <w:lang w:val="en-US" w:eastAsia="zh-CN"/>
              </w:rPr>
              <w:t>9</w:t>
            </w:r>
            <w:r>
              <w:rPr>
                <w:rFonts w:hint="eastAsia" w:ascii="宋体" w:hAnsi="宋体" w:cs="Arial"/>
                <w:bCs/>
                <w:color w:val="auto"/>
                <w:highlight w:val="none"/>
              </w:rPr>
              <w:t>日 10点 30分(北京时间)</w:t>
            </w:r>
          </w:p>
          <w:p>
            <w:pPr>
              <w:spacing w:line="360" w:lineRule="auto"/>
              <w:ind w:left="1050" w:hanging="1050" w:hangingChars="500"/>
              <w:jc w:val="left"/>
              <w:rPr>
                <w:rFonts w:ascii="宋体" w:hAnsi="宋体" w:cs="Arial"/>
                <w:bCs/>
                <w:color w:val="auto"/>
                <w:highlight w:val="none"/>
              </w:rPr>
            </w:pPr>
            <w:r>
              <w:rPr>
                <w:rFonts w:hint="eastAsia" w:ascii="宋体" w:hAnsi="宋体" w:cs="Arial"/>
                <w:bCs/>
                <w:color w:val="auto"/>
                <w:highlight w:val="none"/>
              </w:rPr>
              <w:t>开标地点：新疆维吾尔自治区乌鲁木齐市水磨沟区准噶尔街299号（益民大厦 5 楼）</w:t>
            </w:r>
            <w:r>
              <w:rPr>
                <w:rFonts w:hint="eastAsia" w:ascii="宋体" w:hAnsi="宋体" w:cs="Arial"/>
                <w:bCs/>
                <w:color w:val="auto"/>
                <w:highlight w:val="none"/>
                <w:lang w:val="en-US" w:eastAsia="zh-CN"/>
              </w:rPr>
              <w:t>开标室3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ascii="宋体" w:hAnsi="宋体" w:cs="Arial"/>
                <w:bCs/>
                <w:color w:val="auto"/>
                <w:highlight w:val="none"/>
              </w:rPr>
              <w:t>20</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ind w:right="-8"/>
              <w:jc w:val="center"/>
              <w:rPr>
                <w:rFonts w:ascii="宋体" w:hAnsi="宋体" w:cs="Arial"/>
                <w:bCs/>
                <w:color w:val="auto"/>
                <w:highlight w:val="none"/>
              </w:rPr>
            </w:pPr>
            <w:r>
              <w:rPr>
                <w:rFonts w:hint="eastAsia" w:ascii="宋体" w:hAnsi="宋体" w:cs="Arial"/>
                <w:bCs/>
                <w:color w:val="auto"/>
                <w:highlight w:val="none"/>
              </w:rPr>
              <w:t>评标办法</w:t>
            </w:r>
          </w:p>
        </w:tc>
        <w:tc>
          <w:tcPr>
            <w:tcW w:w="6639" w:type="dxa"/>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ascii="宋体" w:hAnsi="宋体" w:cs="Arial"/>
                <w:bCs/>
                <w:color w:val="auto"/>
                <w:highlight w:val="none"/>
              </w:rPr>
            </w:pPr>
            <w:r>
              <w:rPr>
                <w:rFonts w:hint="eastAsia" w:ascii="宋体" w:hAnsi="宋体" w:cs="Arial"/>
                <w:bCs/>
                <w:color w:val="auto"/>
                <w:highlight w:val="none"/>
              </w:rPr>
              <w:t>综合评分法</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ascii="宋体" w:hAnsi="宋体" w:cs="Arial"/>
                <w:bCs/>
                <w:color w:val="auto"/>
                <w:highlight w:val="none"/>
              </w:rPr>
              <w:t>21</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ascii="宋体" w:hAnsi="宋体" w:cs="Arial"/>
                <w:bCs/>
                <w:color w:val="auto"/>
                <w:highlight w:val="none"/>
              </w:rPr>
              <w:t>履约保证金</w:t>
            </w:r>
          </w:p>
        </w:tc>
        <w:tc>
          <w:tcPr>
            <w:tcW w:w="6639"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color w:val="auto"/>
                <w:highlight w:val="none"/>
              </w:rPr>
            </w:pPr>
            <w:r>
              <w:rPr>
                <w:rFonts w:ascii="宋体" w:hAnsi="宋体"/>
                <w:color w:val="auto"/>
                <w:highlight w:val="none"/>
              </w:rPr>
              <w:t>合同签订前，中标</w:t>
            </w:r>
            <w:r>
              <w:rPr>
                <w:rFonts w:hint="eastAsia" w:ascii="宋体" w:hAnsi="宋体"/>
                <w:color w:val="auto"/>
                <w:highlight w:val="none"/>
              </w:rPr>
              <w:t>单位</w:t>
            </w:r>
            <w:r>
              <w:rPr>
                <w:rFonts w:ascii="宋体" w:hAnsi="宋体"/>
                <w:color w:val="auto"/>
                <w:highlight w:val="none"/>
              </w:rPr>
              <w:t>按照中标</w:t>
            </w:r>
            <w:r>
              <w:rPr>
                <w:rFonts w:hint="eastAsia" w:ascii="宋体" w:hAnsi="宋体"/>
                <w:color w:val="auto"/>
                <w:highlight w:val="none"/>
              </w:rPr>
              <w:t>金额</w:t>
            </w:r>
            <w:r>
              <w:rPr>
                <w:rFonts w:ascii="宋体" w:hAnsi="宋体"/>
                <w:color w:val="auto"/>
                <w:highlight w:val="none"/>
              </w:rPr>
              <w:t>的</w:t>
            </w:r>
            <w:r>
              <w:rPr>
                <w:rFonts w:hint="eastAsia" w:ascii="宋体" w:hAnsi="宋体"/>
                <w:color w:val="auto"/>
                <w:highlight w:val="none"/>
              </w:rPr>
              <w:t>5</w:t>
            </w:r>
            <w:r>
              <w:rPr>
                <w:rFonts w:ascii="宋体" w:hAnsi="宋体"/>
                <w:color w:val="auto"/>
                <w:highlight w:val="none"/>
              </w:rPr>
              <w:t>%缴纳履约保证金，</w:t>
            </w:r>
            <w:r>
              <w:rPr>
                <w:rFonts w:hint="eastAsia" w:ascii="宋体" w:hAnsi="宋体"/>
                <w:color w:val="auto"/>
                <w:highlight w:val="none"/>
              </w:rPr>
              <w:t>中标单位按合同约定交付全部产品，安装调试完毕，书面验收合格一年后，采购单位无息退还全部履约保证金</w:t>
            </w:r>
            <w:r>
              <w:rPr>
                <w:rFonts w:ascii="宋体" w:hAnsi="宋体"/>
                <w:color w:val="auto"/>
                <w:highlight w:val="none"/>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ascii="宋体" w:hAnsi="宋体" w:cs="Arial"/>
                <w:bCs/>
                <w:color w:val="auto"/>
                <w:highlight w:val="none"/>
              </w:rPr>
              <w:t>22</w:t>
            </w:r>
          </w:p>
        </w:tc>
        <w:tc>
          <w:tcPr>
            <w:tcW w:w="169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360" w:lineRule="auto"/>
              <w:jc w:val="center"/>
              <w:rPr>
                <w:rFonts w:ascii="宋体" w:hAnsi="宋体" w:cs="宋体"/>
                <w:color w:val="auto"/>
                <w:spacing w:val="-4"/>
                <w:highlight w:val="none"/>
              </w:rPr>
            </w:pPr>
            <w:r>
              <w:rPr>
                <w:rFonts w:hint="eastAsia" w:ascii="宋体" w:hAnsi="宋体" w:cs="宋体"/>
                <w:bCs/>
                <w:color w:val="auto"/>
                <w:spacing w:val="-4"/>
                <w:highlight w:val="none"/>
              </w:rPr>
              <w:t>开标准备</w:t>
            </w:r>
          </w:p>
        </w:tc>
        <w:tc>
          <w:tcPr>
            <w:tcW w:w="6639"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360" w:lineRule="auto"/>
              <w:rPr>
                <w:rFonts w:ascii="宋体" w:hAnsi="宋体"/>
                <w:color w:val="auto"/>
                <w:highlight w:val="none"/>
              </w:rPr>
            </w:pPr>
            <w:r>
              <w:rPr>
                <w:rFonts w:hint="eastAsia" w:ascii="宋体" w:hAnsi="宋体" w:cs="宋体"/>
                <w:color w:val="auto"/>
                <w:spacing w:val="-4"/>
                <w:highlight w:val="none"/>
              </w:rPr>
              <w:t>详见本招标文件投标人须知第22条。</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ascii="宋体" w:hAnsi="宋体" w:cs="Arial"/>
                <w:bCs/>
                <w:color w:val="auto"/>
                <w:highlight w:val="none"/>
              </w:rPr>
              <w:t>23</w:t>
            </w:r>
          </w:p>
        </w:tc>
        <w:tc>
          <w:tcPr>
            <w:tcW w:w="169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360" w:lineRule="auto"/>
              <w:jc w:val="center"/>
              <w:rPr>
                <w:rFonts w:ascii="宋体" w:hAnsi="宋体" w:cs="宋体"/>
                <w:color w:val="auto"/>
                <w:spacing w:val="-4"/>
                <w:highlight w:val="none"/>
              </w:rPr>
            </w:pPr>
            <w:r>
              <w:rPr>
                <w:rFonts w:hint="eastAsia" w:ascii="宋体" w:hAnsi="宋体" w:cs="宋体"/>
                <w:color w:val="auto"/>
                <w:spacing w:val="-4"/>
                <w:highlight w:val="none"/>
              </w:rPr>
              <w:t>同品牌投标处理原则</w:t>
            </w:r>
          </w:p>
        </w:tc>
        <w:tc>
          <w:tcPr>
            <w:tcW w:w="6639"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360" w:lineRule="auto"/>
              <w:rPr>
                <w:rFonts w:ascii="宋体" w:hAnsi="宋体" w:cs="宋体"/>
                <w:b/>
                <w:bCs/>
                <w:color w:val="auto"/>
                <w:spacing w:val="-4"/>
                <w:highlight w:val="none"/>
              </w:rPr>
            </w:pPr>
            <w:r>
              <w:rPr>
                <w:rFonts w:hint="eastAsia" w:ascii="宋体" w:hAnsi="宋体" w:cs="宋体"/>
                <w:color w:val="auto"/>
                <w:spacing w:val="-4"/>
                <w:highlight w:val="none"/>
              </w:rPr>
              <w:t>详见本招标文件投标人须知第7条。</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ascii="宋体" w:hAnsi="宋体" w:cs="Arial"/>
                <w:bCs/>
                <w:color w:val="auto"/>
                <w:highlight w:val="none"/>
              </w:rPr>
              <w:t>24</w:t>
            </w:r>
          </w:p>
        </w:tc>
        <w:tc>
          <w:tcPr>
            <w:tcW w:w="169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360" w:lineRule="auto"/>
              <w:jc w:val="center"/>
              <w:rPr>
                <w:rFonts w:ascii="宋体" w:hAnsi="宋体" w:cs="宋体"/>
                <w:color w:val="auto"/>
                <w:spacing w:val="-4"/>
                <w:highlight w:val="none"/>
              </w:rPr>
            </w:pPr>
            <w:r>
              <w:rPr>
                <w:rFonts w:hint="eastAsia" w:ascii="宋体" w:hAnsi="宋体" w:cs="宋体"/>
                <w:color w:val="auto"/>
                <w:spacing w:val="-4"/>
                <w:highlight w:val="none"/>
              </w:rPr>
              <w:t>国家规定的优先、强制采购范围（节能、环保）</w:t>
            </w:r>
          </w:p>
        </w:tc>
        <w:tc>
          <w:tcPr>
            <w:tcW w:w="6639"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360" w:lineRule="auto"/>
              <w:rPr>
                <w:rFonts w:hint="eastAsia"/>
                <w:color w:val="auto"/>
                <w:highlight w:val="none"/>
                <w:lang w:val="en-US" w:eastAsia="zh-CN"/>
              </w:rPr>
            </w:pPr>
            <w:r>
              <w:rPr>
                <w:rFonts w:hint="eastAsia"/>
                <w:color w:val="auto"/>
                <w:highlight w:val="none"/>
                <w:lang w:val="en-US" w:eastAsia="zh-CN"/>
              </w:rPr>
              <w:t>第二包：</w:t>
            </w:r>
          </w:p>
          <w:p>
            <w:pPr>
              <w:widowControl/>
              <w:tabs>
                <w:tab w:val="left" w:pos="720"/>
                <w:tab w:val="left" w:pos="900"/>
                <w:tab w:val="left" w:pos="1080"/>
                <w:tab w:val="left" w:pos="1260"/>
                <w:tab w:val="left" w:pos="1440"/>
                <w:tab w:val="left" w:pos="1800"/>
              </w:tabs>
              <w:spacing w:line="360" w:lineRule="auto"/>
              <w:rPr>
                <w:color w:val="auto"/>
                <w:highlight w:val="none"/>
              </w:rPr>
            </w:pPr>
            <w:r>
              <w:rPr>
                <w:rFonts w:hint="eastAsia"/>
                <w:color w:val="auto"/>
                <w:highlight w:val="none"/>
              </w:rPr>
              <w:t>1.根据《国家市场监督管理总局关于发布强制性产品认证目录描述与界定表的公告》（2023年第36号）要求，本项目的产品</w:t>
            </w:r>
            <w:r>
              <w:rPr>
                <w:rFonts w:hint="eastAsia"/>
                <w:color w:val="auto"/>
                <w:highlight w:val="none"/>
                <w:lang w:val="en-US" w:eastAsia="zh-CN"/>
              </w:rPr>
              <w:t>如</w:t>
            </w:r>
            <w:r>
              <w:rPr>
                <w:rFonts w:hint="eastAsia"/>
                <w:color w:val="auto"/>
                <w:highlight w:val="none"/>
              </w:rPr>
              <w:t>属于《强制性产品认证目录》、《强制性产品认证目录描述与界定表（2023年修订）》范围内产品的，应取得有效期内的强制性认证证书（CCC认证证书），</w:t>
            </w:r>
            <w:r>
              <w:rPr>
                <w:rFonts w:hint="eastAsia"/>
                <w:color w:val="auto"/>
                <w:highlight w:val="none"/>
                <w:lang w:val="en-US" w:eastAsia="zh-CN"/>
              </w:rPr>
              <w:t>供应商须在投标文件中提供认证证书复印件（加盖公章），否则将被视为无效投标。</w:t>
            </w:r>
          </w:p>
          <w:p>
            <w:pPr>
              <w:widowControl/>
              <w:tabs>
                <w:tab w:val="left" w:pos="720"/>
                <w:tab w:val="left" w:pos="900"/>
                <w:tab w:val="left" w:pos="1080"/>
                <w:tab w:val="left" w:pos="1260"/>
                <w:tab w:val="left" w:pos="1440"/>
                <w:tab w:val="left" w:pos="1800"/>
              </w:tabs>
              <w:spacing w:line="360" w:lineRule="auto"/>
              <w:rPr>
                <w:rFonts w:ascii="宋体" w:hAnsi="宋体"/>
                <w:color w:val="auto"/>
                <w:highlight w:val="none"/>
              </w:rPr>
            </w:pPr>
            <w:r>
              <w:rPr>
                <w:rFonts w:hint="eastAsia"/>
                <w:color w:val="auto"/>
                <w:highlight w:val="none"/>
              </w:rPr>
              <w:t>2.根据财政部、发展改革委、生态环境部、市场监管总局联合发布的《关于调整优化节能产品、环境标志产品政府采购执行机制的通知》(财库[2019]9号)要求,本项目采购产品如属于《关于印发节能产品政府采购品目清单的通知》（财库[2019]19号）范围内的政府强制采购产品的，应取得有效期内的节能产品认证证书，</w:t>
            </w:r>
            <w:r>
              <w:rPr>
                <w:rFonts w:hint="eastAsia"/>
                <w:color w:val="auto"/>
                <w:highlight w:val="none"/>
                <w:lang w:val="en-US" w:eastAsia="zh-CN"/>
              </w:rPr>
              <w:t>供应商须在投标文件中提供认证证书复印件（加盖公章），否则将被视为无效投标。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ascii="宋体" w:hAnsi="宋体" w:cs="Arial"/>
                <w:bCs/>
                <w:color w:val="auto"/>
                <w:highlight w:val="none"/>
              </w:rPr>
              <w:t>25</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ascii="宋体" w:hAnsi="宋体" w:cs="Arial"/>
                <w:bCs/>
                <w:color w:val="auto"/>
                <w:highlight w:val="none"/>
              </w:rPr>
              <w:t>代理服务费用</w:t>
            </w:r>
          </w:p>
        </w:tc>
        <w:tc>
          <w:tcPr>
            <w:tcW w:w="6639" w:type="dxa"/>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ascii="宋体" w:hAnsi="宋体" w:cs="Arial"/>
                <w:bCs/>
                <w:color w:val="auto"/>
                <w:highlight w:val="none"/>
              </w:rPr>
            </w:pPr>
            <w:r>
              <w:rPr>
                <w:rFonts w:hint="eastAsia" w:ascii="宋体" w:hAnsi="宋体" w:cs="Arial"/>
                <w:bCs/>
                <w:color w:val="auto"/>
                <w:highlight w:val="none"/>
              </w:rPr>
              <w:t>参照国家发展改革委员会发改价格【2011】534号、发改办价格【2003】857号文件和国家发展改革委“发改价格”和《招标代理服务收费管理暂行办法》（计价格【2002】1980号），以中标价为基准计算，采用差额定率累进计法</w:t>
            </w:r>
            <w:r>
              <w:rPr>
                <w:rFonts w:hint="eastAsia" w:ascii="宋体" w:hAnsi="宋体" w:cs="Arial"/>
                <w:bCs/>
                <w:color w:val="auto"/>
                <w:highlight w:val="none"/>
                <w:lang w:val="en-US" w:eastAsia="zh-CN"/>
              </w:rPr>
              <w:t>下浮25%</w:t>
            </w:r>
            <w:r>
              <w:rPr>
                <w:rFonts w:hint="eastAsia" w:ascii="宋体" w:hAnsi="宋体" w:cs="Arial"/>
                <w:bCs/>
                <w:color w:val="auto"/>
                <w:highlight w:val="none"/>
              </w:rPr>
              <w:t>，由中标单位支付。</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ascii="宋体" w:hAnsi="宋体" w:cs="Arial"/>
                <w:bCs/>
                <w:color w:val="auto"/>
                <w:highlight w:val="none"/>
              </w:rPr>
              <w:t>26</w:t>
            </w:r>
          </w:p>
        </w:tc>
        <w:tc>
          <w:tcPr>
            <w:tcW w:w="169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360" w:lineRule="auto"/>
              <w:jc w:val="center"/>
              <w:rPr>
                <w:rFonts w:ascii="宋体" w:hAnsi="宋体" w:cs="宋体"/>
                <w:color w:val="auto"/>
                <w:spacing w:val="-4"/>
                <w:highlight w:val="none"/>
              </w:rPr>
            </w:pPr>
            <w:r>
              <w:rPr>
                <w:rFonts w:hint="eastAsia" w:ascii="宋体" w:hAnsi="宋体" w:cs="Arial"/>
                <w:bCs/>
                <w:color w:val="auto"/>
                <w:highlight w:val="none"/>
              </w:rPr>
              <w:t>低于成本价不正当竞争预防措施</w:t>
            </w:r>
          </w:p>
        </w:tc>
        <w:tc>
          <w:tcPr>
            <w:tcW w:w="6639"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360" w:lineRule="auto"/>
              <w:jc w:val="left"/>
              <w:rPr>
                <w:rFonts w:ascii="宋体" w:hAnsi="宋体" w:cs="宋体"/>
                <w:color w:val="auto"/>
                <w:spacing w:val="-4"/>
                <w:highlight w:val="none"/>
              </w:rPr>
            </w:pPr>
            <w:r>
              <w:rPr>
                <w:rFonts w:hint="eastAsia" w:ascii="宋体" w:hAnsi="宋体" w:cs="宋体"/>
                <w:color w:val="auto"/>
                <w:spacing w:val="-4"/>
                <w:highlight w:val="none"/>
              </w:rPr>
              <w:t>1.在评标过程中，投标人报价低于其他有效投标人报价算术平均价60%，有可能影响产品质量或者不能诚信履约的，评标委员会应当要求其在评标现场合理的时间内提供成本构成书面说明，并提交相关证明材料。投标人书面说明应当按照国家财务会计制度的规定要求，逐项就投标人提供的货物、工程和服务的主营业务成本（应根据投标人类型予以区别）、税金及附加、销售费用、管理费用、财务费用等成本构成事项详细陈述。</w:t>
            </w:r>
          </w:p>
          <w:p>
            <w:pPr>
              <w:widowControl/>
              <w:tabs>
                <w:tab w:val="left" w:pos="720"/>
                <w:tab w:val="left" w:pos="900"/>
                <w:tab w:val="left" w:pos="1080"/>
                <w:tab w:val="left" w:pos="1260"/>
                <w:tab w:val="left" w:pos="1440"/>
                <w:tab w:val="left" w:pos="1800"/>
              </w:tabs>
              <w:spacing w:line="360" w:lineRule="auto"/>
              <w:jc w:val="left"/>
              <w:rPr>
                <w:rFonts w:ascii="宋体" w:hAnsi="宋体" w:cs="宋体"/>
                <w:color w:val="auto"/>
                <w:spacing w:val="-4"/>
                <w:highlight w:val="none"/>
              </w:rPr>
            </w:pPr>
            <w:r>
              <w:rPr>
                <w:rFonts w:hint="eastAsia" w:ascii="宋体" w:hAnsi="宋体" w:cs="宋体"/>
                <w:color w:val="auto"/>
                <w:spacing w:val="-4"/>
                <w:highlight w:val="none"/>
              </w:rPr>
              <w:t>2.投标人书面说明应当签字确认并且加盖公章，否则无效。书面说明的签字确认，投标人为法人的，由其法定代表人或者代理人签字确认；投标人为其他组织的，由其主要负责人或者代理人签字确认；投标人为自然人的，由其本人或者代理人签字确认。</w:t>
            </w:r>
          </w:p>
          <w:p>
            <w:pPr>
              <w:widowControl/>
              <w:tabs>
                <w:tab w:val="left" w:pos="720"/>
                <w:tab w:val="left" w:pos="900"/>
                <w:tab w:val="left" w:pos="1080"/>
                <w:tab w:val="left" w:pos="1260"/>
                <w:tab w:val="left" w:pos="1440"/>
                <w:tab w:val="left" w:pos="1800"/>
              </w:tabs>
              <w:spacing w:line="360" w:lineRule="auto"/>
              <w:jc w:val="left"/>
              <w:rPr>
                <w:rFonts w:ascii="宋体" w:hAnsi="宋体" w:cs="宋体"/>
                <w:color w:val="auto"/>
                <w:spacing w:val="-4"/>
                <w:highlight w:val="none"/>
              </w:rPr>
            </w:pPr>
            <w:r>
              <w:rPr>
                <w:rFonts w:hint="eastAsia" w:ascii="宋体" w:hAnsi="宋体" w:cs="宋体"/>
                <w:color w:val="auto"/>
                <w:spacing w:val="-4"/>
                <w:highlight w:val="none"/>
              </w:rPr>
              <w:t>3.投标人提供书面说明后，评标委员会应当结合采购项目采购需求、专业实际情况、投标人财务状况报告、与其他投标人比较情况等就投标人书面说明进行审查评价。投标人拒绝或者变相拒绝提供有效书面说明或者书面说明不能证明其报价合理性的，评标委员会应当将其投标文件作为无效处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ascii="宋体" w:hAnsi="宋体" w:cs="Arial"/>
                <w:bCs/>
                <w:color w:val="auto"/>
                <w:highlight w:val="none"/>
              </w:rPr>
              <w:t>27</w:t>
            </w:r>
          </w:p>
        </w:tc>
        <w:tc>
          <w:tcPr>
            <w:tcW w:w="169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360" w:lineRule="auto"/>
              <w:jc w:val="center"/>
              <w:rPr>
                <w:rFonts w:ascii="宋体" w:hAnsi="宋体" w:cs="宋体"/>
                <w:color w:val="auto"/>
                <w:spacing w:val="-4"/>
                <w:highlight w:val="none"/>
              </w:rPr>
            </w:pPr>
            <w:r>
              <w:rPr>
                <w:rFonts w:hint="eastAsia" w:ascii="宋体" w:hAnsi="宋体" w:cs="宋体"/>
                <w:color w:val="auto"/>
                <w:spacing w:val="-4"/>
                <w:highlight w:val="none"/>
              </w:rPr>
              <w:t>中小企业所属行业</w:t>
            </w:r>
          </w:p>
        </w:tc>
        <w:tc>
          <w:tcPr>
            <w:tcW w:w="6639"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360" w:lineRule="auto"/>
              <w:jc w:val="left"/>
              <w:rPr>
                <w:rFonts w:ascii="宋体" w:hAnsi="宋体" w:cs="宋体"/>
                <w:color w:val="auto"/>
                <w:spacing w:val="-4"/>
                <w:highlight w:val="none"/>
              </w:rPr>
            </w:pPr>
            <w:r>
              <w:rPr>
                <w:rFonts w:hint="eastAsia" w:ascii="宋体" w:hAnsi="宋体" w:cs="宋体"/>
                <w:color w:val="auto"/>
                <w:spacing w:val="-4"/>
                <w:highlight w:val="none"/>
              </w:rPr>
              <w:t xml:space="preserve">本项目采购标的对应的中小企业划分标准所属行业：工业（根据工信部联企业〔2011〕300 号中小企业划型标准规定：工业。从业人员1000 人以下或营业收入 40000 万元以下的为中小微型企业。其中，从业人员300 人及以上，且营业收入 2000 万元及以上的为中型企业；从业人员20 人及以上，且营业收入 300 万元及以上的为小型企业；从业人员20 人以下或营业收入 300 万元以下的为微型企业。）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57"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ascii="宋体" w:hAnsi="宋体" w:cs="Arial"/>
                <w:bCs/>
                <w:color w:val="auto"/>
                <w:highlight w:val="none"/>
              </w:rPr>
              <w:t>28</w:t>
            </w:r>
          </w:p>
        </w:tc>
        <w:tc>
          <w:tcPr>
            <w:tcW w:w="169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360" w:lineRule="auto"/>
              <w:jc w:val="center"/>
              <w:rPr>
                <w:rFonts w:ascii="宋体" w:hAnsi="宋体" w:cs="宋体"/>
                <w:color w:val="auto"/>
                <w:spacing w:val="-4"/>
                <w:highlight w:val="none"/>
              </w:rPr>
            </w:pPr>
            <w:r>
              <w:rPr>
                <w:rFonts w:hint="eastAsia" w:ascii="宋体" w:hAnsi="宋体" w:cs="宋体"/>
                <w:color w:val="auto"/>
                <w:spacing w:val="-4"/>
                <w:highlight w:val="none"/>
              </w:rPr>
              <w:t>中小微企业</w:t>
            </w:r>
          </w:p>
          <w:p>
            <w:pPr>
              <w:widowControl/>
              <w:tabs>
                <w:tab w:val="left" w:pos="720"/>
                <w:tab w:val="left" w:pos="900"/>
                <w:tab w:val="left" w:pos="1080"/>
                <w:tab w:val="left" w:pos="1260"/>
                <w:tab w:val="left" w:pos="1440"/>
                <w:tab w:val="left" w:pos="1800"/>
              </w:tabs>
              <w:spacing w:line="360" w:lineRule="auto"/>
              <w:jc w:val="center"/>
              <w:rPr>
                <w:rFonts w:ascii="宋体" w:hAnsi="宋体" w:cs="宋体"/>
                <w:color w:val="auto"/>
                <w:spacing w:val="-4"/>
                <w:highlight w:val="none"/>
              </w:rPr>
            </w:pPr>
            <w:r>
              <w:rPr>
                <w:rFonts w:hint="eastAsia" w:ascii="宋体" w:hAnsi="宋体" w:cs="宋体"/>
                <w:color w:val="auto"/>
                <w:spacing w:val="-4"/>
                <w:highlight w:val="none"/>
              </w:rPr>
              <w:t>声明函</w:t>
            </w:r>
          </w:p>
        </w:tc>
        <w:tc>
          <w:tcPr>
            <w:tcW w:w="6639"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360" w:lineRule="auto"/>
              <w:jc w:val="left"/>
              <w:rPr>
                <w:rFonts w:ascii="宋体" w:hAnsi="宋体"/>
                <w:color w:val="auto"/>
                <w:highlight w:val="none"/>
              </w:rPr>
            </w:pPr>
            <w:r>
              <w:rPr>
                <w:rFonts w:hint="eastAsia" w:ascii="宋体" w:hAnsi="宋体"/>
                <w:color w:val="auto"/>
                <w:highlight w:val="none"/>
              </w:rPr>
              <w:t>1.</w:t>
            </w:r>
            <w:r>
              <w:rPr>
                <w:rFonts w:hint="eastAsia" w:ascii="宋体" w:hAnsi="宋体"/>
                <w:color w:val="auto"/>
                <w:highlight w:val="none"/>
                <w:lang w:val="zh-CN"/>
              </w:rPr>
              <w:t>本项目</w:t>
            </w:r>
            <w:r>
              <w:rPr>
                <w:rFonts w:hint="eastAsia" w:ascii="宋体" w:hAnsi="宋体"/>
                <w:color w:val="auto"/>
                <w:highlight w:val="none"/>
              </w:rPr>
              <w:t>非专门面向</w:t>
            </w:r>
            <w:r>
              <w:rPr>
                <w:rFonts w:hint="eastAsia" w:ascii="宋体" w:hAnsi="宋体"/>
                <w:color w:val="auto"/>
                <w:highlight w:val="none"/>
                <w:lang w:val="zh-CN"/>
              </w:rPr>
              <w:t>中小企业采购，</w:t>
            </w:r>
            <w:r>
              <w:rPr>
                <w:rFonts w:hint="eastAsia" w:ascii="宋体" w:hAnsi="宋体"/>
                <w:color w:val="auto"/>
                <w:highlight w:val="none"/>
              </w:rPr>
              <w:t>供应商所提供货物的制造商为小型、微型企业的，给予10%的价格扣除</w:t>
            </w:r>
            <w:r>
              <w:rPr>
                <w:rFonts w:hint="eastAsia" w:ascii="宋体" w:hAnsi="宋体"/>
                <w:color w:val="auto"/>
                <w:highlight w:val="none"/>
                <w:lang w:val="zh-CN"/>
              </w:rPr>
              <w:t>；</w:t>
            </w:r>
          </w:p>
          <w:p>
            <w:pPr>
              <w:widowControl/>
              <w:tabs>
                <w:tab w:val="left" w:pos="720"/>
                <w:tab w:val="left" w:pos="900"/>
                <w:tab w:val="left" w:pos="1080"/>
                <w:tab w:val="left" w:pos="1260"/>
                <w:tab w:val="left" w:pos="1440"/>
                <w:tab w:val="left" w:pos="1800"/>
              </w:tabs>
              <w:spacing w:line="360" w:lineRule="auto"/>
              <w:jc w:val="left"/>
              <w:rPr>
                <w:rFonts w:ascii="宋体" w:hAnsi="宋体"/>
                <w:color w:val="auto"/>
                <w:highlight w:val="none"/>
              </w:rPr>
            </w:pPr>
            <w:r>
              <w:rPr>
                <w:rFonts w:hint="eastAsia" w:ascii="宋体" w:hAnsi="宋体"/>
                <w:color w:val="auto"/>
                <w:highlight w:val="none"/>
              </w:rPr>
              <w:t>2.残疾人福利性单位、监狱和戒毒企业（简称监狱企业）视同小型、微型企业；残疾人福利单位、监狱企业同时属于小型、微型企业的，不重复享受财政政策。</w:t>
            </w:r>
          </w:p>
          <w:p>
            <w:pPr>
              <w:widowControl/>
              <w:tabs>
                <w:tab w:val="left" w:pos="720"/>
                <w:tab w:val="left" w:pos="900"/>
                <w:tab w:val="left" w:pos="1080"/>
                <w:tab w:val="left" w:pos="1260"/>
                <w:tab w:val="left" w:pos="1440"/>
                <w:tab w:val="left" w:pos="1800"/>
              </w:tabs>
              <w:spacing w:line="360" w:lineRule="auto"/>
              <w:jc w:val="left"/>
              <w:rPr>
                <w:rFonts w:ascii="宋体" w:hAnsi="宋体"/>
                <w:color w:val="auto"/>
                <w:highlight w:val="none"/>
              </w:rPr>
            </w:pPr>
            <w:r>
              <w:rPr>
                <w:rFonts w:hint="eastAsia" w:ascii="宋体" w:hAnsi="宋体"/>
                <w:color w:val="auto"/>
                <w:highlight w:val="none"/>
              </w:rPr>
              <w:t>3.根据《政府采购促进中小企业发展管理办法》（财库[2020]46号）和《财政部关于进一步加大政府采购支持中小企业力度的通知》要求，供应商应提供合格的《中小企业声明函》，如投标人提供的《中小企业声明函》不合格或未提供《中小微企业声明函》的，不得享受相关中小微企业扶持政策。</w:t>
            </w:r>
          </w:p>
          <w:p>
            <w:pPr>
              <w:widowControl/>
              <w:tabs>
                <w:tab w:val="left" w:pos="720"/>
                <w:tab w:val="left" w:pos="900"/>
                <w:tab w:val="left" w:pos="1080"/>
                <w:tab w:val="left" w:pos="1260"/>
                <w:tab w:val="left" w:pos="1440"/>
                <w:tab w:val="left" w:pos="1800"/>
              </w:tabs>
              <w:spacing w:line="360" w:lineRule="auto"/>
              <w:jc w:val="left"/>
              <w:rPr>
                <w:rFonts w:ascii="宋体" w:hAnsi="宋体"/>
                <w:color w:val="auto"/>
                <w:highlight w:val="none"/>
              </w:rPr>
            </w:pPr>
            <w:r>
              <w:rPr>
                <w:rFonts w:hint="eastAsia" w:ascii="宋体" w:hAnsi="宋体"/>
                <w:color w:val="auto"/>
                <w:highlight w:val="none"/>
              </w:rPr>
              <w:t>4.根据《关于政府采购支持监狱企业发展有关问题的通知》（财库[2014]68号）和本招标文件要求，投标人应提供合格的《监狱企业声明函》，如投标人提供的《监狱企业声明函》不合格或未提供《监狱企业声明函》的，不得享受相关中小微企业扶持政策。</w:t>
            </w:r>
          </w:p>
          <w:p>
            <w:pPr>
              <w:widowControl/>
              <w:tabs>
                <w:tab w:val="left" w:pos="720"/>
                <w:tab w:val="left" w:pos="900"/>
                <w:tab w:val="left" w:pos="1080"/>
                <w:tab w:val="left" w:pos="1260"/>
                <w:tab w:val="left" w:pos="1440"/>
                <w:tab w:val="left" w:pos="1800"/>
              </w:tabs>
              <w:spacing w:line="360" w:lineRule="auto"/>
              <w:jc w:val="left"/>
              <w:rPr>
                <w:rFonts w:ascii="宋体" w:hAnsi="宋体"/>
                <w:color w:val="auto"/>
                <w:highlight w:val="none"/>
              </w:rPr>
            </w:pPr>
            <w:r>
              <w:rPr>
                <w:rFonts w:hint="eastAsia" w:ascii="宋体" w:hAnsi="宋体"/>
                <w:color w:val="auto"/>
                <w:highlight w:val="none"/>
              </w:rPr>
              <w:t>5.根据《关于促进残疾人就业政府采购政策的通知》（财库[2017]141号）要求，投标人应提供合格的《残疾人福利性单位声明函》，如投标人提供的《残疾人福利性单位声明函》不合格或未提供《残疾人福利性单位声明函》的，不得享受相关中小微企业扶持政策。</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7"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宋体" w:hAnsi="宋体" w:eastAsia="宋体" w:cs="Arial"/>
                <w:bCs/>
                <w:color w:val="auto"/>
                <w:highlight w:val="none"/>
                <w:lang w:val="en-US" w:eastAsia="zh-CN"/>
              </w:rPr>
            </w:pPr>
            <w:r>
              <w:rPr>
                <w:rFonts w:hint="eastAsia" w:ascii="宋体" w:hAnsi="宋体" w:cs="Arial"/>
                <w:bCs/>
                <w:color w:val="auto"/>
                <w:highlight w:val="none"/>
                <w:lang w:val="en-US" w:eastAsia="zh-CN"/>
              </w:rPr>
              <w:t>29</w:t>
            </w:r>
          </w:p>
        </w:tc>
        <w:tc>
          <w:tcPr>
            <w:tcW w:w="169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360" w:lineRule="auto"/>
              <w:jc w:val="center"/>
              <w:rPr>
                <w:rFonts w:ascii="宋体" w:hAnsi="宋体" w:cs="宋体"/>
                <w:color w:val="auto"/>
                <w:spacing w:val="-4"/>
                <w:highlight w:val="none"/>
              </w:rPr>
            </w:pPr>
            <w:r>
              <w:rPr>
                <w:rFonts w:hint="eastAsia" w:ascii="宋体" w:hAnsi="宋体" w:cs="宋体"/>
                <w:color w:val="auto"/>
                <w:spacing w:val="-4"/>
                <w:highlight w:val="none"/>
              </w:rPr>
              <w:t>其他</w:t>
            </w:r>
          </w:p>
        </w:tc>
        <w:tc>
          <w:tcPr>
            <w:tcW w:w="6639"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360" w:lineRule="auto"/>
              <w:jc w:val="left"/>
              <w:rPr>
                <w:rFonts w:ascii="宋体" w:hAnsi="宋体"/>
                <w:color w:val="auto"/>
                <w:highlight w:val="none"/>
              </w:rPr>
            </w:pPr>
            <w:r>
              <w:rPr>
                <w:rFonts w:hint="eastAsia" w:ascii="宋体" w:hAnsi="宋体"/>
                <w:color w:val="auto"/>
                <w:highlight w:val="none"/>
              </w:rPr>
              <w:t>1、根据《国家消防救援局办公室关于推广应用新版消防装备管理系统的通知》要求，中标投标人在交付装备时须附着由“消防装备物资信息采集系统”统一发行的装备物资二维码和 RFID。</w:t>
            </w:r>
          </w:p>
          <w:p>
            <w:pPr>
              <w:widowControl/>
              <w:tabs>
                <w:tab w:val="left" w:pos="720"/>
                <w:tab w:val="left" w:pos="900"/>
                <w:tab w:val="left" w:pos="1080"/>
                <w:tab w:val="left" w:pos="1260"/>
                <w:tab w:val="left" w:pos="1440"/>
                <w:tab w:val="left" w:pos="1800"/>
              </w:tabs>
              <w:spacing w:line="360" w:lineRule="auto"/>
              <w:jc w:val="left"/>
              <w:rPr>
                <w:rFonts w:hint="eastAsia" w:ascii="宋体" w:hAnsi="宋体"/>
                <w:color w:val="auto"/>
                <w:highlight w:val="none"/>
              </w:rPr>
            </w:pPr>
            <w:r>
              <w:rPr>
                <w:rFonts w:hint="eastAsia" w:ascii="宋体" w:hAnsi="宋体"/>
                <w:color w:val="auto"/>
                <w:highlight w:val="none"/>
              </w:rPr>
              <w:t>2、除法律、法规和规章规定外，招标文件中用“拒绝”“不接受”“无效”“不得”“必须”“应当”等文字规定的条款为实质性要求条款（即重要条款），对其中任何一条偏离的，在评标时将其视为无效投标。</w:t>
            </w:r>
          </w:p>
          <w:p>
            <w:pPr>
              <w:widowControl/>
              <w:tabs>
                <w:tab w:val="left" w:pos="720"/>
                <w:tab w:val="left" w:pos="900"/>
                <w:tab w:val="left" w:pos="1080"/>
                <w:tab w:val="left" w:pos="1260"/>
                <w:tab w:val="left" w:pos="1440"/>
                <w:tab w:val="left" w:pos="1800"/>
              </w:tabs>
              <w:spacing w:line="360" w:lineRule="auto"/>
              <w:jc w:val="left"/>
              <w:rPr>
                <w:color w:val="auto"/>
                <w:highlight w:val="none"/>
              </w:rPr>
            </w:pPr>
            <w:r>
              <w:rPr>
                <w:rFonts w:hint="eastAsia" w:ascii="宋体" w:hAnsi="宋体"/>
                <w:color w:val="auto"/>
                <w:highlight w:val="none"/>
                <w:lang w:val="en-US" w:eastAsia="zh-CN"/>
              </w:rPr>
              <w:t>3、场地费：本项目开标时须向公共资源交易中心缴纳场地及设施服务费，收费标准：根据阿地发改收费[2012]13 号文件规定，各地建设 工程交易中心向投标企业收取的场地及设施服务费单个招投标项目最高不得超过 6000 元。投标企业少于 6 家(含 6 家)的按每个投标企业每次 1000 元收取；投标企业超过 6 家的，按单个招投标项目 6000 元由投标企业平均分摊。请各位投标人提前将投标单位名称、统一社会信用代码、联系人、电话、接收发票的邮箱及须缴纳的费用准备好，投标截止时间后统一报给代理机构。</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35" w:hRule="atLeast"/>
          <w:jc w:val="center"/>
        </w:trPr>
        <w:tc>
          <w:tcPr>
            <w:tcW w:w="9018"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ascii="宋体" w:hAnsi="宋体" w:cs="Arial"/>
                <w:bCs/>
                <w:color w:val="auto"/>
                <w:highlight w:val="none"/>
              </w:rPr>
            </w:pPr>
            <w:r>
              <w:rPr>
                <w:rFonts w:hint="eastAsia" w:ascii="宋体" w:hAnsi="宋体" w:cs="Arial"/>
                <w:b/>
                <w:bCs/>
                <w:color w:val="auto"/>
                <w:highlight w:val="none"/>
              </w:rPr>
              <w:t>备注：本投标人须知前附表是对招标文件中的重要内容进行罗列；如与招标文件不符，应以本表为准。</w:t>
            </w:r>
          </w:p>
        </w:tc>
      </w:tr>
    </w:tbl>
    <w:p>
      <w:pPr>
        <w:rPr>
          <w:rFonts w:ascii="宋体" w:hAnsi="宋体"/>
          <w:color w:val="auto"/>
          <w:highlight w:val="none"/>
        </w:rPr>
      </w:pPr>
      <w:r>
        <w:rPr>
          <w:rFonts w:hint="eastAsia" w:ascii="宋体" w:hAnsi="宋体"/>
          <w:color w:val="auto"/>
          <w:highlight w:val="none"/>
        </w:rPr>
        <w:br w:type="page"/>
      </w:r>
    </w:p>
    <w:p>
      <w:pPr>
        <w:pStyle w:val="3"/>
        <w:rPr>
          <w:rFonts w:ascii="宋体" w:hAnsi="宋体"/>
          <w:color w:val="auto"/>
          <w:highlight w:val="none"/>
        </w:rPr>
      </w:pPr>
      <w:bookmarkStart w:id="13" w:name="_Toc161525971"/>
      <w:r>
        <w:rPr>
          <w:rFonts w:hint="eastAsia" w:ascii="宋体" w:hAnsi="宋体"/>
          <w:color w:val="auto"/>
          <w:highlight w:val="none"/>
        </w:rPr>
        <w:t xml:space="preserve">第一章 </w:t>
      </w:r>
      <w:bookmarkEnd w:id="0"/>
      <w:bookmarkEnd w:id="1"/>
      <w:bookmarkEnd w:id="9"/>
      <w:r>
        <w:rPr>
          <w:rFonts w:hint="eastAsia" w:ascii="宋体" w:hAnsi="宋体"/>
          <w:color w:val="auto"/>
          <w:highlight w:val="none"/>
        </w:rPr>
        <w:t>招标邀请</w:t>
      </w:r>
      <w:bookmarkEnd w:id="10"/>
      <w:bookmarkEnd w:id="11"/>
      <w:bookmarkEnd w:id="13"/>
    </w:p>
    <w:bookmarkEnd w:id="2"/>
    <w:bookmarkEnd w:id="3"/>
    <w:bookmarkEnd w:id="4"/>
    <w:bookmarkEnd w:id="5"/>
    <w:bookmarkEnd w:id="6"/>
    <w:p>
      <w:pPr>
        <w:spacing w:line="360" w:lineRule="auto"/>
        <w:jc w:val="center"/>
        <w:rPr>
          <w:rFonts w:ascii="宋体" w:hAnsi="宋体"/>
          <w:color w:val="auto"/>
          <w:sz w:val="24"/>
          <w:szCs w:val="24"/>
          <w:highlight w:val="none"/>
        </w:rPr>
      </w:pPr>
      <w:bookmarkStart w:id="14" w:name="_Toc120614211"/>
      <w:bookmarkStart w:id="15" w:name="_Toc534725597"/>
      <w:bookmarkStart w:id="16" w:name="_Toc120614221"/>
      <w:bookmarkStart w:id="17" w:name="_Toc20823314"/>
      <w:bookmarkStart w:id="18" w:name="_Toc16938558"/>
      <w:bookmarkStart w:id="19" w:name="_Toc479757207"/>
      <w:bookmarkStart w:id="20" w:name="_Toc513029242"/>
      <w:bookmarkStart w:id="21" w:name="_Toc494375079"/>
      <w:r>
        <w:rPr>
          <w:rFonts w:hint="eastAsia" w:ascii="宋体" w:hAnsi="宋体"/>
          <w:color w:val="auto"/>
          <w:sz w:val="24"/>
          <w:szCs w:val="24"/>
          <w:highlight w:val="none"/>
        </w:rPr>
        <w:t>新疆消防救援总队阿勒泰支队“自然灾害应急能力提升工程”装备配备项目</w:t>
      </w:r>
    </w:p>
    <w:p>
      <w:pPr>
        <w:spacing w:line="360" w:lineRule="auto"/>
        <w:jc w:val="center"/>
        <w:rPr>
          <w:rFonts w:ascii="宋体" w:hAnsi="宋体"/>
          <w:color w:val="auto"/>
          <w:sz w:val="24"/>
          <w:szCs w:val="24"/>
          <w:highlight w:val="none"/>
        </w:rPr>
      </w:pPr>
      <w:r>
        <w:rPr>
          <w:rFonts w:hint="eastAsia" w:ascii="宋体" w:hAnsi="宋体"/>
          <w:color w:val="auto"/>
          <w:sz w:val="24"/>
          <w:szCs w:val="24"/>
          <w:highlight w:val="none"/>
        </w:rPr>
        <w:t>（消防车辆）</w:t>
      </w:r>
    </w:p>
    <w:p>
      <w:pPr>
        <w:spacing w:line="360" w:lineRule="auto"/>
        <w:jc w:val="center"/>
        <w:rPr>
          <w:rFonts w:ascii="宋体" w:hAnsi="宋体"/>
          <w:color w:val="auto"/>
          <w:sz w:val="24"/>
          <w:szCs w:val="24"/>
          <w:highlight w:val="none"/>
        </w:rPr>
      </w:pPr>
      <w:r>
        <w:rPr>
          <w:rFonts w:hint="eastAsia" w:ascii="宋体" w:hAnsi="宋体"/>
          <w:color w:val="auto"/>
          <w:sz w:val="24"/>
          <w:szCs w:val="24"/>
          <w:highlight w:val="none"/>
        </w:rPr>
        <w:t>公开</w:t>
      </w:r>
      <w:r>
        <w:rPr>
          <w:rFonts w:ascii="宋体" w:hAnsi="宋体"/>
          <w:color w:val="auto"/>
          <w:sz w:val="24"/>
          <w:szCs w:val="24"/>
          <w:highlight w:val="none"/>
        </w:rPr>
        <w:t>招标</w:t>
      </w:r>
      <w:r>
        <w:rPr>
          <w:rFonts w:hint="eastAsia" w:ascii="宋体" w:hAnsi="宋体"/>
          <w:color w:val="auto"/>
          <w:sz w:val="24"/>
          <w:szCs w:val="24"/>
          <w:highlight w:val="none"/>
        </w:rPr>
        <w:t>公告</w:t>
      </w:r>
    </w:p>
    <w:p>
      <w:pPr>
        <w:pBdr>
          <w:top w:val="single" w:color="auto" w:sz="4" w:space="1"/>
          <w:left w:val="single" w:color="auto" w:sz="4" w:space="4"/>
          <w:bottom w:val="single" w:color="auto" w:sz="4" w:space="15"/>
          <w:right w:val="single" w:color="auto" w:sz="4" w:space="4"/>
        </w:pBdr>
        <w:spacing w:line="500" w:lineRule="exact"/>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项目概况</w:t>
      </w:r>
    </w:p>
    <w:p>
      <w:pPr>
        <w:pBdr>
          <w:top w:val="single" w:color="auto" w:sz="4" w:space="1"/>
          <w:left w:val="single" w:color="auto" w:sz="4" w:space="4"/>
          <w:bottom w:val="single" w:color="auto" w:sz="4" w:space="15"/>
          <w:right w:val="single" w:color="auto" w:sz="4" w:space="4"/>
        </w:pBdr>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u w:val="single"/>
        </w:rPr>
        <w:t>新疆消防救援总队阿勒泰支队“自然灾害应急能力提升工程”装备配备项目（消防车辆）</w:t>
      </w:r>
      <w:r>
        <w:rPr>
          <w:rFonts w:hint="eastAsia" w:ascii="宋体" w:hAnsi="宋体" w:cs="宋体"/>
          <w:color w:val="auto"/>
          <w:sz w:val="24"/>
          <w:szCs w:val="24"/>
          <w:highlight w:val="none"/>
        </w:rPr>
        <w:t>的潜在供应商应在</w:t>
      </w:r>
      <w:r>
        <w:rPr>
          <w:rFonts w:hint="eastAsia" w:ascii="宋体" w:hAnsi="宋体" w:cs="宋体"/>
          <w:color w:val="auto"/>
          <w:spacing w:val="10"/>
          <w:sz w:val="24"/>
          <w:szCs w:val="24"/>
          <w:highlight w:val="none"/>
          <w:u w:val="single"/>
          <w:lang w:val="en-US" w:eastAsia="zh-CN"/>
        </w:rPr>
        <w:t>线上</w:t>
      </w:r>
      <w:r>
        <w:rPr>
          <w:rFonts w:hint="eastAsia" w:ascii="宋体" w:hAnsi="宋体" w:cs="宋体"/>
          <w:color w:val="auto"/>
          <w:sz w:val="24"/>
          <w:szCs w:val="24"/>
          <w:highlight w:val="none"/>
        </w:rPr>
        <w:t>获取招标文件，并于</w:t>
      </w:r>
      <w:r>
        <w:rPr>
          <w:rFonts w:hint="eastAsia" w:ascii="宋体" w:hAnsi="宋体" w:cs="宋体"/>
          <w:color w:val="auto"/>
          <w:sz w:val="24"/>
          <w:szCs w:val="24"/>
          <w:highlight w:val="none"/>
          <w:u w:val="single"/>
        </w:rPr>
        <w:t>2024</w:t>
      </w:r>
      <w:r>
        <w:rPr>
          <w:rFonts w:hint="eastAsia" w:ascii="宋体" w:hAnsi="宋体" w:cs="宋体"/>
          <w:bCs/>
          <w:color w:val="auto"/>
          <w:sz w:val="24"/>
          <w:szCs w:val="24"/>
          <w:highlight w:val="none"/>
          <w:u w:val="single"/>
        </w:rPr>
        <w:t>年</w:t>
      </w:r>
      <w:r>
        <w:rPr>
          <w:rFonts w:hint="eastAsia" w:ascii="宋体" w:hAnsi="宋体" w:cs="宋体"/>
          <w:bCs/>
          <w:color w:val="auto"/>
          <w:sz w:val="24"/>
          <w:szCs w:val="24"/>
          <w:highlight w:val="none"/>
          <w:u w:val="single"/>
          <w:lang w:val="en-US" w:eastAsia="zh-CN"/>
        </w:rPr>
        <w:t>5</w:t>
      </w:r>
      <w:r>
        <w:rPr>
          <w:rFonts w:hint="eastAsia" w:ascii="宋体" w:hAnsi="宋体" w:cs="宋体"/>
          <w:bCs/>
          <w:color w:val="auto"/>
          <w:sz w:val="24"/>
          <w:szCs w:val="24"/>
          <w:highlight w:val="none"/>
          <w:u w:val="single"/>
        </w:rPr>
        <w:t>月</w:t>
      </w:r>
      <w:r>
        <w:rPr>
          <w:rFonts w:hint="eastAsia" w:ascii="宋体" w:hAnsi="宋体" w:cs="宋体"/>
          <w:bCs/>
          <w:color w:val="auto"/>
          <w:sz w:val="24"/>
          <w:szCs w:val="24"/>
          <w:highlight w:val="none"/>
          <w:u w:val="single"/>
          <w:lang w:val="en-US" w:eastAsia="zh-CN"/>
        </w:rPr>
        <w:t>9</w:t>
      </w:r>
      <w:r>
        <w:rPr>
          <w:rFonts w:hint="eastAsia" w:ascii="宋体" w:hAnsi="宋体" w:cs="宋体"/>
          <w:bCs/>
          <w:color w:val="auto"/>
          <w:sz w:val="24"/>
          <w:szCs w:val="24"/>
          <w:highlight w:val="none"/>
          <w:u w:val="single"/>
        </w:rPr>
        <w:t>日</w:t>
      </w:r>
      <w:r>
        <w:rPr>
          <w:rFonts w:hint="eastAsia" w:ascii="宋体" w:hAnsi="宋体" w:cs="宋体"/>
          <w:bCs/>
          <w:color w:val="auto"/>
          <w:sz w:val="24"/>
          <w:szCs w:val="24"/>
          <w:highlight w:val="none"/>
          <w:u w:val="single"/>
          <w:lang w:val="en-US" w:eastAsia="zh-CN"/>
        </w:rPr>
        <w:t>10</w:t>
      </w:r>
      <w:r>
        <w:rPr>
          <w:rFonts w:hint="eastAsia" w:ascii="宋体" w:hAnsi="宋体" w:cs="宋体"/>
          <w:bCs/>
          <w:color w:val="auto"/>
          <w:sz w:val="24"/>
          <w:szCs w:val="24"/>
          <w:highlight w:val="none"/>
          <w:u w:val="single"/>
        </w:rPr>
        <w:t>点</w:t>
      </w:r>
      <w:r>
        <w:rPr>
          <w:rFonts w:hint="eastAsia" w:ascii="宋体" w:hAnsi="宋体" w:cs="宋体"/>
          <w:bCs/>
          <w:color w:val="auto"/>
          <w:sz w:val="24"/>
          <w:szCs w:val="24"/>
          <w:highlight w:val="none"/>
          <w:u w:val="single"/>
          <w:lang w:val="en-US" w:eastAsia="zh-CN"/>
        </w:rPr>
        <w:t>30</w:t>
      </w:r>
      <w:r>
        <w:rPr>
          <w:rFonts w:hint="eastAsia" w:ascii="宋体" w:hAnsi="宋体" w:cs="宋体"/>
          <w:bCs/>
          <w:color w:val="auto"/>
          <w:sz w:val="24"/>
          <w:szCs w:val="24"/>
          <w:highlight w:val="none"/>
          <w:u w:val="single"/>
        </w:rPr>
        <w:t>分</w:t>
      </w:r>
      <w:r>
        <w:rPr>
          <w:rFonts w:hint="eastAsia" w:ascii="宋体" w:hAnsi="宋体" w:cs="宋体"/>
          <w:bCs/>
          <w:color w:val="auto"/>
          <w:sz w:val="24"/>
          <w:szCs w:val="24"/>
          <w:highlight w:val="none"/>
        </w:rPr>
        <w:t>（北京时间）前提交投标文件</w:t>
      </w:r>
      <w:r>
        <w:rPr>
          <w:rFonts w:hint="eastAsia" w:ascii="宋体" w:hAnsi="宋体" w:cs="宋体"/>
          <w:color w:val="auto"/>
          <w:sz w:val="24"/>
          <w:szCs w:val="24"/>
          <w:highlight w:val="none"/>
        </w:rPr>
        <w:t>。</w:t>
      </w:r>
    </w:p>
    <w:p>
      <w:pPr>
        <w:pStyle w:val="5"/>
        <w:rPr>
          <w:rFonts w:hint="default"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 xml:space="preserve">一、项目基本情况   </w:t>
      </w:r>
    </w:p>
    <w:tbl>
      <w:tblPr>
        <w:tblStyle w:val="39"/>
        <w:tblW w:w="85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00"/>
        <w:gridCol w:w="59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2600" w:type="dxa"/>
            <w:tcBorders>
              <w:top w:val="single" w:color="auto" w:sz="4" w:space="0"/>
              <w:left w:val="single" w:color="auto" w:sz="4" w:space="0"/>
              <w:bottom w:val="single" w:color="auto" w:sz="4" w:space="0"/>
              <w:right w:val="single" w:color="auto" w:sz="4" w:space="0"/>
            </w:tcBorders>
            <w:vAlign w:val="center"/>
          </w:tcPr>
          <w:p>
            <w:pPr>
              <w:spacing w:line="46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项目编号</w:t>
            </w:r>
          </w:p>
        </w:tc>
        <w:tc>
          <w:tcPr>
            <w:tcW w:w="5926" w:type="dxa"/>
            <w:tcBorders>
              <w:top w:val="single" w:color="auto" w:sz="4" w:space="0"/>
              <w:left w:val="single" w:color="auto" w:sz="4" w:space="0"/>
              <w:bottom w:val="single" w:color="auto" w:sz="4" w:space="0"/>
              <w:right w:val="single" w:color="auto" w:sz="4" w:space="0"/>
            </w:tcBorders>
            <w:vAlign w:val="center"/>
          </w:tcPr>
          <w:p>
            <w:pPr>
              <w:spacing w:line="460" w:lineRule="exact"/>
              <w:jc w:val="left"/>
              <w:rPr>
                <w:rFonts w:ascii="宋体" w:hAnsi="宋体" w:cs="宋体"/>
                <w:color w:val="auto"/>
                <w:sz w:val="24"/>
                <w:szCs w:val="24"/>
                <w:highlight w:val="none"/>
              </w:rPr>
            </w:pPr>
            <w:r>
              <w:rPr>
                <w:rFonts w:ascii="宋体" w:hAnsi="宋体" w:cs="宋体"/>
                <w:color w:val="auto"/>
                <w:sz w:val="24"/>
                <w:szCs w:val="24"/>
                <w:highlight w:val="none"/>
              </w:rPr>
              <w:t>XJRD-ZFCG-012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2600" w:type="dxa"/>
            <w:tcBorders>
              <w:top w:val="single" w:color="auto" w:sz="4" w:space="0"/>
              <w:left w:val="single" w:color="auto" w:sz="4" w:space="0"/>
              <w:bottom w:val="single" w:color="auto" w:sz="4" w:space="0"/>
              <w:right w:val="single" w:color="auto" w:sz="4" w:space="0"/>
            </w:tcBorders>
            <w:vAlign w:val="center"/>
          </w:tcPr>
          <w:p>
            <w:pPr>
              <w:spacing w:line="46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项目名称</w:t>
            </w:r>
          </w:p>
        </w:tc>
        <w:tc>
          <w:tcPr>
            <w:tcW w:w="5926" w:type="dxa"/>
            <w:tcBorders>
              <w:top w:val="single" w:color="auto" w:sz="4" w:space="0"/>
              <w:left w:val="single" w:color="auto" w:sz="4" w:space="0"/>
              <w:bottom w:val="single" w:color="auto" w:sz="4" w:space="0"/>
              <w:right w:val="single" w:color="auto" w:sz="4" w:space="0"/>
            </w:tcBorders>
            <w:vAlign w:val="center"/>
          </w:tcPr>
          <w:p>
            <w:pPr>
              <w:spacing w:line="46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新疆消防救援总队阿勒泰支队“自然灾害应急能力提升工程”装备配备项目（消防车辆）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2600" w:type="dxa"/>
            <w:tcBorders>
              <w:top w:val="single" w:color="auto" w:sz="4" w:space="0"/>
              <w:left w:val="single" w:color="auto" w:sz="4" w:space="0"/>
              <w:bottom w:val="single" w:color="auto" w:sz="4" w:space="0"/>
              <w:right w:val="single" w:color="auto" w:sz="4" w:space="0"/>
            </w:tcBorders>
            <w:vAlign w:val="center"/>
          </w:tcPr>
          <w:p>
            <w:pPr>
              <w:spacing w:line="46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采购方式</w:t>
            </w:r>
          </w:p>
        </w:tc>
        <w:tc>
          <w:tcPr>
            <w:tcW w:w="5926" w:type="dxa"/>
            <w:tcBorders>
              <w:top w:val="single" w:color="auto" w:sz="4" w:space="0"/>
              <w:left w:val="single" w:color="auto" w:sz="4" w:space="0"/>
              <w:bottom w:val="single" w:color="auto" w:sz="4" w:space="0"/>
              <w:right w:val="single" w:color="auto" w:sz="4" w:space="0"/>
            </w:tcBorders>
            <w:vAlign w:val="center"/>
          </w:tcPr>
          <w:p>
            <w:pPr>
              <w:spacing w:line="46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公开招标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2600" w:type="dxa"/>
            <w:tcBorders>
              <w:top w:val="single" w:color="auto" w:sz="4" w:space="0"/>
              <w:left w:val="single" w:color="auto" w:sz="4" w:space="0"/>
              <w:bottom w:val="single" w:color="auto" w:sz="4" w:space="0"/>
              <w:right w:val="single" w:color="auto" w:sz="4" w:space="0"/>
            </w:tcBorders>
            <w:vAlign w:val="center"/>
          </w:tcPr>
          <w:p>
            <w:pPr>
              <w:spacing w:line="46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预算金额</w:t>
            </w:r>
          </w:p>
        </w:tc>
        <w:tc>
          <w:tcPr>
            <w:tcW w:w="5926" w:type="dxa"/>
            <w:tcBorders>
              <w:top w:val="single" w:color="auto" w:sz="4" w:space="0"/>
              <w:left w:val="single" w:color="auto" w:sz="4" w:space="0"/>
              <w:bottom w:val="single" w:color="auto" w:sz="4" w:space="0"/>
              <w:right w:val="single" w:color="auto" w:sz="4" w:space="0"/>
            </w:tcBorders>
            <w:vAlign w:val="center"/>
          </w:tcPr>
          <w:p>
            <w:pPr>
              <w:spacing w:line="46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591万元，其中：</w:t>
            </w:r>
            <w:r>
              <w:rPr>
                <w:rFonts w:ascii="宋体" w:hAnsi="宋体" w:cs="宋体"/>
                <w:color w:val="auto"/>
                <w:sz w:val="24"/>
                <w:szCs w:val="24"/>
                <w:highlight w:val="none"/>
              </w:rPr>
              <w:t>第一包：</w:t>
            </w:r>
            <w:r>
              <w:rPr>
                <w:rFonts w:hint="eastAsia" w:ascii="宋体" w:hAnsi="宋体" w:cs="宋体"/>
                <w:color w:val="auto"/>
                <w:sz w:val="24"/>
                <w:szCs w:val="24"/>
                <w:highlight w:val="none"/>
              </w:rPr>
              <w:t>201万元；第二包：390万元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600" w:type="dxa"/>
            <w:tcBorders>
              <w:top w:val="single" w:color="auto" w:sz="4" w:space="0"/>
              <w:left w:val="single" w:color="auto" w:sz="4" w:space="0"/>
              <w:bottom w:val="single" w:color="auto" w:sz="4" w:space="0"/>
              <w:right w:val="single" w:color="auto" w:sz="4" w:space="0"/>
            </w:tcBorders>
            <w:vAlign w:val="center"/>
          </w:tcPr>
          <w:p>
            <w:pPr>
              <w:spacing w:line="46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最高限价</w:t>
            </w:r>
          </w:p>
        </w:tc>
        <w:tc>
          <w:tcPr>
            <w:tcW w:w="5926" w:type="dxa"/>
            <w:tcBorders>
              <w:top w:val="single" w:color="auto" w:sz="4" w:space="0"/>
              <w:left w:val="single" w:color="auto" w:sz="4" w:space="0"/>
              <w:bottom w:val="single" w:color="auto" w:sz="4" w:space="0"/>
              <w:right w:val="single" w:color="auto" w:sz="4" w:space="0"/>
            </w:tcBorders>
            <w:vAlign w:val="center"/>
          </w:tcPr>
          <w:p>
            <w:pPr>
              <w:spacing w:line="46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同预算金额，单价的最高限价详见采购需求</w:t>
            </w:r>
          </w:p>
          <w:p>
            <w:pPr>
              <w:spacing w:line="46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（供应商的报价不得超过最高限价及单价的最高限价，否则其响应文件将被拒绝。）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2600" w:type="dxa"/>
            <w:tcBorders>
              <w:top w:val="single" w:color="auto" w:sz="4" w:space="0"/>
              <w:left w:val="single" w:color="auto" w:sz="4" w:space="0"/>
              <w:bottom w:val="single" w:color="auto" w:sz="4" w:space="0"/>
              <w:right w:val="single" w:color="auto" w:sz="4" w:space="0"/>
            </w:tcBorders>
            <w:vAlign w:val="center"/>
          </w:tcPr>
          <w:p>
            <w:pPr>
              <w:spacing w:line="46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资金来源</w:t>
            </w:r>
          </w:p>
        </w:tc>
        <w:tc>
          <w:tcPr>
            <w:tcW w:w="5926" w:type="dxa"/>
            <w:tcBorders>
              <w:top w:val="single" w:color="auto" w:sz="4" w:space="0"/>
              <w:left w:val="single" w:color="auto" w:sz="4" w:space="0"/>
              <w:bottom w:val="single" w:color="auto" w:sz="4" w:space="0"/>
              <w:right w:val="single" w:color="auto" w:sz="4" w:space="0"/>
            </w:tcBorders>
            <w:vAlign w:val="center"/>
          </w:tcPr>
          <w:p>
            <w:pPr>
              <w:pStyle w:val="37"/>
              <w:spacing w:line="460" w:lineRule="exact"/>
              <w:ind w:firstLine="0" w:firstLineChars="0"/>
              <w:jc w:val="left"/>
              <w:rPr>
                <w:rFonts w:cs="宋体"/>
                <w:color w:val="auto"/>
                <w:sz w:val="24"/>
                <w:szCs w:val="24"/>
                <w:highlight w:val="none"/>
              </w:rPr>
            </w:pPr>
            <w:r>
              <w:rPr>
                <w:rFonts w:hint="eastAsia" w:cs="宋体"/>
                <w:color w:val="auto"/>
                <w:sz w:val="24"/>
                <w:szCs w:val="24"/>
                <w:highlight w:val="none"/>
              </w:rPr>
              <w:t>财政资金</w:t>
            </w:r>
          </w:p>
        </w:tc>
      </w:tr>
    </w:tbl>
    <w:p>
      <w:pPr>
        <w:spacing w:line="460" w:lineRule="exact"/>
        <w:jc w:val="left"/>
        <w:rPr>
          <w:rFonts w:hint="eastAsia" w:ascii="宋体" w:hAnsi="宋体" w:cs="宋体"/>
          <w:b/>
          <w:bCs/>
          <w:color w:val="auto"/>
          <w:sz w:val="24"/>
          <w:szCs w:val="24"/>
          <w:highlight w:val="none"/>
        </w:rPr>
      </w:pPr>
    </w:p>
    <w:p>
      <w:pPr>
        <w:spacing w:line="460" w:lineRule="exact"/>
        <w:jc w:val="left"/>
        <w:rPr>
          <w:rFonts w:ascii="宋体" w:hAnsi="宋体" w:cs="宋体"/>
          <w:color w:val="auto"/>
          <w:sz w:val="24"/>
          <w:szCs w:val="24"/>
          <w:highlight w:val="none"/>
        </w:rPr>
      </w:pPr>
      <w:r>
        <w:rPr>
          <w:rFonts w:hint="eastAsia" w:ascii="宋体" w:hAnsi="宋体" w:cs="宋体"/>
          <w:b/>
          <w:bCs/>
          <w:color w:val="auto"/>
          <w:sz w:val="24"/>
          <w:szCs w:val="24"/>
          <w:highlight w:val="none"/>
        </w:rPr>
        <w:t>采购需求：</w:t>
      </w:r>
    </w:p>
    <w:tbl>
      <w:tblPr>
        <w:tblStyle w:val="38"/>
        <w:tblW w:w="81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4"/>
        <w:gridCol w:w="1752"/>
        <w:gridCol w:w="1114"/>
        <w:gridCol w:w="872"/>
        <w:gridCol w:w="2082"/>
        <w:gridCol w:w="14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blHeader/>
          <w:jc w:val="center"/>
        </w:trPr>
        <w:tc>
          <w:tcPr>
            <w:tcW w:w="854" w:type="dxa"/>
            <w:vMerge w:val="restart"/>
            <w:shd w:val="clear" w:color="auto" w:fill="auto"/>
            <w:vAlign w:val="center"/>
          </w:tcPr>
          <w:p>
            <w:pPr>
              <w:widowControl/>
              <w:jc w:val="center"/>
              <w:textAlignment w:val="center"/>
              <w:rPr>
                <w:rFonts w:ascii="宋体" w:hAnsi="宋体" w:cs="宋体"/>
                <w:b/>
                <w:bCs/>
                <w:color w:val="auto"/>
                <w:highlight w:val="none"/>
              </w:rPr>
            </w:pPr>
            <w:r>
              <w:rPr>
                <w:rFonts w:hint="eastAsia" w:ascii="宋体" w:hAnsi="宋体" w:cs="宋体"/>
                <w:b/>
                <w:bCs/>
                <w:color w:val="auto"/>
                <w:kern w:val="0"/>
                <w:highlight w:val="none"/>
              </w:rPr>
              <w:t>包号</w:t>
            </w:r>
          </w:p>
        </w:tc>
        <w:tc>
          <w:tcPr>
            <w:tcW w:w="1752" w:type="dxa"/>
            <w:vMerge w:val="restart"/>
            <w:shd w:val="clear" w:color="auto" w:fill="auto"/>
            <w:vAlign w:val="center"/>
          </w:tcPr>
          <w:p>
            <w:pPr>
              <w:widowControl/>
              <w:jc w:val="center"/>
              <w:textAlignment w:val="center"/>
              <w:rPr>
                <w:rFonts w:ascii="宋体" w:hAnsi="宋体" w:cs="宋体"/>
                <w:b/>
                <w:bCs/>
                <w:color w:val="auto"/>
                <w:highlight w:val="none"/>
              </w:rPr>
            </w:pPr>
            <w:r>
              <w:rPr>
                <w:rFonts w:hint="eastAsia" w:ascii="宋体" w:hAnsi="宋体" w:cs="宋体"/>
                <w:b/>
                <w:bCs/>
                <w:color w:val="auto"/>
                <w:kern w:val="0"/>
                <w:highlight w:val="none"/>
              </w:rPr>
              <w:t>标的名称</w:t>
            </w:r>
          </w:p>
        </w:tc>
        <w:tc>
          <w:tcPr>
            <w:tcW w:w="1114" w:type="dxa"/>
            <w:vMerge w:val="restart"/>
            <w:shd w:val="clear" w:color="auto" w:fill="auto"/>
            <w:vAlign w:val="center"/>
          </w:tcPr>
          <w:p>
            <w:pPr>
              <w:widowControl/>
              <w:jc w:val="center"/>
              <w:textAlignment w:val="center"/>
              <w:rPr>
                <w:rFonts w:ascii="宋体" w:hAnsi="宋体" w:cs="宋体"/>
                <w:b/>
                <w:bCs/>
                <w:color w:val="auto"/>
                <w:highlight w:val="none"/>
              </w:rPr>
            </w:pPr>
            <w:r>
              <w:rPr>
                <w:rFonts w:hint="eastAsia" w:ascii="宋体" w:hAnsi="宋体" w:cs="宋体"/>
                <w:b/>
                <w:bCs/>
                <w:color w:val="auto"/>
                <w:kern w:val="0"/>
                <w:highlight w:val="none"/>
              </w:rPr>
              <w:t>单位</w:t>
            </w:r>
          </w:p>
        </w:tc>
        <w:tc>
          <w:tcPr>
            <w:tcW w:w="872" w:type="dxa"/>
            <w:vMerge w:val="restart"/>
            <w:shd w:val="clear" w:color="auto" w:fill="auto"/>
            <w:vAlign w:val="center"/>
          </w:tcPr>
          <w:p>
            <w:pPr>
              <w:widowControl/>
              <w:jc w:val="center"/>
              <w:textAlignment w:val="center"/>
              <w:rPr>
                <w:rFonts w:ascii="宋体" w:hAnsi="宋体" w:cs="宋体"/>
                <w:b/>
                <w:bCs/>
                <w:color w:val="auto"/>
                <w:highlight w:val="none"/>
              </w:rPr>
            </w:pPr>
            <w:r>
              <w:rPr>
                <w:rFonts w:hint="eastAsia" w:ascii="宋体" w:hAnsi="宋体" w:cs="宋体"/>
                <w:b/>
                <w:bCs/>
                <w:color w:val="auto"/>
                <w:kern w:val="0"/>
                <w:highlight w:val="none"/>
              </w:rPr>
              <w:t>数量</w:t>
            </w:r>
          </w:p>
        </w:tc>
        <w:tc>
          <w:tcPr>
            <w:tcW w:w="2082" w:type="dxa"/>
            <w:vMerge w:val="restart"/>
            <w:shd w:val="clear" w:color="auto" w:fill="auto"/>
            <w:vAlign w:val="center"/>
          </w:tcPr>
          <w:p>
            <w:pPr>
              <w:widowControl/>
              <w:jc w:val="center"/>
              <w:textAlignment w:val="center"/>
              <w:rPr>
                <w:rFonts w:hint="eastAsia" w:ascii="宋体" w:hAnsi="宋体" w:cs="宋体"/>
                <w:b/>
                <w:bCs/>
                <w:color w:val="auto"/>
                <w:kern w:val="0"/>
                <w:highlight w:val="none"/>
              </w:rPr>
            </w:pPr>
            <w:r>
              <w:rPr>
                <w:rFonts w:hint="eastAsia" w:ascii="宋体" w:hAnsi="宋体" w:cs="宋体"/>
                <w:b/>
                <w:bCs/>
                <w:color w:val="auto"/>
                <w:kern w:val="0"/>
                <w:highlight w:val="none"/>
              </w:rPr>
              <w:t>单价的最高限价</w:t>
            </w:r>
          </w:p>
          <w:p>
            <w:pPr>
              <w:widowControl/>
              <w:jc w:val="center"/>
              <w:textAlignment w:val="center"/>
              <w:rPr>
                <w:rFonts w:ascii="宋体" w:hAnsi="宋体" w:cs="宋体"/>
                <w:b/>
                <w:bCs/>
                <w:color w:val="auto"/>
                <w:highlight w:val="none"/>
              </w:rPr>
            </w:pPr>
            <w:r>
              <w:rPr>
                <w:rFonts w:hint="eastAsia" w:ascii="宋体" w:hAnsi="宋体" w:cs="宋体"/>
                <w:b/>
                <w:bCs/>
                <w:color w:val="auto"/>
                <w:kern w:val="0"/>
                <w:highlight w:val="none"/>
              </w:rPr>
              <w:t>（万元）</w:t>
            </w:r>
          </w:p>
        </w:tc>
        <w:tc>
          <w:tcPr>
            <w:tcW w:w="1496" w:type="dxa"/>
            <w:vMerge w:val="restart"/>
            <w:shd w:val="clear" w:color="auto" w:fill="auto"/>
            <w:vAlign w:val="center"/>
          </w:tcPr>
          <w:p>
            <w:pPr>
              <w:widowControl/>
              <w:jc w:val="center"/>
              <w:textAlignment w:val="center"/>
              <w:rPr>
                <w:rFonts w:ascii="宋体" w:hAnsi="宋体" w:cs="宋体"/>
                <w:b/>
                <w:bCs/>
                <w:color w:val="auto"/>
                <w:kern w:val="0"/>
                <w:highlight w:val="none"/>
              </w:rPr>
            </w:pPr>
            <w:r>
              <w:rPr>
                <w:rFonts w:hint="eastAsia" w:ascii="宋体" w:hAnsi="宋体" w:cs="宋体"/>
                <w:b/>
                <w:bCs/>
                <w:color w:val="auto"/>
                <w:kern w:val="0"/>
                <w:highlight w:val="none"/>
              </w:rPr>
              <w:t>最高限价</w:t>
            </w:r>
          </w:p>
          <w:p>
            <w:pPr>
              <w:widowControl/>
              <w:jc w:val="center"/>
              <w:textAlignment w:val="center"/>
              <w:rPr>
                <w:rFonts w:ascii="宋体" w:hAnsi="宋体" w:cs="宋体"/>
                <w:b/>
                <w:bCs/>
                <w:color w:val="auto"/>
                <w:highlight w:val="none"/>
              </w:rPr>
            </w:pPr>
            <w:r>
              <w:rPr>
                <w:rFonts w:hint="eastAsia" w:ascii="宋体" w:hAnsi="宋体" w:cs="宋体"/>
                <w:b/>
                <w:bCs/>
                <w:color w:val="auto"/>
                <w:kern w:val="0"/>
                <w:highlight w:val="none"/>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jc w:val="center"/>
        </w:trPr>
        <w:tc>
          <w:tcPr>
            <w:tcW w:w="854" w:type="dxa"/>
            <w:vMerge w:val="continue"/>
            <w:shd w:val="clear" w:color="auto" w:fill="auto"/>
            <w:vAlign w:val="center"/>
          </w:tcPr>
          <w:p>
            <w:pPr>
              <w:jc w:val="center"/>
              <w:rPr>
                <w:rFonts w:ascii="宋体" w:hAnsi="宋体" w:cs="宋体"/>
                <w:b/>
                <w:bCs/>
                <w:color w:val="auto"/>
                <w:highlight w:val="none"/>
              </w:rPr>
            </w:pPr>
          </w:p>
        </w:tc>
        <w:tc>
          <w:tcPr>
            <w:tcW w:w="1752" w:type="dxa"/>
            <w:vMerge w:val="continue"/>
            <w:shd w:val="clear" w:color="auto" w:fill="auto"/>
            <w:vAlign w:val="center"/>
          </w:tcPr>
          <w:p>
            <w:pPr>
              <w:jc w:val="center"/>
              <w:rPr>
                <w:rFonts w:ascii="宋体" w:hAnsi="宋体" w:cs="宋体"/>
                <w:b/>
                <w:bCs/>
                <w:color w:val="auto"/>
                <w:highlight w:val="none"/>
              </w:rPr>
            </w:pPr>
          </w:p>
        </w:tc>
        <w:tc>
          <w:tcPr>
            <w:tcW w:w="1114" w:type="dxa"/>
            <w:vMerge w:val="continue"/>
            <w:shd w:val="clear" w:color="auto" w:fill="auto"/>
            <w:vAlign w:val="center"/>
          </w:tcPr>
          <w:p>
            <w:pPr>
              <w:jc w:val="center"/>
              <w:rPr>
                <w:rFonts w:ascii="宋体" w:hAnsi="宋体" w:cs="宋体"/>
                <w:b/>
                <w:bCs/>
                <w:color w:val="auto"/>
                <w:highlight w:val="none"/>
              </w:rPr>
            </w:pPr>
          </w:p>
        </w:tc>
        <w:tc>
          <w:tcPr>
            <w:tcW w:w="872" w:type="dxa"/>
            <w:vMerge w:val="continue"/>
            <w:shd w:val="clear" w:color="auto" w:fill="auto"/>
            <w:vAlign w:val="center"/>
          </w:tcPr>
          <w:p>
            <w:pPr>
              <w:jc w:val="center"/>
              <w:rPr>
                <w:rFonts w:ascii="宋体" w:hAnsi="宋体" w:cs="宋体"/>
                <w:b/>
                <w:bCs/>
                <w:color w:val="auto"/>
                <w:highlight w:val="none"/>
              </w:rPr>
            </w:pPr>
          </w:p>
        </w:tc>
        <w:tc>
          <w:tcPr>
            <w:tcW w:w="2082" w:type="dxa"/>
            <w:vMerge w:val="continue"/>
            <w:shd w:val="clear" w:color="auto" w:fill="auto"/>
            <w:vAlign w:val="center"/>
          </w:tcPr>
          <w:p>
            <w:pPr>
              <w:jc w:val="center"/>
              <w:rPr>
                <w:rFonts w:ascii="宋体" w:hAnsi="宋体" w:cs="宋体"/>
                <w:b/>
                <w:bCs/>
                <w:color w:val="auto"/>
                <w:highlight w:val="none"/>
              </w:rPr>
            </w:pPr>
          </w:p>
        </w:tc>
        <w:tc>
          <w:tcPr>
            <w:tcW w:w="1496" w:type="dxa"/>
            <w:vMerge w:val="continue"/>
            <w:shd w:val="clear" w:color="auto" w:fill="auto"/>
            <w:vAlign w:val="center"/>
          </w:tcPr>
          <w:p>
            <w:pPr>
              <w:jc w:val="center"/>
              <w:rPr>
                <w:rFonts w:ascii="宋体" w:hAnsi="宋体" w:cs="宋体"/>
                <w:b/>
                <w:bCs/>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854" w:type="dxa"/>
            <w:vMerge w:val="restart"/>
            <w:shd w:val="clear" w:color="auto" w:fill="auto"/>
            <w:vAlign w:val="center"/>
          </w:tcPr>
          <w:p>
            <w:pPr>
              <w:widowControl/>
              <w:jc w:val="center"/>
              <w:textAlignment w:val="center"/>
              <w:rPr>
                <w:rFonts w:ascii="宋体" w:hAnsi="宋体" w:cs="宋体"/>
                <w:color w:val="auto"/>
                <w:kern w:val="0"/>
                <w:highlight w:val="none"/>
              </w:rPr>
            </w:pPr>
            <w:r>
              <w:rPr>
                <w:rFonts w:hint="eastAsia" w:ascii="宋体" w:hAnsi="宋体" w:cs="宋体"/>
                <w:color w:val="auto"/>
                <w:kern w:val="0"/>
                <w:highlight w:val="none"/>
              </w:rPr>
              <w:t>1</w:t>
            </w:r>
          </w:p>
        </w:tc>
        <w:tc>
          <w:tcPr>
            <w:tcW w:w="1752" w:type="dxa"/>
            <w:shd w:val="clear" w:color="auto" w:fill="auto"/>
            <w:vAlign w:val="center"/>
          </w:tcPr>
          <w:p>
            <w:pPr>
              <w:jc w:val="center"/>
              <w:rPr>
                <w:rFonts w:ascii="宋体" w:hAnsi="宋体" w:cs="宋体"/>
                <w:color w:val="auto"/>
                <w:kern w:val="0"/>
                <w:highlight w:val="none"/>
              </w:rPr>
            </w:pPr>
            <w:r>
              <w:rPr>
                <w:rFonts w:hint="eastAsia" w:ascii="宋体" w:hAnsi="宋体" w:cs="宋体"/>
                <w:color w:val="auto"/>
                <w:kern w:val="0"/>
                <w:highlight w:val="none"/>
              </w:rPr>
              <w:t>破冰除雪车</w:t>
            </w:r>
          </w:p>
        </w:tc>
        <w:tc>
          <w:tcPr>
            <w:tcW w:w="1114" w:type="dxa"/>
            <w:shd w:val="clear" w:color="auto" w:fill="auto"/>
            <w:vAlign w:val="center"/>
          </w:tcPr>
          <w:p>
            <w:pPr>
              <w:jc w:val="center"/>
              <w:rPr>
                <w:rFonts w:ascii="宋体" w:hAnsi="宋体" w:cs="宋体"/>
                <w:color w:val="auto"/>
                <w:kern w:val="0"/>
                <w:highlight w:val="none"/>
              </w:rPr>
            </w:pPr>
            <w:r>
              <w:rPr>
                <w:rFonts w:hint="eastAsia" w:ascii="宋体" w:hAnsi="宋体" w:cs="宋体"/>
                <w:color w:val="auto"/>
                <w:kern w:val="0"/>
                <w:highlight w:val="none"/>
              </w:rPr>
              <w:t>辆</w:t>
            </w:r>
          </w:p>
        </w:tc>
        <w:tc>
          <w:tcPr>
            <w:tcW w:w="872" w:type="dxa"/>
            <w:shd w:val="clear" w:color="auto" w:fill="auto"/>
            <w:vAlign w:val="center"/>
          </w:tcPr>
          <w:p>
            <w:pPr>
              <w:jc w:val="center"/>
              <w:rPr>
                <w:rFonts w:ascii="宋体" w:hAnsi="宋体" w:cs="宋体"/>
                <w:color w:val="auto"/>
                <w:kern w:val="0"/>
                <w:highlight w:val="none"/>
              </w:rPr>
            </w:pPr>
            <w:r>
              <w:rPr>
                <w:rFonts w:hint="eastAsia" w:ascii="宋体" w:hAnsi="宋体" w:cs="宋体"/>
                <w:color w:val="auto"/>
                <w:kern w:val="0"/>
                <w:highlight w:val="none"/>
              </w:rPr>
              <w:t>1</w:t>
            </w:r>
          </w:p>
        </w:tc>
        <w:tc>
          <w:tcPr>
            <w:tcW w:w="2082" w:type="dxa"/>
            <w:shd w:val="clear" w:color="auto" w:fill="auto"/>
            <w:vAlign w:val="center"/>
          </w:tcPr>
          <w:p>
            <w:pPr>
              <w:jc w:val="center"/>
              <w:rPr>
                <w:rFonts w:ascii="宋体" w:hAnsi="宋体" w:cs="宋体"/>
                <w:color w:val="auto"/>
                <w:kern w:val="0"/>
                <w:highlight w:val="none"/>
              </w:rPr>
            </w:pPr>
            <w:r>
              <w:rPr>
                <w:rFonts w:hint="eastAsia" w:ascii="宋体" w:hAnsi="宋体" w:cs="宋体"/>
                <w:color w:val="auto"/>
                <w:kern w:val="0"/>
                <w:highlight w:val="none"/>
              </w:rPr>
              <w:t>170</w:t>
            </w:r>
          </w:p>
        </w:tc>
        <w:tc>
          <w:tcPr>
            <w:tcW w:w="1496" w:type="dxa"/>
            <w:vMerge w:val="restart"/>
            <w:shd w:val="clear" w:color="auto" w:fill="auto"/>
            <w:vAlign w:val="center"/>
          </w:tcPr>
          <w:p>
            <w:pPr>
              <w:widowControl/>
              <w:jc w:val="center"/>
              <w:textAlignment w:val="center"/>
              <w:rPr>
                <w:rFonts w:ascii="宋体" w:hAnsi="宋体" w:cs="宋体"/>
                <w:color w:val="auto"/>
                <w:kern w:val="0"/>
                <w:highlight w:val="none"/>
              </w:rPr>
            </w:pPr>
            <w:r>
              <w:rPr>
                <w:rFonts w:hint="eastAsia" w:ascii="宋体" w:hAnsi="宋体" w:cs="宋体"/>
                <w:color w:val="auto"/>
                <w:kern w:val="0"/>
                <w:highlight w:val="none"/>
              </w:rPr>
              <w:t>201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854" w:type="dxa"/>
            <w:vMerge w:val="continue"/>
            <w:shd w:val="clear" w:color="auto" w:fill="auto"/>
            <w:vAlign w:val="center"/>
          </w:tcPr>
          <w:p>
            <w:pPr>
              <w:widowControl/>
              <w:jc w:val="center"/>
              <w:textAlignment w:val="center"/>
              <w:rPr>
                <w:rFonts w:ascii="宋体" w:hAnsi="宋体" w:cs="宋体"/>
                <w:color w:val="auto"/>
                <w:kern w:val="0"/>
                <w:highlight w:val="none"/>
              </w:rPr>
            </w:pPr>
          </w:p>
        </w:tc>
        <w:tc>
          <w:tcPr>
            <w:tcW w:w="1752" w:type="dxa"/>
            <w:shd w:val="clear" w:color="auto" w:fill="auto"/>
            <w:vAlign w:val="center"/>
          </w:tcPr>
          <w:p>
            <w:pPr>
              <w:widowControl/>
              <w:jc w:val="center"/>
              <w:textAlignment w:val="center"/>
              <w:rPr>
                <w:rFonts w:ascii="宋体" w:hAnsi="宋体" w:cs="宋体"/>
                <w:color w:val="auto"/>
                <w:kern w:val="0"/>
                <w:highlight w:val="none"/>
              </w:rPr>
            </w:pPr>
            <w:r>
              <w:rPr>
                <w:rFonts w:hint="eastAsia" w:ascii="宋体" w:hAnsi="宋体" w:cs="宋体"/>
                <w:color w:val="auto"/>
                <w:kern w:val="0"/>
                <w:highlight w:val="none"/>
              </w:rPr>
              <w:t>装载车</w:t>
            </w:r>
          </w:p>
        </w:tc>
        <w:tc>
          <w:tcPr>
            <w:tcW w:w="1114" w:type="dxa"/>
            <w:shd w:val="clear" w:color="auto" w:fill="auto"/>
            <w:vAlign w:val="center"/>
          </w:tcPr>
          <w:p>
            <w:pPr>
              <w:widowControl/>
              <w:jc w:val="center"/>
              <w:textAlignment w:val="center"/>
              <w:rPr>
                <w:rFonts w:ascii="宋体" w:hAnsi="宋体" w:cs="宋体"/>
                <w:color w:val="auto"/>
                <w:kern w:val="0"/>
                <w:highlight w:val="none"/>
              </w:rPr>
            </w:pPr>
            <w:r>
              <w:rPr>
                <w:rFonts w:hint="eastAsia" w:ascii="宋体" w:hAnsi="宋体" w:cs="宋体"/>
                <w:color w:val="auto"/>
                <w:kern w:val="0"/>
                <w:highlight w:val="none"/>
              </w:rPr>
              <w:t>辆</w:t>
            </w:r>
          </w:p>
        </w:tc>
        <w:tc>
          <w:tcPr>
            <w:tcW w:w="872" w:type="dxa"/>
            <w:shd w:val="clear" w:color="auto" w:fill="auto"/>
            <w:vAlign w:val="center"/>
          </w:tcPr>
          <w:p>
            <w:pPr>
              <w:widowControl/>
              <w:jc w:val="center"/>
              <w:textAlignment w:val="center"/>
              <w:rPr>
                <w:rFonts w:ascii="宋体" w:hAnsi="宋体" w:cs="宋体"/>
                <w:color w:val="auto"/>
                <w:kern w:val="0"/>
                <w:highlight w:val="none"/>
              </w:rPr>
            </w:pPr>
            <w:r>
              <w:rPr>
                <w:rFonts w:hint="eastAsia" w:ascii="宋体" w:hAnsi="宋体" w:cs="宋体"/>
                <w:color w:val="auto"/>
                <w:kern w:val="0"/>
                <w:highlight w:val="none"/>
              </w:rPr>
              <w:t>1</w:t>
            </w:r>
          </w:p>
        </w:tc>
        <w:tc>
          <w:tcPr>
            <w:tcW w:w="2082" w:type="dxa"/>
            <w:shd w:val="clear" w:color="auto" w:fill="auto"/>
            <w:vAlign w:val="center"/>
          </w:tcPr>
          <w:p>
            <w:pPr>
              <w:jc w:val="center"/>
              <w:rPr>
                <w:rFonts w:ascii="宋体" w:hAnsi="宋体" w:cs="宋体"/>
                <w:color w:val="auto"/>
                <w:kern w:val="0"/>
                <w:highlight w:val="none"/>
              </w:rPr>
            </w:pPr>
            <w:r>
              <w:rPr>
                <w:rFonts w:hint="eastAsia" w:ascii="宋体" w:hAnsi="宋体" w:cs="宋体"/>
                <w:color w:val="auto"/>
                <w:kern w:val="0"/>
                <w:highlight w:val="none"/>
              </w:rPr>
              <w:t>31</w:t>
            </w:r>
          </w:p>
        </w:tc>
        <w:tc>
          <w:tcPr>
            <w:tcW w:w="1496" w:type="dxa"/>
            <w:vMerge w:val="continue"/>
            <w:shd w:val="clear" w:color="auto" w:fill="auto"/>
            <w:vAlign w:val="center"/>
          </w:tcPr>
          <w:p>
            <w:pPr>
              <w:widowControl/>
              <w:jc w:val="center"/>
              <w:textAlignment w:val="center"/>
              <w:rPr>
                <w:rFonts w:ascii="宋体" w:hAnsi="宋体" w:cs="宋体"/>
                <w:color w:val="auto"/>
                <w:kern w:val="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854" w:type="dxa"/>
            <w:shd w:val="clear" w:color="auto" w:fill="auto"/>
            <w:vAlign w:val="center"/>
          </w:tcPr>
          <w:p>
            <w:pPr>
              <w:widowControl/>
              <w:jc w:val="center"/>
              <w:textAlignment w:val="center"/>
              <w:rPr>
                <w:rFonts w:ascii="宋体" w:hAnsi="宋体" w:cs="宋体"/>
                <w:color w:val="auto"/>
                <w:kern w:val="0"/>
                <w:highlight w:val="none"/>
              </w:rPr>
            </w:pPr>
            <w:r>
              <w:rPr>
                <w:rFonts w:hint="eastAsia" w:ascii="宋体" w:hAnsi="宋体" w:cs="宋体"/>
                <w:color w:val="auto"/>
                <w:kern w:val="0"/>
                <w:highlight w:val="none"/>
              </w:rPr>
              <w:t>2</w:t>
            </w:r>
          </w:p>
        </w:tc>
        <w:tc>
          <w:tcPr>
            <w:tcW w:w="1752" w:type="dxa"/>
            <w:shd w:val="clear" w:color="auto" w:fill="auto"/>
            <w:vAlign w:val="center"/>
          </w:tcPr>
          <w:p>
            <w:pPr>
              <w:widowControl/>
              <w:jc w:val="center"/>
              <w:textAlignment w:val="center"/>
              <w:rPr>
                <w:rFonts w:ascii="宋体" w:hAnsi="宋体" w:cs="宋体"/>
                <w:color w:val="auto"/>
                <w:kern w:val="0"/>
                <w:highlight w:val="none"/>
              </w:rPr>
            </w:pPr>
            <w:r>
              <w:rPr>
                <w:rFonts w:hint="eastAsia" w:ascii="宋体" w:hAnsi="宋体" w:cs="宋体"/>
                <w:color w:val="auto"/>
                <w:kern w:val="0"/>
                <w:highlight w:val="none"/>
              </w:rPr>
              <w:t>前突皮卡车</w:t>
            </w:r>
          </w:p>
        </w:tc>
        <w:tc>
          <w:tcPr>
            <w:tcW w:w="1114" w:type="dxa"/>
            <w:shd w:val="clear" w:color="auto" w:fill="auto"/>
            <w:vAlign w:val="center"/>
          </w:tcPr>
          <w:p>
            <w:pPr>
              <w:widowControl/>
              <w:jc w:val="center"/>
              <w:textAlignment w:val="center"/>
              <w:rPr>
                <w:rFonts w:ascii="宋体" w:hAnsi="宋体" w:cs="宋体"/>
                <w:color w:val="auto"/>
                <w:kern w:val="0"/>
                <w:highlight w:val="none"/>
              </w:rPr>
            </w:pPr>
            <w:r>
              <w:rPr>
                <w:rFonts w:hint="eastAsia" w:ascii="宋体" w:hAnsi="宋体" w:cs="宋体"/>
                <w:color w:val="auto"/>
                <w:kern w:val="0"/>
                <w:highlight w:val="none"/>
              </w:rPr>
              <w:t>辆</w:t>
            </w:r>
          </w:p>
        </w:tc>
        <w:tc>
          <w:tcPr>
            <w:tcW w:w="872" w:type="dxa"/>
            <w:shd w:val="clear" w:color="auto" w:fill="auto"/>
            <w:vAlign w:val="center"/>
          </w:tcPr>
          <w:p>
            <w:pPr>
              <w:widowControl/>
              <w:jc w:val="center"/>
              <w:textAlignment w:val="center"/>
              <w:rPr>
                <w:rFonts w:ascii="宋体" w:hAnsi="宋体" w:cs="宋体"/>
                <w:color w:val="auto"/>
                <w:kern w:val="0"/>
                <w:highlight w:val="none"/>
              </w:rPr>
            </w:pPr>
            <w:r>
              <w:rPr>
                <w:rFonts w:hint="eastAsia" w:ascii="宋体" w:hAnsi="宋体" w:cs="宋体"/>
                <w:color w:val="auto"/>
                <w:kern w:val="0"/>
                <w:highlight w:val="none"/>
              </w:rPr>
              <w:t>13</w:t>
            </w:r>
          </w:p>
        </w:tc>
        <w:tc>
          <w:tcPr>
            <w:tcW w:w="2082" w:type="dxa"/>
            <w:shd w:val="clear" w:color="auto" w:fill="auto"/>
            <w:vAlign w:val="center"/>
          </w:tcPr>
          <w:p>
            <w:pPr>
              <w:jc w:val="center"/>
              <w:rPr>
                <w:rFonts w:ascii="宋体" w:hAnsi="宋体" w:cs="宋体"/>
                <w:color w:val="auto"/>
                <w:kern w:val="0"/>
                <w:highlight w:val="none"/>
              </w:rPr>
            </w:pPr>
            <w:r>
              <w:rPr>
                <w:rFonts w:hint="eastAsia" w:ascii="宋体" w:hAnsi="宋体" w:cs="宋体"/>
                <w:color w:val="auto"/>
                <w:kern w:val="0"/>
                <w:highlight w:val="none"/>
              </w:rPr>
              <w:t>30</w:t>
            </w:r>
          </w:p>
        </w:tc>
        <w:tc>
          <w:tcPr>
            <w:tcW w:w="1496" w:type="dxa"/>
            <w:shd w:val="clear" w:color="auto" w:fill="auto"/>
            <w:vAlign w:val="center"/>
          </w:tcPr>
          <w:p>
            <w:pPr>
              <w:widowControl/>
              <w:jc w:val="center"/>
              <w:textAlignment w:val="center"/>
              <w:rPr>
                <w:rFonts w:ascii="宋体" w:hAnsi="宋体" w:cs="宋体"/>
                <w:color w:val="auto"/>
                <w:kern w:val="0"/>
                <w:highlight w:val="none"/>
              </w:rPr>
            </w:pPr>
            <w:r>
              <w:rPr>
                <w:rFonts w:hint="eastAsia" w:ascii="宋体" w:hAnsi="宋体" w:cs="宋体"/>
                <w:color w:val="auto"/>
                <w:kern w:val="0"/>
                <w:highlight w:val="none"/>
              </w:rPr>
              <w:t>390</w:t>
            </w:r>
          </w:p>
        </w:tc>
      </w:tr>
    </w:tbl>
    <w:p>
      <w:pPr>
        <w:spacing w:line="46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lang w:val="zh-CN"/>
        </w:rPr>
        <w:t>项目地点：招标人指定地点。</w:t>
      </w:r>
    </w:p>
    <w:p>
      <w:pPr>
        <w:spacing w:line="46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合同履行期限：合同签订后</w:t>
      </w:r>
      <w:r>
        <w:rPr>
          <w:rFonts w:hint="eastAsia" w:ascii="宋体" w:hAnsi="宋体" w:cs="宋体"/>
          <w:color w:val="auto"/>
          <w:sz w:val="24"/>
          <w:szCs w:val="24"/>
          <w:highlight w:val="none"/>
          <w:lang w:val="en-US" w:eastAsia="zh-CN"/>
        </w:rPr>
        <w:t>90</w:t>
      </w:r>
      <w:r>
        <w:rPr>
          <w:rFonts w:hint="eastAsia" w:ascii="宋体" w:hAnsi="宋体" w:cs="宋体"/>
          <w:color w:val="auto"/>
          <w:sz w:val="24"/>
          <w:szCs w:val="24"/>
          <w:highlight w:val="none"/>
        </w:rPr>
        <w:t>日内交付货物。</w:t>
      </w:r>
    </w:p>
    <w:p>
      <w:pPr>
        <w:spacing w:line="46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本项目不接受联合体投标。</w:t>
      </w:r>
    </w:p>
    <w:p>
      <w:pPr>
        <w:pStyle w:val="5"/>
        <w:spacing w:before="0" w:after="0" w:line="360" w:lineRule="auto"/>
        <w:rPr>
          <w:rFonts w:ascii="宋体" w:hAnsi="宋体"/>
          <w:color w:val="auto"/>
          <w:highlight w:val="none"/>
        </w:rPr>
      </w:pPr>
      <w:r>
        <w:rPr>
          <w:rFonts w:hint="eastAsia" w:ascii="宋体" w:hAnsi="宋体"/>
          <w:color w:val="auto"/>
          <w:highlight w:val="none"/>
        </w:rPr>
        <w:t>二、申请人的资格要求</w:t>
      </w:r>
    </w:p>
    <w:p>
      <w:pPr>
        <w:spacing w:line="360" w:lineRule="auto"/>
        <w:ind w:firstLine="480" w:firstLineChars="200"/>
        <w:jc w:val="lef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1.满足《中华人民共和国政府采购法》第二十二条规定；</w:t>
      </w:r>
    </w:p>
    <w:p>
      <w:pPr>
        <w:spacing w:line="360" w:lineRule="auto"/>
        <w:ind w:firstLine="480" w:firstLineChars="200"/>
        <w:jc w:val="lef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2.落实政府采购政策需满足的资格要求：</w:t>
      </w:r>
    </w:p>
    <w:p>
      <w:pPr>
        <w:spacing w:line="360" w:lineRule="auto"/>
        <w:ind w:firstLine="480" w:firstLineChars="200"/>
        <w:jc w:val="lef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2.1</w:t>
      </w:r>
      <w:r>
        <w:rPr>
          <w:rFonts w:hint="eastAsia" w:ascii="宋体" w:hAnsi="宋体" w:cs="宋体"/>
          <w:color w:val="auto"/>
          <w:sz w:val="24"/>
          <w:szCs w:val="24"/>
          <w:highlight w:val="none"/>
          <w:lang w:val="zh-CN"/>
        </w:rPr>
        <w:t>本项目非专门面向中小企业采购，供应商所提供货物的制造商为小型、微型企业的，给予10%的价格扣除；</w:t>
      </w:r>
    </w:p>
    <w:p>
      <w:pPr>
        <w:spacing w:line="360" w:lineRule="auto"/>
        <w:ind w:firstLine="480" w:firstLineChars="200"/>
        <w:jc w:val="left"/>
        <w:rPr>
          <w:rFonts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2.2</w:t>
      </w:r>
      <w:r>
        <w:rPr>
          <w:rFonts w:hint="eastAsia" w:ascii="宋体" w:hAnsi="宋体" w:cs="宋体"/>
          <w:color w:val="auto"/>
          <w:sz w:val="24"/>
          <w:szCs w:val="24"/>
          <w:highlight w:val="none"/>
          <w:lang w:val="zh-CN"/>
        </w:rPr>
        <w:t>落实《关于调整优化节能产品、环境标志产品政府采购执行机制的通知》（财库[2019]9号）、财政部《关于进一步加大政府采购支持中小企业力度的通知》（财库〔2022〕19号）、关于印发《政府采购促进中小企业发展管理办法》的通知（财库[2020]46号）、《财政部、司法部关于政府采购支持监狱企业发展有关问题的通知》（财库[2014]68号）和《关于促进残疾人就业政府采购政策的通知》（财库[2017]141号）等政府采购政策。</w:t>
      </w:r>
    </w:p>
    <w:p>
      <w:pPr>
        <w:spacing w:line="360" w:lineRule="auto"/>
        <w:ind w:firstLine="480" w:firstLineChars="200"/>
        <w:jc w:val="left"/>
        <w:rPr>
          <w:rFonts w:ascii="宋体" w:hAnsi="宋体" w:cs="宋体"/>
          <w:color w:val="auto"/>
          <w:sz w:val="24"/>
          <w:szCs w:val="24"/>
          <w:highlight w:val="none"/>
          <w:lang w:val="zh-CN"/>
        </w:rPr>
      </w:pPr>
      <w:r>
        <w:rPr>
          <w:rFonts w:hint="eastAsia" w:ascii="宋体" w:hAnsi="宋体" w:cs="宋体"/>
          <w:color w:val="auto"/>
          <w:sz w:val="24"/>
          <w:szCs w:val="24"/>
          <w:highlight w:val="none"/>
        </w:rPr>
        <w:t>3</w:t>
      </w:r>
      <w:r>
        <w:rPr>
          <w:rFonts w:hint="eastAsia" w:ascii="宋体" w:hAnsi="宋体" w:cs="宋体"/>
          <w:color w:val="auto"/>
          <w:sz w:val="24"/>
          <w:szCs w:val="24"/>
          <w:highlight w:val="none"/>
          <w:lang w:val="zh-CN"/>
        </w:rPr>
        <w:t>.本项目的特定资格要求：</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3.1与招标人存在利害关系可能影响招标公正性的法人、其他组织或者个人，不得参加同一标段投标或者未划分标段的同一招标不得参加投标；</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3.2 投标人负责人为同一人或者存在控股、管理关系的不同单位，不得同时参加本项目的投标；</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3.3 根据《财政部关于在政府采购活动中查询及使用信用记录有关问题的通知》（财库﹝2016﹞125号）的要求，凡拟参加本次招标项目的投标供应商，如在“信用中国”网（www.creditchina.gov.cn）、中国政府采购网（www.ccgp.gov.cn）列入失信被执行人、重大税收违法案件当事人名单、政府采购严重违法失信行为记录名单的（尚在处罚期内的），将拒绝其参加本次项目投标；</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4.本项目不接受联合体投标。</w:t>
      </w:r>
    </w:p>
    <w:p>
      <w:pPr>
        <w:pStyle w:val="5"/>
        <w:spacing w:before="0" w:after="0" w:line="360" w:lineRule="auto"/>
        <w:rPr>
          <w:rFonts w:ascii="宋体" w:hAnsi="宋体"/>
          <w:color w:val="auto"/>
          <w:highlight w:val="none"/>
        </w:rPr>
      </w:pPr>
      <w:r>
        <w:rPr>
          <w:rFonts w:hint="eastAsia" w:ascii="宋体" w:hAnsi="宋体"/>
          <w:color w:val="auto"/>
          <w:highlight w:val="none"/>
        </w:rPr>
        <w:t>三、获取招标文件</w:t>
      </w:r>
    </w:p>
    <w:p>
      <w:pPr>
        <w:spacing w:line="360" w:lineRule="auto"/>
        <w:ind w:firstLine="540"/>
        <w:jc w:val="left"/>
        <w:rPr>
          <w:rFonts w:ascii="宋体" w:hAnsi="宋体" w:cs="宋体"/>
          <w:color w:val="auto"/>
          <w:highlight w:val="none"/>
        </w:rPr>
      </w:pPr>
      <w:r>
        <w:rPr>
          <w:rFonts w:hint="eastAsia" w:ascii="宋体" w:hAnsi="宋体" w:cs="宋体"/>
          <w:color w:val="auto"/>
          <w:sz w:val="24"/>
          <w:szCs w:val="24"/>
          <w:highlight w:val="none"/>
        </w:rPr>
        <w:t>时间：</w:t>
      </w:r>
      <w:r>
        <w:rPr>
          <w:rFonts w:hint="eastAsia" w:ascii="宋体" w:hAnsi="宋体" w:cs="宋体"/>
          <w:color w:val="auto"/>
          <w:sz w:val="24"/>
          <w:szCs w:val="24"/>
          <w:highlight w:val="none"/>
          <w:u w:val="single"/>
        </w:rPr>
        <w:t xml:space="preserve">2024年 </w:t>
      </w:r>
      <w:r>
        <w:rPr>
          <w:rFonts w:hint="eastAsia" w:ascii="宋体" w:hAnsi="宋体" w:cs="宋体"/>
          <w:color w:val="auto"/>
          <w:sz w:val="24"/>
          <w:szCs w:val="24"/>
          <w:highlight w:val="none"/>
          <w:u w:val="single"/>
          <w:lang w:val="en-US" w:eastAsia="zh-CN"/>
        </w:rPr>
        <w:t>4</w:t>
      </w:r>
      <w:r>
        <w:rPr>
          <w:rFonts w:hint="eastAsia" w:ascii="宋体" w:hAnsi="宋体" w:cs="宋体"/>
          <w:color w:val="auto"/>
          <w:sz w:val="24"/>
          <w:szCs w:val="24"/>
          <w:highlight w:val="none"/>
          <w:u w:val="single"/>
        </w:rPr>
        <w:t xml:space="preserve"> 月 </w:t>
      </w:r>
      <w:r>
        <w:rPr>
          <w:rFonts w:hint="eastAsia" w:ascii="宋体" w:hAnsi="宋体" w:cs="宋体"/>
          <w:color w:val="auto"/>
          <w:sz w:val="24"/>
          <w:szCs w:val="24"/>
          <w:highlight w:val="none"/>
          <w:u w:val="single"/>
          <w:lang w:val="en-US" w:eastAsia="zh-CN"/>
        </w:rPr>
        <w:t>18</w:t>
      </w:r>
      <w:r>
        <w:rPr>
          <w:rFonts w:hint="eastAsia" w:ascii="宋体" w:hAnsi="宋体" w:cs="宋体"/>
          <w:color w:val="auto"/>
          <w:sz w:val="24"/>
          <w:szCs w:val="24"/>
          <w:highlight w:val="none"/>
          <w:u w:val="single"/>
        </w:rPr>
        <w:t xml:space="preserve"> 日</w:t>
      </w:r>
      <w:r>
        <w:rPr>
          <w:rFonts w:hint="eastAsia" w:ascii="宋体" w:hAnsi="宋体" w:cs="宋体"/>
          <w:color w:val="auto"/>
          <w:sz w:val="24"/>
          <w:szCs w:val="24"/>
          <w:highlight w:val="none"/>
        </w:rPr>
        <w:t>至 2024</w:t>
      </w:r>
      <w:r>
        <w:rPr>
          <w:rFonts w:hint="eastAsia" w:ascii="宋体" w:hAnsi="宋体" w:cs="宋体"/>
          <w:color w:val="auto"/>
          <w:sz w:val="24"/>
          <w:szCs w:val="24"/>
          <w:highlight w:val="none"/>
          <w:u w:val="single"/>
        </w:rPr>
        <w:t xml:space="preserve">年 </w:t>
      </w:r>
      <w:r>
        <w:rPr>
          <w:rFonts w:hint="eastAsia" w:ascii="宋体" w:hAnsi="宋体" w:cs="宋体"/>
          <w:color w:val="auto"/>
          <w:sz w:val="24"/>
          <w:szCs w:val="24"/>
          <w:highlight w:val="none"/>
          <w:u w:val="single"/>
          <w:lang w:val="en-US" w:eastAsia="zh-CN"/>
        </w:rPr>
        <w:t>4</w:t>
      </w:r>
      <w:r>
        <w:rPr>
          <w:rFonts w:hint="eastAsia" w:ascii="宋体" w:hAnsi="宋体" w:cs="宋体"/>
          <w:color w:val="auto"/>
          <w:sz w:val="24"/>
          <w:szCs w:val="24"/>
          <w:highlight w:val="none"/>
          <w:u w:val="single"/>
        </w:rPr>
        <w:t xml:space="preserve"> 月 </w:t>
      </w:r>
      <w:r>
        <w:rPr>
          <w:rFonts w:hint="eastAsia" w:ascii="宋体" w:hAnsi="宋体" w:cs="宋体"/>
          <w:color w:val="auto"/>
          <w:sz w:val="24"/>
          <w:szCs w:val="24"/>
          <w:highlight w:val="none"/>
          <w:u w:val="single"/>
          <w:lang w:val="en-US" w:eastAsia="zh-CN"/>
        </w:rPr>
        <w:t>30</w:t>
      </w:r>
      <w:r>
        <w:rPr>
          <w:rFonts w:hint="eastAsia" w:ascii="宋体" w:hAnsi="宋体" w:cs="宋体"/>
          <w:color w:val="auto"/>
          <w:sz w:val="24"/>
          <w:szCs w:val="24"/>
          <w:highlight w:val="none"/>
          <w:u w:val="single"/>
        </w:rPr>
        <w:t xml:space="preserve"> 日</w:t>
      </w:r>
      <w:r>
        <w:rPr>
          <w:rFonts w:hint="eastAsia" w:ascii="宋体" w:hAnsi="宋体" w:cs="宋体"/>
          <w:color w:val="auto"/>
          <w:sz w:val="24"/>
          <w:szCs w:val="24"/>
          <w:highlight w:val="none"/>
        </w:rPr>
        <w:t>，每天上午</w:t>
      </w:r>
      <w:r>
        <w:rPr>
          <w:rFonts w:hint="eastAsia" w:ascii="宋体" w:hAnsi="宋体" w:cs="宋体"/>
          <w:color w:val="auto"/>
          <w:sz w:val="24"/>
          <w:szCs w:val="24"/>
          <w:highlight w:val="none"/>
          <w:lang w:val="en-US" w:eastAsia="zh-CN"/>
        </w:rPr>
        <w:t>08</w:t>
      </w:r>
      <w:r>
        <w:rPr>
          <w:rFonts w:hint="eastAsia" w:ascii="宋体" w:hAnsi="宋体" w:cs="宋体"/>
          <w:color w:val="auto"/>
          <w:sz w:val="24"/>
          <w:szCs w:val="24"/>
          <w:highlight w:val="none"/>
        </w:rPr>
        <w:t>:00至14:00，下午1</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:00至</w:t>
      </w:r>
      <w:r>
        <w:rPr>
          <w:rFonts w:hint="eastAsia" w:ascii="宋体" w:hAnsi="宋体" w:cs="宋体"/>
          <w:color w:val="auto"/>
          <w:sz w:val="24"/>
          <w:szCs w:val="24"/>
          <w:highlight w:val="none"/>
          <w:lang w:val="en-US" w:eastAsia="zh-CN"/>
        </w:rPr>
        <w:t>23</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59</w:t>
      </w:r>
      <w:r>
        <w:rPr>
          <w:rFonts w:hint="eastAsia" w:ascii="宋体" w:hAnsi="宋体" w:cs="宋体"/>
          <w:color w:val="auto"/>
          <w:sz w:val="24"/>
          <w:szCs w:val="24"/>
          <w:highlight w:val="none"/>
        </w:rPr>
        <w:t>（北京时间，法定节假日除外）</w:t>
      </w:r>
    </w:p>
    <w:p>
      <w:pPr>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sz w:val="24"/>
          <w:szCs w:val="24"/>
          <w:highlight w:val="none"/>
        </w:rPr>
        <w:t>地点：线上</w:t>
      </w:r>
    </w:p>
    <w:p>
      <w:pPr>
        <w:widowControl/>
        <w:spacing w:line="360" w:lineRule="auto"/>
        <w:ind w:firstLine="480" w:firstLineChars="200"/>
        <w:rPr>
          <w:rFonts w:ascii="宋体" w:hAnsi="宋体"/>
          <w:color w:val="auto"/>
          <w:highlight w:val="none"/>
        </w:rPr>
      </w:pPr>
      <w:r>
        <w:rPr>
          <w:rFonts w:hint="eastAsia" w:ascii="宋体" w:hAnsi="宋体" w:cs="宋体"/>
          <w:color w:val="auto"/>
          <w:sz w:val="24"/>
          <w:szCs w:val="24"/>
          <w:highlight w:val="none"/>
        </w:rPr>
        <w:t>方式：需将单位名称、所投项目名称、</w:t>
      </w:r>
      <w:r>
        <w:rPr>
          <w:rFonts w:hint="eastAsia" w:ascii="宋体" w:hAnsi="宋体" w:cs="宋体"/>
          <w:color w:val="auto"/>
          <w:sz w:val="24"/>
          <w:szCs w:val="24"/>
          <w:highlight w:val="none"/>
          <w:lang w:val="en-US" w:eastAsia="zh-CN"/>
        </w:rPr>
        <w:t>标包、</w:t>
      </w:r>
      <w:r>
        <w:rPr>
          <w:rFonts w:hint="eastAsia" w:ascii="宋体" w:hAnsi="宋体" w:cs="宋体"/>
          <w:color w:val="auto"/>
          <w:sz w:val="24"/>
          <w:szCs w:val="24"/>
          <w:highlight w:val="none"/>
        </w:rPr>
        <w:t>联系人、联系方式和电子邮箱号书写在一张A4纸上并加盖公章，扫描后发送至指定邮箱</w:t>
      </w:r>
      <w:r>
        <w:rPr>
          <w:rFonts w:hint="eastAsia" w:ascii="宋体" w:hAnsi="宋体" w:cs="宋体"/>
          <w:color w:val="auto"/>
          <w:sz w:val="24"/>
          <w:szCs w:val="24"/>
          <w:highlight w:val="none"/>
          <w:lang w:val="en-US" w:eastAsia="zh-CN"/>
        </w:rPr>
        <w:t>199630087</w:t>
      </w:r>
      <w:r>
        <w:rPr>
          <w:rFonts w:hint="eastAsia" w:ascii="宋体" w:hAnsi="宋体" w:cs="宋体"/>
          <w:color w:val="auto"/>
          <w:sz w:val="24"/>
          <w:szCs w:val="24"/>
          <w:highlight w:val="none"/>
        </w:rPr>
        <w:t>@qq.com。</w:t>
      </w:r>
    </w:p>
    <w:p>
      <w:pPr>
        <w:spacing w:line="360" w:lineRule="auto"/>
        <w:ind w:firstLine="540"/>
        <w:jc w:val="left"/>
        <w:rPr>
          <w:rFonts w:ascii="宋体" w:hAnsi="宋体" w:cs="宋体"/>
          <w:color w:val="auto"/>
          <w:sz w:val="24"/>
          <w:szCs w:val="24"/>
          <w:highlight w:val="none"/>
          <w:u w:val="single"/>
        </w:rPr>
      </w:pPr>
      <w:r>
        <w:rPr>
          <w:rFonts w:hint="eastAsia" w:ascii="宋体" w:hAnsi="宋体" w:cs="宋体"/>
          <w:color w:val="auto"/>
          <w:kern w:val="0"/>
          <w:sz w:val="24"/>
          <w:szCs w:val="24"/>
          <w:highlight w:val="none"/>
        </w:rPr>
        <w:t>售价：</w:t>
      </w:r>
      <w:r>
        <w:rPr>
          <w:rFonts w:ascii="宋体" w:hAnsi="宋体" w:cs="宋体"/>
          <w:color w:val="auto"/>
          <w:kern w:val="0"/>
          <w:sz w:val="24"/>
          <w:szCs w:val="24"/>
          <w:highlight w:val="none"/>
        </w:rPr>
        <w:t>¥</w:t>
      </w:r>
      <w:r>
        <w:rPr>
          <w:rFonts w:hint="eastAsia" w:ascii="宋体" w:hAnsi="宋体" w:cs="宋体"/>
          <w:color w:val="auto"/>
          <w:kern w:val="0"/>
          <w:sz w:val="24"/>
          <w:szCs w:val="24"/>
          <w:highlight w:val="none"/>
        </w:rPr>
        <w:t>0元</w:t>
      </w:r>
    </w:p>
    <w:p>
      <w:pPr>
        <w:pStyle w:val="5"/>
        <w:spacing w:before="0" w:after="0" w:line="360" w:lineRule="auto"/>
        <w:rPr>
          <w:rFonts w:ascii="宋体" w:hAnsi="宋体"/>
          <w:color w:val="auto"/>
          <w:highlight w:val="none"/>
        </w:rPr>
      </w:pPr>
      <w:r>
        <w:rPr>
          <w:rFonts w:hint="eastAsia" w:ascii="宋体" w:hAnsi="宋体"/>
          <w:color w:val="auto"/>
          <w:highlight w:val="none"/>
        </w:rPr>
        <w:t>四、投标文件提交</w:t>
      </w:r>
    </w:p>
    <w:p>
      <w:pPr>
        <w:spacing w:line="360" w:lineRule="auto"/>
        <w:ind w:firstLine="480" w:firstLineChars="200"/>
        <w:jc w:val="left"/>
        <w:rPr>
          <w:rFonts w:ascii="宋体" w:hAnsi="宋体" w:cs="宋体"/>
          <w:bCs/>
          <w:color w:val="auto"/>
          <w:sz w:val="24"/>
          <w:szCs w:val="24"/>
          <w:highlight w:val="none"/>
          <w:u w:val="single"/>
        </w:rPr>
      </w:pPr>
      <w:r>
        <w:rPr>
          <w:rFonts w:hint="eastAsia" w:ascii="宋体" w:hAnsi="宋体" w:cs="宋体"/>
          <w:color w:val="auto"/>
          <w:sz w:val="24"/>
          <w:szCs w:val="24"/>
          <w:highlight w:val="none"/>
        </w:rPr>
        <w:t>截止时间：</w:t>
      </w:r>
      <w:r>
        <w:rPr>
          <w:rFonts w:hint="eastAsia" w:ascii="宋体" w:hAnsi="宋体" w:cs="宋体"/>
          <w:color w:val="auto"/>
          <w:sz w:val="24"/>
          <w:szCs w:val="24"/>
          <w:highlight w:val="none"/>
          <w:u w:val="single"/>
        </w:rPr>
        <w:t>2024</w:t>
      </w:r>
      <w:r>
        <w:rPr>
          <w:rFonts w:hint="eastAsia" w:ascii="宋体" w:hAnsi="宋体" w:cs="宋体"/>
          <w:bCs/>
          <w:color w:val="auto"/>
          <w:sz w:val="24"/>
          <w:szCs w:val="24"/>
          <w:highlight w:val="none"/>
          <w:u w:val="single"/>
        </w:rPr>
        <w:t>年</w:t>
      </w:r>
      <w:r>
        <w:rPr>
          <w:rFonts w:hint="eastAsia" w:ascii="宋体" w:hAnsi="宋体" w:cs="宋体"/>
          <w:bCs/>
          <w:color w:val="auto"/>
          <w:sz w:val="24"/>
          <w:szCs w:val="24"/>
          <w:highlight w:val="none"/>
          <w:u w:val="single"/>
          <w:lang w:val="en-US" w:eastAsia="zh-CN"/>
        </w:rPr>
        <w:t>5</w:t>
      </w:r>
      <w:r>
        <w:rPr>
          <w:rFonts w:hint="eastAsia" w:ascii="宋体" w:hAnsi="宋体" w:cs="宋体"/>
          <w:bCs/>
          <w:color w:val="auto"/>
          <w:sz w:val="24"/>
          <w:szCs w:val="24"/>
          <w:highlight w:val="none"/>
          <w:u w:val="single"/>
        </w:rPr>
        <w:t>月</w:t>
      </w:r>
      <w:r>
        <w:rPr>
          <w:rFonts w:hint="eastAsia" w:ascii="宋体" w:hAnsi="宋体" w:cs="宋体"/>
          <w:bCs/>
          <w:color w:val="auto"/>
          <w:sz w:val="24"/>
          <w:szCs w:val="24"/>
          <w:highlight w:val="none"/>
          <w:u w:val="single"/>
          <w:lang w:val="en-US" w:eastAsia="zh-CN"/>
        </w:rPr>
        <w:t>9</w:t>
      </w:r>
      <w:r>
        <w:rPr>
          <w:rFonts w:hint="eastAsia" w:ascii="宋体" w:hAnsi="宋体" w:cs="宋体"/>
          <w:bCs/>
          <w:color w:val="auto"/>
          <w:sz w:val="24"/>
          <w:szCs w:val="24"/>
          <w:highlight w:val="none"/>
          <w:u w:val="single"/>
        </w:rPr>
        <w:t>日</w:t>
      </w:r>
      <w:r>
        <w:rPr>
          <w:rFonts w:hint="eastAsia" w:ascii="宋体" w:hAnsi="宋体" w:cs="宋体"/>
          <w:color w:val="auto"/>
          <w:sz w:val="24"/>
          <w:szCs w:val="24"/>
          <w:highlight w:val="none"/>
          <w:u w:val="single"/>
          <w:lang w:val="en-US" w:eastAsia="zh-CN"/>
        </w:rPr>
        <w:t>10</w:t>
      </w:r>
      <w:r>
        <w:rPr>
          <w:rFonts w:hint="eastAsia" w:ascii="宋体" w:hAnsi="宋体" w:cs="宋体"/>
          <w:bCs/>
          <w:color w:val="auto"/>
          <w:sz w:val="24"/>
          <w:szCs w:val="24"/>
          <w:highlight w:val="none"/>
          <w:u w:val="single"/>
        </w:rPr>
        <w:t>点</w:t>
      </w:r>
      <w:r>
        <w:rPr>
          <w:rFonts w:hint="eastAsia" w:ascii="宋体" w:hAnsi="宋体" w:cs="宋体"/>
          <w:color w:val="auto"/>
          <w:sz w:val="24"/>
          <w:szCs w:val="24"/>
          <w:highlight w:val="none"/>
          <w:u w:val="single"/>
          <w:lang w:val="en-US" w:eastAsia="zh-CN"/>
        </w:rPr>
        <w:t>30</w:t>
      </w:r>
      <w:r>
        <w:rPr>
          <w:rFonts w:hint="eastAsia" w:ascii="宋体" w:hAnsi="宋体" w:cs="宋体"/>
          <w:bCs/>
          <w:color w:val="auto"/>
          <w:sz w:val="24"/>
          <w:szCs w:val="24"/>
          <w:highlight w:val="none"/>
          <w:u w:val="single"/>
        </w:rPr>
        <w:t>分</w:t>
      </w:r>
      <w:r>
        <w:rPr>
          <w:rFonts w:hint="eastAsia" w:ascii="宋体" w:hAnsi="宋体" w:cs="宋体"/>
          <w:bCs/>
          <w:color w:val="auto"/>
          <w:sz w:val="24"/>
          <w:szCs w:val="24"/>
          <w:highlight w:val="none"/>
        </w:rPr>
        <w:t>（北京时间）</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地点：新疆维吾尔自治区乌鲁木齐市水磨沟区准噶尔街299号（益民大厦 5 楼）</w:t>
      </w:r>
      <w:r>
        <w:rPr>
          <w:rFonts w:hint="eastAsia" w:ascii="宋体" w:hAnsi="宋体" w:cs="宋体"/>
          <w:color w:val="auto"/>
          <w:sz w:val="24"/>
          <w:szCs w:val="24"/>
          <w:highlight w:val="none"/>
          <w:lang w:val="en-US" w:eastAsia="zh-CN"/>
        </w:rPr>
        <w:t>开标室3</w:t>
      </w:r>
    </w:p>
    <w:p>
      <w:pPr>
        <w:pStyle w:val="5"/>
        <w:spacing w:before="0" w:after="0" w:line="360" w:lineRule="auto"/>
        <w:rPr>
          <w:rFonts w:ascii="宋体" w:hAnsi="宋体"/>
          <w:color w:val="auto"/>
          <w:highlight w:val="none"/>
        </w:rPr>
      </w:pPr>
      <w:r>
        <w:rPr>
          <w:rFonts w:hint="eastAsia" w:ascii="宋体" w:hAnsi="宋体"/>
          <w:color w:val="auto"/>
          <w:highlight w:val="none"/>
        </w:rPr>
        <w:t>五、开启</w:t>
      </w:r>
    </w:p>
    <w:p>
      <w:pPr>
        <w:spacing w:line="360" w:lineRule="auto"/>
        <w:ind w:firstLine="480" w:firstLineChars="200"/>
        <w:jc w:val="left"/>
        <w:rPr>
          <w:rFonts w:ascii="宋体" w:hAnsi="宋体" w:cs="宋体"/>
          <w:bCs/>
          <w:color w:val="auto"/>
          <w:sz w:val="24"/>
          <w:szCs w:val="24"/>
          <w:highlight w:val="none"/>
        </w:rPr>
      </w:pPr>
      <w:r>
        <w:rPr>
          <w:rFonts w:hint="eastAsia" w:ascii="宋体" w:hAnsi="宋体" w:cs="宋体"/>
          <w:color w:val="auto"/>
          <w:sz w:val="24"/>
          <w:szCs w:val="24"/>
          <w:highlight w:val="none"/>
        </w:rPr>
        <w:t>时间：</w:t>
      </w:r>
      <w:r>
        <w:rPr>
          <w:rFonts w:hint="eastAsia" w:ascii="宋体" w:hAnsi="宋体" w:cs="宋体"/>
          <w:color w:val="auto"/>
          <w:sz w:val="24"/>
          <w:szCs w:val="24"/>
          <w:highlight w:val="none"/>
          <w:u w:val="single"/>
        </w:rPr>
        <w:t>2024</w:t>
      </w:r>
      <w:r>
        <w:rPr>
          <w:rFonts w:hint="eastAsia" w:ascii="宋体" w:hAnsi="宋体" w:cs="宋体"/>
          <w:bCs/>
          <w:color w:val="auto"/>
          <w:sz w:val="24"/>
          <w:szCs w:val="24"/>
          <w:highlight w:val="none"/>
          <w:u w:val="single"/>
        </w:rPr>
        <w:t>年</w:t>
      </w:r>
      <w:r>
        <w:rPr>
          <w:rFonts w:hint="eastAsia" w:ascii="宋体" w:hAnsi="宋体" w:cs="宋体"/>
          <w:bCs/>
          <w:color w:val="auto"/>
          <w:sz w:val="24"/>
          <w:szCs w:val="24"/>
          <w:highlight w:val="none"/>
          <w:u w:val="single"/>
          <w:lang w:val="en-US" w:eastAsia="zh-CN"/>
        </w:rPr>
        <w:t>5</w:t>
      </w:r>
      <w:r>
        <w:rPr>
          <w:rFonts w:hint="eastAsia" w:ascii="宋体" w:hAnsi="宋体" w:cs="宋体"/>
          <w:bCs/>
          <w:color w:val="auto"/>
          <w:sz w:val="24"/>
          <w:szCs w:val="24"/>
          <w:highlight w:val="none"/>
          <w:u w:val="single"/>
        </w:rPr>
        <w:t>月</w:t>
      </w:r>
      <w:r>
        <w:rPr>
          <w:rFonts w:hint="eastAsia" w:ascii="宋体" w:hAnsi="宋体" w:cs="宋体"/>
          <w:bCs/>
          <w:color w:val="auto"/>
          <w:sz w:val="24"/>
          <w:szCs w:val="24"/>
          <w:highlight w:val="none"/>
          <w:u w:val="single"/>
          <w:lang w:val="en-US" w:eastAsia="zh-CN"/>
        </w:rPr>
        <w:t>9</w:t>
      </w:r>
      <w:r>
        <w:rPr>
          <w:rFonts w:hint="eastAsia" w:ascii="宋体" w:hAnsi="宋体" w:cs="宋体"/>
          <w:bCs/>
          <w:color w:val="auto"/>
          <w:sz w:val="24"/>
          <w:szCs w:val="24"/>
          <w:highlight w:val="none"/>
          <w:u w:val="single"/>
        </w:rPr>
        <w:t>日</w:t>
      </w:r>
      <w:r>
        <w:rPr>
          <w:rFonts w:hint="eastAsia" w:ascii="宋体" w:hAnsi="宋体" w:cs="宋体"/>
          <w:color w:val="auto"/>
          <w:sz w:val="24"/>
          <w:szCs w:val="24"/>
          <w:highlight w:val="none"/>
          <w:u w:val="single"/>
          <w:lang w:val="en-US" w:eastAsia="zh-CN"/>
        </w:rPr>
        <w:t>10</w:t>
      </w:r>
      <w:r>
        <w:rPr>
          <w:rFonts w:hint="eastAsia" w:ascii="宋体" w:hAnsi="宋体" w:cs="宋体"/>
          <w:bCs/>
          <w:color w:val="auto"/>
          <w:sz w:val="24"/>
          <w:szCs w:val="24"/>
          <w:highlight w:val="none"/>
          <w:u w:val="single"/>
        </w:rPr>
        <w:t>点</w:t>
      </w:r>
      <w:r>
        <w:rPr>
          <w:rFonts w:hint="eastAsia" w:ascii="宋体" w:hAnsi="宋体" w:cs="宋体"/>
          <w:color w:val="auto"/>
          <w:sz w:val="24"/>
          <w:szCs w:val="24"/>
          <w:highlight w:val="none"/>
          <w:u w:val="single"/>
          <w:lang w:val="en-US" w:eastAsia="zh-CN"/>
        </w:rPr>
        <w:t>30</w:t>
      </w:r>
      <w:r>
        <w:rPr>
          <w:rFonts w:hint="eastAsia" w:ascii="宋体" w:hAnsi="宋体" w:cs="宋体"/>
          <w:bCs/>
          <w:color w:val="auto"/>
          <w:sz w:val="24"/>
          <w:szCs w:val="24"/>
          <w:highlight w:val="none"/>
          <w:u w:val="single"/>
        </w:rPr>
        <w:t>分</w:t>
      </w:r>
      <w:r>
        <w:rPr>
          <w:rFonts w:hint="eastAsia" w:ascii="宋体" w:hAnsi="宋体" w:cs="宋体"/>
          <w:bCs/>
          <w:color w:val="auto"/>
          <w:sz w:val="24"/>
          <w:szCs w:val="24"/>
          <w:highlight w:val="none"/>
        </w:rPr>
        <w:t>（北京时间）</w:t>
      </w:r>
    </w:p>
    <w:p>
      <w:pPr>
        <w:spacing w:line="360" w:lineRule="auto"/>
        <w:ind w:firstLine="480" w:firstLineChars="200"/>
        <w:jc w:val="left"/>
        <w:rPr>
          <w:rFonts w:ascii="宋体" w:hAnsi="宋体" w:cs="宋体"/>
          <w:bCs/>
          <w:color w:val="auto"/>
          <w:sz w:val="24"/>
          <w:szCs w:val="24"/>
          <w:highlight w:val="none"/>
          <w:u w:val="single"/>
        </w:rPr>
      </w:pPr>
      <w:r>
        <w:rPr>
          <w:rFonts w:hint="eastAsia" w:ascii="宋体" w:hAnsi="宋体" w:cs="宋体"/>
          <w:color w:val="auto"/>
          <w:sz w:val="24"/>
          <w:szCs w:val="24"/>
          <w:highlight w:val="none"/>
        </w:rPr>
        <w:t>地点：新疆维吾尔自治区乌鲁木齐市水磨沟区准噶尔街299号（益民大厦 5 楼）</w:t>
      </w:r>
      <w:r>
        <w:rPr>
          <w:rFonts w:hint="eastAsia" w:ascii="宋体" w:hAnsi="宋体" w:cs="宋体"/>
          <w:color w:val="auto"/>
          <w:sz w:val="24"/>
          <w:szCs w:val="24"/>
          <w:highlight w:val="none"/>
          <w:lang w:val="en-US" w:eastAsia="zh-CN"/>
        </w:rPr>
        <w:t>开标室3</w:t>
      </w:r>
    </w:p>
    <w:p>
      <w:pPr>
        <w:pStyle w:val="5"/>
        <w:spacing w:before="0" w:after="0" w:line="360" w:lineRule="auto"/>
        <w:rPr>
          <w:rFonts w:ascii="宋体" w:hAnsi="宋体"/>
          <w:color w:val="auto"/>
          <w:highlight w:val="none"/>
        </w:rPr>
      </w:pPr>
      <w:r>
        <w:rPr>
          <w:rFonts w:hint="eastAsia" w:ascii="宋体" w:hAnsi="宋体"/>
          <w:color w:val="auto"/>
          <w:highlight w:val="none"/>
        </w:rPr>
        <w:t>六、公告期限</w:t>
      </w:r>
    </w:p>
    <w:p>
      <w:pPr>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自本公告发布之日起5个工作日。</w:t>
      </w:r>
    </w:p>
    <w:p>
      <w:pPr>
        <w:pStyle w:val="5"/>
        <w:numPr>
          <w:ilvl w:val="0"/>
          <w:numId w:val="7"/>
        </w:numPr>
        <w:spacing w:before="0" w:after="0" w:line="360" w:lineRule="auto"/>
        <w:rPr>
          <w:rFonts w:ascii="宋体" w:hAnsi="宋体"/>
          <w:color w:val="auto"/>
          <w:highlight w:val="none"/>
        </w:rPr>
      </w:pPr>
      <w:r>
        <w:rPr>
          <w:rFonts w:hint="eastAsia" w:ascii="宋体" w:hAnsi="宋体"/>
          <w:color w:val="auto"/>
          <w:highlight w:val="none"/>
        </w:rPr>
        <w:t>其他补充事宜</w:t>
      </w:r>
    </w:p>
    <w:p>
      <w:pPr>
        <w:pStyle w:val="5"/>
        <w:spacing w:before="0" w:after="0" w:line="360" w:lineRule="auto"/>
        <w:ind w:firstLine="480" w:firstLineChars="200"/>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领取招标文件时：需将单位名称、所投项目名称、标包、联系人、联系方式和电子邮箱号书写在一张A4纸上并加盖公章，扫描后发送至指定邮箱199630087@qq.com。另外：凡是在招标文件获取时间内（0点至24点）发送邮件的，均应提供招标文件。</w:t>
      </w:r>
    </w:p>
    <w:p>
      <w:pPr>
        <w:pStyle w:val="5"/>
        <w:spacing w:before="0" w:after="0" w:line="360" w:lineRule="auto"/>
        <w:rPr>
          <w:rFonts w:ascii="宋体" w:hAnsi="宋体"/>
          <w:color w:val="auto"/>
          <w:highlight w:val="none"/>
        </w:rPr>
      </w:pPr>
      <w:r>
        <w:rPr>
          <w:rFonts w:hint="eastAsia" w:ascii="宋体" w:hAnsi="宋体"/>
          <w:color w:val="auto"/>
          <w:highlight w:val="none"/>
        </w:rPr>
        <w:t>八、凡对本次采购提出询问，请按以下方式联系</w:t>
      </w:r>
    </w:p>
    <w:p>
      <w:pPr>
        <w:spacing w:line="360" w:lineRule="auto"/>
        <w:ind w:firstLine="720" w:firstLineChars="300"/>
        <w:jc w:val="left"/>
        <w:rPr>
          <w:rFonts w:ascii="宋体" w:hAnsi="宋体" w:cs="宋体"/>
          <w:color w:val="auto"/>
          <w:sz w:val="24"/>
          <w:szCs w:val="24"/>
          <w:highlight w:val="none"/>
        </w:rPr>
      </w:pPr>
      <w:r>
        <w:rPr>
          <w:rFonts w:hint="eastAsia" w:ascii="宋体" w:hAnsi="宋体" w:cs="宋体"/>
          <w:color w:val="auto"/>
          <w:sz w:val="24"/>
          <w:szCs w:val="24"/>
          <w:highlight w:val="none"/>
        </w:rPr>
        <w:t>1.采购人信息</w:t>
      </w:r>
    </w:p>
    <w:p>
      <w:pPr>
        <w:spacing w:line="360" w:lineRule="auto"/>
        <w:ind w:firstLine="720" w:firstLineChars="30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名    称：阿勒泰地区消防救援支队   </w:t>
      </w:r>
    </w:p>
    <w:p>
      <w:pPr>
        <w:spacing w:line="360" w:lineRule="auto"/>
        <w:ind w:firstLine="720" w:firstLineChars="300"/>
        <w:jc w:val="left"/>
        <w:rPr>
          <w:rFonts w:ascii="宋体" w:hAnsi="宋体" w:cs="宋体"/>
          <w:color w:val="auto"/>
          <w:sz w:val="24"/>
          <w:szCs w:val="24"/>
          <w:highlight w:val="none"/>
        </w:rPr>
      </w:pPr>
      <w:r>
        <w:rPr>
          <w:rFonts w:hint="eastAsia" w:ascii="宋体" w:hAnsi="宋体" w:cs="宋体"/>
          <w:color w:val="auto"/>
          <w:sz w:val="24"/>
          <w:szCs w:val="24"/>
          <w:highlight w:val="none"/>
        </w:rPr>
        <w:t>地    址：阿勒泰地区阿勒泰市交通路118号</w:t>
      </w:r>
    </w:p>
    <w:p>
      <w:pPr>
        <w:spacing w:line="360" w:lineRule="auto"/>
        <w:ind w:firstLine="720" w:firstLineChars="300"/>
        <w:jc w:val="left"/>
        <w:rPr>
          <w:rFonts w:ascii="宋体" w:hAnsi="宋体" w:cs="宋体"/>
          <w:color w:val="auto"/>
          <w:sz w:val="24"/>
          <w:szCs w:val="24"/>
          <w:highlight w:val="none"/>
        </w:rPr>
      </w:pPr>
      <w:r>
        <w:rPr>
          <w:rFonts w:hint="eastAsia" w:ascii="宋体" w:hAnsi="宋体" w:cs="宋体"/>
          <w:color w:val="auto"/>
          <w:sz w:val="24"/>
          <w:szCs w:val="24"/>
          <w:highlight w:val="none"/>
        </w:rPr>
        <w:t>联 系 人：何增涛，蒲和平</w:t>
      </w:r>
    </w:p>
    <w:p>
      <w:pPr>
        <w:spacing w:line="360" w:lineRule="auto"/>
        <w:ind w:firstLine="720" w:firstLineChars="300"/>
        <w:jc w:val="left"/>
        <w:rPr>
          <w:rFonts w:ascii="宋体" w:hAnsi="宋体" w:cs="宋体"/>
          <w:color w:val="auto"/>
          <w:sz w:val="24"/>
          <w:szCs w:val="24"/>
          <w:highlight w:val="none"/>
        </w:rPr>
      </w:pPr>
      <w:r>
        <w:rPr>
          <w:rFonts w:hint="eastAsia" w:ascii="宋体" w:hAnsi="宋体" w:cs="宋体"/>
          <w:color w:val="auto"/>
          <w:sz w:val="24"/>
          <w:szCs w:val="24"/>
          <w:highlight w:val="none"/>
        </w:rPr>
        <w:t>联系方式：17767617807，15809069339</w:t>
      </w:r>
    </w:p>
    <w:p>
      <w:pPr>
        <w:spacing w:line="360" w:lineRule="auto"/>
        <w:ind w:firstLine="720" w:firstLineChars="300"/>
        <w:jc w:val="left"/>
        <w:rPr>
          <w:rFonts w:ascii="宋体" w:hAnsi="宋体" w:cs="宋体"/>
          <w:color w:val="auto"/>
          <w:sz w:val="24"/>
          <w:szCs w:val="24"/>
          <w:highlight w:val="none"/>
        </w:rPr>
      </w:pPr>
      <w:r>
        <w:rPr>
          <w:rFonts w:hint="eastAsia" w:ascii="宋体" w:hAnsi="宋体" w:cs="宋体"/>
          <w:color w:val="auto"/>
          <w:sz w:val="24"/>
          <w:szCs w:val="24"/>
          <w:highlight w:val="none"/>
        </w:rPr>
        <w:t>2.采购代理机构信息</w:t>
      </w:r>
    </w:p>
    <w:p>
      <w:pPr>
        <w:spacing w:line="360" w:lineRule="auto"/>
        <w:ind w:firstLine="720" w:firstLineChars="300"/>
        <w:jc w:val="left"/>
        <w:rPr>
          <w:rFonts w:ascii="宋体" w:hAnsi="宋体" w:cs="宋体"/>
          <w:color w:val="auto"/>
          <w:sz w:val="24"/>
          <w:szCs w:val="24"/>
          <w:highlight w:val="none"/>
        </w:rPr>
      </w:pPr>
      <w:r>
        <w:rPr>
          <w:rFonts w:hint="eastAsia" w:ascii="宋体" w:hAnsi="宋体" w:cs="宋体"/>
          <w:color w:val="auto"/>
          <w:sz w:val="24"/>
          <w:szCs w:val="24"/>
          <w:highlight w:val="none"/>
        </w:rPr>
        <w:t>名    称：新疆润达工程项目管理有限公司</w:t>
      </w:r>
    </w:p>
    <w:p>
      <w:pPr>
        <w:spacing w:line="360" w:lineRule="auto"/>
        <w:ind w:firstLine="720" w:firstLineChars="300"/>
        <w:jc w:val="left"/>
        <w:rPr>
          <w:rFonts w:ascii="宋体" w:hAnsi="宋体" w:cs="宋体"/>
          <w:color w:val="auto"/>
          <w:sz w:val="24"/>
          <w:szCs w:val="24"/>
          <w:highlight w:val="none"/>
        </w:rPr>
      </w:pPr>
      <w:r>
        <w:rPr>
          <w:rFonts w:hint="eastAsia" w:ascii="宋体" w:hAnsi="宋体" w:cs="宋体"/>
          <w:color w:val="auto"/>
          <w:sz w:val="24"/>
          <w:szCs w:val="24"/>
          <w:highlight w:val="none"/>
        </w:rPr>
        <w:t>地　　址：新疆北屯市中瀚北路788-2-3号</w:t>
      </w:r>
    </w:p>
    <w:p>
      <w:pPr>
        <w:spacing w:line="360" w:lineRule="auto"/>
        <w:ind w:firstLine="720" w:firstLineChars="300"/>
        <w:jc w:val="lef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联 系 人：雷晓强</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牛静竹</w:t>
      </w:r>
    </w:p>
    <w:p>
      <w:pPr>
        <w:spacing w:line="360" w:lineRule="auto"/>
        <w:ind w:firstLine="720" w:firstLineChars="300"/>
        <w:jc w:val="lef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联系方式：18709061155</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18799019901</w:t>
      </w:r>
    </w:p>
    <w:p>
      <w:pPr>
        <w:spacing w:line="360" w:lineRule="auto"/>
        <w:ind w:left="1174" w:leftChars="342" w:hanging="456" w:hangingChars="200"/>
        <w:jc w:val="left"/>
        <w:rPr>
          <w:rFonts w:ascii="宋体" w:hAnsi="宋体" w:cs="宋体"/>
          <w:color w:val="auto"/>
          <w:spacing w:val="-6"/>
          <w:sz w:val="24"/>
          <w:szCs w:val="24"/>
          <w:highlight w:val="none"/>
          <w:u w:val="single"/>
        </w:rPr>
      </w:pPr>
    </w:p>
    <w:p>
      <w:pPr>
        <w:pStyle w:val="124"/>
        <w:spacing w:line="360" w:lineRule="auto"/>
        <w:rPr>
          <w:rFonts w:hint="eastAsia"/>
          <w:color w:val="auto"/>
          <w:highlight w:val="none"/>
        </w:rPr>
      </w:pPr>
      <w:r>
        <w:rPr>
          <w:rFonts w:hint="eastAsia"/>
          <w:color w:val="auto"/>
          <w:highlight w:val="none"/>
        </w:rPr>
        <w:t>2024年</w:t>
      </w:r>
      <w:r>
        <w:rPr>
          <w:rFonts w:hint="eastAsia"/>
          <w:color w:val="auto"/>
          <w:highlight w:val="none"/>
          <w:lang w:val="en-US" w:eastAsia="zh-CN"/>
        </w:rPr>
        <w:t>4</w:t>
      </w:r>
      <w:r>
        <w:rPr>
          <w:rFonts w:hint="eastAsia"/>
          <w:color w:val="auto"/>
          <w:highlight w:val="none"/>
        </w:rPr>
        <w:t xml:space="preserve"> 月</w:t>
      </w:r>
      <w:r>
        <w:rPr>
          <w:rFonts w:hint="eastAsia"/>
          <w:color w:val="auto"/>
          <w:highlight w:val="none"/>
          <w:lang w:val="en-US" w:eastAsia="zh-CN"/>
        </w:rPr>
        <w:t>17</w:t>
      </w:r>
      <w:r>
        <w:rPr>
          <w:rFonts w:hint="eastAsia"/>
          <w:color w:val="auto"/>
          <w:highlight w:val="none"/>
        </w:rPr>
        <w:t xml:space="preserve"> 日</w:t>
      </w:r>
    </w:p>
    <w:p>
      <w:pPr>
        <w:pStyle w:val="124"/>
        <w:spacing w:line="360" w:lineRule="auto"/>
        <w:rPr>
          <w:rFonts w:hint="eastAsia"/>
          <w:color w:val="auto"/>
          <w:highlight w:val="none"/>
        </w:rPr>
      </w:pPr>
    </w:p>
    <w:p>
      <w:pPr>
        <w:pStyle w:val="124"/>
        <w:spacing w:line="360" w:lineRule="auto"/>
        <w:rPr>
          <w:rFonts w:hint="eastAsia"/>
          <w:color w:val="auto"/>
          <w:highlight w:val="none"/>
        </w:rPr>
      </w:pPr>
    </w:p>
    <w:p>
      <w:pPr>
        <w:pStyle w:val="124"/>
        <w:spacing w:line="360" w:lineRule="auto"/>
        <w:rPr>
          <w:rFonts w:hint="eastAsia"/>
          <w:color w:val="auto"/>
          <w:highlight w:val="none"/>
        </w:rPr>
      </w:pPr>
    </w:p>
    <w:p>
      <w:pPr>
        <w:pStyle w:val="124"/>
        <w:spacing w:line="360" w:lineRule="auto"/>
        <w:rPr>
          <w:rFonts w:hint="eastAsia"/>
          <w:color w:val="auto"/>
          <w:highlight w:val="none"/>
        </w:rPr>
      </w:pPr>
    </w:p>
    <w:p>
      <w:pPr>
        <w:pStyle w:val="124"/>
        <w:spacing w:line="360" w:lineRule="auto"/>
        <w:rPr>
          <w:rFonts w:hint="eastAsia"/>
          <w:color w:val="auto"/>
          <w:highlight w:val="none"/>
        </w:rPr>
      </w:pPr>
    </w:p>
    <w:p>
      <w:pPr>
        <w:pStyle w:val="124"/>
        <w:spacing w:line="360" w:lineRule="auto"/>
        <w:rPr>
          <w:rFonts w:hint="eastAsia"/>
          <w:color w:val="auto"/>
          <w:highlight w:val="none"/>
        </w:rPr>
      </w:pPr>
    </w:p>
    <w:p>
      <w:pPr>
        <w:pStyle w:val="124"/>
        <w:spacing w:line="360" w:lineRule="auto"/>
        <w:rPr>
          <w:rFonts w:hint="eastAsia"/>
          <w:color w:val="auto"/>
          <w:highlight w:val="none"/>
        </w:rPr>
      </w:pPr>
    </w:p>
    <w:p>
      <w:pPr>
        <w:pStyle w:val="124"/>
        <w:spacing w:line="360" w:lineRule="auto"/>
        <w:rPr>
          <w:rFonts w:hint="eastAsia"/>
          <w:color w:val="auto"/>
          <w:highlight w:val="none"/>
        </w:rPr>
      </w:pPr>
    </w:p>
    <w:p>
      <w:pPr>
        <w:pStyle w:val="124"/>
        <w:spacing w:line="360" w:lineRule="auto"/>
        <w:rPr>
          <w:rFonts w:hint="eastAsia"/>
          <w:color w:val="auto"/>
          <w:highlight w:val="none"/>
        </w:rPr>
      </w:pPr>
    </w:p>
    <w:p>
      <w:pPr>
        <w:pStyle w:val="124"/>
        <w:spacing w:line="360" w:lineRule="auto"/>
        <w:rPr>
          <w:rFonts w:hint="eastAsia"/>
          <w:color w:val="auto"/>
          <w:highlight w:val="none"/>
        </w:rPr>
      </w:pPr>
    </w:p>
    <w:p>
      <w:pPr>
        <w:pStyle w:val="124"/>
        <w:spacing w:line="360" w:lineRule="auto"/>
        <w:rPr>
          <w:rFonts w:hint="eastAsia"/>
          <w:color w:val="auto"/>
          <w:highlight w:val="none"/>
        </w:rPr>
      </w:pPr>
    </w:p>
    <w:p>
      <w:pPr>
        <w:pStyle w:val="124"/>
        <w:spacing w:line="360" w:lineRule="auto"/>
        <w:rPr>
          <w:rFonts w:hint="eastAsia"/>
          <w:color w:val="auto"/>
          <w:highlight w:val="none"/>
        </w:rPr>
      </w:pPr>
    </w:p>
    <w:p>
      <w:pPr>
        <w:pStyle w:val="124"/>
        <w:spacing w:line="360" w:lineRule="auto"/>
        <w:rPr>
          <w:rFonts w:hint="eastAsia"/>
          <w:color w:val="auto"/>
          <w:highlight w:val="none"/>
        </w:rPr>
      </w:pPr>
    </w:p>
    <w:p>
      <w:pPr>
        <w:pStyle w:val="124"/>
        <w:spacing w:line="360" w:lineRule="auto"/>
        <w:rPr>
          <w:rFonts w:hint="eastAsia"/>
          <w:color w:val="auto"/>
          <w:highlight w:val="none"/>
        </w:rPr>
      </w:pPr>
    </w:p>
    <w:p>
      <w:pPr>
        <w:pStyle w:val="124"/>
        <w:spacing w:line="360" w:lineRule="auto"/>
        <w:rPr>
          <w:rFonts w:hint="eastAsia"/>
          <w:color w:val="auto"/>
          <w:highlight w:val="none"/>
        </w:rPr>
      </w:pPr>
    </w:p>
    <w:p>
      <w:pPr>
        <w:pStyle w:val="124"/>
        <w:spacing w:line="360" w:lineRule="auto"/>
        <w:rPr>
          <w:rFonts w:hint="eastAsia"/>
          <w:color w:val="auto"/>
          <w:highlight w:val="none"/>
        </w:rPr>
      </w:pPr>
    </w:p>
    <w:p>
      <w:pPr>
        <w:pStyle w:val="124"/>
        <w:spacing w:line="360" w:lineRule="auto"/>
        <w:rPr>
          <w:rFonts w:hint="eastAsia"/>
          <w:color w:val="auto"/>
          <w:highlight w:val="none"/>
        </w:rPr>
      </w:pPr>
    </w:p>
    <w:p>
      <w:pPr>
        <w:pStyle w:val="124"/>
        <w:spacing w:line="360" w:lineRule="auto"/>
        <w:rPr>
          <w:rFonts w:hint="eastAsia"/>
          <w:color w:val="auto"/>
          <w:highlight w:val="none"/>
        </w:rPr>
      </w:pPr>
    </w:p>
    <w:p>
      <w:pPr>
        <w:pStyle w:val="124"/>
        <w:spacing w:line="360" w:lineRule="auto"/>
        <w:rPr>
          <w:rFonts w:hint="eastAsia"/>
          <w:color w:val="auto"/>
          <w:highlight w:val="none"/>
        </w:rPr>
      </w:pPr>
    </w:p>
    <w:p>
      <w:pPr>
        <w:pStyle w:val="124"/>
        <w:spacing w:line="360" w:lineRule="auto"/>
        <w:rPr>
          <w:rFonts w:hint="eastAsia"/>
          <w:color w:val="auto"/>
          <w:highlight w:val="none"/>
        </w:rPr>
      </w:pPr>
    </w:p>
    <w:p>
      <w:pPr>
        <w:pStyle w:val="124"/>
        <w:spacing w:line="360" w:lineRule="auto"/>
        <w:rPr>
          <w:rFonts w:hint="eastAsia"/>
          <w:color w:val="auto"/>
          <w:highlight w:val="none"/>
        </w:rPr>
      </w:pPr>
    </w:p>
    <w:p>
      <w:pPr>
        <w:pStyle w:val="124"/>
        <w:spacing w:line="360" w:lineRule="auto"/>
        <w:rPr>
          <w:rFonts w:hint="eastAsia"/>
          <w:color w:val="auto"/>
          <w:highlight w:val="none"/>
        </w:rPr>
      </w:pPr>
    </w:p>
    <w:bookmarkEnd w:id="14"/>
    <w:p>
      <w:pPr>
        <w:pStyle w:val="3"/>
        <w:rPr>
          <w:rFonts w:ascii="宋体" w:hAnsi="宋体"/>
          <w:color w:val="auto"/>
          <w:highlight w:val="none"/>
        </w:rPr>
      </w:pPr>
      <w:bookmarkStart w:id="22" w:name="_Toc16938518"/>
      <w:bookmarkStart w:id="23" w:name="_Toc513029202"/>
      <w:bookmarkStart w:id="24" w:name="_Toc13939"/>
      <w:bookmarkStart w:id="25" w:name="_Toc161525972"/>
      <w:bookmarkStart w:id="26" w:name="_Toc20823274"/>
      <w:bookmarkStart w:id="27" w:name="_Toc9359"/>
      <w:bookmarkStart w:id="28" w:name="_Toc120614213"/>
      <w:r>
        <w:rPr>
          <w:rFonts w:hint="eastAsia" w:ascii="宋体" w:hAnsi="宋体"/>
          <w:color w:val="auto"/>
          <w:highlight w:val="none"/>
        </w:rPr>
        <w:t>第二章 投标人须知</w:t>
      </w:r>
      <w:bookmarkEnd w:id="15"/>
      <w:bookmarkEnd w:id="22"/>
      <w:bookmarkEnd w:id="23"/>
      <w:bookmarkEnd w:id="24"/>
      <w:bookmarkEnd w:id="25"/>
      <w:bookmarkEnd w:id="26"/>
      <w:bookmarkEnd w:id="27"/>
      <w:bookmarkEnd w:id="28"/>
    </w:p>
    <w:p>
      <w:pPr>
        <w:pStyle w:val="5"/>
        <w:rPr>
          <w:rFonts w:ascii="宋体" w:hAnsi="宋体"/>
          <w:color w:val="auto"/>
          <w:highlight w:val="none"/>
        </w:rPr>
      </w:pPr>
      <w:bookmarkStart w:id="29" w:name="_Toc19352"/>
      <w:bookmarkStart w:id="30" w:name="_Toc21065"/>
      <w:bookmarkStart w:id="31" w:name="_Toc534725606"/>
      <w:r>
        <w:rPr>
          <w:rFonts w:hint="eastAsia" w:ascii="宋体" w:hAnsi="宋体"/>
          <w:color w:val="auto"/>
          <w:highlight w:val="none"/>
        </w:rPr>
        <w:t xml:space="preserve">一、总  </w:t>
      </w:r>
      <w:bookmarkStart w:id="32" w:name="_Toc9510635"/>
      <w:r>
        <w:rPr>
          <w:rFonts w:hint="eastAsia" w:ascii="宋体" w:hAnsi="宋体"/>
          <w:color w:val="auto"/>
          <w:highlight w:val="none"/>
        </w:rPr>
        <w:t>则</w:t>
      </w:r>
      <w:bookmarkEnd w:id="29"/>
      <w:bookmarkEnd w:id="30"/>
    </w:p>
    <w:p>
      <w:pPr>
        <w:pStyle w:val="6"/>
        <w:rPr>
          <w:rFonts w:ascii="宋体" w:hAnsi="宋体"/>
          <w:color w:val="auto"/>
          <w:highlight w:val="none"/>
        </w:rPr>
      </w:pPr>
      <w:bookmarkStart w:id="33" w:name="_Toc26214"/>
      <w:r>
        <w:rPr>
          <w:rFonts w:hint="eastAsia" w:ascii="宋体" w:hAnsi="宋体"/>
          <w:color w:val="auto"/>
          <w:highlight w:val="none"/>
        </w:rPr>
        <w:t>1、适用</w:t>
      </w:r>
      <w:bookmarkEnd w:id="32"/>
      <w:r>
        <w:rPr>
          <w:rFonts w:hint="eastAsia" w:ascii="宋体" w:hAnsi="宋体"/>
          <w:color w:val="auto"/>
          <w:highlight w:val="none"/>
        </w:rPr>
        <w:t>范围</w:t>
      </w:r>
      <w:bookmarkEnd w:id="33"/>
    </w:p>
    <w:p>
      <w:pPr>
        <w:adjustRightInd w:val="0"/>
        <w:snapToGrid w:val="0"/>
        <w:spacing w:line="500" w:lineRule="exact"/>
        <w:ind w:firstLine="480" w:firstLineChars="200"/>
        <w:jc w:val="left"/>
        <w:rPr>
          <w:rFonts w:ascii="宋体" w:hAnsi="宋体" w:cstheme="majorEastAsia"/>
          <w:color w:val="auto"/>
          <w:sz w:val="24"/>
          <w:szCs w:val="24"/>
          <w:highlight w:val="none"/>
        </w:rPr>
      </w:pPr>
      <w:r>
        <w:rPr>
          <w:rFonts w:hint="eastAsia" w:ascii="宋体" w:hAnsi="宋体" w:cstheme="majorEastAsia"/>
          <w:color w:val="auto"/>
          <w:sz w:val="24"/>
          <w:szCs w:val="24"/>
          <w:highlight w:val="none"/>
        </w:rPr>
        <w:t>本招标文件适用于</w:t>
      </w:r>
      <w:r>
        <w:rPr>
          <w:rFonts w:hint="eastAsia" w:ascii="宋体" w:hAnsi="宋体" w:cstheme="majorEastAsia"/>
          <w:bCs/>
          <w:color w:val="auto"/>
          <w:sz w:val="24"/>
          <w:szCs w:val="24"/>
          <w:highlight w:val="none"/>
        </w:rPr>
        <w:t>本次采购项目</w:t>
      </w:r>
      <w:r>
        <w:rPr>
          <w:rFonts w:hint="eastAsia" w:ascii="宋体" w:hAnsi="宋体" w:cstheme="majorEastAsia"/>
          <w:color w:val="auto"/>
          <w:sz w:val="24"/>
          <w:szCs w:val="24"/>
          <w:highlight w:val="none"/>
        </w:rPr>
        <w:t>的招标、投标、评标、定标、验收、合同履约、付款等行为（法律、法规另有规定的，从其规定）。</w:t>
      </w:r>
    </w:p>
    <w:p>
      <w:pPr>
        <w:pStyle w:val="6"/>
        <w:rPr>
          <w:rFonts w:ascii="宋体" w:hAnsi="宋体"/>
          <w:color w:val="auto"/>
          <w:highlight w:val="none"/>
        </w:rPr>
      </w:pPr>
      <w:bookmarkStart w:id="34" w:name="_Toc24800"/>
      <w:r>
        <w:rPr>
          <w:rFonts w:hint="eastAsia" w:ascii="宋体" w:hAnsi="宋体"/>
          <w:color w:val="auto"/>
          <w:highlight w:val="none"/>
        </w:rPr>
        <w:t>2、定义</w:t>
      </w:r>
      <w:bookmarkEnd w:id="34"/>
    </w:p>
    <w:p>
      <w:pPr>
        <w:adjustRightInd w:val="0"/>
        <w:snapToGrid w:val="0"/>
        <w:spacing w:line="500" w:lineRule="exact"/>
        <w:ind w:firstLine="480" w:firstLineChars="200"/>
        <w:jc w:val="left"/>
        <w:rPr>
          <w:rFonts w:ascii="宋体" w:hAnsi="宋体" w:cstheme="majorEastAsia"/>
          <w:color w:val="auto"/>
          <w:sz w:val="24"/>
          <w:szCs w:val="24"/>
          <w:highlight w:val="none"/>
        </w:rPr>
      </w:pPr>
      <w:r>
        <w:rPr>
          <w:rFonts w:hint="eastAsia" w:ascii="宋体" w:hAnsi="宋体" w:cstheme="majorEastAsia"/>
          <w:color w:val="auto"/>
          <w:sz w:val="24"/>
          <w:szCs w:val="24"/>
          <w:highlight w:val="none"/>
        </w:rPr>
        <w:t>2.1 招标采购单位（采购人）系指采购单位。</w:t>
      </w:r>
    </w:p>
    <w:p>
      <w:pPr>
        <w:adjustRightInd w:val="0"/>
        <w:snapToGrid w:val="0"/>
        <w:spacing w:line="500" w:lineRule="exact"/>
        <w:ind w:firstLine="480" w:firstLineChars="200"/>
        <w:jc w:val="left"/>
        <w:rPr>
          <w:rFonts w:ascii="宋体" w:hAnsi="宋体" w:cstheme="majorEastAsia"/>
          <w:color w:val="auto"/>
          <w:sz w:val="24"/>
          <w:szCs w:val="24"/>
          <w:highlight w:val="none"/>
        </w:rPr>
      </w:pPr>
      <w:r>
        <w:rPr>
          <w:rFonts w:hint="eastAsia" w:ascii="宋体" w:hAnsi="宋体" w:cstheme="majorEastAsia"/>
          <w:color w:val="auto"/>
          <w:sz w:val="24"/>
          <w:szCs w:val="24"/>
          <w:highlight w:val="none"/>
        </w:rPr>
        <w:t>2.2 “投标人”系指向采购方提交投标文件的法人、其他组织或者自然人。</w:t>
      </w:r>
    </w:p>
    <w:p>
      <w:pPr>
        <w:adjustRightInd w:val="0"/>
        <w:snapToGrid w:val="0"/>
        <w:spacing w:line="500" w:lineRule="exact"/>
        <w:ind w:firstLine="480" w:firstLineChars="200"/>
        <w:jc w:val="left"/>
        <w:rPr>
          <w:rFonts w:ascii="宋体" w:hAnsi="宋体" w:cstheme="majorEastAsia"/>
          <w:color w:val="auto"/>
          <w:sz w:val="24"/>
          <w:szCs w:val="24"/>
          <w:highlight w:val="none"/>
        </w:rPr>
      </w:pPr>
      <w:r>
        <w:rPr>
          <w:rFonts w:hint="eastAsia" w:ascii="宋体" w:hAnsi="宋体" w:cstheme="majorEastAsia"/>
          <w:color w:val="auto"/>
          <w:sz w:val="24"/>
          <w:szCs w:val="24"/>
          <w:highlight w:val="none"/>
        </w:rPr>
        <w:t>2.3 “产品”系指供方按招标文件规定，须向采购人提供的一切设备、保险、税金、备品备件、工具、手册及其它有关技术资料和材料。</w:t>
      </w:r>
    </w:p>
    <w:p>
      <w:pPr>
        <w:adjustRightInd w:val="0"/>
        <w:snapToGrid w:val="0"/>
        <w:spacing w:line="500" w:lineRule="exact"/>
        <w:ind w:firstLine="480" w:firstLineChars="200"/>
        <w:jc w:val="left"/>
        <w:rPr>
          <w:rFonts w:ascii="宋体" w:hAnsi="宋体" w:cstheme="majorEastAsia"/>
          <w:color w:val="auto"/>
          <w:sz w:val="24"/>
          <w:szCs w:val="24"/>
          <w:highlight w:val="none"/>
        </w:rPr>
      </w:pPr>
      <w:r>
        <w:rPr>
          <w:rFonts w:hint="eastAsia" w:ascii="宋体" w:hAnsi="宋体" w:cstheme="majorEastAsia"/>
          <w:color w:val="auto"/>
          <w:sz w:val="24"/>
          <w:szCs w:val="24"/>
          <w:highlight w:val="none"/>
        </w:rPr>
        <w:t>2.4 “服务”系指招标文件规定投标人须承担的安装、调试、技术协助、校准、培训、技术指导以及其他类似的义务。</w:t>
      </w:r>
    </w:p>
    <w:p>
      <w:pPr>
        <w:adjustRightInd w:val="0"/>
        <w:snapToGrid w:val="0"/>
        <w:spacing w:line="500" w:lineRule="exact"/>
        <w:ind w:firstLine="480" w:firstLineChars="200"/>
        <w:jc w:val="left"/>
        <w:rPr>
          <w:rFonts w:ascii="宋体" w:hAnsi="宋体" w:cstheme="majorEastAsia"/>
          <w:color w:val="auto"/>
          <w:sz w:val="24"/>
          <w:szCs w:val="24"/>
          <w:highlight w:val="none"/>
        </w:rPr>
      </w:pPr>
      <w:r>
        <w:rPr>
          <w:rFonts w:hint="eastAsia" w:ascii="宋体" w:hAnsi="宋体" w:cstheme="majorEastAsia"/>
          <w:color w:val="auto"/>
          <w:sz w:val="24"/>
          <w:szCs w:val="24"/>
          <w:highlight w:val="none"/>
        </w:rPr>
        <w:t>2.5 “项目”系指投标人按招标文件规定向采购人提供的产品和服务。</w:t>
      </w:r>
    </w:p>
    <w:p>
      <w:pPr>
        <w:adjustRightInd w:val="0"/>
        <w:snapToGrid w:val="0"/>
        <w:spacing w:line="500" w:lineRule="exact"/>
        <w:ind w:firstLine="480" w:firstLineChars="200"/>
        <w:jc w:val="left"/>
        <w:rPr>
          <w:rFonts w:ascii="宋体" w:hAnsi="宋体" w:cstheme="majorEastAsia"/>
          <w:color w:val="auto"/>
          <w:sz w:val="24"/>
          <w:szCs w:val="24"/>
          <w:highlight w:val="none"/>
        </w:rPr>
      </w:pPr>
      <w:r>
        <w:rPr>
          <w:rFonts w:hint="eastAsia" w:ascii="宋体" w:hAnsi="宋体" w:cstheme="majorEastAsia"/>
          <w:color w:val="auto"/>
          <w:sz w:val="24"/>
          <w:szCs w:val="24"/>
          <w:highlight w:val="none"/>
        </w:rPr>
        <w:t>2.6 “书面形式”包括信函、传真、电子邮件等。</w:t>
      </w:r>
    </w:p>
    <w:p>
      <w:pPr>
        <w:adjustRightInd w:val="0"/>
        <w:snapToGrid w:val="0"/>
        <w:spacing w:line="500" w:lineRule="exact"/>
        <w:ind w:firstLine="480" w:firstLineChars="200"/>
        <w:jc w:val="left"/>
        <w:rPr>
          <w:rFonts w:ascii="宋体" w:hAnsi="宋体" w:cstheme="majorEastAsia"/>
          <w:color w:val="auto"/>
          <w:sz w:val="24"/>
          <w:szCs w:val="24"/>
          <w:highlight w:val="none"/>
        </w:rPr>
      </w:pPr>
      <w:r>
        <w:rPr>
          <w:rFonts w:hint="eastAsia" w:ascii="宋体" w:hAnsi="宋体" w:cstheme="majorEastAsia"/>
          <w:color w:val="auto"/>
          <w:sz w:val="24"/>
          <w:szCs w:val="24"/>
          <w:highlight w:val="none"/>
        </w:rPr>
        <w:t>2.7实质性响应:系指投标文件符合招标文件规定的实质性内容、条件和规定。</w:t>
      </w:r>
    </w:p>
    <w:p>
      <w:pPr>
        <w:adjustRightInd w:val="0"/>
        <w:snapToGrid w:val="0"/>
        <w:spacing w:line="500" w:lineRule="exact"/>
        <w:ind w:firstLine="480" w:firstLineChars="200"/>
        <w:jc w:val="left"/>
        <w:rPr>
          <w:rFonts w:ascii="宋体" w:hAnsi="宋体" w:cstheme="majorEastAsia"/>
          <w:color w:val="auto"/>
          <w:sz w:val="24"/>
          <w:szCs w:val="24"/>
          <w:highlight w:val="none"/>
        </w:rPr>
      </w:pPr>
      <w:r>
        <w:rPr>
          <w:rFonts w:hint="eastAsia" w:ascii="宋体" w:hAnsi="宋体" w:cstheme="majorEastAsia"/>
          <w:color w:val="auto"/>
          <w:sz w:val="24"/>
          <w:szCs w:val="24"/>
          <w:highlight w:val="none"/>
        </w:rPr>
        <w:t>2.8重大偏离或保留：系指将会影响到招标文件规定的服务范围、质量标准，或会给合同中规定的招标人的权利和投标人的责任造成实质性限制，而纠正这些偏离或保留将对其他提交了实质性响应的投标文件的投标人产生不公平影响的。</w:t>
      </w:r>
    </w:p>
    <w:p>
      <w:pPr>
        <w:adjustRightInd w:val="0"/>
        <w:snapToGrid w:val="0"/>
        <w:spacing w:line="500" w:lineRule="exact"/>
        <w:ind w:firstLine="480" w:firstLineChars="200"/>
        <w:rPr>
          <w:rFonts w:ascii="宋体" w:hAnsi="宋体" w:cstheme="majorEastAsia"/>
          <w:color w:val="auto"/>
          <w:sz w:val="24"/>
          <w:szCs w:val="24"/>
          <w:highlight w:val="none"/>
        </w:rPr>
      </w:pPr>
      <w:r>
        <w:rPr>
          <w:rFonts w:hint="eastAsia" w:ascii="宋体" w:hAnsi="宋体" w:cstheme="majorEastAsia"/>
          <w:color w:val="auto"/>
          <w:sz w:val="24"/>
          <w:szCs w:val="24"/>
          <w:highlight w:val="none"/>
        </w:rPr>
        <w:t>2.9 细微偏离：系指投标文件对招标文件的非实质性内容存在不完全响应或不响应。</w:t>
      </w:r>
    </w:p>
    <w:p>
      <w:pPr>
        <w:pStyle w:val="6"/>
        <w:rPr>
          <w:rFonts w:ascii="宋体" w:hAnsi="宋体"/>
          <w:color w:val="auto"/>
          <w:highlight w:val="none"/>
        </w:rPr>
      </w:pPr>
      <w:bookmarkStart w:id="35" w:name="_Toc17392"/>
      <w:r>
        <w:rPr>
          <w:rFonts w:hint="eastAsia" w:ascii="宋体" w:hAnsi="宋体"/>
          <w:color w:val="auto"/>
          <w:highlight w:val="none"/>
        </w:rPr>
        <w:t>3、招标方式</w:t>
      </w:r>
      <w:bookmarkEnd w:id="35"/>
    </w:p>
    <w:p>
      <w:pPr>
        <w:adjustRightInd w:val="0"/>
        <w:snapToGrid w:val="0"/>
        <w:spacing w:line="400" w:lineRule="exact"/>
        <w:ind w:firstLine="480" w:firstLineChars="200"/>
        <w:jc w:val="left"/>
        <w:rPr>
          <w:rFonts w:ascii="宋体" w:hAnsi="宋体" w:cstheme="majorEastAsia"/>
          <w:color w:val="auto"/>
          <w:sz w:val="24"/>
          <w:szCs w:val="24"/>
          <w:highlight w:val="none"/>
        </w:rPr>
      </w:pPr>
      <w:r>
        <w:rPr>
          <w:rFonts w:hint="eastAsia" w:ascii="宋体" w:hAnsi="宋体" w:cstheme="majorEastAsia"/>
          <w:color w:val="auto"/>
          <w:sz w:val="24"/>
          <w:szCs w:val="24"/>
          <w:highlight w:val="none"/>
        </w:rPr>
        <w:t>本项目采用公开招标方式进行。</w:t>
      </w:r>
    </w:p>
    <w:p>
      <w:pPr>
        <w:pStyle w:val="6"/>
        <w:rPr>
          <w:rFonts w:ascii="宋体" w:hAnsi="宋体"/>
          <w:color w:val="auto"/>
          <w:highlight w:val="none"/>
        </w:rPr>
      </w:pPr>
      <w:bookmarkStart w:id="36" w:name="_Toc32376"/>
      <w:r>
        <w:rPr>
          <w:rFonts w:hint="eastAsia" w:ascii="宋体" w:hAnsi="宋体"/>
          <w:color w:val="auto"/>
          <w:highlight w:val="none"/>
        </w:rPr>
        <w:t>4、投标委托</w:t>
      </w:r>
      <w:bookmarkEnd w:id="36"/>
    </w:p>
    <w:p>
      <w:pPr>
        <w:adjustRightInd w:val="0"/>
        <w:snapToGrid w:val="0"/>
        <w:spacing w:line="500" w:lineRule="exact"/>
        <w:ind w:firstLine="464" w:firstLineChars="200"/>
        <w:jc w:val="left"/>
        <w:rPr>
          <w:rFonts w:ascii="宋体" w:hAnsi="宋体" w:cstheme="majorEastAsia"/>
          <w:color w:val="auto"/>
          <w:spacing w:val="-4"/>
          <w:sz w:val="24"/>
          <w:szCs w:val="24"/>
          <w:highlight w:val="none"/>
        </w:rPr>
      </w:pPr>
      <w:r>
        <w:rPr>
          <w:rFonts w:hint="eastAsia" w:ascii="宋体" w:hAnsi="宋体" w:cstheme="majorEastAsia"/>
          <w:color w:val="auto"/>
          <w:spacing w:val="-4"/>
          <w:sz w:val="24"/>
          <w:szCs w:val="24"/>
          <w:highlight w:val="none"/>
        </w:rPr>
        <w:t>投标人代表须携带有效身份证件。如投标人代表不是法定代表人（负责人、自然人），须有法定代表人（负责人、自然人）出具的授权委托书（格式见第五章）。</w:t>
      </w:r>
    </w:p>
    <w:p>
      <w:pPr>
        <w:pStyle w:val="6"/>
        <w:rPr>
          <w:rFonts w:ascii="宋体" w:hAnsi="宋体"/>
          <w:color w:val="auto"/>
          <w:highlight w:val="none"/>
        </w:rPr>
      </w:pPr>
      <w:bookmarkStart w:id="37" w:name="_Toc21031"/>
      <w:r>
        <w:rPr>
          <w:rFonts w:hint="eastAsia" w:ascii="宋体" w:hAnsi="宋体"/>
          <w:color w:val="auto"/>
          <w:highlight w:val="none"/>
        </w:rPr>
        <w:t>5、投标费用</w:t>
      </w:r>
      <w:bookmarkEnd w:id="37"/>
    </w:p>
    <w:p>
      <w:pPr>
        <w:adjustRightInd w:val="0"/>
        <w:snapToGrid w:val="0"/>
        <w:spacing w:line="400" w:lineRule="exact"/>
        <w:ind w:firstLine="480" w:firstLineChars="200"/>
        <w:jc w:val="left"/>
        <w:rPr>
          <w:rFonts w:ascii="宋体" w:hAnsi="宋体" w:cstheme="majorEastAsia"/>
          <w:color w:val="auto"/>
          <w:sz w:val="24"/>
          <w:szCs w:val="24"/>
          <w:highlight w:val="none"/>
        </w:rPr>
      </w:pPr>
      <w:r>
        <w:rPr>
          <w:rFonts w:hint="eastAsia" w:ascii="宋体" w:hAnsi="宋体" w:cstheme="majorEastAsia"/>
          <w:color w:val="auto"/>
          <w:sz w:val="24"/>
          <w:szCs w:val="24"/>
          <w:highlight w:val="none"/>
        </w:rPr>
        <w:t>不论投标结果如何，投标人均应自行承担所有与投标有关的全部费用。</w:t>
      </w:r>
    </w:p>
    <w:p>
      <w:pPr>
        <w:pStyle w:val="6"/>
        <w:rPr>
          <w:rFonts w:ascii="宋体" w:hAnsi="宋体"/>
          <w:color w:val="auto"/>
          <w:highlight w:val="none"/>
        </w:rPr>
      </w:pPr>
      <w:bookmarkStart w:id="38" w:name="_Toc505"/>
      <w:r>
        <w:rPr>
          <w:rFonts w:hint="eastAsia" w:ascii="宋体" w:hAnsi="宋体"/>
          <w:color w:val="auto"/>
          <w:highlight w:val="none"/>
        </w:rPr>
        <w:t>6、分包转包</w:t>
      </w:r>
      <w:bookmarkEnd w:id="38"/>
    </w:p>
    <w:p>
      <w:pPr>
        <w:adjustRightInd w:val="0"/>
        <w:snapToGrid w:val="0"/>
        <w:spacing w:line="400" w:lineRule="exact"/>
        <w:ind w:firstLine="480" w:firstLineChars="200"/>
        <w:jc w:val="left"/>
        <w:rPr>
          <w:rFonts w:ascii="宋体" w:hAnsi="宋体" w:cstheme="majorEastAsia"/>
          <w:color w:val="auto"/>
          <w:sz w:val="24"/>
          <w:szCs w:val="24"/>
          <w:highlight w:val="none"/>
        </w:rPr>
      </w:pPr>
      <w:r>
        <w:rPr>
          <w:rFonts w:hint="eastAsia" w:ascii="宋体" w:hAnsi="宋体" w:cstheme="majorEastAsia"/>
          <w:color w:val="auto"/>
          <w:sz w:val="24"/>
          <w:szCs w:val="24"/>
          <w:highlight w:val="none"/>
        </w:rPr>
        <w:t>本项目不允许分包和转包。</w:t>
      </w:r>
    </w:p>
    <w:p>
      <w:pPr>
        <w:pStyle w:val="6"/>
        <w:rPr>
          <w:rFonts w:ascii="宋体" w:hAnsi="宋体"/>
          <w:color w:val="auto"/>
          <w:highlight w:val="none"/>
        </w:rPr>
      </w:pPr>
      <w:bookmarkStart w:id="39" w:name="_Toc5076"/>
      <w:r>
        <w:rPr>
          <w:rFonts w:hint="eastAsia" w:ascii="宋体" w:hAnsi="宋体"/>
          <w:color w:val="auto"/>
          <w:highlight w:val="none"/>
        </w:rPr>
        <w:t>7、提供相同品牌产品处理</w:t>
      </w:r>
      <w:bookmarkEnd w:id="39"/>
    </w:p>
    <w:p>
      <w:pPr>
        <w:adjustRightInd w:val="0"/>
        <w:snapToGrid w:val="0"/>
        <w:spacing w:line="500" w:lineRule="exact"/>
        <w:ind w:firstLine="470" w:firstLineChars="196"/>
        <w:jc w:val="left"/>
        <w:rPr>
          <w:rFonts w:ascii="宋体" w:hAnsi="宋体" w:cstheme="majorEastAsia"/>
          <w:color w:val="auto"/>
          <w:sz w:val="24"/>
          <w:szCs w:val="24"/>
          <w:highlight w:val="none"/>
        </w:rPr>
      </w:pPr>
      <w:r>
        <w:rPr>
          <w:rFonts w:hint="eastAsia" w:ascii="宋体" w:hAnsi="宋体" w:cstheme="majorEastAsia"/>
          <w:color w:val="auto"/>
          <w:sz w:val="24"/>
          <w:szCs w:val="24"/>
          <w:highlight w:val="none"/>
        </w:rPr>
        <w:t xml:space="preserve">提供相同品牌产品且通过资格审查、符合性审查的不同投标人参加同一合同项下投标的，按一家投标人计算，评审后得分最高的同品牌投标人获得中标人推荐资格；评审得分相同的，商务部分得分最高的获得中标人推荐资格，商务部分得分相同的采取随机抽取方式确定，其他同品牌投标人不作为中标候选人。 </w:t>
      </w:r>
    </w:p>
    <w:p>
      <w:pPr>
        <w:adjustRightInd w:val="0"/>
        <w:snapToGrid w:val="0"/>
        <w:spacing w:line="500" w:lineRule="exact"/>
        <w:ind w:firstLine="470" w:firstLineChars="196"/>
        <w:jc w:val="left"/>
        <w:rPr>
          <w:rFonts w:ascii="宋体" w:hAnsi="宋体" w:cstheme="majorEastAsia"/>
          <w:color w:val="auto"/>
          <w:sz w:val="24"/>
          <w:szCs w:val="24"/>
          <w:highlight w:val="none"/>
        </w:rPr>
      </w:pPr>
      <w:r>
        <w:rPr>
          <w:rFonts w:hint="eastAsia" w:ascii="宋体" w:hAnsi="宋体" w:cstheme="majorEastAsia"/>
          <w:color w:val="auto"/>
          <w:sz w:val="24"/>
          <w:szCs w:val="24"/>
          <w:highlight w:val="none"/>
        </w:rPr>
        <w:t>非单一产品采购项目，采购人应当根据采购项目技术构成、产品价格比重等合理确定核心产品，并在招标文件中载明。多家投标人提供的任一核心产品品牌相同的，按前款规定处理。</w:t>
      </w:r>
    </w:p>
    <w:p>
      <w:pPr>
        <w:pStyle w:val="6"/>
        <w:rPr>
          <w:rFonts w:ascii="宋体" w:hAnsi="宋体"/>
          <w:color w:val="auto"/>
          <w:highlight w:val="none"/>
        </w:rPr>
      </w:pPr>
      <w:bookmarkStart w:id="40" w:name="_Toc21631"/>
      <w:r>
        <w:rPr>
          <w:rFonts w:hint="eastAsia" w:ascii="宋体" w:hAnsi="宋体"/>
          <w:color w:val="auto"/>
          <w:highlight w:val="none"/>
        </w:rPr>
        <w:t>8、特别说明：</w:t>
      </w:r>
      <w:bookmarkEnd w:id="40"/>
    </w:p>
    <w:p>
      <w:pPr>
        <w:adjustRightInd w:val="0"/>
        <w:snapToGrid w:val="0"/>
        <w:spacing w:line="500" w:lineRule="exact"/>
        <w:ind w:firstLine="470" w:firstLineChars="196"/>
        <w:jc w:val="left"/>
        <w:rPr>
          <w:rFonts w:ascii="宋体" w:hAnsi="宋体" w:cstheme="majorEastAsia"/>
          <w:b/>
          <w:color w:val="auto"/>
          <w:sz w:val="24"/>
          <w:szCs w:val="24"/>
          <w:highlight w:val="none"/>
        </w:rPr>
      </w:pPr>
      <w:r>
        <w:rPr>
          <w:rFonts w:hint="eastAsia" w:ascii="宋体" w:hAnsi="宋体" w:cstheme="majorEastAsia"/>
          <w:color w:val="auto"/>
          <w:sz w:val="24"/>
          <w:szCs w:val="24"/>
          <w:highlight w:val="none"/>
        </w:rPr>
        <w:t>8.1 投标人投标所使用的资格、信誉、荣誉、业绩与认证证书必须为本法人（其他组织、个人）所拥有。投标人投标所使用的项目实施人员必须为本法人（其他组织）或控股公司正式员工（提供社保证明）。</w:t>
      </w:r>
    </w:p>
    <w:p>
      <w:pPr>
        <w:adjustRightInd w:val="0"/>
        <w:snapToGrid w:val="0"/>
        <w:spacing w:line="500" w:lineRule="exact"/>
        <w:ind w:left="2" w:leftChars="1" w:firstLine="480" w:firstLineChars="200"/>
        <w:rPr>
          <w:rFonts w:ascii="宋体" w:hAnsi="宋体" w:cstheme="majorEastAsia"/>
          <w:color w:val="auto"/>
          <w:sz w:val="24"/>
          <w:szCs w:val="24"/>
          <w:highlight w:val="none"/>
        </w:rPr>
      </w:pPr>
      <w:r>
        <w:rPr>
          <w:rFonts w:hint="eastAsia" w:ascii="宋体" w:hAnsi="宋体" w:cstheme="majorEastAsia"/>
          <w:color w:val="auto"/>
          <w:sz w:val="24"/>
          <w:szCs w:val="24"/>
          <w:highlight w:val="none"/>
        </w:rPr>
        <w:t>8.2 投标人应仔细阅读招标文件的所有内容，按照招标文件的要求提交投标文件，并对所提供的全部资料的真实性承担法律责任。</w:t>
      </w:r>
    </w:p>
    <w:p>
      <w:pPr>
        <w:adjustRightInd w:val="0"/>
        <w:snapToGrid w:val="0"/>
        <w:spacing w:line="500" w:lineRule="exact"/>
        <w:ind w:left="2" w:leftChars="1" w:firstLine="480" w:firstLineChars="200"/>
        <w:rPr>
          <w:rFonts w:ascii="宋体" w:hAnsi="宋体" w:cstheme="majorEastAsia"/>
          <w:color w:val="auto"/>
          <w:sz w:val="24"/>
          <w:szCs w:val="24"/>
          <w:highlight w:val="none"/>
        </w:rPr>
      </w:pPr>
      <w:r>
        <w:rPr>
          <w:rFonts w:hint="eastAsia" w:ascii="宋体" w:hAnsi="宋体" w:cstheme="majorEastAsia"/>
          <w:color w:val="auto"/>
          <w:sz w:val="24"/>
          <w:szCs w:val="24"/>
          <w:highlight w:val="none"/>
        </w:rPr>
        <w:t>8.3 投标人在投标活动中提供任何虚假材料,其投标无效，并报监管部门查处；中标后发现的,中标人须依照《中华人民共和国消费者权益保护法》第49条之规定双倍赔偿采购人，且民事赔偿并不免除违法投标人的行政与刑事责任。</w:t>
      </w:r>
    </w:p>
    <w:p>
      <w:pPr>
        <w:pStyle w:val="6"/>
        <w:rPr>
          <w:rFonts w:ascii="宋体" w:hAnsi="宋体"/>
          <w:color w:val="auto"/>
          <w:highlight w:val="none"/>
        </w:rPr>
      </w:pPr>
      <w:bookmarkStart w:id="41" w:name="_Toc24888"/>
      <w:r>
        <w:rPr>
          <w:rFonts w:hint="eastAsia" w:ascii="宋体" w:hAnsi="宋体"/>
          <w:color w:val="auto"/>
          <w:highlight w:val="none"/>
        </w:rPr>
        <w:t>9、质疑</w:t>
      </w:r>
      <w:bookmarkEnd w:id="41"/>
    </w:p>
    <w:p>
      <w:pPr>
        <w:adjustRightInd w:val="0"/>
        <w:snapToGrid w:val="0"/>
        <w:spacing w:line="500" w:lineRule="exact"/>
        <w:ind w:firstLine="480" w:firstLineChars="200"/>
        <w:rPr>
          <w:rFonts w:ascii="宋体" w:hAnsi="宋体" w:cstheme="majorEastAsia"/>
          <w:color w:val="auto"/>
          <w:sz w:val="24"/>
          <w:szCs w:val="24"/>
          <w:highlight w:val="none"/>
        </w:rPr>
      </w:pPr>
      <w:r>
        <w:rPr>
          <w:rFonts w:hint="eastAsia" w:ascii="宋体" w:hAnsi="宋体" w:cstheme="majorEastAsia"/>
          <w:color w:val="auto"/>
          <w:sz w:val="24"/>
          <w:szCs w:val="24"/>
          <w:highlight w:val="none"/>
        </w:rPr>
        <w:t>9.1供应商认为招标文件、采购过程和中标、成交结果使自己的权益受到损害的，可以在知道或者应知其权益受到损害之日起七个工作日内，以书面形式向采购人提出质疑。</w:t>
      </w:r>
      <w:r>
        <w:rPr>
          <w:rFonts w:hint="eastAsia" w:ascii="宋体" w:hAnsi="宋体" w:cstheme="majorEastAsia"/>
          <w:bCs/>
          <w:color w:val="auto"/>
          <w:sz w:val="24"/>
          <w:szCs w:val="24"/>
          <w:highlight w:val="none"/>
        </w:rPr>
        <w:t>投标人应在法定质疑期内一次性提出针对同一采购程序环节的质疑。</w:t>
      </w:r>
    </w:p>
    <w:p>
      <w:pPr>
        <w:adjustRightInd w:val="0"/>
        <w:snapToGrid w:val="0"/>
        <w:spacing w:line="500" w:lineRule="exact"/>
        <w:ind w:firstLine="480" w:firstLineChars="200"/>
        <w:rPr>
          <w:rFonts w:ascii="宋体" w:hAnsi="宋体" w:cstheme="majorEastAsia"/>
          <w:color w:val="auto"/>
          <w:sz w:val="24"/>
          <w:szCs w:val="24"/>
          <w:highlight w:val="none"/>
        </w:rPr>
      </w:pPr>
      <w:r>
        <w:rPr>
          <w:rFonts w:hint="eastAsia" w:ascii="宋体" w:hAnsi="宋体" w:cstheme="majorEastAsia"/>
          <w:color w:val="auto"/>
          <w:sz w:val="24"/>
          <w:szCs w:val="24"/>
          <w:highlight w:val="none"/>
        </w:rPr>
        <w:t>质疑供应商对采购人、采购代理机构的答复不满意或者采购人、采购代理机构未在规定的时间内作出答复的，可以在答复期满后十五个工作日内向同级政府采购监督管理部门投诉。</w:t>
      </w:r>
    </w:p>
    <w:p>
      <w:pPr>
        <w:adjustRightInd w:val="0"/>
        <w:snapToGrid w:val="0"/>
        <w:spacing w:line="500" w:lineRule="exact"/>
        <w:ind w:firstLine="480" w:firstLineChars="200"/>
        <w:rPr>
          <w:rFonts w:ascii="宋体" w:hAnsi="宋体" w:cstheme="majorEastAsia"/>
          <w:bCs/>
          <w:color w:val="auto"/>
          <w:sz w:val="24"/>
          <w:szCs w:val="24"/>
          <w:highlight w:val="none"/>
        </w:rPr>
      </w:pPr>
      <w:r>
        <w:rPr>
          <w:rFonts w:hint="eastAsia" w:ascii="宋体" w:hAnsi="宋体" w:cstheme="majorEastAsia"/>
          <w:bCs/>
          <w:color w:val="auto"/>
          <w:sz w:val="24"/>
          <w:szCs w:val="24"/>
          <w:highlight w:val="none"/>
        </w:rPr>
        <w:t>9.2 质疑、投诉应当采用书面形式，质疑书、投诉书均应明确阐述招标文件、招标过程或中标结果中使自己合法权益受到损害的实质性内容，提供相关事实、依据和证据及其来源或线索，便于有关单位调查、答复和处理。</w:t>
      </w:r>
    </w:p>
    <w:p>
      <w:pPr>
        <w:adjustRightInd w:val="0"/>
        <w:snapToGrid w:val="0"/>
        <w:spacing w:line="500" w:lineRule="exact"/>
        <w:ind w:firstLine="480" w:firstLineChars="200"/>
        <w:rPr>
          <w:rFonts w:ascii="宋体" w:hAnsi="宋体" w:cstheme="majorEastAsia"/>
          <w:bCs/>
          <w:color w:val="auto"/>
          <w:sz w:val="24"/>
          <w:szCs w:val="24"/>
          <w:highlight w:val="none"/>
        </w:rPr>
      </w:pPr>
      <w:r>
        <w:rPr>
          <w:rFonts w:hint="eastAsia" w:ascii="宋体" w:hAnsi="宋体" w:cstheme="majorEastAsia"/>
          <w:bCs/>
          <w:color w:val="auto"/>
          <w:sz w:val="24"/>
          <w:szCs w:val="24"/>
          <w:highlight w:val="none"/>
        </w:rPr>
        <w:t>9.3质疑（投诉）书应载明质疑（投诉）人全称、地址、邮编、传真、联系人、联系电话，电子邮箱。投标人可以委托代理人进行质疑和投诉，其授权委托书应当载明代理人的姓名或者名称、代理事项、具体权限、期限和相关事项。投标人为自然人的，应当由本人签字；投标人为法人或者其他组织的，应当由法定代表人、主要负责人签字或者盖章，并加盖公章。投标人委托代理人提出质疑（投诉），应当提交供应商签署的授权委托书。质疑（投诉）书必须有联系人署名。（质疑函格式见本文件质疑函范本）</w:t>
      </w:r>
    </w:p>
    <w:p>
      <w:pPr>
        <w:pStyle w:val="5"/>
        <w:rPr>
          <w:rFonts w:ascii="宋体" w:hAnsi="宋体"/>
          <w:color w:val="auto"/>
          <w:highlight w:val="none"/>
        </w:rPr>
      </w:pPr>
      <w:bookmarkStart w:id="42" w:name="_Toc12925"/>
      <w:bookmarkStart w:id="43" w:name="_Toc31383"/>
      <w:r>
        <w:rPr>
          <w:rFonts w:hint="eastAsia" w:ascii="宋体" w:hAnsi="宋体"/>
          <w:color w:val="auto"/>
          <w:highlight w:val="none"/>
        </w:rPr>
        <w:t>二、</w:t>
      </w:r>
      <w:bookmarkEnd w:id="42"/>
      <w:bookmarkEnd w:id="43"/>
      <w:bookmarkStart w:id="44" w:name="_Toc9510636"/>
      <w:r>
        <w:rPr>
          <w:rFonts w:hint="eastAsia" w:ascii="宋体" w:hAnsi="宋体"/>
          <w:color w:val="auto"/>
          <w:highlight w:val="none"/>
        </w:rPr>
        <w:t>招标文件</w:t>
      </w:r>
    </w:p>
    <w:p>
      <w:pPr>
        <w:pStyle w:val="6"/>
        <w:rPr>
          <w:rFonts w:ascii="宋体" w:hAnsi="宋体"/>
          <w:color w:val="auto"/>
          <w:highlight w:val="none"/>
        </w:rPr>
      </w:pPr>
      <w:bookmarkStart w:id="45" w:name="_Toc11465"/>
      <w:r>
        <w:rPr>
          <w:rFonts w:hint="eastAsia" w:ascii="宋体" w:hAnsi="宋体"/>
          <w:color w:val="auto"/>
          <w:highlight w:val="none"/>
        </w:rPr>
        <w:t>10、</w:t>
      </w:r>
      <w:bookmarkEnd w:id="44"/>
      <w:r>
        <w:rPr>
          <w:rFonts w:hint="eastAsia" w:ascii="宋体" w:hAnsi="宋体"/>
          <w:color w:val="auto"/>
          <w:highlight w:val="none"/>
        </w:rPr>
        <w:t>招标文件的构成</w:t>
      </w:r>
      <w:bookmarkEnd w:id="45"/>
      <w:r>
        <w:rPr>
          <w:rFonts w:hint="eastAsia" w:ascii="宋体" w:hAnsi="宋体" w:cstheme="majorEastAsia"/>
          <w:b w:val="0"/>
          <w:bCs w:val="0"/>
          <w:color w:val="auto"/>
          <w:sz w:val="24"/>
          <w:szCs w:val="24"/>
          <w:highlight w:val="none"/>
        </w:rPr>
        <w:t>（详见本招标文件目录明细）</w:t>
      </w:r>
    </w:p>
    <w:p>
      <w:pPr>
        <w:pStyle w:val="6"/>
        <w:rPr>
          <w:rFonts w:ascii="宋体" w:hAnsi="宋体"/>
          <w:color w:val="auto"/>
          <w:highlight w:val="none"/>
        </w:rPr>
      </w:pPr>
      <w:bookmarkStart w:id="46" w:name="_Toc9329"/>
      <w:r>
        <w:rPr>
          <w:rFonts w:hint="eastAsia" w:ascii="宋体" w:hAnsi="宋体"/>
          <w:color w:val="auto"/>
          <w:highlight w:val="none"/>
        </w:rPr>
        <w:t>11、投标人的风险</w:t>
      </w:r>
      <w:bookmarkEnd w:id="46"/>
    </w:p>
    <w:p>
      <w:pPr>
        <w:adjustRightInd w:val="0"/>
        <w:snapToGrid w:val="0"/>
        <w:spacing w:line="500" w:lineRule="exact"/>
        <w:ind w:firstLine="480" w:firstLineChars="200"/>
        <w:jc w:val="left"/>
        <w:rPr>
          <w:rFonts w:ascii="宋体" w:hAnsi="宋体" w:cstheme="majorEastAsia"/>
          <w:color w:val="auto"/>
          <w:sz w:val="24"/>
          <w:szCs w:val="24"/>
          <w:highlight w:val="none"/>
        </w:rPr>
      </w:pPr>
      <w:r>
        <w:rPr>
          <w:rFonts w:hint="eastAsia" w:ascii="宋体" w:hAnsi="宋体" w:cstheme="majorEastAsia"/>
          <w:color w:val="auto"/>
          <w:sz w:val="24"/>
          <w:szCs w:val="24"/>
          <w:highlight w:val="none"/>
        </w:rPr>
        <w:t>投标人没有按照招标文件要求提供全部资料，或者投标人没有对招标文件在各方面作出实质性响应是投标人的风险，并可能导致其投标被拒绝。</w:t>
      </w:r>
    </w:p>
    <w:p>
      <w:pPr>
        <w:pStyle w:val="6"/>
        <w:rPr>
          <w:rFonts w:ascii="宋体" w:hAnsi="宋体"/>
          <w:color w:val="auto"/>
          <w:highlight w:val="none"/>
        </w:rPr>
      </w:pPr>
      <w:bookmarkStart w:id="47" w:name="_Toc14128"/>
      <w:r>
        <w:rPr>
          <w:rFonts w:hint="eastAsia" w:ascii="宋体" w:hAnsi="宋体"/>
          <w:color w:val="auto"/>
          <w:highlight w:val="none"/>
        </w:rPr>
        <w:t>1</w:t>
      </w:r>
      <w:bookmarkStart w:id="48" w:name="_Toc9510637"/>
      <w:r>
        <w:rPr>
          <w:rFonts w:hint="eastAsia" w:ascii="宋体" w:hAnsi="宋体"/>
          <w:color w:val="auto"/>
          <w:highlight w:val="none"/>
        </w:rPr>
        <w:t>2、招标文件的澄清与修改</w:t>
      </w:r>
      <w:bookmarkEnd w:id="47"/>
    </w:p>
    <w:p>
      <w:pPr>
        <w:spacing w:line="50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12.1采购人或采购代理机构对已发出的招标文件进行必要澄清或者修改的，应当在投标人须知前附表规定的提交投标文件截止时间15日前，在原刊登招标公告的媒体上发布更正公告，并以书面形式通知所有招标文件收受人。</w:t>
      </w:r>
    </w:p>
    <w:p>
      <w:pPr>
        <w:spacing w:line="50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12.2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pPr>
        <w:spacing w:line="50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12.3澄清或者修改内容为招标文件的组成部分，对所有领取了招标文件的潜在投标人均具有约束力。</w:t>
      </w:r>
    </w:p>
    <w:p>
      <w:pPr>
        <w:pStyle w:val="5"/>
        <w:rPr>
          <w:rFonts w:ascii="宋体" w:hAnsi="宋体"/>
          <w:color w:val="auto"/>
          <w:highlight w:val="none"/>
        </w:rPr>
      </w:pPr>
      <w:bookmarkStart w:id="49" w:name="_Toc25731"/>
      <w:bookmarkStart w:id="50" w:name="_Toc3009"/>
      <w:r>
        <w:rPr>
          <w:rFonts w:hint="eastAsia" w:ascii="宋体" w:hAnsi="宋体"/>
          <w:color w:val="auto"/>
          <w:highlight w:val="none"/>
        </w:rPr>
        <w:t>三、投标文件的编制</w:t>
      </w:r>
      <w:bookmarkEnd w:id="49"/>
      <w:bookmarkEnd w:id="50"/>
    </w:p>
    <w:bookmarkEnd w:id="48"/>
    <w:p>
      <w:pPr>
        <w:adjustRightInd w:val="0"/>
        <w:snapToGrid w:val="0"/>
        <w:spacing w:line="500" w:lineRule="exact"/>
        <w:ind w:firstLine="472" w:firstLineChars="196"/>
        <w:jc w:val="left"/>
        <w:rPr>
          <w:rFonts w:ascii="宋体" w:hAnsi="宋体" w:cstheme="majorEastAsia"/>
          <w:b/>
          <w:color w:val="auto"/>
          <w:sz w:val="24"/>
          <w:szCs w:val="24"/>
          <w:highlight w:val="none"/>
        </w:rPr>
      </w:pPr>
      <w:r>
        <w:rPr>
          <w:rFonts w:hint="eastAsia" w:ascii="宋体" w:hAnsi="宋体" w:cstheme="majorEastAsia"/>
          <w:b/>
          <w:color w:val="auto"/>
          <w:sz w:val="24"/>
          <w:szCs w:val="24"/>
          <w:highlight w:val="none"/>
        </w:rPr>
        <w:t>投标人应认真阅读招标文件中所有的事项、格式、条款和技术要求等内容。如果投标人没有按照招标文件的要求和规定编制投标文件及提交全部资料，或者投标文件没有对招标文件中的各方面作出实质性响应，其风险应由投标人承担。投标文件应按照每包的要求编制并独立密封，不得混装，否则视为无效标。</w:t>
      </w:r>
    </w:p>
    <w:p>
      <w:pPr>
        <w:pStyle w:val="6"/>
        <w:rPr>
          <w:rFonts w:ascii="宋体" w:hAnsi="宋体"/>
          <w:color w:val="auto"/>
          <w:highlight w:val="none"/>
        </w:rPr>
      </w:pPr>
      <w:bookmarkStart w:id="51" w:name="_Toc29638"/>
      <w:r>
        <w:rPr>
          <w:rFonts w:hint="eastAsia" w:ascii="宋体" w:hAnsi="宋体"/>
          <w:color w:val="auto"/>
          <w:highlight w:val="none"/>
        </w:rPr>
        <w:t>13、投标文件的组成</w:t>
      </w:r>
      <w:bookmarkEnd w:id="51"/>
    </w:p>
    <w:p>
      <w:pPr>
        <w:adjustRightInd w:val="0"/>
        <w:snapToGrid w:val="0"/>
        <w:spacing w:line="500" w:lineRule="exact"/>
        <w:ind w:firstLine="472" w:firstLineChars="196"/>
        <w:jc w:val="left"/>
        <w:rPr>
          <w:rFonts w:ascii="宋体" w:hAnsi="宋体" w:cstheme="majorEastAsia"/>
          <w:b/>
          <w:color w:val="auto"/>
          <w:sz w:val="24"/>
          <w:szCs w:val="24"/>
          <w:highlight w:val="none"/>
        </w:rPr>
      </w:pPr>
      <w:r>
        <w:rPr>
          <w:rFonts w:hint="eastAsia" w:ascii="宋体" w:hAnsi="宋体" w:cstheme="majorEastAsia"/>
          <w:b/>
          <w:color w:val="auto"/>
          <w:sz w:val="24"/>
          <w:szCs w:val="24"/>
          <w:highlight w:val="none"/>
        </w:rPr>
        <w:t>投标文件由报价文件、商务技术文件组成，其中报价文件单独装订成一册（正本1份，副本4份）；商务技术文件装订成一册（正本1份，副本4份）。</w:t>
      </w:r>
    </w:p>
    <w:p>
      <w:pPr>
        <w:adjustRightInd w:val="0"/>
        <w:snapToGrid w:val="0"/>
        <w:spacing w:line="500" w:lineRule="exact"/>
        <w:ind w:firstLine="472" w:firstLineChars="196"/>
        <w:jc w:val="left"/>
        <w:rPr>
          <w:rFonts w:ascii="宋体" w:hAnsi="宋体" w:cstheme="majorEastAsia"/>
          <w:b/>
          <w:color w:val="auto"/>
          <w:sz w:val="24"/>
          <w:szCs w:val="24"/>
          <w:highlight w:val="none"/>
        </w:rPr>
      </w:pPr>
      <w:r>
        <w:rPr>
          <w:rFonts w:hint="eastAsia" w:ascii="宋体" w:hAnsi="宋体" w:cstheme="majorEastAsia"/>
          <w:b/>
          <w:color w:val="auto"/>
          <w:sz w:val="24"/>
          <w:szCs w:val="24"/>
          <w:highlight w:val="none"/>
        </w:rPr>
        <w:t>13.1 报价文件</w:t>
      </w:r>
    </w:p>
    <w:p>
      <w:pPr>
        <w:tabs>
          <w:tab w:val="left" w:pos="3870"/>
          <w:tab w:val="left" w:pos="4085"/>
        </w:tabs>
        <w:adjustRightInd w:val="0"/>
        <w:snapToGrid w:val="0"/>
        <w:spacing w:line="500" w:lineRule="exact"/>
        <w:ind w:firstLine="480" w:firstLineChars="200"/>
        <w:jc w:val="left"/>
        <w:rPr>
          <w:rFonts w:ascii="宋体" w:hAnsi="宋体" w:cstheme="majorEastAsia"/>
          <w:color w:val="auto"/>
          <w:sz w:val="24"/>
          <w:szCs w:val="24"/>
          <w:highlight w:val="none"/>
        </w:rPr>
      </w:pPr>
      <w:r>
        <w:rPr>
          <w:rFonts w:hint="eastAsia" w:ascii="宋体" w:hAnsi="宋体" w:cstheme="majorEastAsia"/>
          <w:color w:val="auto"/>
          <w:sz w:val="24"/>
          <w:szCs w:val="24"/>
          <w:highlight w:val="none"/>
        </w:rPr>
        <w:t>（1）投标函（格式见附件）；</w:t>
      </w:r>
    </w:p>
    <w:p>
      <w:pPr>
        <w:tabs>
          <w:tab w:val="left" w:pos="3870"/>
          <w:tab w:val="left" w:pos="4085"/>
        </w:tabs>
        <w:adjustRightInd w:val="0"/>
        <w:snapToGrid w:val="0"/>
        <w:spacing w:line="500" w:lineRule="exact"/>
        <w:ind w:firstLine="480" w:firstLineChars="200"/>
        <w:jc w:val="left"/>
        <w:rPr>
          <w:rFonts w:ascii="宋体" w:hAnsi="宋体" w:cstheme="majorEastAsia"/>
          <w:color w:val="auto"/>
          <w:sz w:val="24"/>
          <w:szCs w:val="24"/>
          <w:highlight w:val="none"/>
        </w:rPr>
      </w:pPr>
      <w:r>
        <w:rPr>
          <w:rFonts w:hint="eastAsia" w:ascii="宋体" w:hAnsi="宋体" w:cstheme="majorEastAsia"/>
          <w:color w:val="auto"/>
          <w:sz w:val="24"/>
          <w:szCs w:val="24"/>
          <w:highlight w:val="none"/>
        </w:rPr>
        <w:t>（2）开标一览表（格式见附件）；</w:t>
      </w:r>
    </w:p>
    <w:p>
      <w:pPr>
        <w:adjustRightInd w:val="0"/>
        <w:snapToGrid w:val="0"/>
        <w:spacing w:line="500" w:lineRule="exact"/>
        <w:ind w:firstLine="480" w:firstLineChars="200"/>
        <w:rPr>
          <w:rFonts w:ascii="宋体" w:hAnsi="宋体" w:cstheme="majorEastAsia"/>
          <w:color w:val="auto"/>
          <w:sz w:val="24"/>
          <w:szCs w:val="24"/>
          <w:highlight w:val="none"/>
        </w:rPr>
      </w:pPr>
      <w:r>
        <w:rPr>
          <w:rFonts w:hint="eastAsia" w:ascii="宋体" w:hAnsi="宋体" w:cstheme="majorEastAsia"/>
          <w:color w:val="auto"/>
          <w:sz w:val="24"/>
          <w:szCs w:val="24"/>
          <w:highlight w:val="none"/>
        </w:rPr>
        <w:t>（3）投标报价明细表（格式见附件）；</w:t>
      </w:r>
    </w:p>
    <w:p>
      <w:pPr>
        <w:adjustRightInd w:val="0"/>
        <w:snapToGrid w:val="0"/>
        <w:spacing w:line="500" w:lineRule="exact"/>
        <w:ind w:firstLine="480" w:firstLineChars="200"/>
        <w:rPr>
          <w:rFonts w:ascii="宋体" w:hAnsi="宋体" w:cstheme="majorEastAsia"/>
          <w:color w:val="auto"/>
          <w:sz w:val="24"/>
          <w:szCs w:val="24"/>
          <w:highlight w:val="none"/>
        </w:rPr>
      </w:pPr>
      <w:r>
        <w:rPr>
          <w:rFonts w:hint="eastAsia" w:ascii="宋体" w:hAnsi="宋体" w:cstheme="majorEastAsia"/>
          <w:color w:val="auto"/>
          <w:sz w:val="24"/>
          <w:szCs w:val="24"/>
          <w:highlight w:val="none"/>
        </w:rPr>
        <w:t>（4）投标保证金缴纳凭证复印件；</w:t>
      </w:r>
    </w:p>
    <w:p>
      <w:pPr>
        <w:adjustRightInd w:val="0"/>
        <w:snapToGrid w:val="0"/>
        <w:spacing w:line="500" w:lineRule="exact"/>
        <w:ind w:firstLine="480" w:firstLineChars="200"/>
        <w:rPr>
          <w:rFonts w:ascii="宋体" w:hAnsi="宋体" w:cstheme="majorEastAsia"/>
          <w:color w:val="auto"/>
          <w:sz w:val="24"/>
          <w:szCs w:val="24"/>
          <w:highlight w:val="none"/>
        </w:rPr>
      </w:pPr>
      <w:r>
        <w:rPr>
          <w:rFonts w:hint="eastAsia" w:ascii="宋体" w:hAnsi="宋体" w:cstheme="majorEastAsia"/>
          <w:color w:val="auto"/>
          <w:sz w:val="24"/>
          <w:szCs w:val="24"/>
          <w:highlight w:val="none"/>
        </w:rPr>
        <w:t>（5）投标人针对报价需要说明的其他文件和资料（如有）。</w:t>
      </w:r>
    </w:p>
    <w:p>
      <w:pPr>
        <w:adjustRightInd w:val="0"/>
        <w:snapToGrid w:val="0"/>
        <w:spacing w:line="500" w:lineRule="exact"/>
        <w:ind w:firstLine="472" w:firstLineChars="196"/>
        <w:jc w:val="left"/>
        <w:rPr>
          <w:rFonts w:ascii="宋体" w:hAnsi="宋体" w:cstheme="majorEastAsia"/>
          <w:b/>
          <w:color w:val="auto"/>
          <w:sz w:val="24"/>
          <w:szCs w:val="24"/>
          <w:highlight w:val="none"/>
        </w:rPr>
      </w:pPr>
      <w:r>
        <w:rPr>
          <w:rFonts w:hint="eastAsia" w:ascii="宋体" w:hAnsi="宋体" w:cstheme="majorEastAsia"/>
          <w:b/>
          <w:color w:val="auto"/>
          <w:sz w:val="24"/>
          <w:szCs w:val="24"/>
          <w:highlight w:val="none"/>
        </w:rPr>
        <w:t>13.2商务部分</w:t>
      </w:r>
    </w:p>
    <w:p>
      <w:pPr>
        <w:adjustRightInd w:val="0"/>
        <w:snapToGrid w:val="0"/>
        <w:spacing w:line="500" w:lineRule="exact"/>
        <w:ind w:firstLine="470" w:firstLineChars="196"/>
        <w:jc w:val="left"/>
        <w:rPr>
          <w:rFonts w:ascii="宋体" w:hAnsi="宋体" w:cstheme="majorEastAsia"/>
          <w:color w:val="auto"/>
          <w:sz w:val="24"/>
          <w:szCs w:val="24"/>
          <w:highlight w:val="none"/>
        </w:rPr>
      </w:pPr>
      <w:r>
        <w:rPr>
          <w:rFonts w:hint="eastAsia" w:ascii="宋体" w:hAnsi="宋体" w:cstheme="majorEastAsia"/>
          <w:color w:val="auto"/>
          <w:sz w:val="24"/>
          <w:szCs w:val="24"/>
          <w:highlight w:val="none"/>
        </w:rPr>
        <w:t>（1）投标声明书(格式见附件)；</w:t>
      </w:r>
    </w:p>
    <w:p>
      <w:pPr>
        <w:adjustRightInd w:val="0"/>
        <w:snapToGrid w:val="0"/>
        <w:spacing w:line="500" w:lineRule="exact"/>
        <w:ind w:firstLine="470" w:firstLineChars="196"/>
        <w:jc w:val="left"/>
        <w:rPr>
          <w:rFonts w:ascii="宋体" w:hAnsi="宋体" w:cstheme="majorEastAsia"/>
          <w:color w:val="auto"/>
          <w:sz w:val="24"/>
          <w:szCs w:val="24"/>
          <w:highlight w:val="none"/>
        </w:rPr>
      </w:pPr>
      <w:r>
        <w:rPr>
          <w:rFonts w:hint="eastAsia" w:ascii="宋体" w:hAnsi="宋体" w:cstheme="majorEastAsia"/>
          <w:color w:val="auto"/>
          <w:sz w:val="24"/>
          <w:szCs w:val="24"/>
          <w:highlight w:val="none"/>
        </w:rPr>
        <w:t>（2）授权委托书(格式见附件)；</w:t>
      </w:r>
    </w:p>
    <w:p>
      <w:pPr>
        <w:adjustRightInd w:val="0"/>
        <w:snapToGrid w:val="0"/>
        <w:spacing w:line="500" w:lineRule="exact"/>
        <w:ind w:firstLine="470" w:firstLineChars="196"/>
        <w:jc w:val="left"/>
        <w:rPr>
          <w:rFonts w:ascii="宋体" w:hAnsi="宋体" w:cstheme="majorEastAsia"/>
          <w:color w:val="auto"/>
          <w:sz w:val="24"/>
          <w:szCs w:val="24"/>
          <w:highlight w:val="none"/>
        </w:rPr>
      </w:pPr>
      <w:r>
        <w:rPr>
          <w:rFonts w:hint="eastAsia" w:ascii="宋体" w:hAnsi="宋体" w:cstheme="majorEastAsia"/>
          <w:color w:val="auto"/>
          <w:sz w:val="24"/>
          <w:szCs w:val="24"/>
          <w:highlight w:val="none"/>
        </w:rPr>
        <w:t>（3）有效的营业执照（事业单位法人证书、民办非企业单位登记证书、社会团体法人登记证书、基金会法人登记证书、自然人身份证）副本复印件；</w:t>
      </w:r>
    </w:p>
    <w:p>
      <w:pPr>
        <w:adjustRightInd w:val="0"/>
        <w:snapToGrid w:val="0"/>
        <w:spacing w:line="500" w:lineRule="exact"/>
        <w:ind w:firstLine="470" w:firstLineChars="196"/>
        <w:jc w:val="left"/>
        <w:rPr>
          <w:rFonts w:ascii="宋体" w:hAnsi="宋体" w:cstheme="majorEastAsia"/>
          <w:color w:val="auto"/>
          <w:sz w:val="24"/>
          <w:szCs w:val="24"/>
          <w:highlight w:val="none"/>
        </w:rPr>
      </w:pPr>
      <w:r>
        <w:rPr>
          <w:rFonts w:hint="eastAsia" w:ascii="宋体" w:hAnsi="宋体" w:cstheme="majorEastAsia"/>
          <w:color w:val="auto"/>
          <w:sz w:val="24"/>
          <w:szCs w:val="24"/>
          <w:highlight w:val="none"/>
        </w:rPr>
        <w:t>（4）投标人情况介绍（格式见附件）；</w:t>
      </w:r>
    </w:p>
    <w:p>
      <w:pPr>
        <w:adjustRightInd w:val="0"/>
        <w:snapToGrid w:val="0"/>
        <w:spacing w:line="500" w:lineRule="exact"/>
        <w:ind w:firstLine="470" w:firstLineChars="196"/>
        <w:jc w:val="left"/>
        <w:rPr>
          <w:rFonts w:ascii="宋体" w:hAnsi="宋体" w:cstheme="majorEastAsia"/>
          <w:color w:val="auto"/>
          <w:sz w:val="24"/>
          <w:szCs w:val="24"/>
          <w:highlight w:val="none"/>
        </w:rPr>
      </w:pPr>
      <w:r>
        <w:rPr>
          <w:rFonts w:hint="eastAsia" w:ascii="宋体" w:hAnsi="宋体" w:cstheme="majorEastAsia"/>
          <w:color w:val="auto"/>
          <w:sz w:val="24"/>
          <w:szCs w:val="24"/>
          <w:highlight w:val="none"/>
        </w:rPr>
        <w:t>（5）2022和2023年度经审计的财务报告（注册不满1年的企业无需提供）</w:t>
      </w:r>
    </w:p>
    <w:p>
      <w:pPr>
        <w:adjustRightInd w:val="0"/>
        <w:snapToGrid w:val="0"/>
        <w:spacing w:line="500" w:lineRule="exact"/>
        <w:ind w:firstLine="470" w:firstLineChars="196"/>
        <w:jc w:val="left"/>
        <w:rPr>
          <w:rFonts w:ascii="宋体" w:hAnsi="宋体" w:cstheme="majorEastAsia"/>
          <w:color w:val="auto"/>
          <w:sz w:val="24"/>
          <w:szCs w:val="24"/>
          <w:highlight w:val="none"/>
        </w:rPr>
      </w:pPr>
      <w:r>
        <w:rPr>
          <w:rFonts w:hint="eastAsia" w:ascii="宋体" w:hAnsi="宋体" w:cstheme="majorEastAsia"/>
          <w:color w:val="auto"/>
          <w:sz w:val="24"/>
          <w:szCs w:val="24"/>
          <w:highlight w:val="none"/>
        </w:rPr>
        <w:t>（6）投标人须具有履行合同所必需的设备和专业技术能力，须附相关证明材料或声明；</w:t>
      </w:r>
    </w:p>
    <w:p>
      <w:pPr>
        <w:adjustRightInd w:val="0"/>
        <w:snapToGrid w:val="0"/>
        <w:spacing w:line="500" w:lineRule="exact"/>
        <w:ind w:firstLine="470" w:firstLineChars="196"/>
        <w:jc w:val="left"/>
        <w:rPr>
          <w:rFonts w:ascii="宋体" w:hAnsi="宋体" w:cstheme="majorEastAsia"/>
          <w:color w:val="auto"/>
          <w:sz w:val="24"/>
          <w:szCs w:val="24"/>
          <w:highlight w:val="none"/>
        </w:rPr>
      </w:pPr>
      <w:r>
        <w:rPr>
          <w:rFonts w:hint="eastAsia" w:ascii="宋体" w:hAnsi="宋体" w:cstheme="majorEastAsia"/>
          <w:color w:val="auto"/>
          <w:sz w:val="24"/>
          <w:szCs w:val="24"/>
          <w:highlight w:val="none"/>
        </w:rPr>
        <w:t>（7）依法缴纳税收和社会保障资金的良好记录；</w:t>
      </w:r>
    </w:p>
    <w:p>
      <w:pPr>
        <w:adjustRightInd w:val="0"/>
        <w:snapToGrid w:val="0"/>
        <w:spacing w:line="500" w:lineRule="exact"/>
        <w:ind w:firstLine="470" w:firstLineChars="196"/>
        <w:jc w:val="left"/>
        <w:rPr>
          <w:rFonts w:ascii="宋体" w:hAnsi="宋体" w:cstheme="majorEastAsia"/>
          <w:color w:val="auto"/>
          <w:sz w:val="24"/>
          <w:szCs w:val="24"/>
          <w:highlight w:val="none"/>
        </w:rPr>
      </w:pPr>
      <w:r>
        <w:rPr>
          <w:rFonts w:hint="eastAsia" w:ascii="宋体" w:hAnsi="宋体" w:cstheme="majorEastAsia"/>
          <w:color w:val="auto"/>
          <w:sz w:val="24"/>
          <w:szCs w:val="24"/>
          <w:highlight w:val="none"/>
        </w:rPr>
        <w:t>（8）前三年内在经营活动中没有重大违法记录的书面声明（格式见附件）；</w:t>
      </w:r>
    </w:p>
    <w:p>
      <w:pPr>
        <w:adjustRightInd w:val="0"/>
        <w:snapToGrid w:val="0"/>
        <w:spacing w:line="500" w:lineRule="exact"/>
        <w:ind w:firstLine="470" w:firstLineChars="196"/>
        <w:jc w:val="left"/>
        <w:rPr>
          <w:rFonts w:ascii="宋体" w:hAnsi="宋体" w:cstheme="majorEastAsia"/>
          <w:color w:val="auto"/>
          <w:sz w:val="24"/>
          <w:szCs w:val="24"/>
          <w:highlight w:val="none"/>
        </w:rPr>
      </w:pPr>
      <w:r>
        <w:rPr>
          <w:rFonts w:hint="eastAsia" w:ascii="宋体" w:hAnsi="宋体" w:cstheme="majorEastAsia"/>
          <w:color w:val="auto"/>
          <w:sz w:val="24"/>
          <w:szCs w:val="24"/>
          <w:highlight w:val="none"/>
        </w:rPr>
        <w:t>（9）投标人未被列入失信被执行人、重大税收违法案件当事人名单、政府采购严重违法失信行为记录名单；</w:t>
      </w:r>
    </w:p>
    <w:p>
      <w:pPr>
        <w:adjustRightInd w:val="0"/>
        <w:snapToGrid w:val="0"/>
        <w:spacing w:line="500" w:lineRule="exact"/>
        <w:ind w:firstLine="470" w:firstLineChars="196"/>
        <w:jc w:val="left"/>
        <w:rPr>
          <w:rFonts w:ascii="宋体" w:hAnsi="宋体" w:cstheme="majorEastAsia"/>
          <w:color w:val="auto"/>
          <w:sz w:val="24"/>
          <w:szCs w:val="24"/>
          <w:highlight w:val="none"/>
        </w:rPr>
      </w:pPr>
      <w:r>
        <w:rPr>
          <w:rFonts w:hint="eastAsia" w:ascii="宋体" w:hAnsi="宋体" w:cstheme="majorEastAsia"/>
          <w:color w:val="auto"/>
          <w:sz w:val="24"/>
          <w:szCs w:val="24"/>
          <w:highlight w:val="none"/>
        </w:rPr>
        <w:t>（10）投标人已取得的各种有效认证证书、政府部门（企业）或第三方权威鉴定机构出具的信用等级证书或证明复印件</w:t>
      </w: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lang w:val="en-US" w:eastAsia="zh-CN"/>
        </w:rPr>
        <w:t>如有</w:t>
      </w:r>
      <w:r>
        <w:rPr>
          <w:rFonts w:hint="eastAsia" w:asciiTheme="majorEastAsia" w:hAnsiTheme="majorEastAsia" w:eastAsiaTheme="majorEastAsia" w:cstheme="majorEastAsia"/>
          <w:color w:val="auto"/>
          <w:sz w:val="24"/>
          <w:szCs w:val="24"/>
          <w:highlight w:val="none"/>
          <w:lang w:eastAsia="zh-CN"/>
        </w:rPr>
        <w:t>）</w:t>
      </w:r>
      <w:r>
        <w:rPr>
          <w:rFonts w:hint="eastAsia" w:ascii="宋体" w:hAnsi="宋体" w:cstheme="majorEastAsia"/>
          <w:color w:val="auto"/>
          <w:sz w:val="24"/>
          <w:szCs w:val="24"/>
          <w:highlight w:val="none"/>
        </w:rPr>
        <w:t>；</w:t>
      </w:r>
    </w:p>
    <w:p>
      <w:pPr>
        <w:adjustRightInd w:val="0"/>
        <w:snapToGrid w:val="0"/>
        <w:spacing w:line="500" w:lineRule="exact"/>
        <w:ind w:firstLine="470" w:firstLineChars="196"/>
        <w:jc w:val="left"/>
        <w:rPr>
          <w:rFonts w:ascii="宋体" w:hAnsi="宋体" w:cstheme="majorEastAsia"/>
          <w:color w:val="auto"/>
          <w:sz w:val="24"/>
          <w:szCs w:val="24"/>
          <w:highlight w:val="none"/>
        </w:rPr>
      </w:pPr>
      <w:r>
        <w:rPr>
          <w:rFonts w:hint="eastAsia" w:ascii="宋体" w:hAnsi="宋体" w:cstheme="majorEastAsia"/>
          <w:color w:val="auto"/>
          <w:sz w:val="24"/>
          <w:szCs w:val="24"/>
          <w:highlight w:val="none"/>
        </w:rPr>
        <w:t>（11）投标人2021年1月1日至今做过与本项目类似的业绩</w:t>
      </w: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lang w:val="en-US" w:eastAsia="zh-CN"/>
        </w:rPr>
        <w:t>如有</w:t>
      </w:r>
      <w:r>
        <w:rPr>
          <w:rFonts w:hint="eastAsia" w:asciiTheme="majorEastAsia" w:hAnsiTheme="majorEastAsia" w:eastAsiaTheme="majorEastAsia" w:cstheme="majorEastAsia"/>
          <w:color w:val="auto"/>
          <w:sz w:val="24"/>
          <w:szCs w:val="24"/>
          <w:highlight w:val="none"/>
          <w:lang w:eastAsia="zh-CN"/>
        </w:rPr>
        <w:t>）</w:t>
      </w:r>
      <w:r>
        <w:rPr>
          <w:rFonts w:hint="eastAsia" w:ascii="宋体" w:hAnsi="宋体" w:cstheme="majorEastAsia"/>
          <w:color w:val="auto"/>
          <w:sz w:val="24"/>
          <w:szCs w:val="24"/>
          <w:highlight w:val="none"/>
        </w:rPr>
        <w:t>；</w:t>
      </w:r>
    </w:p>
    <w:p>
      <w:pPr>
        <w:adjustRightInd w:val="0"/>
        <w:snapToGrid w:val="0"/>
        <w:spacing w:line="500" w:lineRule="exact"/>
        <w:ind w:firstLine="470" w:firstLineChars="196"/>
        <w:jc w:val="left"/>
        <w:rPr>
          <w:rFonts w:ascii="宋体" w:hAnsi="宋体" w:cstheme="majorEastAsia"/>
          <w:color w:val="auto"/>
          <w:sz w:val="24"/>
          <w:szCs w:val="24"/>
          <w:highlight w:val="none"/>
        </w:rPr>
      </w:pPr>
      <w:r>
        <w:rPr>
          <w:rFonts w:hint="eastAsia" w:ascii="宋体" w:hAnsi="宋体" w:cstheme="majorEastAsia"/>
          <w:color w:val="auto"/>
          <w:sz w:val="24"/>
          <w:szCs w:val="24"/>
          <w:highlight w:val="none"/>
        </w:rPr>
        <w:t>（12）政府采购政策扶持证明材料；</w:t>
      </w:r>
    </w:p>
    <w:p>
      <w:pPr>
        <w:adjustRightInd w:val="0"/>
        <w:snapToGrid w:val="0"/>
        <w:spacing w:line="500" w:lineRule="exact"/>
        <w:ind w:firstLine="470" w:firstLineChars="196"/>
        <w:jc w:val="left"/>
        <w:rPr>
          <w:rFonts w:ascii="宋体" w:hAnsi="宋体" w:cstheme="majorEastAsia"/>
          <w:color w:val="auto"/>
          <w:sz w:val="24"/>
          <w:szCs w:val="24"/>
          <w:highlight w:val="none"/>
        </w:rPr>
      </w:pPr>
      <w:r>
        <w:rPr>
          <w:rFonts w:hint="eastAsia" w:ascii="宋体" w:hAnsi="宋体" w:cstheme="majorEastAsia"/>
          <w:color w:val="auto"/>
          <w:sz w:val="24"/>
          <w:szCs w:val="24"/>
          <w:highlight w:val="none"/>
        </w:rPr>
        <w:t>（13）其他证明文件或供应商认为应提交的商务文件（如有）。</w:t>
      </w:r>
    </w:p>
    <w:p>
      <w:pPr>
        <w:adjustRightInd w:val="0"/>
        <w:snapToGrid w:val="0"/>
        <w:spacing w:line="500" w:lineRule="exact"/>
        <w:ind w:firstLine="472" w:firstLineChars="196"/>
        <w:jc w:val="left"/>
        <w:rPr>
          <w:rFonts w:ascii="宋体" w:hAnsi="宋体" w:cstheme="majorEastAsia"/>
          <w:b/>
          <w:color w:val="auto"/>
          <w:sz w:val="24"/>
          <w:szCs w:val="24"/>
          <w:highlight w:val="none"/>
        </w:rPr>
      </w:pPr>
      <w:r>
        <w:rPr>
          <w:rFonts w:hint="eastAsia" w:ascii="宋体" w:hAnsi="宋体" w:cstheme="majorEastAsia"/>
          <w:b/>
          <w:color w:val="auto"/>
          <w:sz w:val="24"/>
          <w:szCs w:val="24"/>
          <w:highlight w:val="none"/>
        </w:rPr>
        <w:t>13.2技术部分</w:t>
      </w:r>
    </w:p>
    <w:p>
      <w:pPr>
        <w:adjustRightInd w:val="0"/>
        <w:snapToGrid w:val="0"/>
        <w:spacing w:line="500" w:lineRule="exact"/>
        <w:ind w:firstLine="470" w:firstLineChars="196"/>
        <w:jc w:val="left"/>
        <w:rPr>
          <w:rFonts w:ascii="宋体" w:hAnsi="宋体" w:cstheme="majorEastAsia"/>
          <w:color w:val="auto"/>
          <w:sz w:val="24"/>
          <w:szCs w:val="24"/>
          <w:highlight w:val="none"/>
        </w:rPr>
      </w:pPr>
      <w:r>
        <w:rPr>
          <w:rFonts w:hint="eastAsia" w:ascii="宋体" w:hAnsi="宋体" w:cstheme="majorEastAsia"/>
          <w:color w:val="auto"/>
          <w:sz w:val="24"/>
          <w:szCs w:val="24"/>
          <w:highlight w:val="none"/>
        </w:rPr>
        <w:t>（14）技术响应偏离表（格式见附件）；</w:t>
      </w:r>
    </w:p>
    <w:p>
      <w:pPr>
        <w:adjustRightInd w:val="0"/>
        <w:snapToGrid w:val="0"/>
        <w:spacing w:line="500" w:lineRule="exact"/>
        <w:ind w:firstLine="470" w:firstLineChars="196"/>
        <w:jc w:val="left"/>
        <w:rPr>
          <w:rFonts w:ascii="宋体" w:hAnsi="宋体" w:cstheme="majorEastAsia"/>
          <w:color w:val="auto"/>
          <w:sz w:val="24"/>
          <w:szCs w:val="24"/>
          <w:highlight w:val="none"/>
        </w:rPr>
      </w:pPr>
      <w:r>
        <w:rPr>
          <w:rFonts w:hint="eastAsia" w:ascii="宋体" w:hAnsi="宋体" w:cstheme="majorEastAsia"/>
          <w:color w:val="auto"/>
          <w:sz w:val="24"/>
          <w:szCs w:val="24"/>
          <w:highlight w:val="none"/>
        </w:rPr>
        <w:t>（15）产品详细技术规格书（包括产品详细配置、技术性能指标等）（格式自拟）；</w:t>
      </w:r>
    </w:p>
    <w:p>
      <w:pPr>
        <w:adjustRightInd w:val="0"/>
        <w:snapToGrid w:val="0"/>
        <w:spacing w:line="500" w:lineRule="exact"/>
        <w:ind w:firstLine="470" w:firstLineChars="196"/>
        <w:jc w:val="left"/>
        <w:rPr>
          <w:rFonts w:ascii="宋体" w:hAnsi="宋体" w:cstheme="majorEastAsia"/>
          <w:color w:val="auto"/>
          <w:sz w:val="24"/>
          <w:szCs w:val="24"/>
          <w:highlight w:val="none"/>
        </w:rPr>
      </w:pPr>
      <w:r>
        <w:rPr>
          <w:rFonts w:hint="eastAsia" w:ascii="宋体" w:hAnsi="宋体" w:cstheme="majorEastAsia"/>
          <w:color w:val="auto"/>
          <w:sz w:val="24"/>
          <w:szCs w:val="24"/>
          <w:highlight w:val="none"/>
        </w:rPr>
        <w:t>（16）与产品相关的由国家认可的检测机构出具的检测报告（如有）；</w:t>
      </w:r>
    </w:p>
    <w:p>
      <w:pPr>
        <w:adjustRightInd w:val="0"/>
        <w:snapToGrid w:val="0"/>
        <w:spacing w:line="500" w:lineRule="exact"/>
        <w:ind w:firstLine="470" w:firstLineChars="196"/>
        <w:jc w:val="left"/>
        <w:rPr>
          <w:rFonts w:ascii="宋体" w:hAnsi="宋体" w:cstheme="majorEastAsia"/>
          <w:color w:val="auto"/>
          <w:sz w:val="24"/>
          <w:szCs w:val="24"/>
          <w:highlight w:val="none"/>
        </w:rPr>
      </w:pPr>
      <w:r>
        <w:rPr>
          <w:rFonts w:hint="eastAsia" w:ascii="宋体" w:hAnsi="宋体" w:cstheme="majorEastAsia"/>
          <w:color w:val="auto"/>
          <w:sz w:val="24"/>
          <w:szCs w:val="24"/>
          <w:highlight w:val="none"/>
        </w:rPr>
        <w:t>（17）针对项目的详细组织实施方案：包括（但不限于）项目人员配备、项目供货方案、安装调试方案、验收方案（应说明验收方法和验收条件、安装验收需用的环境及配套条件）等内容（格式自拟）；</w:t>
      </w:r>
    </w:p>
    <w:p>
      <w:pPr>
        <w:adjustRightInd w:val="0"/>
        <w:snapToGrid w:val="0"/>
        <w:spacing w:line="500" w:lineRule="exact"/>
        <w:ind w:firstLine="470" w:firstLineChars="196"/>
        <w:jc w:val="left"/>
        <w:rPr>
          <w:rFonts w:ascii="宋体" w:hAnsi="宋体" w:cstheme="majorEastAsia"/>
          <w:color w:val="auto"/>
          <w:sz w:val="24"/>
          <w:szCs w:val="24"/>
          <w:highlight w:val="none"/>
        </w:rPr>
      </w:pPr>
      <w:r>
        <w:rPr>
          <w:rFonts w:hint="eastAsia" w:ascii="宋体" w:hAnsi="宋体" w:cstheme="majorEastAsia"/>
          <w:color w:val="auto"/>
          <w:sz w:val="24"/>
          <w:szCs w:val="24"/>
          <w:highlight w:val="none"/>
        </w:rPr>
        <w:t>（18）针对本项目的详细技术培训方案：包括（但不限于）</w:t>
      </w:r>
      <w:r>
        <w:rPr>
          <w:rFonts w:ascii="宋体" w:hAnsi="宋体" w:cstheme="majorEastAsia"/>
          <w:color w:val="auto"/>
          <w:sz w:val="24"/>
          <w:szCs w:val="24"/>
          <w:highlight w:val="none"/>
        </w:rPr>
        <w:t>培训内容</w:t>
      </w:r>
      <w:r>
        <w:rPr>
          <w:rFonts w:hint="eastAsia" w:ascii="宋体" w:hAnsi="宋体" w:cstheme="majorEastAsia"/>
          <w:color w:val="auto"/>
          <w:sz w:val="24"/>
          <w:szCs w:val="24"/>
          <w:highlight w:val="none"/>
        </w:rPr>
        <w:t>、</w:t>
      </w:r>
      <w:r>
        <w:rPr>
          <w:rFonts w:ascii="宋体" w:hAnsi="宋体" w:cstheme="majorEastAsia"/>
          <w:color w:val="auto"/>
          <w:sz w:val="24"/>
          <w:szCs w:val="24"/>
          <w:highlight w:val="none"/>
        </w:rPr>
        <w:t>培训方式</w:t>
      </w:r>
      <w:r>
        <w:rPr>
          <w:rFonts w:hint="eastAsia" w:ascii="宋体" w:hAnsi="宋体" w:cstheme="majorEastAsia"/>
          <w:color w:val="auto"/>
          <w:sz w:val="24"/>
          <w:szCs w:val="24"/>
          <w:highlight w:val="none"/>
        </w:rPr>
        <w:t>、</w:t>
      </w:r>
      <w:r>
        <w:rPr>
          <w:rFonts w:ascii="宋体" w:hAnsi="宋体" w:cstheme="majorEastAsia"/>
          <w:color w:val="auto"/>
          <w:sz w:val="24"/>
          <w:szCs w:val="24"/>
          <w:highlight w:val="none"/>
        </w:rPr>
        <w:t>培训计划</w:t>
      </w:r>
      <w:r>
        <w:rPr>
          <w:rFonts w:hint="eastAsia" w:ascii="宋体" w:hAnsi="宋体" w:cstheme="majorEastAsia"/>
          <w:color w:val="auto"/>
          <w:sz w:val="24"/>
          <w:szCs w:val="24"/>
          <w:highlight w:val="none"/>
        </w:rPr>
        <w:t>、</w:t>
      </w:r>
      <w:r>
        <w:rPr>
          <w:rFonts w:ascii="宋体" w:hAnsi="宋体" w:cstheme="majorEastAsia"/>
          <w:color w:val="auto"/>
          <w:sz w:val="24"/>
          <w:szCs w:val="24"/>
          <w:highlight w:val="none"/>
        </w:rPr>
        <w:t>培训团队人员配置等</w:t>
      </w:r>
      <w:r>
        <w:rPr>
          <w:rFonts w:hint="eastAsia" w:ascii="宋体" w:hAnsi="宋体" w:cstheme="majorEastAsia"/>
          <w:color w:val="auto"/>
          <w:sz w:val="24"/>
          <w:szCs w:val="24"/>
          <w:highlight w:val="none"/>
        </w:rPr>
        <w:t>内容（格式自拟）；</w:t>
      </w:r>
    </w:p>
    <w:p>
      <w:pPr>
        <w:adjustRightInd w:val="0"/>
        <w:snapToGrid w:val="0"/>
        <w:spacing w:line="500" w:lineRule="exact"/>
        <w:ind w:firstLine="470" w:firstLineChars="196"/>
        <w:jc w:val="left"/>
        <w:rPr>
          <w:rFonts w:ascii="宋体" w:hAnsi="宋体" w:cstheme="majorEastAsia"/>
          <w:color w:val="auto"/>
          <w:sz w:val="24"/>
          <w:szCs w:val="24"/>
          <w:highlight w:val="none"/>
        </w:rPr>
      </w:pPr>
      <w:r>
        <w:rPr>
          <w:rFonts w:hint="eastAsia" w:ascii="宋体" w:hAnsi="宋体" w:cstheme="majorEastAsia"/>
          <w:color w:val="auto"/>
          <w:sz w:val="24"/>
          <w:szCs w:val="24"/>
          <w:highlight w:val="none"/>
        </w:rPr>
        <w:t>（19）针对本项目的售后服务方案：包括（但不限于）售后</w:t>
      </w:r>
      <w:r>
        <w:rPr>
          <w:rFonts w:ascii="宋体" w:hAnsi="宋体" w:cstheme="majorEastAsia"/>
          <w:color w:val="auto"/>
          <w:sz w:val="24"/>
          <w:szCs w:val="24"/>
          <w:highlight w:val="none"/>
        </w:rPr>
        <w:t>服务承诺</w:t>
      </w:r>
      <w:r>
        <w:rPr>
          <w:rFonts w:hint="eastAsia" w:ascii="宋体" w:hAnsi="宋体" w:cstheme="majorEastAsia"/>
          <w:color w:val="auto"/>
          <w:sz w:val="24"/>
          <w:szCs w:val="24"/>
          <w:highlight w:val="none"/>
        </w:rPr>
        <w:t>、</w:t>
      </w:r>
      <w:r>
        <w:rPr>
          <w:rFonts w:ascii="宋体" w:hAnsi="宋体" w:cstheme="majorEastAsia"/>
          <w:color w:val="auto"/>
          <w:sz w:val="24"/>
          <w:szCs w:val="24"/>
          <w:highlight w:val="none"/>
        </w:rPr>
        <w:t>服务响应方案</w:t>
      </w:r>
      <w:r>
        <w:rPr>
          <w:rFonts w:hint="eastAsia" w:ascii="宋体" w:hAnsi="宋体" w:cstheme="majorEastAsia"/>
          <w:color w:val="auto"/>
          <w:sz w:val="24"/>
          <w:szCs w:val="24"/>
          <w:highlight w:val="none"/>
        </w:rPr>
        <w:t>、</w:t>
      </w:r>
      <w:r>
        <w:rPr>
          <w:rFonts w:ascii="宋体" w:hAnsi="宋体" w:cstheme="majorEastAsia"/>
          <w:color w:val="auto"/>
          <w:sz w:val="24"/>
          <w:szCs w:val="24"/>
          <w:highlight w:val="none"/>
        </w:rPr>
        <w:t>备件（易耗品）供应方案</w:t>
      </w:r>
      <w:r>
        <w:rPr>
          <w:rFonts w:hint="eastAsia" w:ascii="宋体" w:hAnsi="宋体" w:cstheme="majorEastAsia"/>
          <w:color w:val="auto"/>
          <w:sz w:val="24"/>
          <w:szCs w:val="24"/>
          <w:highlight w:val="none"/>
        </w:rPr>
        <w:t>（含备件价格）、</w:t>
      </w:r>
      <w:r>
        <w:rPr>
          <w:rFonts w:ascii="宋体" w:hAnsi="宋体" w:cstheme="majorEastAsia"/>
          <w:color w:val="auto"/>
          <w:sz w:val="24"/>
          <w:szCs w:val="24"/>
          <w:highlight w:val="none"/>
        </w:rPr>
        <w:t>服务人员配备</w:t>
      </w:r>
      <w:r>
        <w:rPr>
          <w:rFonts w:hint="eastAsia" w:ascii="宋体" w:hAnsi="宋体" w:cstheme="majorEastAsia"/>
          <w:color w:val="auto"/>
          <w:sz w:val="24"/>
          <w:szCs w:val="24"/>
          <w:highlight w:val="none"/>
        </w:rPr>
        <w:t>、</w:t>
      </w:r>
      <w:r>
        <w:rPr>
          <w:rFonts w:ascii="宋体" w:hAnsi="宋体" w:cstheme="majorEastAsia"/>
          <w:color w:val="auto"/>
          <w:sz w:val="24"/>
          <w:szCs w:val="24"/>
          <w:highlight w:val="none"/>
        </w:rPr>
        <w:t>故障响应</w:t>
      </w:r>
      <w:r>
        <w:rPr>
          <w:rFonts w:hint="eastAsia" w:ascii="宋体" w:hAnsi="宋体" w:cstheme="majorEastAsia"/>
          <w:color w:val="auto"/>
          <w:sz w:val="24"/>
          <w:szCs w:val="24"/>
          <w:highlight w:val="none"/>
        </w:rPr>
        <w:t>措施、</w:t>
      </w:r>
      <w:r>
        <w:rPr>
          <w:rFonts w:ascii="宋体" w:hAnsi="宋体" w:cstheme="majorEastAsia"/>
          <w:color w:val="auto"/>
          <w:sz w:val="24"/>
          <w:szCs w:val="24"/>
          <w:highlight w:val="none"/>
        </w:rPr>
        <w:t>质保外服务措施等</w:t>
      </w:r>
      <w:r>
        <w:rPr>
          <w:rFonts w:hint="eastAsia" w:ascii="宋体" w:hAnsi="宋体" w:cstheme="majorEastAsia"/>
          <w:color w:val="auto"/>
          <w:sz w:val="24"/>
          <w:szCs w:val="24"/>
          <w:highlight w:val="none"/>
        </w:rPr>
        <w:t>内容（格式自拟）；</w:t>
      </w:r>
    </w:p>
    <w:p>
      <w:pPr>
        <w:adjustRightInd w:val="0"/>
        <w:snapToGrid w:val="0"/>
        <w:spacing w:line="500" w:lineRule="exact"/>
        <w:ind w:firstLine="470" w:firstLineChars="196"/>
        <w:jc w:val="left"/>
        <w:rPr>
          <w:rFonts w:ascii="宋体" w:hAnsi="宋体" w:cstheme="majorEastAsia"/>
          <w:color w:val="auto"/>
          <w:sz w:val="24"/>
          <w:szCs w:val="24"/>
          <w:highlight w:val="none"/>
        </w:rPr>
      </w:pPr>
      <w:r>
        <w:rPr>
          <w:rFonts w:hint="eastAsia" w:ascii="宋体" w:hAnsi="宋体" w:cstheme="majorEastAsia"/>
          <w:color w:val="auto"/>
          <w:sz w:val="24"/>
          <w:szCs w:val="24"/>
          <w:highlight w:val="none"/>
        </w:rPr>
        <w:t>（20）其他优惠条件（如有）：投标人承诺给予采购人的各种优惠条件，包括备品备件、专用耗材等；</w:t>
      </w:r>
    </w:p>
    <w:p>
      <w:pPr>
        <w:adjustRightInd w:val="0"/>
        <w:snapToGrid w:val="0"/>
        <w:spacing w:line="500" w:lineRule="exact"/>
        <w:ind w:firstLine="470" w:firstLineChars="196"/>
        <w:jc w:val="left"/>
        <w:rPr>
          <w:rFonts w:ascii="宋体" w:hAnsi="宋体" w:cstheme="majorEastAsia"/>
          <w:color w:val="auto"/>
          <w:sz w:val="24"/>
          <w:szCs w:val="24"/>
          <w:highlight w:val="none"/>
        </w:rPr>
      </w:pPr>
      <w:r>
        <w:rPr>
          <w:rFonts w:hint="eastAsia" w:ascii="宋体" w:hAnsi="宋体" w:cstheme="majorEastAsia"/>
          <w:color w:val="auto"/>
          <w:sz w:val="24"/>
          <w:szCs w:val="24"/>
          <w:highlight w:val="none"/>
        </w:rPr>
        <w:t>（21）投标人需要提供的其他文件或资料（如有）。</w:t>
      </w:r>
    </w:p>
    <w:p>
      <w:pPr>
        <w:adjustRightInd w:val="0"/>
        <w:snapToGrid w:val="0"/>
        <w:spacing w:line="500" w:lineRule="exact"/>
        <w:ind w:left="479" w:leftChars="228"/>
        <w:jc w:val="left"/>
        <w:rPr>
          <w:rFonts w:ascii="宋体" w:hAnsi="宋体" w:cstheme="majorEastAsia"/>
          <w:b/>
          <w:bCs/>
          <w:color w:val="auto"/>
          <w:sz w:val="24"/>
          <w:szCs w:val="24"/>
          <w:highlight w:val="none"/>
        </w:rPr>
      </w:pPr>
      <w:r>
        <w:rPr>
          <w:rFonts w:hint="eastAsia" w:ascii="宋体" w:hAnsi="宋体" w:cstheme="majorEastAsia"/>
          <w:b/>
          <w:bCs/>
          <w:color w:val="auto"/>
          <w:sz w:val="24"/>
          <w:szCs w:val="24"/>
          <w:highlight w:val="none"/>
        </w:rPr>
        <w:t>注：a.授权委托书、投标声明书、投标函、开标一览表必须由法定代表人（负责人、自然人）或其授权代表签名（按格式要求）并加盖单位公章。</w:t>
      </w:r>
    </w:p>
    <w:p>
      <w:pPr>
        <w:adjustRightInd w:val="0"/>
        <w:snapToGrid w:val="0"/>
        <w:spacing w:line="500" w:lineRule="exact"/>
        <w:ind w:left="479" w:leftChars="228" w:firstLine="463" w:firstLineChars="192"/>
        <w:jc w:val="left"/>
        <w:rPr>
          <w:rFonts w:ascii="宋体" w:hAnsi="宋体" w:cstheme="majorEastAsia"/>
          <w:b/>
          <w:bCs/>
          <w:color w:val="auto"/>
          <w:sz w:val="24"/>
          <w:szCs w:val="24"/>
          <w:highlight w:val="none"/>
        </w:rPr>
      </w:pPr>
      <w:r>
        <w:rPr>
          <w:rFonts w:hint="eastAsia" w:ascii="宋体" w:hAnsi="宋体" w:cstheme="majorEastAsia"/>
          <w:b/>
          <w:bCs/>
          <w:color w:val="auto"/>
          <w:sz w:val="24"/>
          <w:szCs w:val="24"/>
          <w:highlight w:val="none"/>
        </w:rPr>
        <w:t>b.以上提供的各种证书、证件、证明资料如是复印件，须在复印件上加盖有效公章，如发现有造假嫌疑的，将根据有关规定以“提供虚假材料谋取中标”予以处罚。</w:t>
      </w:r>
    </w:p>
    <w:p>
      <w:pPr>
        <w:adjustRightInd w:val="0"/>
        <w:snapToGrid w:val="0"/>
        <w:spacing w:line="500" w:lineRule="exact"/>
        <w:ind w:left="479" w:leftChars="228" w:firstLine="463" w:firstLineChars="192"/>
        <w:jc w:val="left"/>
        <w:rPr>
          <w:rFonts w:ascii="宋体" w:hAnsi="宋体" w:cstheme="majorEastAsia"/>
          <w:b/>
          <w:bCs/>
          <w:color w:val="auto"/>
          <w:sz w:val="24"/>
          <w:szCs w:val="24"/>
          <w:highlight w:val="none"/>
        </w:rPr>
      </w:pPr>
      <w:r>
        <w:rPr>
          <w:rFonts w:hint="eastAsia" w:ascii="宋体" w:hAnsi="宋体" w:cstheme="majorEastAsia"/>
          <w:b/>
          <w:bCs/>
          <w:color w:val="auto"/>
          <w:sz w:val="24"/>
          <w:szCs w:val="24"/>
          <w:highlight w:val="none"/>
        </w:rPr>
        <w:t>c.《报价文件》单独装订成册，投标供应商须按要求单独递交《报价文件》；投标文件中除《报价文件》外，其他部分不得有任何涉及本次投标报价的信息。</w:t>
      </w:r>
    </w:p>
    <w:p>
      <w:pPr>
        <w:adjustRightInd w:val="0"/>
        <w:snapToGrid w:val="0"/>
        <w:spacing w:line="500" w:lineRule="exact"/>
        <w:ind w:left="479" w:leftChars="228" w:firstLine="463" w:firstLineChars="192"/>
        <w:jc w:val="left"/>
        <w:rPr>
          <w:rFonts w:ascii="宋体" w:hAnsi="宋体"/>
          <w:color w:val="auto"/>
          <w:highlight w:val="none"/>
        </w:rPr>
      </w:pPr>
      <w:r>
        <w:rPr>
          <w:rFonts w:hint="eastAsia" w:ascii="宋体" w:hAnsi="宋体" w:cstheme="majorEastAsia"/>
          <w:b/>
          <w:bCs/>
          <w:color w:val="auto"/>
          <w:sz w:val="24"/>
          <w:szCs w:val="24"/>
          <w:highlight w:val="none"/>
        </w:rPr>
        <w:t>d.以上材料须加盖单位公章，投标人需将投标文件按上述顺序装订成一整册，请投标人编制投标文件的目录及页码。</w:t>
      </w:r>
    </w:p>
    <w:p>
      <w:pPr>
        <w:pStyle w:val="6"/>
        <w:rPr>
          <w:rFonts w:ascii="宋体" w:hAnsi="宋体"/>
          <w:color w:val="auto"/>
          <w:highlight w:val="none"/>
        </w:rPr>
      </w:pPr>
      <w:bookmarkStart w:id="52" w:name="_Toc26745"/>
      <w:r>
        <w:rPr>
          <w:rFonts w:hint="eastAsia" w:ascii="宋体" w:hAnsi="宋体"/>
          <w:color w:val="auto"/>
          <w:highlight w:val="none"/>
        </w:rPr>
        <w:t>14、投标文件的语言及计量</w:t>
      </w:r>
      <w:bookmarkEnd w:id="52"/>
    </w:p>
    <w:p>
      <w:pPr>
        <w:adjustRightInd w:val="0"/>
        <w:snapToGrid w:val="0"/>
        <w:spacing w:line="500" w:lineRule="exact"/>
        <w:ind w:firstLine="480" w:firstLineChars="200"/>
        <w:jc w:val="left"/>
        <w:rPr>
          <w:rFonts w:ascii="宋体" w:hAnsi="宋体" w:cstheme="majorEastAsia"/>
          <w:color w:val="auto"/>
          <w:sz w:val="24"/>
          <w:szCs w:val="24"/>
          <w:highlight w:val="none"/>
        </w:rPr>
      </w:pPr>
      <w:r>
        <w:rPr>
          <w:rFonts w:hint="eastAsia" w:ascii="宋体" w:hAnsi="宋体" w:cstheme="majorEastAsia"/>
          <w:color w:val="auto"/>
          <w:sz w:val="24"/>
          <w:szCs w:val="24"/>
          <w:highlight w:val="none"/>
        </w:rPr>
        <w:t>14.1 投标文件以及投标方与招标方就有关投标事宜的所有来往函电，均应以中文汉语书写。除签名、盖章、专用名称等特殊情形外，以中文汉语以外的文字表述的投标文件视同未提供。</w:t>
      </w:r>
    </w:p>
    <w:p>
      <w:pPr>
        <w:adjustRightInd w:val="0"/>
        <w:snapToGrid w:val="0"/>
        <w:spacing w:line="500" w:lineRule="exact"/>
        <w:ind w:firstLine="480" w:firstLineChars="200"/>
        <w:jc w:val="left"/>
        <w:rPr>
          <w:rFonts w:ascii="宋体" w:hAnsi="宋体" w:cstheme="majorEastAsia"/>
          <w:color w:val="auto"/>
          <w:sz w:val="24"/>
          <w:szCs w:val="24"/>
          <w:highlight w:val="none"/>
        </w:rPr>
      </w:pPr>
      <w:r>
        <w:rPr>
          <w:rFonts w:hint="eastAsia" w:ascii="宋体" w:hAnsi="宋体" w:cstheme="majorEastAsia"/>
          <w:color w:val="auto"/>
          <w:sz w:val="24"/>
          <w:szCs w:val="24"/>
          <w:highlight w:val="none"/>
        </w:rPr>
        <w:t>14.2 投标计量单位，招标文件已有明确规定的，使用招标文件规定的计量单位；招标文件没有规定的，应采用中华人民共和国法定计量单位（货币单位：人民币元），否则视同未响应。</w:t>
      </w:r>
    </w:p>
    <w:p>
      <w:pPr>
        <w:pStyle w:val="6"/>
        <w:rPr>
          <w:rFonts w:ascii="宋体" w:hAnsi="宋体"/>
          <w:color w:val="auto"/>
          <w:highlight w:val="none"/>
        </w:rPr>
      </w:pPr>
      <w:bookmarkStart w:id="53" w:name="_Toc10847"/>
      <w:r>
        <w:rPr>
          <w:rFonts w:hint="eastAsia" w:ascii="宋体" w:hAnsi="宋体"/>
          <w:color w:val="auto"/>
          <w:highlight w:val="none"/>
        </w:rPr>
        <w:t>15、投标报价</w:t>
      </w:r>
      <w:bookmarkEnd w:id="53"/>
    </w:p>
    <w:p>
      <w:pPr>
        <w:adjustRightInd w:val="0"/>
        <w:snapToGrid w:val="0"/>
        <w:spacing w:line="500" w:lineRule="exact"/>
        <w:ind w:firstLine="480" w:firstLineChars="200"/>
        <w:jc w:val="left"/>
        <w:rPr>
          <w:rFonts w:ascii="宋体" w:hAnsi="宋体" w:cstheme="majorEastAsia"/>
          <w:color w:val="auto"/>
          <w:sz w:val="24"/>
          <w:szCs w:val="24"/>
          <w:highlight w:val="none"/>
        </w:rPr>
      </w:pPr>
      <w:r>
        <w:rPr>
          <w:rFonts w:hint="eastAsia" w:ascii="宋体" w:hAnsi="宋体" w:cstheme="majorEastAsia"/>
          <w:color w:val="auto"/>
          <w:sz w:val="24"/>
          <w:szCs w:val="24"/>
          <w:highlight w:val="none"/>
        </w:rPr>
        <w:t>15.1 投标报价按招标文件中相关附表格式填写，应为所投标包的产品的单价报价，每个产品只允许一个报价。</w:t>
      </w:r>
      <w:r>
        <w:rPr>
          <w:rFonts w:hint="eastAsia" w:ascii="宋体" w:hAnsi="宋体" w:cstheme="majorEastAsia"/>
          <w:bCs/>
          <w:color w:val="auto"/>
          <w:sz w:val="24"/>
          <w:szCs w:val="24"/>
          <w:highlight w:val="none"/>
        </w:rPr>
        <w:t>同型号产品参与不同标包投标的，则其报价必须相同，否则视为有选择性报价，按无效标处理</w:t>
      </w:r>
      <w:r>
        <w:rPr>
          <w:rFonts w:hint="eastAsia" w:ascii="宋体" w:hAnsi="宋体" w:cstheme="majorEastAsia"/>
          <w:color w:val="auto"/>
          <w:sz w:val="24"/>
          <w:szCs w:val="24"/>
          <w:highlight w:val="none"/>
        </w:rPr>
        <w:t>。</w:t>
      </w:r>
    </w:p>
    <w:p>
      <w:pPr>
        <w:adjustRightInd w:val="0"/>
        <w:snapToGrid w:val="0"/>
        <w:spacing w:line="500" w:lineRule="exact"/>
        <w:ind w:firstLine="480" w:firstLineChars="200"/>
        <w:jc w:val="left"/>
        <w:rPr>
          <w:rFonts w:ascii="宋体" w:hAnsi="宋体" w:cstheme="majorEastAsia"/>
          <w:color w:val="auto"/>
          <w:sz w:val="24"/>
          <w:szCs w:val="24"/>
          <w:highlight w:val="none"/>
        </w:rPr>
      </w:pPr>
      <w:r>
        <w:rPr>
          <w:rFonts w:hint="eastAsia" w:ascii="宋体" w:hAnsi="宋体" w:cstheme="majorEastAsia"/>
          <w:color w:val="auto"/>
          <w:sz w:val="24"/>
          <w:szCs w:val="24"/>
          <w:highlight w:val="none"/>
        </w:rPr>
        <w:t>15.2 投标报价应包括货款、标准附件、备品备件、专用工具、包装、运输、装卸、保险、税金、货到就位以及安装、调试、培训、保修等一切税金和费用。</w:t>
      </w:r>
    </w:p>
    <w:p>
      <w:pPr>
        <w:tabs>
          <w:tab w:val="left" w:pos="525"/>
        </w:tabs>
        <w:adjustRightInd w:val="0"/>
        <w:snapToGrid w:val="0"/>
        <w:spacing w:line="500" w:lineRule="exact"/>
        <w:ind w:firstLine="480" w:firstLineChars="200"/>
        <w:jc w:val="left"/>
        <w:rPr>
          <w:rFonts w:ascii="宋体" w:hAnsi="宋体" w:cstheme="majorEastAsia"/>
          <w:color w:val="auto"/>
          <w:sz w:val="24"/>
          <w:szCs w:val="24"/>
          <w:highlight w:val="none"/>
        </w:rPr>
      </w:pPr>
      <w:r>
        <w:rPr>
          <w:rFonts w:hint="eastAsia" w:ascii="宋体" w:hAnsi="宋体" w:cstheme="majorEastAsia"/>
          <w:color w:val="auto"/>
          <w:sz w:val="24"/>
          <w:szCs w:val="24"/>
          <w:highlight w:val="none"/>
        </w:rPr>
        <w:t>15.3 每种货物只允许有一个报价，有选择的或有条件的报价将不予接受。</w:t>
      </w:r>
    </w:p>
    <w:p>
      <w:pPr>
        <w:pStyle w:val="6"/>
        <w:rPr>
          <w:rFonts w:ascii="宋体" w:hAnsi="宋体"/>
          <w:color w:val="auto"/>
          <w:highlight w:val="none"/>
        </w:rPr>
      </w:pPr>
      <w:bookmarkStart w:id="54" w:name="_Toc11872"/>
      <w:r>
        <w:rPr>
          <w:rFonts w:hint="eastAsia" w:ascii="宋体" w:hAnsi="宋体"/>
          <w:color w:val="auto"/>
          <w:highlight w:val="none"/>
        </w:rPr>
        <w:t>16、投标文件的有效期</w:t>
      </w:r>
      <w:bookmarkEnd w:id="54"/>
    </w:p>
    <w:p>
      <w:pPr>
        <w:tabs>
          <w:tab w:val="left" w:pos="454"/>
          <w:tab w:val="left" w:pos="720"/>
        </w:tabs>
        <w:adjustRightInd w:val="0"/>
        <w:snapToGrid w:val="0"/>
        <w:spacing w:line="500" w:lineRule="exact"/>
        <w:ind w:firstLine="480" w:firstLineChars="200"/>
        <w:jc w:val="left"/>
        <w:rPr>
          <w:rFonts w:ascii="宋体" w:hAnsi="宋体" w:cstheme="majorEastAsia"/>
          <w:color w:val="auto"/>
          <w:kern w:val="0"/>
          <w:sz w:val="24"/>
          <w:szCs w:val="24"/>
          <w:highlight w:val="none"/>
        </w:rPr>
      </w:pPr>
      <w:r>
        <w:rPr>
          <w:rFonts w:hint="eastAsia" w:ascii="宋体" w:hAnsi="宋体" w:cstheme="majorEastAsia"/>
          <w:color w:val="auto"/>
          <w:kern w:val="0"/>
          <w:sz w:val="24"/>
          <w:szCs w:val="24"/>
          <w:highlight w:val="none"/>
        </w:rPr>
        <w:t>16.1 自投标截止日起</w:t>
      </w:r>
      <w:r>
        <w:rPr>
          <w:rFonts w:hint="eastAsia" w:ascii="宋体" w:hAnsi="宋体" w:cstheme="majorEastAsia"/>
          <w:color w:val="auto"/>
          <w:kern w:val="0"/>
          <w:sz w:val="24"/>
          <w:szCs w:val="24"/>
          <w:highlight w:val="none"/>
          <w:u w:val="single"/>
        </w:rPr>
        <w:t>90</w:t>
      </w:r>
      <w:r>
        <w:rPr>
          <w:rFonts w:hint="eastAsia" w:ascii="宋体" w:hAnsi="宋体" w:cstheme="majorEastAsia"/>
          <w:color w:val="auto"/>
          <w:kern w:val="0"/>
          <w:sz w:val="24"/>
          <w:szCs w:val="24"/>
          <w:highlight w:val="none"/>
        </w:rPr>
        <w:t>天投标文件应保持有效。</w:t>
      </w:r>
    </w:p>
    <w:p>
      <w:pPr>
        <w:tabs>
          <w:tab w:val="left" w:pos="454"/>
          <w:tab w:val="left" w:pos="720"/>
        </w:tabs>
        <w:adjustRightInd w:val="0"/>
        <w:snapToGrid w:val="0"/>
        <w:spacing w:line="500" w:lineRule="exact"/>
        <w:ind w:firstLine="480" w:firstLineChars="200"/>
        <w:jc w:val="left"/>
        <w:rPr>
          <w:rFonts w:ascii="宋体" w:hAnsi="宋体" w:cstheme="majorEastAsia"/>
          <w:color w:val="auto"/>
          <w:kern w:val="0"/>
          <w:sz w:val="24"/>
          <w:szCs w:val="24"/>
          <w:highlight w:val="none"/>
        </w:rPr>
      </w:pPr>
      <w:r>
        <w:rPr>
          <w:rFonts w:hint="eastAsia" w:ascii="宋体" w:hAnsi="宋体" w:cstheme="majorEastAsia"/>
          <w:color w:val="auto"/>
          <w:kern w:val="0"/>
          <w:sz w:val="24"/>
          <w:szCs w:val="24"/>
          <w:highlight w:val="none"/>
        </w:rPr>
        <w:t>16.2 在特殊情况下，采购人可与投标人协商延长投标书的有效期，这种要求和答复均以书面形式进行。</w:t>
      </w:r>
    </w:p>
    <w:p>
      <w:pPr>
        <w:adjustRightInd w:val="0"/>
        <w:snapToGrid w:val="0"/>
        <w:spacing w:line="500" w:lineRule="exact"/>
        <w:ind w:firstLine="480" w:firstLineChars="200"/>
        <w:jc w:val="left"/>
        <w:rPr>
          <w:rFonts w:ascii="宋体" w:hAnsi="宋体" w:cstheme="majorEastAsia"/>
          <w:b/>
          <w:color w:val="auto"/>
          <w:sz w:val="24"/>
          <w:szCs w:val="24"/>
          <w:highlight w:val="none"/>
        </w:rPr>
      </w:pPr>
      <w:r>
        <w:rPr>
          <w:rFonts w:hint="eastAsia" w:ascii="宋体" w:hAnsi="宋体" w:cstheme="majorEastAsia"/>
          <w:color w:val="auto"/>
          <w:sz w:val="24"/>
          <w:szCs w:val="24"/>
          <w:highlight w:val="none"/>
        </w:rPr>
        <w:t>16.3 投标人可拒绝接受延期要求而不会导致投标保证金被没收。同意延长有效期的投标人需要相应延长投标保证金的有效期，但不能修改投标文件。</w:t>
      </w:r>
    </w:p>
    <w:p>
      <w:pPr>
        <w:adjustRightInd w:val="0"/>
        <w:snapToGrid w:val="0"/>
        <w:spacing w:line="500" w:lineRule="exact"/>
        <w:ind w:firstLine="480" w:firstLineChars="200"/>
        <w:jc w:val="left"/>
        <w:rPr>
          <w:rFonts w:ascii="宋体" w:hAnsi="宋体" w:cstheme="majorEastAsia"/>
          <w:b/>
          <w:color w:val="auto"/>
          <w:sz w:val="24"/>
          <w:szCs w:val="24"/>
          <w:highlight w:val="none"/>
        </w:rPr>
      </w:pPr>
      <w:r>
        <w:rPr>
          <w:rFonts w:hint="eastAsia" w:ascii="宋体" w:hAnsi="宋体" w:cstheme="majorEastAsia"/>
          <w:color w:val="auto"/>
          <w:sz w:val="24"/>
          <w:szCs w:val="24"/>
          <w:highlight w:val="none"/>
        </w:rPr>
        <w:t>16.4 中标人的投标文件自开标之日起至合同履行完毕止均应保持有效。</w:t>
      </w:r>
    </w:p>
    <w:p>
      <w:pPr>
        <w:pStyle w:val="6"/>
        <w:rPr>
          <w:rFonts w:ascii="宋体" w:hAnsi="宋体"/>
          <w:color w:val="auto"/>
          <w:highlight w:val="none"/>
        </w:rPr>
      </w:pPr>
      <w:bookmarkStart w:id="55" w:name="_Toc2098"/>
      <w:r>
        <w:rPr>
          <w:rFonts w:hint="eastAsia" w:ascii="宋体" w:hAnsi="宋体"/>
          <w:color w:val="auto"/>
          <w:highlight w:val="none"/>
        </w:rPr>
        <w:t>17、投标保证金</w:t>
      </w:r>
      <w:bookmarkEnd w:id="55"/>
    </w:p>
    <w:p>
      <w:pPr>
        <w:adjustRightInd w:val="0"/>
        <w:snapToGrid w:val="0"/>
        <w:spacing w:line="500" w:lineRule="exact"/>
        <w:ind w:firstLine="480" w:firstLineChars="200"/>
        <w:jc w:val="left"/>
        <w:rPr>
          <w:rFonts w:ascii="宋体" w:hAnsi="宋体" w:cstheme="majorEastAsia"/>
          <w:color w:val="auto"/>
          <w:sz w:val="24"/>
          <w:szCs w:val="24"/>
          <w:highlight w:val="none"/>
        </w:rPr>
      </w:pPr>
      <w:r>
        <w:rPr>
          <w:rFonts w:hint="eastAsia" w:ascii="宋体" w:hAnsi="宋体" w:cstheme="majorEastAsia"/>
          <w:color w:val="auto"/>
          <w:sz w:val="24"/>
          <w:szCs w:val="24"/>
          <w:highlight w:val="none"/>
        </w:rPr>
        <w:t>17.1 投标人须按规定提交投标保证金。否则，其投标将被拒绝。</w:t>
      </w:r>
    </w:p>
    <w:p>
      <w:pPr>
        <w:adjustRightInd w:val="0"/>
        <w:snapToGrid w:val="0"/>
        <w:spacing w:line="500" w:lineRule="exact"/>
        <w:ind w:firstLine="480" w:firstLineChars="200"/>
        <w:jc w:val="left"/>
        <w:rPr>
          <w:rFonts w:ascii="宋体" w:hAnsi="宋体" w:cstheme="majorEastAsia"/>
          <w:color w:val="auto"/>
          <w:sz w:val="24"/>
          <w:szCs w:val="24"/>
          <w:highlight w:val="none"/>
        </w:rPr>
      </w:pPr>
      <w:r>
        <w:rPr>
          <w:rFonts w:hint="eastAsia" w:ascii="宋体" w:hAnsi="宋体" w:cstheme="majorEastAsia"/>
          <w:color w:val="auto"/>
          <w:sz w:val="24"/>
          <w:szCs w:val="24"/>
          <w:highlight w:val="none"/>
        </w:rPr>
        <w:t>17.2 保证金形式：投标保证金应当以支票、汇票、本票或者金融机构、担保机构出具的保函等非现金形式提交。</w:t>
      </w:r>
    </w:p>
    <w:p>
      <w:pPr>
        <w:adjustRightInd w:val="0"/>
        <w:snapToGrid w:val="0"/>
        <w:spacing w:line="500" w:lineRule="exact"/>
        <w:ind w:firstLine="480" w:firstLineChars="200"/>
        <w:jc w:val="left"/>
        <w:rPr>
          <w:rFonts w:ascii="宋体" w:hAnsi="宋体" w:cstheme="majorEastAsia"/>
          <w:color w:val="auto"/>
          <w:sz w:val="24"/>
          <w:szCs w:val="24"/>
          <w:highlight w:val="none"/>
        </w:rPr>
      </w:pPr>
      <w:r>
        <w:rPr>
          <w:rFonts w:hint="eastAsia" w:ascii="宋体" w:hAnsi="宋体" w:cstheme="majorEastAsia"/>
          <w:color w:val="auto"/>
          <w:sz w:val="24"/>
          <w:szCs w:val="24"/>
          <w:highlight w:val="none"/>
        </w:rPr>
        <w:t>17.3 退还保证金时，投标人提供单位账户信息。</w:t>
      </w:r>
    </w:p>
    <w:p>
      <w:pPr>
        <w:adjustRightInd w:val="0"/>
        <w:snapToGrid w:val="0"/>
        <w:spacing w:line="500" w:lineRule="exact"/>
        <w:ind w:firstLine="480" w:firstLineChars="200"/>
        <w:jc w:val="left"/>
        <w:rPr>
          <w:rFonts w:ascii="宋体" w:hAnsi="宋体" w:cstheme="majorEastAsia"/>
          <w:color w:val="auto"/>
          <w:sz w:val="24"/>
          <w:szCs w:val="24"/>
          <w:highlight w:val="none"/>
        </w:rPr>
      </w:pPr>
      <w:r>
        <w:rPr>
          <w:rFonts w:hint="eastAsia" w:ascii="宋体" w:hAnsi="宋体" w:cstheme="majorEastAsia"/>
          <w:color w:val="auto"/>
          <w:sz w:val="24"/>
          <w:szCs w:val="24"/>
          <w:highlight w:val="none"/>
        </w:rPr>
        <w:t>17.4 采购代理机构应当自中标通知书发出之日起5个工作日内退还未中标单位的投标保证金，自政府采购合同签订之日起 5 个工作日内退还中标单位的投标保证金。但因投标人自身原因导致无法及时退还的除外。</w:t>
      </w:r>
    </w:p>
    <w:p>
      <w:pPr>
        <w:adjustRightInd w:val="0"/>
        <w:snapToGrid w:val="0"/>
        <w:spacing w:line="500" w:lineRule="exact"/>
        <w:ind w:firstLine="472" w:firstLineChars="196"/>
        <w:jc w:val="left"/>
        <w:rPr>
          <w:rFonts w:ascii="宋体" w:hAnsi="宋体" w:cstheme="majorEastAsia"/>
          <w:b/>
          <w:bCs/>
          <w:color w:val="auto"/>
          <w:sz w:val="24"/>
          <w:szCs w:val="24"/>
          <w:highlight w:val="none"/>
        </w:rPr>
      </w:pPr>
      <w:r>
        <w:rPr>
          <w:rFonts w:hint="eastAsia" w:ascii="宋体" w:hAnsi="宋体" w:cstheme="majorEastAsia"/>
          <w:b/>
          <w:bCs/>
          <w:color w:val="auto"/>
          <w:sz w:val="24"/>
          <w:szCs w:val="24"/>
          <w:highlight w:val="none"/>
        </w:rPr>
        <w:t>17.5 投标人有下列情形之一的，投标保证金将不予退还：</w:t>
      </w:r>
    </w:p>
    <w:p>
      <w:pPr>
        <w:adjustRightInd w:val="0"/>
        <w:snapToGrid w:val="0"/>
        <w:spacing w:line="500" w:lineRule="exact"/>
        <w:ind w:firstLine="472" w:firstLineChars="196"/>
        <w:jc w:val="left"/>
        <w:rPr>
          <w:rFonts w:ascii="宋体" w:hAnsi="宋体" w:cstheme="majorEastAsia"/>
          <w:b/>
          <w:color w:val="auto"/>
          <w:sz w:val="24"/>
          <w:szCs w:val="24"/>
          <w:highlight w:val="none"/>
        </w:rPr>
      </w:pPr>
      <w:r>
        <w:rPr>
          <w:rFonts w:hint="eastAsia" w:ascii="宋体" w:hAnsi="宋体" w:cstheme="majorEastAsia"/>
          <w:b/>
          <w:color w:val="auto"/>
          <w:sz w:val="24"/>
          <w:szCs w:val="24"/>
          <w:highlight w:val="none"/>
        </w:rPr>
        <w:t>（1）投标人在投标有效期内撤回投标文件的；</w:t>
      </w:r>
    </w:p>
    <w:p>
      <w:pPr>
        <w:adjustRightInd w:val="0"/>
        <w:snapToGrid w:val="0"/>
        <w:spacing w:line="500" w:lineRule="exact"/>
        <w:ind w:firstLine="472" w:firstLineChars="196"/>
        <w:jc w:val="left"/>
        <w:rPr>
          <w:rFonts w:ascii="宋体" w:hAnsi="宋体" w:cstheme="majorEastAsia"/>
          <w:b/>
          <w:color w:val="auto"/>
          <w:sz w:val="24"/>
          <w:szCs w:val="24"/>
          <w:highlight w:val="none"/>
        </w:rPr>
      </w:pPr>
      <w:r>
        <w:rPr>
          <w:rFonts w:hint="eastAsia" w:ascii="宋体" w:hAnsi="宋体" w:cstheme="majorEastAsia"/>
          <w:b/>
          <w:color w:val="auto"/>
          <w:sz w:val="24"/>
          <w:szCs w:val="24"/>
          <w:highlight w:val="none"/>
        </w:rPr>
        <w:t>（2）投标人在投标过程中弄虚作假，提供虚假材料的；</w:t>
      </w:r>
    </w:p>
    <w:p>
      <w:pPr>
        <w:adjustRightInd w:val="0"/>
        <w:snapToGrid w:val="0"/>
        <w:spacing w:line="500" w:lineRule="exact"/>
        <w:ind w:firstLine="472" w:firstLineChars="196"/>
        <w:rPr>
          <w:rFonts w:ascii="宋体" w:hAnsi="宋体" w:cstheme="majorEastAsia"/>
          <w:b/>
          <w:color w:val="auto"/>
          <w:sz w:val="24"/>
          <w:szCs w:val="24"/>
          <w:highlight w:val="none"/>
        </w:rPr>
      </w:pPr>
      <w:r>
        <w:rPr>
          <w:rFonts w:hint="eastAsia" w:ascii="宋体" w:hAnsi="宋体" w:cstheme="majorEastAsia"/>
          <w:b/>
          <w:color w:val="auto"/>
          <w:sz w:val="24"/>
          <w:szCs w:val="24"/>
          <w:highlight w:val="none"/>
        </w:rPr>
        <w:t>（3）中标人无正当理由不与采购人签订合同的；</w:t>
      </w:r>
    </w:p>
    <w:p>
      <w:pPr>
        <w:adjustRightInd w:val="0"/>
        <w:snapToGrid w:val="0"/>
        <w:spacing w:line="500" w:lineRule="exact"/>
        <w:ind w:firstLine="472" w:firstLineChars="196"/>
        <w:rPr>
          <w:rFonts w:ascii="宋体" w:hAnsi="宋体" w:cstheme="majorEastAsia"/>
          <w:b/>
          <w:color w:val="auto"/>
          <w:sz w:val="24"/>
          <w:szCs w:val="24"/>
          <w:highlight w:val="none"/>
        </w:rPr>
      </w:pPr>
      <w:r>
        <w:rPr>
          <w:rFonts w:hint="eastAsia" w:ascii="宋体" w:hAnsi="宋体" w:cstheme="majorEastAsia"/>
          <w:b/>
          <w:color w:val="auto"/>
          <w:sz w:val="24"/>
          <w:szCs w:val="24"/>
          <w:highlight w:val="none"/>
        </w:rPr>
        <w:t>（4）</w:t>
      </w:r>
      <w:r>
        <w:rPr>
          <w:rFonts w:hint="eastAsia" w:ascii="宋体" w:hAnsi="宋体" w:cstheme="majorEastAsia"/>
          <w:b/>
          <w:bCs/>
          <w:color w:val="auto"/>
          <w:sz w:val="24"/>
          <w:szCs w:val="24"/>
          <w:highlight w:val="none"/>
        </w:rPr>
        <w:t>将中标项目转让给他人或者在投标文件中未说明且未经招标采购单位同意，将项目分包给他人的；</w:t>
      </w:r>
    </w:p>
    <w:p>
      <w:pPr>
        <w:adjustRightInd w:val="0"/>
        <w:snapToGrid w:val="0"/>
        <w:spacing w:line="500" w:lineRule="exact"/>
        <w:ind w:firstLine="482" w:firstLineChars="200"/>
        <w:rPr>
          <w:rFonts w:ascii="宋体" w:hAnsi="宋体" w:cstheme="majorEastAsia"/>
          <w:b/>
          <w:color w:val="auto"/>
          <w:sz w:val="24"/>
          <w:szCs w:val="24"/>
          <w:highlight w:val="none"/>
        </w:rPr>
      </w:pPr>
      <w:r>
        <w:rPr>
          <w:rFonts w:hint="eastAsia" w:ascii="宋体" w:hAnsi="宋体" w:cstheme="majorEastAsia"/>
          <w:b/>
          <w:color w:val="auto"/>
          <w:sz w:val="24"/>
          <w:szCs w:val="24"/>
          <w:highlight w:val="none"/>
        </w:rPr>
        <w:t>（5）拒绝履行合同义务的；</w:t>
      </w:r>
    </w:p>
    <w:p>
      <w:pPr>
        <w:adjustRightInd w:val="0"/>
        <w:snapToGrid w:val="0"/>
        <w:spacing w:line="500" w:lineRule="exact"/>
        <w:ind w:firstLine="482" w:firstLineChars="200"/>
        <w:rPr>
          <w:rFonts w:ascii="宋体" w:hAnsi="宋体" w:cstheme="majorEastAsia"/>
          <w:b/>
          <w:color w:val="auto"/>
          <w:sz w:val="24"/>
          <w:szCs w:val="24"/>
          <w:highlight w:val="none"/>
        </w:rPr>
      </w:pPr>
      <w:r>
        <w:rPr>
          <w:rFonts w:hint="eastAsia" w:ascii="宋体" w:hAnsi="宋体" w:cstheme="majorEastAsia"/>
          <w:b/>
          <w:color w:val="auto"/>
          <w:sz w:val="24"/>
          <w:szCs w:val="24"/>
          <w:highlight w:val="none"/>
        </w:rPr>
        <w:t>（6）其他严重扰乱招投标程序的。</w:t>
      </w:r>
    </w:p>
    <w:p>
      <w:pPr>
        <w:pStyle w:val="6"/>
        <w:rPr>
          <w:rFonts w:ascii="宋体" w:hAnsi="宋体" w:cstheme="majorEastAsia"/>
          <w:color w:val="auto"/>
          <w:sz w:val="24"/>
          <w:szCs w:val="24"/>
          <w:highlight w:val="none"/>
        </w:rPr>
      </w:pPr>
      <w:bookmarkStart w:id="56" w:name="_Toc16494"/>
      <w:r>
        <w:rPr>
          <w:rFonts w:hint="eastAsia" w:ascii="宋体" w:hAnsi="宋体" w:cstheme="majorEastAsia"/>
          <w:color w:val="auto"/>
          <w:sz w:val="24"/>
          <w:szCs w:val="24"/>
          <w:highlight w:val="none"/>
        </w:rPr>
        <w:t>18、投标文件</w:t>
      </w:r>
      <w:r>
        <w:rPr>
          <w:rStyle w:val="84"/>
          <w:rFonts w:hint="eastAsia" w:ascii="宋体" w:hAnsi="宋体"/>
          <w:b/>
          <w:bCs/>
          <w:color w:val="auto"/>
          <w:highlight w:val="none"/>
        </w:rPr>
        <w:t>的</w:t>
      </w:r>
      <w:r>
        <w:rPr>
          <w:rFonts w:hint="eastAsia" w:ascii="宋体" w:hAnsi="宋体" w:cstheme="majorEastAsia"/>
          <w:color w:val="auto"/>
          <w:sz w:val="24"/>
          <w:szCs w:val="24"/>
          <w:highlight w:val="none"/>
        </w:rPr>
        <w:t>签署和份数</w:t>
      </w:r>
      <w:bookmarkEnd w:id="56"/>
    </w:p>
    <w:p>
      <w:pPr>
        <w:adjustRightInd w:val="0"/>
        <w:snapToGrid w:val="0"/>
        <w:spacing w:line="500" w:lineRule="exact"/>
        <w:ind w:firstLine="480" w:firstLineChars="200"/>
        <w:jc w:val="left"/>
        <w:rPr>
          <w:rFonts w:ascii="宋体" w:hAnsi="宋体" w:cstheme="majorEastAsia"/>
          <w:color w:val="auto"/>
          <w:sz w:val="24"/>
          <w:szCs w:val="24"/>
          <w:highlight w:val="none"/>
        </w:rPr>
      </w:pPr>
      <w:r>
        <w:rPr>
          <w:rFonts w:hint="eastAsia" w:ascii="宋体" w:hAnsi="宋体" w:cstheme="majorEastAsia"/>
          <w:color w:val="auto"/>
          <w:sz w:val="24"/>
          <w:szCs w:val="24"/>
          <w:highlight w:val="none"/>
        </w:rPr>
        <w:t>18.1 投标人应按本招标文件规定的格式和顺序编制、装订投标文件并标注页码，投标文件内容不完整、编排混乱导致投标文件被误读、漏读或者查找不到相关内容的，是投标人的责任。</w:t>
      </w:r>
    </w:p>
    <w:p>
      <w:pPr>
        <w:adjustRightInd w:val="0"/>
        <w:snapToGrid w:val="0"/>
        <w:spacing w:line="500" w:lineRule="exact"/>
        <w:ind w:firstLine="480" w:firstLineChars="200"/>
        <w:jc w:val="left"/>
        <w:rPr>
          <w:rFonts w:ascii="宋体" w:hAnsi="宋体" w:cstheme="majorEastAsia"/>
          <w:color w:val="auto"/>
          <w:sz w:val="24"/>
          <w:szCs w:val="24"/>
          <w:highlight w:val="none"/>
        </w:rPr>
      </w:pPr>
      <w:r>
        <w:rPr>
          <w:rFonts w:hint="eastAsia" w:ascii="宋体" w:hAnsi="宋体" w:cstheme="majorEastAsia"/>
          <w:color w:val="auto"/>
          <w:sz w:val="24"/>
          <w:szCs w:val="24"/>
          <w:highlight w:val="none"/>
        </w:rPr>
        <w:t>18.2投标人递交的纸质投标文件包括“正本”一份、“副本”四份。报价文件单独装订成一册“正本”一份、“副本”四份；商务技术文件内容不得体现价格合并装订。</w:t>
      </w:r>
      <w:r>
        <w:rPr>
          <w:rFonts w:hint="eastAsia" w:ascii="宋体" w:hAnsi="宋体" w:cstheme="majorEastAsia"/>
          <w:b/>
          <w:color w:val="auto"/>
          <w:sz w:val="24"/>
          <w:szCs w:val="24"/>
          <w:highlight w:val="none"/>
        </w:rPr>
        <w:t>建议采用胶装，不得采用活页装订（是指用卡条、抽杆夹、订书机等形式装订，使投标文件可以拆卸或者在翻动过程中易脱落的一种装订方式）。</w:t>
      </w:r>
      <w:r>
        <w:rPr>
          <w:rFonts w:hint="eastAsia" w:ascii="宋体" w:hAnsi="宋体" w:cstheme="majorEastAsia"/>
          <w:color w:val="auto"/>
          <w:sz w:val="24"/>
          <w:szCs w:val="24"/>
          <w:highlight w:val="none"/>
        </w:rPr>
        <w:t>在投标文件封面的须清楚的注明“正本”或“副本”。</w:t>
      </w:r>
    </w:p>
    <w:p>
      <w:pPr>
        <w:adjustRightInd w:val="0"/>
        <w:snapToGrid w:val="0"/>
        <w:spacing w:line="500" w:lineRule="exact"/>
        <w:ind w:firstLine="480" w:firstLineChars="200"/>
        <w:jc w:val="left"/>
        <w:rPr>
          <w:rFonts w:ascii="宋体" w:hAnsi="宋体" w:cstheme="majorEastAsia"/>
          <w:color w:val="auto"/>
          <w:sz w:val="24"/>
          <w:szCs w:val="24"/>
          <w:highlight w:val="none"/>
        </w:rPr>
      </w:pPr>
      <w:r>
        <w:rPr>
          <w:rFonts w:hint="eastAsia" w:ascii="宋体" w:hAnsi="宋体" w:cstheme="majorEastAsia"/>
          <w:color w:val="auto"/>
          <w:sz w:val="24"/>
          <w:szCs w:val="24"/>
          <w:highlight w:val="none"/>
        </w:rPr>
        <w:t>18.3 投标文件的正本需打印或用不褪色的墨水填写，投标文件正本除本《投标人须知》中规定的可提供复印件外均须提供原件。副本可为正本的复印件。</w:t>
      </w:r>
    </w:p>
    <w:p>
      <w:pPr>
        <w:adjustRightInd w:val="0"/>
        <w:snapToGrid w:val="0"/>
        <w:spacing w:line="500" w:lineRule="exact"/>
        <w:ind w:firstLine="480" w:firstLineChars="200"/>
        <w:jc w:val="left"/>
        <w:rPr>
          <w:rFonts w:ascii="宋体" w:hAnsi="宋体" w:cstheme="majorEastAsia"/>
          <w:color w:val="auto"/>
          <w:sz w:val="24"/>
          <w:szCs w:val="24"/>
          <w:highlight w:val="none"/>
        </w:rPr>
      </w:pPr>
      <w:r>
        <w:rPr>
          <w:rFonts w:hint="eastAsia" w:ascii="宋体" w:hAnsi="宋体" w:cstheme="majorEastAsia"/>
          <w:color w:val="auto"/>
          <w:sz w:val="24"/>
          <w:szCs w:val="24"/>
          <w:highlight w:val="none"/>
        </w:rPr>
        <w:t>18.4 投标文件须由投标人在规定位置盖章并由法定代表人（负责人、自然人）或法定代表人（负责人、自然人）的授权代表签署，投标人应写全称。</w:t>
      </w:r>
    </w:p>
    <w:p>
      <w:pPr>
        <w:adjustRightInd w:val="0"/>
        <w:snapToGrid w:val="0"/>
        <w:spacing w:line="500" w:lineRule="exact"/>
        <w:ind w:firstLine="480" w:firstLineChars="200"/>
        <w:jc w:val="left"/>
        <w:rPr>
          <w:rFonts w:ascii="宋体" w:hAnsi="宋体" w:cstheme="majorEastAsia"/>
          <w:color w:val="auto"/>
          <w:sz w:val="24"/>
          <w:szCs w:val="24"/>
          <w:highlight w:val="none"/>
        </w:rPr>
      </w:pPr>
      <w:r>
        <w:rPr>
          <w:rFonts w:hint="eastAsia" w:ascii="宋体" w:hAnsi="宋体" w:cstheme="majorEastAsia"/>
          <w:color w:val="auto"/>
          <w:sz w:val="24"/>
          <w:szCs w:val="24"/>
          <w:highlight w:val="none"/>
        </w:rPr>
        <w:t>18.5 投标文件不得涂改，若有修改错漏处，须加盖单位公章或者法定代表人（负责人、自然人）或授权代表签字。投标文件因字迹潦草或表达不清所引起的后果由投标人负责。</w:t>
      </w:r>
    </w:p>
    <w:p>
      <w:pPr>
        <w:adjustRightInd w:val="0"/>
        <w:snapToGrid w:val="0"/>
        <w:spacing w:line="500" w:lineRule="exact"/>
        <w:ind w:firstLine="480" w:firstLineChars="200"/>
        <w:rPr>
          <w:rFonts w:ascii="宋体" w:hAnsi="宋体" w:cstheme="majorEastAsia"/>
          <w:color w:val="auto"/>
          <w:sz w:val="24"/>
          <w:szCs w:val="24"/>
          <w:highlight w:val="none"/>
        </w:rPr>
      </w:pPr>
      <w:r>
        <w:rPr>
          <w:rFonts w:hint="eastAsia" w:ascii="宋体" w:hAnsi="宋体" w:cstheme="majorEastAsia"/>
          <w:color w:val="auto"/>
          <w:sz w:val="24"/>
          <w:szCs w:val="24"/>
          <w:highlight w:val="none"/>
        </w:rPr>
        <w:t>18.6电子文件（1份光盘，1份U盘）</w:t>
      </w:r>
      <w:bookmarkStart w:id="57" w:name="_Toc86216991"/>
      <w:bookmarkStart w:id="58" w:name="_Toc233618975"/>
      <w:r>
        <w:rPr>
          <w:rFonts w:hint="eastAsia" w:ascii="宋体" w:hAnsi="宋体" w:cstheme="majorEastAsia"/>
          <w:b/>
          <w:color w:val="auto"/>
          <w:sz w:val="24"/>
          <w:szCs w:val="24"/>
          <w:highlight w:val="none"/>
        </w:rPr>
        <w:t>U盘和1份电子版光盘中须包含投标文件的全部内容，包括报价文件</w:t>
      </w:r>
      <w:bookmarkStart w:id="59" w:name="_Hlt68403820"/>
      <w:bookmarkEnd w:id="59"/>
      <w:bookmarkStart w:id="60" w:name="_Hlt68073093"/>
      <w:bookmarkEnd w:id="60"/>
      <w:bookmarkStart w:id="61" w:name="_Hlt68072998"/>
      <w:bookmarkEnd w:id="61"/>
      <w:r>
        <w:rPr>
          <w:rFonts w:hint="eastAsia" w:ascii="宋体" w:hAnsi="宋体" w:cstheme="majorEastAsia"/>
          <w:b/>
          <w:color w:val="auto"/>
          <w:sz w:val="24"/>
          <w:szCs w:val="24"/>
          <w:highlight w:val="none"/>
        </w:rPr>
        <w:t>和商务技术文件，格式为WORD版和签章后的投标文件正本扫描件PDF版两种。</w:t>
      </w:r>
      <w:r>
        <w:rPr>
          <w:rFonts w:hint="eastAsia" w:ascii="宋体" w:hAnsi="宋体" w:cstheme="majorEastAsia"/>
          <w:color w:val="auto"/>
          <w:sz w:val="24"/>
          <w:szCs w:val="24"/>
          <w:highlight w:val="none"/>
        </w:rPr>
        <w:t>光盘上须注明投标人名称及所投标包及内容。光盘上的内容应与投标人纸制投标文件一致。</w:t>
      </w:r>
    </w:p>
    <w:p>
      <w:pPr>
        <w:snapToGrid w:val="0"/>
        <w:spacing w:line="500" w:lineRule="exact"/>
        <w:ind w:firstLine="480" w:firstLineChars="200"/>
        <w:rPr>
          <w:rFonts w:ascii="宋体" w:hAnsi="宋体" w:cstheme="majorEastAsia"/>
          <w:color w:val="auto"/>
          <w:sz w:val="24"/>
          <w:szCs w:val="24"/>
          <w:highlight w:val="none"/>
        </w:rPr>
      </w:pPr>
      <w:r>
        <w:rPr>
          <w:rFonts w:hint="eastAsia" w:ascii="宋体" w:hAnsi="宋体" w:cstheme="majorEastAsia"/>
          <w:color w:val="auto"/>
          <w:sz w:val="24"/>
          <w:szCs w:val="24"/>
          <w:highlight w:val="none"/>
        </w:rPr>
        <w:t>18.7</w:t>
      </w:r>
      <w:r>
        <w:rPr>
          <w:rFonts w:hint="eastAsia" w:ascii="宋体" w:hAnsi="宋体" w:cstheme="majorEastAsia"/>
          <w:b/>
          <w:color w:val="auto"/>
          <w:sz w:val="24"/>
          <w:szCs w:val="24"/>
          <w:highlight w:val="none"/>
        </w:rPr>
        <w:t>投</w:t>
      </w:r>
      <w:bookmarkEnd w:id="57"/>
      <w:bookmarkEnd w:id="58"/>
      <w:r>
        <w:rPr>
          <w:rFonts w:hint="eastAsia" w:ascii="宋体" w:hAnsi="宋体" w:cstheme="majorEastAsia"/>
          <w:b/>
          <w:color w:val="auto"/>
          <w:sz w:val="24"/>
          <w:szCs w:val="24"/>
          <w:highlight w:val="none"/>
        </w:rPr>
        <w:t>标人如投多个标包的，应当按照标包编号单独提供每一套投标文件</w:t>
      </w:r>
      <w:r>
        <w:rPr>
          <w:rFonts w:hint="eastAsia" w:ascii="宋体" w:hAnsi="宋体" w:cstheme="majorEastAsia"/>
          <w:color w:val="auto"/>
          <w:sz w:val="24"/>
          <w:szCs w:val="24"/>
          <w:highlight w:val="none"/>
        </w:rPr>
        <w:t>。</w:t>
      </w:r>
      <w:r>
        <w:rPr>
          <w:rFonts w:hint="eastAsia" w:ascii="宋体" w:hAnsi="宋体" w:cstheme="majorEastAsia"/>
          <w:b/>
          <w:color w:val="auto"/>
          <w:sz w:val="24"/>
          <w:szCs w:val="24"/>
          <w:highlight w:val="none"/>
        </w:rPr>
        <w:t>商务技术文件装订成一册，报价文件单独装订成一册，在投标文件封面上列明标包编号，商务技术文件的书脊处须写明投标单位公司全称。否则按照无效响应以处理。</w:t>
      </w:r>
    </w:p>
    <w:p>
      <w:pPr>
        <w:pStyle w:val="6"/>
        <w:rPr>
          <w:rFonts w:ascii="宋体" w:hAnsi="宋体"/>
          <w:color w:val="auto"/>
          <w:highlight w:val="none"/>
        </w:rPr>
      </w:pPr>
      <w:bookmarkStart w:id="62" w:name="_Toc8464"/>
      <w:r>
        <w:rPr>
          <w:rFonts w:hint="eastAsia" w:ascii="宋体" w:hAnsi="宋体"/>
          <w:color w:val="auto"/>
          <w:highlight w:val="none"/>
        </w:rPr>
        <w:t>19、投标文件的包装、递交、修改和撤回</w:t>
      </w:r>
      <w:bookmarkEnd w:id="62"/>
    </w:p>
    <w:p>
      <w:pPr>
        <w:adjustRightInd w:val="0"/>
        <w:snapToGrid w:val="0"/>
        <w:spacing w:line="500" w:lineRule="exact"/>
        <w:ind w:firstLine="420"/>
        <w:jc w:val="left"/>
        <w:rPr>
          <w:rFonts w:ascii="宋体" w:hAnsi="宋体" w:cstheme="majorEastAsia"/>
          <w:color w:val="auto"/>
          <w:sz w:val="24"/>
          <w:szCs w:val="24"/>
          <w:highlight w:val="none"/>
        </w:rPr>
      </w:pPr>
      <w:r>
        <w:rPr>
          <w:rFonts w:hint="eastAsia" w:ascii="宋体" w:hAnsi="宋体" w:cstheme="majorEastAsia"/>
          <w:b/>
          <w:bCs/>
          <w:color w:val="auto"/>
          <w:sz w:val="24"/>
          <w:szCs w:val="24"/>
          <w:highlight w:val="none"/>
        </w:rPr>
        <w:t>19.1投标人应将报价文件单独装订成一册，商务文件和技术文件装订成一册,并分别密封包装，电子光盘单独密封并递交，包装封面上应注明“商务技术文件”、“报价文件”、“电子文件”及投标人名称、标包名称、标包编号及内容及“开标时启封”字样，并加盖投标人公章。</w:t>
      </w:r>
    </w:p>
    <w:p>
      <w:pPr>
        <w:pStyle w:val="194"/>
        <w:snapToGrid w:val="0"/>
        <w:spacing w:before="0" w:line="500" w:lineRule="exact"/>
        <w:ind w:left="0" w:firstLine="480" w:firstLineChars="200"/>
        <w:rPr>
          <w:rFonts w:ascii="宋体" w:hAnsi="宋体" w:cstheme="majorEastAsia"/>
          <w:color w:val="auto"/>
          <w:kern w:val="2"/>
          <w:sz w:val="24"/>
          <w:szCs w:val="24"/>
          <w:highlight w:val="none"/>
        </w:rPr>
      </w:pPr>
      <w:r>
        <w:rPr>
          <w:rFonts w:hint="eastAsia" w:ascii="宋体" w:hAnsi="宋体" w:cstheme="majorEastAsia"/>
          <w:color w:val="auto"/>
          <w:kern w:val="2"/>
          <w:sz w:val="24"/>
          <w:szCs w:val="24"/>
          <w:highlight w:val="none"/>
        </w:rPr>
        <w:t>19.2如果投标文件没有按上述规定密封并加写标志，采购人对误投或过早启封概不负责。对由此造成的提前开封的投标文件，采购人将予以拒绝，并退还给投标人。</w:t>
      </w:r>
    </w:p>
    <w:p>
      <w:pPr>
        <w:pStyle w:val="194"/>
        <w:snapToGrid w:val="0"/>
        <w:spacing w:before="0" w:line="500" w:lineRule="exact"/>
        <w:ind w:left="0" w:firstLine="480" w:firstLineChars="200"/>
        <w:rPr>
          <w:rFonts w:ascii="宋体" w:hAnsi="宋体" w:cstheme="majorEastAsia"/>
          <w:color w:val="auto"/>
          <w:kern w:val="2"/>
          <w:sz w:val="24"/>
          <w:szCs w:val="24"/>
          <w:highlight w:val="none"/>
        </w:rPr>
      </w:pPr>
      <w:r>
        <w:rPr>
          <w:rFonts w:hint="eastAsia" w:ascii="宋体" w:hAnsi="宋体" w:cstheme="majorEastAsia"/>
          <w:color w:val="auto"/>
          <w:kern w:val="2"/>
          <w:sz w:val="24"/>
          <w:szCs w:val="24"/>
          <w:highlight w:val="none"/>
        </w:rPr>
        <w:t>19.3 投标人在投标截止时间之前，可以对已提交的投标文件进行修改或撤回，并书面通知采购代理机构；投标截止时间后，投标人不得撤回、修改投标文件。修改后重新递交的投标文件应当按本招标文件的要求签署、盖章和密封。</w:t>
      </w:r>
    </w:p>
    <w:p>
      <w:pPr>
        <w:pStyle w:val="195"/>
        <w:adjustRightInd w:val="0"/>
        <w:snapToGrid w:val="0"/>
        <w:spacing w:before="0" w:line="500" w:lineRule="exact"/>
        <w:ind w:firstLine="482"/>
        <w:rPr>
          <w:rFonts w:ascii="宋体" w:hAnsi="宋体" w:cstheme="majorEastAsia"/>
          <w:b/>
          <w:color w:val="auto"/>
          <w:szCs w:val="24"/>
          <w:highlight w:val="none"/>
        </w:rPr>
      </w:pPr>
      <w:r>
        <w:rPr>
          <w:rFonts w:hint="eastAsia" w:ascii="宋体" w:hAnsi="宋体" w:cstheme="majorEastAsia"/>
          <w:b/>
          <w:color w:val="auto"/>
          <w:szCs w:val="24"/>
          <w:highlight w:val="none"/>
        </w:rPr>
        <w:t>19.4投标文件有下列情况之一的将不予接受：</w:t>
      </w:r>
    </w:p>
    <w:p>
      <w:pPr>
        <w:pStyle w:val="194"/>
        <w:snapToGrid w:val="0"/>
        <w:spacing w:before="0" w:line="500" w:lineRule="exact"/>
        <w:ind w:left="0" w:firstLine="480" w:firstLineChars="200"/>
        <w:rPr>
          <w:rFonts w:ascii="宋体" w:hAnsi="宋体" w:cstheme="majorEastAsia"/>
          <w:color w:val="auto"/>
          <w:kern w:val="2"/>
          <w:sz w:val="24"/>
          <w:szCs w:val="24"/>
          <w:highlight w:val="none"/>
        </w:rPr>
      </w:pPr>
      <w:r>
        <w:rPr>
          <w:rFonts w:hint="eastAsia" w:ascii="宋体" w:hAnsi="宋体" w:cstheme="majorEastAsia"/>
          <w:color w:val="auto"/>
          <w:kern w:val="2"/>
          <w:sz w:val="24"/>
          <w:szCs w:val="24"/>
          <w:highlight w:val="none"/>
        </w:rPr>
        <w:t>19.4.1在投标文件递交截止时间以后送达的投标文件；</w:t>
      </w:r>
    </w:p>
    <w:p>
      <w:pPr>
        <w:pStyle w:val="19"/>
        <w:adjustRightInd w:val="0"/>
        <w:snapToGrid w:val="0"/>
        <w:spacing w:line="500" w:lineRule="exact"/>
        <w:ind w:firstLine="480" w:firstLineChars="200"/>
        <w:rPr>
          <w:rFonts w:ascii="宋体" w:hAnsi="宋体" w:eastAsia="宋体" w:cstheme="majorEastAsia"/>
          <w:color w:val="auto"/>
          <w:sz w:val="24"/>
          <w:szCs w:val="24"/>
          <w:highlight w:val="none"/>
        </w:rPr>
      </w:pPr>
      <w:r>
        <w:rPr>
          <w:rFonts w:hint="eastAsia" w:ascii="宋体" w:hAnsi="宋体" w:eastAsia="宋体" w:cstheme="majorEastAsia"/>
          <w:color w:val="auto"/>
          <w:sz w:val="24"/>
          <w:szCs w:val="24"/>
          <w:highlight w:val="none"/>
        </w:rPr>
        <w:t>19.4.2投标文件没有密封包装或者由于包装不妥，在递交时严重破损或失散的投标文件；</w:t>
      </w:r>
    </w:p>
    <w:p>
      <w:pPr>
        <w:pStyle w:val="19"/>
        <w:adjustRightInd w:val="0"/>
        <w:snapToGrid w:val="0"/>
        <w:spacing w:line="500" w:lineRule="exact"/>
        <w:ind w:firstLine="480" w:firstLineChars="200"/>
        <w:rPr>
          <w:rFonts w:ascii="宋体" w:hAnsi="宋体" w:eastAsia="宋体" w:cstheme="majorEastAsia"/>
          <w:color w:val="auto"/>
          <w:sz w:val="24"/>
          <w:szCs w:val="24"/>
          <w:highlight w:val="none"/>
        </w:rPr>
      </w:pPr>
      <w:r>
        <w:rPr>
          <w:rFonts w:hint="eastAsia" w:ascii="宋体" w:hAnsi="宋体" w:eastAsia="宋体" w:cstheme="majorEastAsia"/>
          <w:color w:val="auto"/>
          <w:sz w:val="24"/>
          <w:szCs w:val="24"/>
          <w:highlight w:val="none"/>
        </w:rPr>
        <w:t>19.4.3投标文件未按19.1条款密封包装的；</w:t>
      </w:r>
    </w:p>
    <w:p>
      <w:pPr>
        <w:pStyle w:val="194"/>
        <w:snapToGrid w:val="0"/>
        <w:spacing w:before="0" w:line="500" w:lineRule="exact"/>
        <w:ind w:left="0" w:firstLine="480" w:firstLineChars="200"/>
        <w:rPr>
          <w:rFonts w:ascii="宋体" w:hAnsi="宋体" w:cstheme="majorEastAsia"/>
          <w:color w:val="auto"/>
          <w:kern w:val="2"/>
          <w:sz w:val="24"/>
          <w:szCs w:val="24"/>
          <w:highlight w:val="none"/>
        </w:rPr>
      </w:pPr>
      <w:r>
        <w:rPr>
          <w:rFonts w:hint="eastAsia" w:ascii="宋体" w:hAnsi="宋体" w:cstheme="majorEastAsia"/>
          <w:color w:val="auto"/>
          <w:kern w:val="2"/>
          <w:sz w:val="24"/>
          <w:szCs w:val="24"/>
          <w:highlight w:val="none"/>
        </w:rPr>
        <w:t>19.4.4仅以非纸制文本形式的投标文件；</w:t>
      </w:r>
    </w:p>
    <w:p>
      <w:pPr>
        <w:pStyle w:val="194"/>
        <w:snapToGrid w:val="0"/>
        <w:spacing w:before="0" w:line="500" w:lineRule="exact"/>
        <w:ind w:left="0" w:firstLine="480" w:firstLineChars="200"/>
        <w:rPr>
          <w:rFonts w:ascii="宋体" w:hAnsi="宋体" w:cstheme="majorEastAsia"/>
          <w:color w:val="auto"/>
          <w:kern w:val="2"/>
          <w:sz w:val="24"/>
          <w:szCs w:val="24"/>
          <w:highlight w:val="none"/>
        </w:rPr>
      </w:pPr>
      <w:r>
        <w:rPr>
          <w:rFonts w:hint="eastAsia" w:ascii="宋体" w:hAnsi="宋体" w:cstheme="majorEastAsia"/>
          <w:color w:val="auto"/>
          <w:kern w:val="2"/>
          <w:sz w:val="24"/>
          <w:szCs w:val="24"/>
          <w:highlight w:val="none"/>
        </w:rPr>
        <w:t>19.4.5投标人法定代表人或其授权代表未参加开标会或参加开标会但未能在开标截止时间前出具有效身份证明原件的等前附表中要求的相关原件。</w:t>
      </w:r>
    </w:p>
    <w:p>
      <w:pPr>
        <w:pStyle w:val="6"/>
        <w:rPr>
          <w:rFonts w:ascii="宋体" w:hAnsi="宋体"/>
          <w:color w:val="auto"/>
          <w:highlight w:val="none"/>
        </w:rPr>
      </w:pPr>
      <w:bookmarkStart w:id="63" w:name="_Toc5085"/>
      <w:r>
        <w:rPr>
          <w:rFonts w:hint="eastAsia" w:ascii="宋体" w:hAnsi="宋体"/>
          <w:color w:val="auto"/>
          <w:highlight w:val="none"/>
        </w:rPr>
        <w:t>20、投标截止期</w:t>
      </w:r>
      <w:bookmarkEnd w:id="63"/>
    </w:p>
    <w:p>
      <w:pPr>
        <w:adjustRightInd w:val="0"/>
        <w:snapToGrid w:val="0"/>
        <w:spacing w:line="500" w:lineRule="exact"/>
        <w:ind w:firstLine="420"/>
        <w:jc w:val="left"/>
        <w:rPr>
          <w:rFonts w:ascii="宋体" w:hAnsi="宋体" w:cstheme="majorEastAsia"/>
          <w:color w:val="auto"/>
          <w:sz w:val="24"/>
          <w:szCs w:val="24"/>
          <w:highlight w:val="none"/>
        </w:rPr>
      </w:pPr>
      <w:r>
        <w:rPr>
          <w:rFonts w:hint="eastAsia" w:ascii="宋体" w:hAnsi="宋体" w:cstheme="majorEastAsia"/>
          <w:color w:val="auto"/>
          <w:sz w:val="24"/>
          <w:szCs w:val="24"/>
          <w:highlight w:val="none"/>
        </w:rPr>
        <w:t>20.1 投标人应按照前附表规定的日期、时间和地点递交投标文件。</w:t>
      </w:r>
    </w:p>
    <w:p>
      <w:pPr>
        <w:adjustRightInd w:val="0"/>
        <w:snapToGrid w:val="0"/>
        <w:spacing w:line="500" w:lineRule="exact"/>
        <w:ind w:firstLine="420"/>
        <w:jc w:val="left"/>
        <w:rPr>
          <w:rFonts w:ascii="宋体" w:hAnsi="宋体" w:cstheme="majorEastAsia"/>
          <w:color w:val="auto"/>
          <w:sz w:val="24"/>
          <w:szCs w:val="24"/>
          <w:highlight w:val="none"/>
        </w:rPr>
      </w:pPr>
      <w:r>
        <w:rPr>
          <w:rFonts w:hint="eastAsia" w:ascii="宋体" w:hAnsi="宋体" w:cstheme="majorEastAsia"/>
          <w:color w:val="auto"/>
          <w:sz w:val="24"/>
          <w:szCs w:val="24"/>
          <w:highlight w:val="none"/>
        </w:rPr>
        <w:t>20.2 采购人将拒绝并原封退回在前附表中规定的截止时间后收到的投标文件。</w:t>
      </w:r>
    </w:p>
    <w:p>
      <w:pPr>
        <w:adjustRightInd w:val="0"/>
        <w:snapToGrid w:val="0"/>
        <w:spacing w:line="500" w:lineRule="exact"/>
        <w:ind w:firstLine="420"/>
        <w:jc w:val="left"/>
        <w:rPr>
          <w:rFonts w:ascii="宋体" w:hAnsi="宋体" w:cstheme="majorEastAsia"/>
          <w:color w:val="auto"/>
          <w:sz w:val="24"/>
          <w:szCs w:val="24"/>
          <w:highlight w:val="none"/>
        </w:rPr>
      </w:pPr>
      <w:r>
        <w:rPr>
          <w:rFonts w:hint="eastAsia" w:ascii="宋体" w:hAnsi="宋体" w:cstheme="majorEastAsia"/>
          <w:color w:val="auto"/>
          <w:sz w:val="24"/>
          <w:szCs w:val="24"/>
          <w:highlight w:val="none"/>
        </w:rPr>
        <w:t>20.3 采购人可以按本须知第12条的规定，通过修改招标文件适当延长投标截止时间。如投标截止时间有延长的，采购人和投标人受投标截止期制约的所有权利和义务均应延长至新的截止期。</w:t>
      </w:r>
    </w:p>
    <w:p>
      <w:pPr>
        <w:pStyle w:val="6"/>
        <w:rPr>
          <w:rFonts w:ascii="宋体" w:hAnsi="宋体"/>
          <w:color w:val="auto"/>
          <w:highlight w:val="none"/>
        </w:rPr>
      </w:pPr>
      <w:bookmarkStart w:id="64" w:name="_Toc11084"/>
      <w:r>
        <w:rPr>
          <w:rFonts w:hint="eastAsia" w:ascii="宋体" w:hAnsi="宋体"/>
          <w:color w:val="auto"/>
          <w:highlight w:val="none"/>
        </w:rPr>
        <w:t>21、投标无效的情形</w:t>
      </w:r>
      <w:bookmarkEnd w:id="64"/>
    </w:p>
    <w:p>
      <w:pPr>
        <w:adjustRightInd w:val="0"/>
        <w:snapToGrid w:val="0"/>
        <w:spacing w:line="500" w:lineRule="exact"/>
        <w:ind w:firstLine="480" w:firstLineChars="200"/>
        <w:rPr>
          <w:rFonts w:ascii="宋体" w:hAnsi="宋体" w:cstheme="majorEastAsia"/>
          <w:bCs/>
          <w:color w:val="auto"/>
          <w:sz w:val="24"/>
          <w:szCs w:val="24"/>
          <w:highlight w:val="none"/>
        </w:rPr>
      </w:pPr>
      <w:r>
        <w:rPr>
          <w:rFonts w:hint="eastAsia" w:ascii="宋体" w:hAnsi="宋体" w:cstheme="majorEastAsia"/>
          <w:bCs/>
          <w:color w:val="auto"/>
          <w:sz w:val="24"/>
          <w:szCs w:val="24"/>
          <w:highlight w:val="none"/>
        </w:rPr>
        <w:t>实质上没有响应招标文件要求的投标将被视为无效投标。投标人不得通过修正或撤销不合要求的偏离或保留从而使其投标成为实质上响应的投标，但经评标委员会认定属于投标人疏忽、笔误所造成的差错，应当允许其在评标结束之前进行修改或者补正（可以是复印件、传真件等，原件必须加盖单位公章）。修改或者补正投标文件必须以书面形式进行，并应在中标结果公告之前查核原件。限期内不补正或经补正后仍不符合招标文件要求的，应认定其投标无效。投标人修改、补正投标文件后，不影响评标委员会对其投标文件所作的评价和评分结果。</w:t>
      </w:r>
    </w:p>
    <w:p>
      <w:pPr>
        <w:adjustRightInd w:val="0"/>
        <w:snapToGrid w:val="0"/>
        <w:spacing w:line="500" w:lineRule="exact"/>
        <w:ind w:firstLine="472" w:firstLineChars="196"/>
        <w:rPr>
          <w:rFonts w:ascii="宋体" w:hAnsi="宋体" w:cstheme="majorEastAsia"/>
          <w:b/>
          <w:color w:val="auto"/>
          <w:sz w:val="24"/>
          <w:szCs w:val="24"/>
          <w:highlight w:val="none"/>
        </w:rPr>
      </w:pPr>
      <w:r>
        <w:rPr>
          <w:rFonts w:hint="eastAsia" w:ascii="宋体" w:hAnsi="宋体" w:cstheme="majorEastAsia"/>
          <w:b/>
          <w:color w:val="auto"/>
          <w:sz w:val="24"/>
          <w:szCs w:val="24"/>
          <w:highlight w:val="none"/>
        </w:rPr>
        <w:t>在评审时，如发现下列情形之一的，由评标委员会按少数服从多数原则进行认定，投标文件将被视为无效：</w:t>
      </w:r>
    </w:p>
    <w:p>
      <w:pPr>
        <w:adjustRightInd w:val="0"/>
        <w:snapToGrid w:val="0"/>
        <w:spacing w:line="500" w:lineRule="exact"/>
        <w:ind w:firstLine="480" w:firstLineChars="200"/>
        <w:rPr>
          <w:rFonts w:ascii="宋体" w:hAnsi="宋体" w:cstheme="majorEastAsia"/>
          <w:color w:val="auto"/>
          <w:sz w:val="24"/>
          <w:szCs w:val="24"/>
          <w:highlight w:val="none"/>
        </w:rPr>
      </w:pPr>
      <w:r>
        <w:rPr>
          <w:rFonts w:hint="eastAsia" w:ascii="宋体" w:hAnsi="宋体" w:cstheme="majorEastAsia"/>
          <w:color w:val="auto"/>
          <w:sz w:val="24"/>
          <w:szCs w:val="24"/>
          <w:highlight w:val="none"/>
        </w:rPr>
        <w:t>21.1 投标方未能提供合格的投标文件；</w:t>
      </w:r>
    </w:p>
    <w:p>
      <w:pPr>
        <w:adjustRightInd w:val="0"/>
        <w:snapToGrid w:val="0"/>
        <w:spacing w:line="500" w:lineRule="exact"/>
        <w:ind w:firstLine="480" w:firstLineChars="200"/>
        <w:rPr>
          <w:rFonts w:ascii="宋体" w:hAnsi="宋体" w:cstheme="majorEastAsia"/>
          <w:color w:val="auto"/>
          <w:sz w:val="24"/>
          <w:szCs w:val="24"/>
          <w:highlight w:val="none"/>
        </w:rPr>
      </w:pPr>
      <w:r>
        <w:rPr>
          <w:rFonts w:hint="eastAsia" w:ascii="宋体" w:hAnsi="宋体" w:cstheme="majorEastAsia"/>
          <w:color w:val="auto"/>
          <w:sz w:val="24"/>
          <w:szCs w:val="24"/>
          <w:highlight w:val="none"/>
        </w:rPr>
        <w:t>21.2未采用人民币报价或未按招标文件标明的币种或计量单位报价的；</w:t>
      </w:r>
    </w:p>
    <w:p>
      <w:pPr>
        <w:adjustRightInd w:val="0"/>
        <w:snapToGrid w:val="0"/>
        <w:spacing w:line="500" w:lineRule="exact"/>
        <w:ind w:firstLine="480" w:firstLineChars="200"/>
        <w:rPr>
          <w:rFonts w:ascii="宋体" w:hAnsi="宋体" w:cstheme="majorEastAsia"/>
          <w:color w:val="auto"/>
          <w:sz w:val="24"/>
          <w:szCs w:val="24"/>
          <w:highlight w:val="none"/>
        </w:rPr>
      </w:pPr>
      <w:r>
        <w:rPr>
          <w:rFonts w:hint="eastAsia" w:ascii="宋体" w:hAnsi="宋体" w:cstheme="majorEastAsia"/>
          <w:color w:val="auto"/>
          <w:sz w:val="24"/>
          <w:szCs w:val="24"/>
          <w:highlight w:val="none"/>
        </w:rPr>
        <w:t>21.3投标文件有采购人不能接受的附加条件的；</w:t>
      </w:r>
    </w:p>
    <w:p>
      <w:pPr>
        <w:adjustRightInd w:val="0"/>
        <w:snapToGrid w:val="0"/>
        <w:spacing w:line="500" w:lineRule="exact"/>
        <w:ind w:firstLine="480" w:firstLineChars="200"/>
        <w:rPr>
          <w:rFonts w:ascii="宋体" w:hAnsi="宋体" w:cstheme="majorEastAsia"/>
          <w:color w:val="auto"/>
          <w:sz w:val="24"/>
          <w:szCs w:val="24"/>
          <w:highlight w:val="none"/>
        </w:rPr>
      </w:pPr>
      <w:r>
        <w:rPr>
          <w:rFonts w:hint="eastAsia" w:ascii="宋体" w:hAnsi="宋体" w:cstheme="majorEastAsia"/>
          <w:color w:val="auto"/>
          <w:sz w:val="24"/>
          <w:szCs w:val="24"/>
          <w:highlight w:val="none"/>
        </w:rPr>
        <w:t>21.4有重大偏离的投标文件；</w:t>
      </w:r>
    </w:p>
    <w:p>
      <w:pPr>
        <w:adjustRightInd w:val="0"/>
        <w:snapToGrid w:val="0"/>
        <w:spacing w:line="500" w:lineRule="exact"/>
        <w:ind w:firstLine="480" w:firstLineChars="200"/>
        <w:rPr>
          <w:rFonts w:ascii="宋体" w:hAnsi="宋体" w:cstheme="majorEastAsia"/>
          <w:color w:val="auto"/>
          <w:sz w:val="24"/>
          <w:szCs w:val="24"/>
          <w:highlight w:val="none"/>
        </w:rPr>
      </w:pPr>
      <w:r>
        <w:rPr>
          <w:rFonts w:hint="eastAsia" w:ascii="宋体" w:hAnsi="宋体" w:cstheme="majorEastAsia"/>
          <w:color w:val="auto"/>
          <w:sz w:val="24"/>
          <w:szCs w:val="24"/>
          <w:highlight w:val="none"/>
        </w:rPr>
        <w:t>21.5未提供或未如实提供投标货物产品的技术参数；投标文件标明的商务、技术响应或偏离与事实不符或虚假投标的；</w:t>
      </w:r>
    </w:p>
    <w:p>
      <w:pPr>
        <w:adjustRightInd w:val="0"/>
        <w:snapToGrid w:val="0"/>
        <w:spacing w:line="500" w:lineRule="exact"/>
        <w:ind w:firstLine="480" w:firstLineChars="200"/>
        <w:rPr>
          <w:rFonts w:ascii="宋体" w:hAnsi="宋体" w:cstheme="majorEastAsia"/>
          <w:color w:val="auto"/>
          <w:sz w:val="24"/>
          <w:szCs w:val="24"/>
          <w:highlight w:val="none"/>
        </w:rPr>
      </w:pPr>
      <w:r>
        <w:rPr>
          <w:rFonts w:hint="eastAsia" w:ascii="宋体" w:hAnsi="宋体" w:cstheme="majorEastAsia"/>
          <w:color w:val="auto"/>
          <w:sz w:val="24"/>
          <w:szCs w:val="24"/>
          <w:highlight w:val="none"/>
        </w:rPr>
        <w:t>21.6投标人报价低于其他有效投标人报价算术平均价60%，投标人又不能在规定时间内作出合理说明或提供相关证明材料；</w:t>
      </w:r>
    </w:p>
    <w:p>
      <w:pPr>
        <w:adjustRightInd w:val="0"/>
        <w:snapToGrid w:val="0"/>
        <w:spacing w:line="500" w:lineRule="exact"/>
        <w:ind w:firstLine="480" w:firstLineChars="200"/>
        <w:rPr>
          <w:rFonts w:ascii="宋体" w:hAnsi="宋体" w:cstheme="majorEastAsia"/>
          <w:color w:val="auto"/>
          <w:sz w:val="24"/>
          <w:szCs w:val="24"/>
          <w:highlight w:val="none"/>
        </w:rPr>
      </w:pPr>
      <w:r>
        <w:rPr>
          <w:rFonts w:hint="eastAsia" w:ascii="宋体" w:hAnsi="宋体" w:cstheme="majorEastAsia"/>
          <w:color w:val="auto"/>
          <w:sz w:val="24"/>
          <w:szCs w:val="24"/>
          <w:highlight w:val="none"/>
        </w:rPr>
        <w:t>21.7 标包以赠送方式投标的、对一个标包提供两个投标方案或两个报价的；</w:t>
      </w:r>
    </w:p>
    <w:p>
      <w:pPr>
        <w:adjustRightInd w:val="0"/>
        <w:snapToGrid w:val="0"/>
        <w:spacing w:line="500" w:lineRule="exact"/>
        <w:ind w:firstLine="480" w:firstLineChars="200"/>
        <w:rPr>
          <w:rFonts w:ascii="宋体" w:hAnsi="宋体" w:cstheme="majorEastAsia"/>
          <w:color w:val="auto"/>
          <w:sz w:val="24"/>
          <w:szCs w:val="24"/>
          <w:highlight w:val="none"/>
        </w:rPr>
      </w:pPr>
      <w:r>
        <w:rPr>
          <w:rFonts w:hint="eastAsia" w:ascii="宋体" w:hAnsi="宋体" w:cstheme="majorEastAsia"/>
          <w:color w:val="auto"/>
          <w:sz w:val="24"/>
          <w:szCs w:val="24"/>
          <w:highlight w:val="none"/>
        </w:rPr>
        <w:t>21.8投标文件应盖公章而未盖公章或盖非公司公章、未按照本招标文件要求装订、正副本标书数量不足的、内容字迹严重模糊辨认不清的、未有效授权。</w:t>
      </w:r>
    </w:p>
    <w:p>
      <w:pPr>
        <w:adjustRightInd w:val="0"/>
        <w:snapToGrid w:val="0"/>
        <w:spacing w:line="500" w:lineRule="exact"/>
        <w:ind w:firstLine="480" w:firstLineChars="200"/>
        <w:rPr>
          <w:rFonts w:ascii="宋体" w:hAnsi="宋体" w:cstheme="majorEastAsia"/>
          <w:color w:val="auto"/>
          <w:sz w:val="24"/>
          <w:szCs w:val="24"/>
          <w:highlight w:val="none"/>
        </w:rPr>
      </w:pPr>
      <w:bookmarkStart w:id="65" w:name="_Toc12370"/>
      <w:bookmarkStart w:id="66" w:name="_Toc19368"/>
      <w:r>
        <w:rPr>
          <w:rFonts w:hint="eastAsia" w:ascii="宋体" w:hAnsi="宋体" w:cstheme="majorEastAsia"/>
          <w:color w:val="auto"/>
          <w:sz w:val="24"/>
          <w:szCs w:val="24"/>
          <w:highlight w:val="none"/>
        </w:rPr>
        <w:t>21.9  投标报价超出最高限价的；</w:t>
      </w:r>
    </w:p>
    <w:p>
      <w:pPr>
        <w:adjustRightInd w:val="0"/>
        <w:snapToGrid w:val="0"/>
        <w:spacing w:line="500" w:lineRule="exact"/>
        <w:ind w:firstLine="480" w:firstLineChars="200"/>
        <w:rPr>
          <w:rFonts w:ascii="宋体" w:hAnsi="宋体" w:cstheme="majorEastAsia"/>
          <w:color w:val="auto"/>
          <w:sz w:val="24"/>
          <w:szCs w:val="24"/>
          <w:highlight w:val="none"/>
        </w:rPr>
      </w:pPr>
      <w:r>
        <w:rPr>
          <w:rFonts w:hint="eastAsia" w:ascii="宋体" w:hAnsi="宋体" w:cstheme="majorEastAsia"/>
          <w:color w:val="auto"/>
          <w:sz w:val="24"/>
          <w:szCs w:val="24"/>
          <w:highlight w:val="none"/>
        </w:rPr>
        <w:t>21.10投标人不能在规定时间内提供原件核实或提供相关证明材料；</w:t>
      </w:r>
    </w:p>
    <w:p>
      <w:pPr>
        <w:adjustRightInd w:val="0"/>
        <w:snapToGrid w:val="0"/>
        <w:spacing w:line="500" w:lineRule="exact"/>
        <w:ind w:firstLine="480" w:firstLineChars="200"/>
        <w:rPr>
          <w:rFonts w:ascii="宋体" w:hAnsi="宋体" w:cstheme="majorEastAsia"/>
          <w:color w:val="auto"/>
          <w:sz w:val="24"/>
          <w:szCs w:val="24"/>
          <w:highlight w:val="none"/>
        </w:rPr>
      </w:pPr>
      <w:r>
        <w:rPr>
          <w:rFonts w:hint="eastAsia" w:ascii="宋体" w:hAnsi="宋体" w:cstheme="majorEastAsia"/>
          <w:color w:val="auto"/>
          <w:sz w:val="24"/>
          <w:szCs w:val="24"/>
          <w:highlight w:val="none"/>
        </w:rPr>
        <w:t>21.11不符合法律、法规和本招标文件明确规定的其他实质性要求的。</w:t>
      </w:r>
    </w:p>
    <w:p>
      <w:pPr>
        <w:pStyle w:val="5"/>
        <w:rPr>
          <w:rFonts w:ascii="宋体" w:hAnsi="宋体"/>
          <w:color w:val="auto"/>
          <w:highlight w:val="none"/>
        </w:rPr>
      </w:pPr>
      <w:r>
        <w:rPr>
          <w:rFonts w:hint="eastAsia" w:ascii="宋体" w:hAnsi="宋体"/>
          <w:color w:val="auto"/>
          <w:highlight w:val="none"/>
        </w:rPr>
        <w:t>四、开标</w:t>
      </w:r>
      <w:bookmarkEnd w:id="65"/>
      <w:bookmarkEnd w:id="66"/>
    </w:p>
    <w:p>
      <w:pPr>
        <w:pStyle w:val="6"/>
        <w:rPr>
          <w:rFonts w:ascii="宋体" w:hAnsi="宋体"/>
          <w:color w:val="auto"/>
          <w:highlight w:val="none"/>
        </w:rPr>
      </w:pPr>
      <w:bookmarkStart w:id="67" w:name="_Toc9510638"/>
      <w:bookmarkStart w:id="68" w:name="_Toc21515"/>
      <w:r>
        <w:rPr>
          <w:rFonts w:hint="eastAsia" w:ascii="宋体" w:hAnsi="宋体"/>
          <w:color w:val="auto"/>
          <w:highlight w:val="none"/>
        </w:rPr>
        <w:t>22、开</w:t>
      </w:r>
      <w:bookmarkEnd w:id="67"/>
      <w:r>
        <w:rPr>
          <w:rFonts w:hint="eastAsia" w:ascii="宋体" w:hAnsi="宋体"/>
          <w:color w:val="auto"/>
          <w:highlight w:val="none"/>
        </w:rPr>
        <w:t>标准备</w:t>
      </w:r>
      <w:bookmarkEnd w:id="68"/>
    </w:p>
    <w:p>
      <w:pPr>
        <w:adjustRightInd w:val="0"/>
        <w:snapToGrid w:val="0"/>
        <w:spacing w:line="500" w:lineRule="exact"/>
        <w:ind w:firstLine="480" w:firstLineChars="200"/>
        <w:rPr>
          <w:rFonts w:ascii="宋体" w:hAnsi="宋体" w:cstheme="majorEastAsia"/>
          <w:bCs/>
          <w:color w:val="auto"/>
          <w:sz w:val="24"/>
          <w:szCs w:val="24"/>
          <w:highlight w:val="none"/>
        </w:rPr>
      </w:pPr>
      <w:r>
        <w:rPr>
          <w:rFonts w:hint="eastAsia" w:ascii="宋体" w:hAnsi="宋体" w:cstheme="majorEastAsia"/>
          <w:bCs/>
          <w:color w:val="auto"/>
          <w:sz w:val="24"/>
          <w:szCs w:val="24"/>
          <w:highlight w:val="none"/>
        </w:rPr>
        <w:t>22.1 采购代理机构将在规定的时间和地点进行开标，投标人的法定代表人</w:t>
      </w:r>
      <w:r>
        <w:rPr>
          <w:rFonts w:hint="eastAsia" w:ascii="宋体" w:hAnsi="宋体" w:cstheme="majorEastAsia"/>
          <w:color w:val="auto"/>
          <w:sz w:val="24"/>
          <w:szCs w:val="24"/>
          <w:highlight w:val="none"/>
        </w:rPr>
        <w:t>（负责人、自然人）</w:t>
      </w:r>
      <w:r>
        <w:rPr>
          <w:rFonts w:hint="eastAsia" w:ascii="宋体" w:hAnsi="宋体" w:cstheme="majorEastAsia"/>
          <w:bCs/>
          <w:color w:val="auto"/>
          <w:sz w:val="24"/>
          <w:szCs w:val="24"/>
          <w:highlight w:val="none"/>
        </w:rPr>
        <w:t>或其授权代表应参加开标会并签到。</w:t>
      </w:r>
    </w:p>
    <w:p>
      <w:pPr>
        <w:adjustRightInd w:val="0"/>
        <w:snapToGrid w:val="0"/>
        <w:spacing w:line="500" w:lineRule="exact"/>
        <w:ind w:firstLine="480" w:firstLineChars="200"/>
        <w:rPr>
          <w:rFonts w:ascii="宋体" w:hAnsi="宋体" w:cstheme="majorEastAsia"/>
          <w:bCs/>
          <w:color w:val="auto"/>
          <w:sz w:val="24"/>
          <w:szCs w:val="24"/>
          <w:highlight w:val="none"/>
        </w:rPr>
      </w:pPr>
      <w:r>
        <w:rPr>
          <w:rFonts w:hint="eastAsia" w:ascii="宋体" w:hAnsi="宋体" w:cstheme="majorEastAsia"/>
          <w:bCs/>
          <w:color w:val="auto"/>
          <w:sz w:val="24"/>
          <w:szCs w:val="24"/>
          <w:highlight w:val="none"/>
        </w:rPr>
        <w:t>22.2参加开标的投标人的法定代表人</w:t>
      </w:r>
      <w:r>
        <w:rPr>
          <w:rFonts w:hint="eastAsia" w:ascii="宋体" w:hAnsi="宋体" w:cstheme="majorEastAsia"/>
          <w:color w:val="auto"/>
          <w:sz w:val="24"/>
          <w:szCs w:val="24"/>
          <w:highlight w:val="none"/>
        </w:rPr>
        <w:t>（负责人、自然人）</w:t>
      </w:r>
      <w:r>
        <w:rPr>
          <w:rFonts w:hint="eastAsia" w:ascii="宋体" w:hAnsi="宋体" w:cstheme="majorEastAsia"/>
          <w:bCs/>
          <w:color w:val="auto"/>
          <w:sz w:val="24"/>
          <w:szCs w:val="24"/>
          <w:highlight w:val="none"/>
        </w:rPr>
        <w:t>或其授权代表须携带本人有效身份证明原件（身份证或公安机关出具的临时身份证明）和法定代表人</w:t>
      </w:r>
      <w:r>
        <w:rPr>
          <w:rFonts w:hint="eastAsia" w:ascii="宋体" w:hAnsi="宋体" w:cstheme="majorEastAsia"/>
          <w:color w:val="auto"/>
          <w:sz w:val="24"/>
          <w:szCs w:val="24"/>
          <w:highlight w:val="none"/>
        </w:rPr>
        <w:t>（负责人、自然人）</w:t>
      </w:r>
      <w:r>
        <w:rPr>
          <w:rFonts w:hint="eastAsia" w:ascii="宋体" w:hAnsi="宋体" w:cstheme="majorEastAsia"/>
          <w:bCs/>
          <w:color w:val="auto"/>
          <w:sz w:val="24"/>
          <w:szCs w:val="24"/>
          <w:highlight w:val="none"/>
        </w:rPr>
        <w:t>资格证明或法定代表人</w:t>
      </w:r>
      <w:r>
        <w:rPr>
          <w:rFonts w:hint="eastAsia" w:ascii="宋体" w:hAnsi="宋体" w:cstheme="majorEastAsia"/>
          <w:color w:val="auto"/>
          <w:sz w:val="24"/>
          <w:szCs w:val="24"/>
          <w:highlight w:val="none"/>
        </w:rPr>
        <w:t>（负责人、自然人）</w:t>
      </w:r>
      <w:r>
        <w:rPr>
          <w:rFonts w:hint="eastAsia" w:ascii="宋体" w:hAnsi="宋体" w:cstheme="majorEastAsia"/>
          <w:bCs/>
          <w:color w:val="auto"/>
          <w:sz w:val="24"/>
          <w:szCs w:val="24"/>
          <w:highlight w:val="none"/>
        </w:rPr>
        <w:t>授权委托书原件，投标人代表未对开标结果签字确认或者拒绝签字确认的，不影响评标过程。</w:t>
      </w:r>
    </w:p>
    <w:p>
      <w:pPr>
        <w:pStyle w:val="6"/>
        <w:rPr>
          <w:rFonts w:ascii="宋体" w:hAnsi="宋体"/>
          <w:color w:val="auto"/>
          <w:highlight w:val="none"/>
        </w:rPr>
      </w:pPr>
      <w:bookmarkStart w:id="69" w:name="_Toc26159"/>
      <w:r>
        <w:rPr>
          <w:rFonts w:hint="eastAsia" w:ascii="宋体" w:hAnsi="宋体"/>
          <w:color w:val="auto"/>
          <w:highlight w:val="none"/>
        </w:rPr>
        <w:t>23、开标程序：</w:t>
      </w:r>
      <w:bookmarkEnd w:id="69"/>
    </w:p>
    <w:p>
      <w:pPr>
        <w:adjustRightInd w:val="0"/>
        <w:snapToGrid w:val="0"/>
        <w:spacing w:line="500" w:lineRule="exact"/>
        <w:ind w:firstLine="523" w:firstLineChars="218"/>
        <w:rPr>
          <w:rFonts w:ascii="宋体" w:hAnsi="宋体" w:cstheme="majorEastAsia"/>
          <w:bCs/>
          <w:color w:val="auto"/>
          <w:sz w:val="24"/>
          <w:szCs w:val="24"/>
          <w:highlight w:val="none"/>
        </w:rPr>
      </w:pPr>
      <w:r>
        <w:rPr>
          <w:rFonts w:hint="eastAsia" w:ascii="宋体" w:hAnsi="宋体" w:cstheme="majorEastAsia"/>
          <w:bCs/>
          <w:color w:val="auto"/>
          <w:sz w:val="24"/>
          <w:szCs w:val="24"/>
          <w:highlight w:val="none"/>
        </w:rPr>
        <w:t>23.1 开标会由采购代理机构主持，主持人宣布开标会议开始；</w:t>
      </w:r>
    </w:p>
    <w:p>
      <w:pPr>
        <w:adjustRightInd w:val="0"/>
        <w:snapToGrid w:val="0"/>
        <w:spacing w:line="500" w:lineRule="exact"/>
        <w:ind w:firstLine="523" w:firstLineChars="218"/>
        <w:rPr>
          <w:rFonts w:ascii="宋体" w:hAnsi="宋体" w:cstheme="majorEastAsia"/>
          <w:bCs/>
          <w:color w:val="auto"/>
          <w:sz w:val="24"/>
          <w:szCs w:val="24"/>
          <w:highlight w:val="none"/>
        </w:rPr>
      </w:pPr>
      <w:r>
        <w:rPr>
          <w:rFonts w:hint="eastAsia" w:ascii="宋体" w:hAnsi="宋体" w:cstheme="majorEastAsia"/>
          <w:bCs/>
          <w:color w:val="auto"/>
          <w:sz w:val="24"/>
          <w:szCs w:val="24"/>
          <w:highlight w:val="none"/>
        </w:rPr>
        <w:t>23.2 主持人介绍参加开标会的投标人名单；</w:t>
      </w:r>
    </w:p>
    <w:p>
      <w:pPr>
        <w:adjustRightInd w:val="0"/>
        <w:snapToGrid w:val="0"/>
        <w:spacing w:line="500" w:lineRule="exact"/>
        <w:ind w:firstLine="523" w:firstLineChars="218"/>
        <w:rPr>
          <w:rFonts w:ascii="宋体" w:hAnsi="宋体" w:cstheme="majorEastAsia"/>
          <w:bCs/>
          <w:color w:val="auto"/>
          <w:sz w:val="24"/>
          <w:szCs w:val="24"/>
          <w:highlight w:val="none"/>
        </w:rPr>
      </w:pPr>
      <w:bookmarkStart w:id="70" w:name="_Toc14026"/>
      <w:r>
        <w:rPr>
          <w:rFonts w:hint="eastAsia" w:ascii="宋体" w:hAnsi="宋体" w:cstheme="majorEastAsia"/>
          <w:bCs/>
          <w:color w:val="auto"/>
          <w:sz w:val="24"/>
          <w:szCs w:val="24"/>
          <w:highlight w:val="none"/>
        </w:rPr>
        <w:t>23.3投标人法定代表人</w:t>
      </w:r>
      <w:r>
        <w:rPr>
          <w:rFonts w:hint="eastAsia" w:ascii="宋体" w:hAnsi="宋体" w:cstheme="majorEastAsia"/>
          <w:color w:val="auto"/>
          <w:sz w:val="24"/>
          <w:szCs w:val="24"/>
          <w:highlight w:val="none"/>
        </w:rPr>
        <w:t>（负责人、自然人）</w:t>
      </w:r>
      <w:r>
        <w:rPr>
          <w:rFonts w:hint="eastAsia" w:ascii="宋体" w:hAnsi="宋体" w:cstheme="majorEastAsia"/>
          <w:bCs/>
          <w:color w:val="auto"/>
          <w:sz w:val="24"/>
          <w:szCs w:val="24"/>
          <w:highlight w:val="none"/>
        </w:rPr>
        <w:t>或其授权代表人，及采购人监督代表、公证员/律师（如有）检查投标文件密封的完整性并签字确认；</w:t>
      </w:r>
    </w:p>
    <w:p>
      <w:pPr>
        <w:adjustRightInd w:val="0"/>
        <w:snapToGrid w:val="0"/>
        <w:spacing w:line="500" w:lineRule="exact"/>
        <w:ind w:firstLine="523" w:firstLineChars="218"/>
        <w:rPr>
          <w:rFonts w:ascii="宋体" w:hAnsi="宋体" w:cstheme="majorEastAsia"/>
          <w:bCs/>
          <w:color w:val="auto"/>
          <w:sz w:val="24"/>
          <w:szCs w:val="24"/>
          <w:highlight w:val="none"/>
        </w:rPr>
      </w:pPr>
      <w:r>
        <w:rPr>
          <w:rFonts w:hint="eastAsia" w:ascii="宋体" w:hAnsi="宋体" w:cstheme="majorEastAsia"/>
          <w:bCs/>
          <w:color w:val="auto"/>
          <w:sz w:val="24"/>
          <w:szCs w:val="24"/>
          <w:highlight w:val="none"/>
        </w:rPr>
        <w:t>23.4开标时，核对授权代表身份后清点投标文件的正副本及电子文件，然后按递交标书的顺序进行唱标，采购人或采购代理机构工作人员即当众拆封，宣读《开标一览表》的内容并做记录；</w:t>
      </w:r>
    </w:p>
    <w:p>
      <w:pPr>
        <w:pStyle w:val="195"/>
        <w:adjustRightInd w:val="0"/>
        <w:snapToGrid w:val="0"/>
        <w:spacing w:before="0" w:line="500" w:lineRule="exact"/>
        <w:ind w:firstLine="480"/>
        <w:rPr>
          <w:rFonts w:ascii="宋体" w:hAnsi="宋体" w:cstheme="majorEastAsia"/>
          <w:bCs/>
          <w:color w:val="auto"/>
          <w:szCs w:val="24"/>
          <w:highlight w:val="none"/>
        </w:rPr>
      </w:pPr>
      <w:r>
        <w:rPr>
          <w:rFonts w:hint="eastAsia" w:ascii="宋体" w:hAnsi="宋体" w:cstheme="majorEastAsia"/>
          <w:bCs/>
          <w:color w:val="auto"/>
          <w:szCs w:val="24"/>
          <w:highlight w:val="none"/>
        </w:rPr>
        <w:t>23.5开标后投标人代表当场对开标结果进行签字确认，投标人代表未在开标记录上签字的，均视为对开标结果予以默认；</w:t>
      </w:r>
    </w:p>
    <w:p>
      <w:pPr>
        <w:adjustRightInd w:val="0"/>
        <w:snapToGrid w:val="0"/>
        <w:spacing w:line="500" w:lineRule="exact"/>
        <w:ind w:firstLine="523" w:firstLineChars="218"/>
        <w:rPr>
          <w:rFonts w:ascii="宋体" w:hAnsi="宋体" w:cstheme="majorEastAsia"/>
          <w:bCs/>
          <w:color w:val="auto"/>
          <w:szCs w:val="24"/>
          <w:highlight w:val="none"/>
        </w:rPr>
      </w:pPr>
      <w:r>
        <w:rPr>
          <w:rFonts w:hint="eastAsia" w:ascii="宋体" w:hAnsi="宋体" w:cstheme="majorEastAsia"/>
          <w:bCs/>
          <w:color w:val="auto"/>
          <w:sz w:val="24"/>
          <w:szCs w:val="24"/>
          <w:highlight w:val="none"/>
        </w:rPr>
        <w:t>23.6投标人代表对开标过程和开标记录有异议，以及认为采购人、采购代理机构相关工作人员有需要回避的情形的，应当场提出询问或者回避申请，采购人、采购代理机构将对投标人代表提出的询问或者回避申请及时处理。</w:t>
      </w:r>
    </w:p>
    <w:p>
      <w:pPr>
        <w:pStyle w:val="6"/>
        <w:rPr>
          <w:rFonts w:ascii="宋体" w:hAnsi="宋体"/>
          <w:color w:val="auto"/>
          <w:highlight w:val="none"/>
        </w:rPr>
      </w:pPr>
      <w:r>
        <w:rPr>
          <w:rFonts w:hint="eastAsia" w:ascii="宋体" w:hAnsi="宋体"/>
          <w:color w:val="auto"/>
          <w:highlight w:val="none"/>
        </w:rPr>
        <w:t>24、资格审查</w:t>
      </w:r>
      <w:bookmarkEnd w:id="70"/>
    </w:p>
    <w:p>
      <w:pPr>
        <w:adjustRightInd w:val="0"/>
        <w:snapToGrid w:val="0"/>
        <w:spacing w:line="500" w:lineRule="exact"/>
        <w:ind w:firstLine="523" w:firstLineChars="218"/>
        <w:rPr>
          <w:rFonts w:ascii="宋体" w:hAnsi="宋体" w:cstheme="majorEastAsia"/>
          <w:bCs/>
          <w:color w:val="auto"/>
          <w:sz w:val="24"/>
          <w:szCs w:val="24"/>
          <w:highlight w:val="none"/>
        </w:rPr>
      </w:pPr>
      <w:bookmarkStart w:id="71" w:name="_Toc25332"/>
      <w:bookmarkStart w:id="72" w:name="_Toc21778"/>
      <w:r>
        <w:rPr>
          <w:rFonts w:hint="eastAsia" w:ascii="宋体" w:hAnsi="宋体" w:cstheme="majorEastAsia"/>
          <w:bCs/>
          <w:color w:val="auto"/>
          <w:sz w:val="24"/>
          <w:szCs w:val="24"/>
          <w:highlight w:val="none"/>
        </w:rPr>
        <w:t>公开招标采购项目开标结束后，采购人或者采购代理机构应当依法对投标人的资格进行审查。</w:t>
      </w:r>
    </w:p>
    <w:p>
      <w:pPr>
        <w:pStyle w:val="2"/>
        <w:rPr>
          <w:rFonts w:ascii="宋体" w:hAnsi="宋体"/>
          <w:color w:val="auto"/>
          <w:highlight w:val="none"/>
        </w:rPr>
      </w:pPr>
    </w:p>
    <w:tbl>
      <w:tblPr>
        <w:tblStyle w:val="38"/>
        <w:tblpPr w:leftFromText="180" w:rightFromText="180" w:vertAnchor="text" w:horzAnchor="page" w:tblpX="1698" w:tblpY="208"/>
        <w:tblOverlap w:val="never"/>
        <w:tblW w:w="8696" w:type="dxa"/>
        <w:tblInd w:w="0" w:type="dxa"/>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0" w:type="dxa"/>
          <w:bottom w:w="0" w:type="dxa"/>
          <w:right w:w="0" w:type="dxa"/>
        </w:tblCellMar>
      </w:tblPr>
      <w:tblGrid>
        <w:gridCol w:w="889"/>
        <w:gridCol w:w="7807"/>
      </w:tblGrid>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506" w:hRule="atLeast"/>
        </w:trPr>
        <w:tc>
          <w:tcPr>
            <w:tcW w:w="889"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snapToGrid w:val="0"/>
              <w:spacing w:line="400" w:lineRule="exact"/>
              <w:jc w:val="center"/>
              <w:rPr>
                <w:rFonts w:ascii="宋体" w:hAnsi="宋体" w:cstheme="majorEastAsia"/>
                <w:color w:val="auto"/>
                <w:sz w:val="24"/>
                <w:szCs w:val="24"/>
                <w:highlight w:val="none"/>
              </w:rPr>
            </w:pPr>
            <w:r>
              <w:rPr>
                <w:rFonts w:hint="eastAsia" w:ascii="宋体" w:hAnsi="宋体" w:cstheme="majorEastAsia"/>
                <w:color w:val="auto"/>
                <w:sz w:val="24"/>
                <w:szCs w:val="24"/>
                <w:highlight w:val="none"/>
              </w:rPr>
              <w:t>序号</w:t>
            </w:r>
          </w:p>
        </w:tc>
        <w:tc>
          <w:tcPr>
            <w:tcW w:w="7807" w:type="dxa"/>
            <w:tcBorders>
              <w:top w:val="single" w:color="auto" w:sz="8" w:space="0"/>
              <w:left w:val="nil"/>
              <w:bottom w:val="single" w:color="auto" w:sz="8" w:space="0"/>
              <w:right w:val="single" w:color="auto" w:sz="8" w:space="0"/>
            </w:tcBorders>
            <w:tcMar>
              <w:left w:w="108" w:type="dxa"/>
              <w:right w:w="108" w:type="dxa"/>
            </w:tcMar>
            <w:vAlign w:val="center"/>
          </w:tcPr>
          <w:p>
            <w:pPr>
              <w:snapToGrid w:val="0"/>
              <w:spacing w:line="400" w:lineRule="exact"/>
              <w:jc w:val="center"/>
              <w:rPr>
                <w:rFonts w:ascii="宋体" w:hAnsi="宋体" w:cstheme="majorEastAsia"/>
                <w:color w:val="auto"/>
                <w:sz w:val="24"/>
                <w:szCs w:val="24"/>
                <w:highlight w:val="none"/>
              </w:rPr>
            </w:pPr>
            <w:r>
              <w:rPr>
                <w:rFonts w:hint="eastAsia" w:ascii="宋体" w:hAnsi="宋体" w:cstheme="majorEastAsia"/>
                <w:color w:val="auto"/>
                <w:sz w:val="24"/>
                <w:szCs w:val="24"/>
                <w:highlight w:val="none"/>
              </w:rPr>
              <w:t>审查</w:t>
            </w:r>
            <w:r>
              <w:rPr>
                <w:rFonts w:hint="eastAsia" w:ascii="宋体" w:hAnsi="宋体" w:cstheme="majorEastAsia"/>
                <w:bCs/>
                <w:color w:val="auto"/>
                <w:sz w:val="24"/>
                <w:szCs w:val="24"/>
                <w:highlight w:val="none"/>
              </w:rPr>
              <w:t>内容</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1247" w:hRule="atLeast"/>
        </w:trPr>
        <w:tc>
          <w:tcPr>
            <w:tcW w:w="889" w:type="dxa"/>
            <w:tcBorders>
              <w:top w:val="nil"/>
              <w:left w:val="single" w:color="auto" w:sz="8" w:space="0"/>
              <w:bottom w:val="single" w:color="auto" w:sz="8" w:space="0"/>
              <w:right w:val="single" w:color="auto" w:sz="8" w:space="0"/>
            </w:tcBorders>
            <w:tcMar>
              <w:left w:w="108" w:type="dxa"/>
              <w:right w:w="108" w:type="dxa"/>
            </w:tcMar>
            <w:vAlign w:val="center"/>
          </w:tcPr>
          <w:p>
            <w:pPr>
              <w:snapToGrid w:val="0"/>
              <w:spacing w:line="400" w:lineRule="exact"/>
              <w:jc w:val="center"/>
              <w:rPr>
                <w:rFonts w:ascii="宋体" w:hAnsi="宋体" w:cstheme="majorEastAsia"/>
                <w:color w:val="auto"/>
                <w:sz w:val="24"/>
                <w:szCs w:val="24"/>
                <w:highlight w:val="none"/>
              </w:rPr>
            </w:pPr>
            <w:r>
              <w:rPr>
                <w:rFonts w:hint="eastAsia" w:ascii="宋体" w:hAnsi="宋体" w:cstheme="majorEastAsia"/>
                <w:color w:val="auto"/>
                <w:sz w:val="24"/>
                <w:szCs w:val="24"/>
                <w:highlight w:val="none"/>
              </w:rPr>
              <w:t>1</w:t>
            </w:r>
          </w:p>
        </w:tc>
        <w:tc>
          <w:tcPr>
            <w:tcW w:w="7807" w:type="dxa"/>
            <w:tcBorders>
              <w:top w:val="nil"/>
              <w:left w:val="nil"/>
              <w:bottom w:val="single" w:color="auto" w:sz="8" w:space="0"/>
              <w:right w:val="single" w:color="auto" w:sz="8" w:space="0"/>
            </w:tcBorders>
            <w:tcMar>
              <w:left w:w="108" w:type="dxa"/>
              <w:right w:w="108" w:type="dxa"/>
            </w:tcMar>
            <w:vAlign w:val="center"/>
          </w:tcPr>
          <w:p>
            <w:pPr>
              <w:snapToGrid w:val="0"/>
              <w:spacing w:line="400" w:lineRule="exact"/>
              <w:rPr>
                <w:rFonts w:ascii="宋体" w:hAnsi="宋体" w:cs="宋体"/>
                <w:color w:val="auto"/>
                <w:sz w:val="24"/>
                <w:szCs w:val="24"/>
                <w:highlight w:val="none"/>
              </w:rPr>
            </w:pPr>
            <w:r>
              <w:rPr>
                <w:rFonts w:hint="eastAsia" w:ascii="宋体" w:hAnsi="宋体" w:cstheme="majorEastAsia"/>
                <w:color w:val="auto"/>
                <w:sz w:val="24"/>
                <w:szCs w:val="24"/>
                <w:highlight w:val="none"/>
              </w:rPr>
              <w:t>在中华人民共和国境内注册或登记，具有有效的营业执照（事业单位法人证书、民办非企业单位登记证书、社会团体法人登记证书、基金会法人登记证书、自然人身份证）；</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624" w:hRule="atLeast"/>
        </w:trPr>
        <w:tc>
          <w:tcPr>
            <w:tcW w:w="889" w:type="dxa"/>
            <w:tcBorders>
              <w:top w:val="nil"/>
              <w:left w:val="single" w:color="auto" w:sz="8" w:space="0"/>
              <w:bottom w:val="single" w:color="auto" w:sz="8" w:space="0"/>
              <w:right w:val="single" w:color="auto" w:sz="8" w:space="0"/>
            </w:tcBorders>
            <w:tcMar>
              <w:left w:w="108" w:type="dxa"/>
              <w:right w:w="108" w:type="dxa"/>
            </w:tcMar>
            <w:vAlign w:val="center"/>
          </w:tcPr>
          <w:p>
            <w:pPr>
              <w:snapToGrid w:val="0"/>
              <w:spacing w:line="400" w:lineRule="exact"/>
              <w:jc w:val="center"/>
              <w:rPr>
                <w:rFonts w:ascii="宋体" w:hAnsi="宋体" w:cstheme="majorEastAsia"/>
                <w:color w:val="auto"/>
                <w:sz w:val="24"/>
                <w:szCs w:val="24"/>
                <w:highlight w:val="none"/>
              </w:rPr>
            </w:pPr>
            <w:r>
              <w:rPr>
                <w:rFonts w:hint="eastAsia" w:ascii="宋体" w:hAnsi="宋体" w:cstheme="majorEastAsia"/>
                <w:color w:val="auto"/>
                <w:sz w:val="24"/>
                <w:szCs w:val="24"/>
                <w:highlight w:val="none"/>
              </w:rPr>
              <w:t>2</w:t>
            </w:r>
          </w:p>
        </w:tc>
        <w:tc>
          <w:tcPr>
            <w:tcW w:w="7807" w:type="dxa"/>
            <w:tcBorders>
              <w:top w:val="nil"/>
              <w:left w:val="nil"/>
              <w:bottom w:val="single" w:color="auto" w:sz="8" w:space="0"/>
              <w:right w:val="single" w:color="auto" w:sz="8" w:space="0"/>
            </w:tcBorders>
            <w:tcMar>
              <w:left w:w="108" w:type="dxa"/>
              <w:right w:w="108" w:type="dxa"/>
            </w:tcMar>
            <w:vAlign w:val="center"/>
          </w:tcPr>
          <w:p>
            <w:pPr>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符合《中华人民共和国政府采购法》第二十二条的相关规定。</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964" w:hRule="atLeast"/>
        </w:trPr>
        <w:tc>
          <w:tcPr>
            <w:tcW w:w="889" w:type="dxa"/>
            <w:tcBorders>
              <w:top w:val="nil"/>
              <w:left w:val="single" w:color="auto" w:sz="8" w:space="0"/>
              <w:bottom w:val="single" w:color="auto" w:sz="8" w:space="0"/>
              <w:right w:val="single" w:color="auto" w:sz="8" w:space="0"/>
            </w:tcBorders>
            <w:tcMar>
              <w:left w:w="108" w:type="dxa"/>
              <w:right w:w="108" w:type="dxa"/>
            </w:tcMar>
            <w:vAlign w:val="center"/>
          </w:tcPr>
          <w:p>
            <w:pPr>
              <w:snapToGrid w:val="0"/>
              <w:spacing w:line="400" w:lineRule="exact"/>
              <w:jc w:val="center"/>
              <w:rPr>
                <w:rFonts w:ascii="宋体" w:hAnsi="宋体" w:cstheme="majorEastAsia"/>
                <w:color w:val="auto"/>
                <w:sz w:val="24"/>
                <w:szCs w:val="24"/>
                <w:highlight w:val="none"/>
              </w:rPr>
            </w:pPr>
            <w:r>
              <w:rPr>
                <w:rFonts w:hint="eastAsia" w:ascii="宋体" w:hAnsi="宋体" w:cstheme="majorEastAsia"/>
                <w:color w:val="auto"/>
                <w:sz w:val="24"/>
                <w:szCs w:val="24"/>
                <w:highlight w:val="none"/>
              </w:rPr>
              <w:t>3</w:t>
            </w:r>
          </w:p>
        </w:tc>
        <w:tc>
          <w:tcPr>
            <w:tcW w:w="7807" w:type="dxa"/>
            <w:tcBorders>
              <w:top w:val="nil"/>
              <w:left w:val="nil"/>
              <w:bottom w:val="single" w:color="auto" w:sz="8" w:space="0"/>
              <w:right w:val="single" w:color="auto" w:sz="8" w:space="0"/>
            </w:tcBorders>
            <w:tcMar>
              <w:left w:w="108" w:type="dxa"/>
              <w:right w:w="108" w:type="dxa"/>
            </w:tcMar>
            <w:vAlign w:val="center"/>
          </w:tcPr>
          <w:p>
            <w:pPr>
              <w:snapToGrid w:val="0"/>
              <w:spacing w:line="400" w:lineRule="exact"/>
              <w:rPr>
                <w:rFonts w:ascii="宋体" w:hAnsi="宋体" w:cs="宋体"/>
                <w:color w:val="auto"/>
                <w:sz w:val="24"/>
                <w:szCs w:val="24"/>
                <w:highlight w:val="none"/>
              </w:rPr>
            </w:pPr>
            <w:r>
              <w:rPr>
                <w:rFonts w:hint="eastAsia" w:ascii="宋体" w:hAnsi="宋体" w:cstheme="majorEastAsia"/>
                <w:color w:val="auto"/>
                <w:sz w:val="24"/>
                <w:szCs w:val="24"/>
                <w:highlight w:val="none"/>
              </w:rPr>
              <w:t>与采购人存在利害关系可能影响招标公正性的法人、其他组织或者个人，不得参加同一标段投标或者未划分标段的同一招标不得参加投标；</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1036" w:hRule="atLeast"/>
        </w:trPr>
        <w:tc>
          <w:tcPr>
            <w:tcW w:w="889" w:type="dxa"/>
            <w:tcBorders>
              <w:top w:val="nil"/>
              <w:left w:val="single" w:color="auto" w:sz="8" w:space="0"/>
              <w:bottom w:val="single" w:color="auto" w:sz="8" w:space="0"/>
              <w:right w:val="single" w:color="auto" w:sz="8" w:space="0"/>
            </w:tcBorders>
            <w:tcMar>
              <w:left w:w="108" w:type="dxa"/>
              <w:right w:w="108" w:type="dxa"/>
            </w:tcMar>
            <w:vAlign w:val="center"/>
          </w:tcPr>
          <w:p>
            <w:pPr>
              <w:snapToGrid w:val="0"/>
              <w:spacing w:line="400" w:lineRule="exact"/>
              <w:jc w:val="center"/>
              <w:rPr>
                <w:rFonts w:ascii="宋体" w:hAnsi="宋体" w:cstheme="majorEastAsia"/>
                <w:color w:val="auto"/>
                <w:sz w:val="24"/>
                <w:szCs w:val="24"/>
                <w:highlight w:val="none"/>
              </w:rPr>
            </w:pPr>
            <w:r>
              <w:rPr>
                <w:rFonts w:hint="eastAsia" w:ascii="宋体" w:hAnsi="宋体" w:cstheme="majorEastAsia"/>
                <w:color w:val="auto"/>
                <w:sz w:val="24"/>
                <w:szCs w:val="24"/>
                <w:highlight w:val="none"/>
              </w:rPr>
              <w:t>4</w:t>
            </w:r>
          </w:p>
        </w:tc>
        <w:tc>
          <w:tcPr>
            <w:tcW w:w="7807" w:type="dxa"/>
            <w:tcBorders>
              <w:top w:val="nil"/>
              <w:left w:val="nil"/>
              <w:bottom w:val="single" w:color="auto" w:sz="8" w:space="0"/>
              <w:right w:val="single" w:color="auto" w:sz="8" w:space="0"/>
            </w:tcBorders>
            <w:tcMar>
              <w:left w:w="108" w:type="dxa"/>
              <w:right w:w="108" w:type="dxa"/>
            </w:tcMar>
            <w:vAlign w:val="center"/>
          </w:tcPr>
          <w:p>
            <w:pPr>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投标单位负责人为同一人或者存在直接控股、管理关系的不同投标人不得参加同一合同项下的采购活动。</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90" w:hRule="atLeast"/>
        </w:trPr>
        <w:tc>
          <w:tcPr>
            <w:tcW w:w="889" w:type="dxa"/>
            <w:tcBorders>
              <w:top w:val="nil"/>
              <w:left w:val="single" w:color="auto" w:sz="8" w:space="0"/>
              <w:bottom w:val="single" w:color="auto" w:sz="8" w:space="0"/>
              <w:right w:val="single" w:color="auto" w:sz="8" w:space="0"/>
            </w:tcBorders>
            <w:tcMar>
              <w:left w:w="108" w:type="dxa"/>
              <w:right w:w="108" w:type="dxa"/>
            </w:tcMar>
            <w:vAlign w:val="center"/>
          </w:tcPr>
          <w:p>
            <w:pPr>
              <w:snapToGrid w:val="0"/>
              <w:spacing w:line="400" w:lineRule="exact"/>
              <w:jc w:val="center"/>
              <w:rPr>
                <w:rFonts w:ascii="宋体" w:hAnsi="宋体" w:cstheme="majorEastAsia"/>
                <w:color w:val="auto"/>
                <w:sz w:val="24"/>
                <w:szCs w:val="24"/>
                <w:highlight w:val="none"/>
              </w:rPr>
            </w:pPr>
            <w:r>
              <w:rPr>
                <w:rFonts w:hint="eastAsia" w:ascii="宋体" w:hAnsi="宋体" w:cstheme="majorEastAsia"/>
                <w:color w:val="auto"/>
                <w:sz w:val="24"/>
                <w:szCs w:val="24"/>
                <w:highlight w:val="none"/>
              </w:rPr>
              <w:t>5</w:t>
            </w:r>
          </w:p>
        </w:tc>
        <w:tc>
          <w:tcPr>
            <w:tcW w:w="7807" w:type="dxa"/>
            <w:tcBorders>
              <w:top w:val="nil"/>
              <w:left w:val="nil"/>
              <w:bottom w:val="single" w:color="auto" w:sz="8" w:space="0"/>
              <w:right w:val="single" w:color="auto" w:sz="8" w:space="0"/>
            </w:tcBorders>
            <w:tcMar>
              <w:left w:w="108" w:type="dxa"/>
              <w:right w:w="108" w:type="dxa"/>
            </w:tcMar>
            <w:vAlign w:val="center"/>
          </w:tcPr>
          <w:p>
            <w:pPr>
              <w:snapToGrid w:val="0"/>
              <w:spacing w:line="400" w:lineRule="exact"/>
              <w:rPr>
                <w:rFonts w:ascii="宋体" w:hAnsi="宋体" w:cstheme="majorEastAsia"/>
                <w:color w:val="auto"/>
                <w:sz w:val="24"/>
                <w:szCs w:val="24"/>
                <w:highlight w:val="none"/>
              </w:rPr>
            </w:pPr>
            <w:r>
              <w:rPr>
                <w:rFonts w:hint="eastAsia" w:ascii="宋体" w:hAnsi="宋体" w:cstheme="majorEastAsia"/>
                <w:color w:val="auto"/>
                <w:sz w:val="24"/>
                <w:szCs w:val="24"/>
                <w:highlight w:val="none"/>
              </w:rPr>
              <w:t>投标单位未被列入失信被执行人、重大税收违法案件当事人名单、政府采购严重违法失信行为记录名单。</w:t>
            </w:r>
          </w:p>
          <w:p>
            <w:pPr>
              <w:snapToGrid w:val="0"/>
              <w:spacing w:line="400" w:lineRule="exact"/>
              <w:rPr>
                <w:rFonts w:ascii="宋体" w:hAnsi="宋体" w:cs="宋体"/>
                <w:color w:val="auto"/>
                <w:sz w:val="24"/>
                <w:szCs w:val="24"/>
                <w:highlight w:val="none"/>
              </w:rPr>
            </w:pPr>
            <w:r>
              <w:rPr>
                <w:rFonts w:hint="eastAsia" w:ascii="宋体" w:hAnsi="宋体" w:cstheme="majorEastAsia"/>
                <w:color w:val="auto"/>
                <w:sz w:val="24"/>
                <w:szCs w:val="24"/>
                <w:highlight w:val="none"/>
              </w:rPr>
              <w:t>注：开标当天采购代理机构将通过“信用中国”网站（</w:t>
            </w:r>
            <w:r>
              <w:rPr>
                <w:rFonts w:hint="eastAsia" w:ascii="宋体" w:hAnsi="宋体" w:cstheme="majorEastAsia"/>
                <w:color w:val="auto"/>
                <w:spacing w:val="-34"/>
                <w:sz w:val="24"/>
                <w:szCs w:val="24"/>
                <w:highlight w:val="none"/>
              </w:rPr>
              <w:t>www.creditchina.gov.cn</w:t>
            </w:r>
            <w:r>
              <w:rPr>
                <w:rFonts w:hint="eastAsia" w:ascii="宋体" w:hAnsi="宋体" w:cstheme="majorEastAsia"/>
                <w:color w:val="auto"/>
                <w:sz w:val="24"/>
                <w:szCs w:val="24"/>
                <w:highlight w:val="none"/>
              </w:rPr>
              <w:t>）和中国政府采购网（</w:t>
            </w:r>
            <w:r>
              <w:rPr>
                <w:rFonts w:hint="eastAsia" w:ascii="宋体" w:hAnsi="宋体" w:cstheme="majorEastAsia"/>
                <w:color w:val="auto"/>
                <w:spacing w:val="-34"/>
                <w:sz w:val="24"/>
                <w:szCs w:val="24"/>
                <w:highlight w:val="none"/>
              </w:rPr>
              <w:t>www.ccgp.gov.cn</w:t>
            </w:r>
            <w:r>
              <w:rPr>
                <w:rFonts w:hint="eastAsia" w:ascii="宋体" w:hAnsi="宋体" w:cstheme="majorEastAsia"/>
                <w:color w:val="auto"/>
                <w:sz w:val="24"/>
                <w:szCs w:val="24"/>
                <w:highlight w:val="none"/>
              </w:rPr>
              <w:t>）对投标人的信用信息进行查询，查询截止时间点即投标截止时间。</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680" w:hRule="atLeast"/>
        </w:trPr>
        <w:tc>
          <w:tcPr>
            <w:tcW w:w="889" w:type="dxa"/>
            <w:tcBorders>
              <w:top w:val="nil"/>
              <w:left w:val="single" w:color="auto" w:sz="8" w:space="0"/>
              <w:bottom w:val="single" w:color="auto" w:sz="8" w:space="0"/>
              <w:right w:val="single" w:color="auto" w:sz="8" w:space="0"/>
            </w:tcBorders>
            <w:tcMar>
              <w:left w:w="108" w:type="dxa"/>
              <w:right w:w="108" w:type="dxa"/>
            </w:tcMar>
            <w:vAlign w:val="center"/>
          </w:tcPr>
          <w:p>
            <w:pPr>
              <w:snapToGrid w:val="0"/>
              <w:spacing w:line="400" w:lineRule="exact"/>
              <w:jc w:val="center"/>
              <w:rPr>
                <w:rFonts w:ascii="宋体" w:hAnsi="宋体" w:cstheme="majorEastAsia"/>
                <w:color w:val="auto"/>
                <w:sz w:val="24"/>
                <w:szCs w:val="24"/>
                <w:highlight w:val="none"/>
              </w:rPr>
            </w:pPr>
            <w:r>
              <w:rPr>
                <w:rFonts w:hint="eastAsia" w:ascii="宋体" w:hAnsi="宋体" w:cstheme="majorEastAsia"/>
                <w:color w:val="auto"/>
                <w:sz w:val="24"/>
                <w:szCs w:val="24"/>
                <w:highlight w:val="none"/>
              </w:rPr>
              <w:t>6</w:t>
            </w:r>
          </w:p>
        </w:tc>
        <w:tc>
          <w:tcPr>
            <w:tcW w:w="7807" w:type="dxa"/>
            <w:tcBorders>
              <w:top w:val="nil"/>
              <w:left w:val="nil"/>
              <w:bottom w:val="single" w:color="auto" w:sz="8" w:space="0"/>
              <w:right w:val="single" w:color="auto" w:sz="8" w:space="0"/>
            </w:tcBorders>
            <w:tcMar>
              <w:left w:w="108" w:type="dxa"/>
              <w:right w:w="108" w:type="dxa"/>
            </w:tcMar>
            <w:vAlign w:val="center"/>
          </w:tcPr>
          <w:p>
            <w:pPr>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按招标文件要求缴纳了投标保证金；</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1180" w:hRule="atLeast"/>
        </w:trPr>
        <w:tc>
          <w:tcPr>
            <w:tcW w:w="8696" w:type="dxa"/>
            <w:gridSpan w:val="2"/>
            <w:tcBorders>
              <w:top w:val="nil"/>
              <w:left w:val="single" w:color="auto" w:sz="8" w:space="0"/>
              <w:bottom w:val="single" w:color="auto" w:sz="8" w:space="0"/>
              <w:right w:val="single" w:color="auto" w:sz="8" w:space="0"/>
            </w:tcBorders>
            <w:tcMar>
              <w:left w:w="108" w:type="dxa"/>
              <w:right w:w="108" w:type="dxa"/>
            </w:tcMar>
            <w:vAlign w:val="center"/>
          </w:tcPr>
          <w:p>
            <w:pPr>
              <w:adjustRightInd w:val="0"/>
              <w:snapToGrid w:val="0"/>
              <w:spacing w:line="400" w:lineRule="exact"/>
              <w:ind w:firstLine="33" w:firstLineChars="14"/>
              <w:rPr>
                <w:rFonts w:ascii="宋体" w:hAnsi="宋体" w:cs="宋体"/>
                <w:color w:val="auto"/>
                <w:sz w:val="24"/>
                <w:szCs w:val="24"/>
                <w:highlight w:val="none"/>
              </w:rPr>
            </w:pPr>
            <w:r>
              <w:rPr>
                <w:rFonts w:hint="eastAsia" w:ascii="宋体" w:hAnsi="宋体" w:cs="宋体"/>
                <w:color w:val="auto"/>
                <w:sz w:val="24"/>
                <w:szCs w:val="24"/>
                <w:highlight w:val="none"/>
              </w:rPr>
              <w:t>备注：1.如果资格评审中有一项不满足审查标准的，将认定该投标人不通过资格审查，不得进入下一阶段评审，并且不允许供应商通过修改或撤销其不符合要求的差异或保留，使其成为实质性响应。</w:t>
            </w:r>
          </w:p>
          <w:p>
            <w:pPr>
              <w:adjustRightInd w:val="0"/>
              <w:snapToGrid w:val="0"/>
              <w:spacing w:line="400" w:lineRule="exact"/>
              <w:ind w:firstLine="751" w:firstLineChars="313"/>
              <w:rPr>
                <w:rFonts w:ascii="宋体" w:hAnsi="宋体"/>
                <w:color w:val="auto"/>
                <w:highlight w:val="none"/>
              </w:rPr>
            </w:pPr>
            <w:r>
              <w:rPr>
                <w:rFonts w:hint="eastAsia" w:ascii="宋体" w:hAnsi="宋体" w:cs="宋体"/>
                <w:color w:val="auto"/>
                <w:sz w:val="24"/>
                <w:szCs w:val="24"/>
                <w:highlight w:val="none"/>
              </w:rPr>
              <w:t>2.合格投标人不足3家的，不得评标。</w:t>
            </w:r>
          </w:p>
        </w:tc>
      </w:tr>
    </w:tbl>
    <w:p>
      <w:pPr>
        <w:pStyle w:val="2"/>
        <w:rPr>
          <w:rFonts w:ascii="宋体" w:hAnsi="宋体"/>
          <w:color w:val="auto"/>
          <w:highlight w:val="none"/>
        </w:rPr>
      </w:pPr>
    </w:p>
    <w:p>
      <w:pPr>
        <w:pStyle w:val="5"/>
        <w:rPr>
          <w:rFonts w:ascii="宋体" w:hAnsi="宋体"/>
          <w:color w:val="auto"/>
          <w:highlight w:val="none"/>
        </w:rPr>
      </w:pPr>
      <w:r>
        <w:rPr>
          <w:rFonts w:hint="eastAsia" w:ascii="宋体" w:hAnsi="宋体"/>
          <w:color w:val="auto"/>
          <w:highlight w:val="none"/>
        </w:rPr>
        <w:t>五、评标</w:t>
      </w:r>
      <w:bookmarkEnd w:id="71"/>
      <w:bookmarkEnd w:id="72"/>
    </w:p>
    <w:p>
      <w:pPr>
        <w:pStyle w:val="6"/>
        <w:rPr>
          <w:rFonts w:ascii="宋体" w:hAnsi="宋体"/>
          <w:color w:val="auto"/>
          <w:highlight w:val="none"/>
        </w:rPr>
      </w:pPr>
      <w:bookmarkStart w:id="73" w:name="_Toc9510639"/>
      <w:bookmarkStart w:id="74" w:name="_Toc6750"/>
      <w:r>
        <w:rPr>
          <w:rFonts w:hint="eastAsia" w:ascii="宋体" w:hAnsi="宋体"/>
          <w:color w:val="auto"/>
          <w:highlight w:val="none"/>
        </w:rPr>
        <w:t>25、组</w:t>
      </w:r>
      <w:bookmarkEnd w:id="73"/>
      <w:r>
        <w:rPr>
          <w:rFonts w:hint="eastAsia" w:ascii="宋体" w:hAnsi="宋体"/>
          <w:color w:val="auto"/>
          <w:highlight w:val="none"/>
        </w:rPr>
        <w:t>建评标委员会</w:t>
      </w:r>
      <w:bookmarkEnd w:id="74"/>
    </w:p>
    <w:p>
      <w:pPr>
        <w:adjustRightInd w:val="0"/>
        <w:snapToGrid w:val="0"/>
        <w:spacing w:line="360" w:lineRule="auto"/>
        <w:ind w:firstLine="480" w:firstLineChars="200"/>
        <w:rPr>
          <w:rFonts w:ascii="宋体" w:hAnsi="宋体" w:cs="宋体"/>
          <w:color w:val="auto"/>
          <w:sz w:val="24"/>
          <w:szCs w:val="24"/>
          <w:highlight w:val="none"/>
        </w:rPr>
      </w:pPr>
      <w:bookmarkStart w:id="75" w:name="_Toc14527"/>
      <w:r>
        <w:rPr>
          <w:rFonts w:hint="eastAsia" w:ascii="宋体" w:hAnsi="宋体" w:cstheme="majorEastAsia"/>
          <w:color w:val="auto"/>
          <w:sz w:val="24"/>
          <w:szCs w:val="24"/>
          <w:highlight w:val="none"/>
        </w:rPr>
        <w:t>按《中华人民共和国政府采购法》相关要求，本项目评标委员会由新疆维吾尔自治区公共资源交易中心评标专家库随机抽取的5名评审专家和2名采购人代表组成。</w:t>
      </w:r>
    </w:p>
    <w:p>
      <w:pPr>
        <w:pStyle w:val="6"/>
        <w:rPr>
          <w:rFonts w:ascii="宋体" w:hAnsi="宋体" w:cstheme="majorEastAsia"/>
          <w:color w:val="auto"/>
          <w:sz w:val="24"/>
          <w:szCs w:val="24"/>
          <w:highlight w:val="none"/>
        </w:rPr>
      </w:pPr>
      <w:r>
        <w:rPr>
          <w:rFonts w:hint="eastAsia" w:ascii="宋体" w:hAnsi="宋体"/>
          <w:color w:val="auto"/>
          <w:highlight w:val="none"/>
        </w:rPr>
        <w:t>26、评标程序</w:t>
      </w:r>
      <w:bookmarkEnd w:id="75"/>
    </w:p>
    <w:p>
      <w:pPr>
        <w:adjustRightInd w:val="0"/>
        <w:snapToGrid w:val="0"/>
        <w:spacing w:line="400" w:lineRule="exact"/>
        <w:ind w:firstLine="472" w:firstLineChars="196"/>
        <w:rPr>
          <w:rFonts w:ascii="宋体" w:hAnsi="宋体" w:cstheme="majorEastAsia"/>
          <w:b/>
          <w:bCs/>
          <w:color w:val="auto"/>
          <w:sz w:val="24"/>
          <w:szCs w:val="24"/>
          <w:highlight w:val="none"/>
        </w:rPr>
      </w:pPr>
      <w:r>
        <w:rPr>
          <w:rFonts w:hint="eastAsia" w:ascii="宋体" w:hAnsi="宋体" w:cstheme="majorEastAsia"/>
          <w:b/>
          <w:bCs/>
          <w:color w:val="auto"/>
          <w:sz w:val="24"/>
          <w:szCs w:val="24"/>
          <w:highlight w:val="none"/>
        </w:rPr>
        <w:t>26.1符合性审查</w:t>
      </w:r>
    </w:p>
    <w:p>
      <w:pPr>
        <w:adjustRightInd w:val="0"/>
        <w:snapToGrid w:val="0"/>
        <w:spacing w:line="500" w:lineRule="exact"/>
        <w:ind w:firstLine="480" w:firstLineChars="200"/>
        <w:rPr>
          <w:rFonts w:ascii="宋体" w:hAnsi="宋体" w:cstheme="majorEastAsia"/>
          <w:color w:val="auto"/>
          <w:sz w:val="24"/>
          <w:szCs w:val="24"/>
          <w:highlight w:val="none"/>
        </w:rPr>
      </w:pPr>
      <w:r>
        <w:rPr>
          <w:rFonts w:hint="eastAsia" w:ascii="宋体" w:hAnsi="宋体" w:cstheme="majorEastAsia"/>
          <w:color w:val="auto"/>
          <w:sz w:val="24"/>
          <w:szCs w:val="24"/>
          <w:highlight w:val="none"/>
        </w:rPr>
        <w:t>评标委员会对投标文件的完整性、合法性等进行审查。</w:t>
      </w:r>
    </w:p>
    <w:p>
      <w:pPr>
        <w:adjustRightInd w:val="0"/>
        <w:snapToGrid w:val="0"/>
        <w:spacing w:line="500" w:lineRule="exact"/>
        <w:ind w:firstLine="480" w:firstLineChars="200"/>
        <w:rPr>
          <w:rFonts w:ascii="宋体" w:hAnsi="宋体" w:cstheme="majorEastAsia"/>
          <w:color w:val="auto"/>
          <w:sz w:val="24"/>
          <w:szCs w:val="24"/>
          <w:highlight w:val="none"/>
        </w:rPr>
      </w:pPr>
      <w:r>
        <w:rPr>
          <w:rFonts w:hint="eastAsia" w:ascii="宋体" w:hAnsi="宋体" w:cstheme="majorEastAsia"/>
          <w:color w:val="auto"/>
          <w:sz w:val="24"/>
          <w:szCs w:val="24"/>
          <w:highlight w:val="none"/>
        </w:rPr>
        <w:t>下列有一项未通过审查</w:t>
      </w:r>
      <w:r>
        <w:rPr>
          <w:rFonts w:hint="eastAsia" w:ascii="宋体" w:hAnsi="宋体" w:cstheme="majorEastAsia"/>
          <w:bCs/>
          <w:color w:val="auto"/>
          <w:sz w:val="24"/>
          <w:szCs w:val="24"/>
          <w:highlight w:val="none"/>
        </w:rPr>
        <w:t>内容</w:t>
      </w:r>
      <w:r>
        <w:rPr>
          <w:rFonts w:hint="eastAsia" w:ascii="宋体" w:hAnsi="宋体" w:cstheme="majorEastAsia"/>
          <w:color w:val="auto"/>
          <w:sz w:val="24"/>
          <w:szCs w:val="24"/>
          <w:highlight w:val="none"/>
        </w:rPr>
        <w:t>的，应在符合性审查时按照无效投标处理：</w:t>
      </w:r>
    </w:p>
    <w:tbl>
      <w:tblPr>
        <w:tblStyle w:val="38"/>
        <w:tblW w:w="86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0"/>
        <w:gridCol w:w="78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850" w:type="dxa"/>
            <w:vAlign w:val="center"/>
          </w:tcPr>
          <w:p>
            <w:pPr>
              <w:adjustRightInd w:val="0"/>
              <w:snapToGrid w:val="0"/>
              <w:spacing w:line="400" w:lineRule="exact"/>
              <w:jc w:val="center"/>
              <w:rPr>
                <w:rFonts w:ascii="宋体" w:hAnsi="宋体" w:cstheme="majorEastAsia"/>
                <w:bCs/>
                <w:color w:val="auto"/>
                <w:sz w:val="24"/>
                <w:szCs w:val="24"/>
                <w:highlight w:val="none"/>
              </w:rPr>
            </w:pPr>
            <w:r>
              <w:rPr>
                <w:rFonts w:hint="eastAsia" w:ascii="宋体" w:hAnsi="宋体" w:cstheme="majorEastAsia"/>
                <w:bCs/>
                <w:color w:val="auto"/>
                <w:sz w:val="24"/>
                <w:szCs w:val="24"/>
                <w:highlight w:val="none"/>
              </w:rPr>
              <w:t>序号</w:t>
            </w:r>
          </w:p>
        </w:tc>
        <w:tc>
          <w:tcPr>
            <w:tcW w:w="7832" w:type="dxa"/>
            <w:vAlign w:val="center"/>
          </w:tcPr>
          <w:p>
            <w:pPr>
              <w:adjustRightInd w:val="0"/>
              <w:snapToGrid w:val="0"/>
              <w:spacing w:line="400" w:lineRule="exact"/>
              <w:jc w:val="center"/>
              <w:rPr>
                <w:rFonts w:ascii="宋体" w:hAnsi="宋体" w:cstheme="majorEastAsia"/>
                <w:bCs/>
                <w:color w:val="auto"/>
                <w:sz w:val="24"/>
                <w:szCs w:val="24"/>
                <w:highlight w:val="none"/>
              </w:rPr>
            </w:pPr>
            <w:r>
              <w:rPr>
                <w:rFonts w:hint="eastAsia" w:ascii="宋体" w:hAnsi="宋体" w:cstheme="majorEastAsia"/>
                <w:color w:val="auto"/>
                <w:sz w:val="24"/>
                <w:szCs w:val="24"/>
                <w:highlight w:val="none"/>
              </w:rPr>
              <w:t>审查</w:t>
            </w:r>
            <w:r>
              <w:rPr>
                <w:rFonts w:hint="eastAsia" w:ascii="宋体" w:hAnsi="宋体" w:cstheme="majorEastAsia"/>
                <w:bCs/>
                <w:color w:val="auto"/>
                <w:sz w:val="24"/>
                <w:szCs w:val="24"/>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pPr>
              <w:adjustRightInd w:val="0"/>
              <w:snapToGrid w:val="0"/>
              <w:spacing w:line="400" w:lineRule="exact"/>
              <w:jc w:val="center"/>
              <w:rPr>
                <w:rFonts w:ascii="宋体" w:hAnsi="宋体" w:cstheme="majorEastAsia"/>
                <w:bCs/>
                <w:color w:val="auto"/>
                <w:sz w:val="24"/>
                <w:szCs w:val="24"/>
                <w:highlight w:val="none"/>
              </w:rPr>
            </w:pPr>
            <w:r>
              <w:rPr>
                <w:rFonts w:hint="eastAsia" w:ascii="宋体" w:hAnsi="宋体" w:cstheme="majorEastAsia"/>
                <w:bCs/>
                <w:color w:val="auto"/>
                <w:sz w:val="24"/>
                <w:szCs w:val="24"/>
                <w:highlight w:val="none"/>
              </w:rPr>
              <w:t>1</w:t>
            </w:r>
          </w:p>
        </w:tc>
        <w:tc>
          <w:tcPr>
            <w:tcW w:w="7832" w:type="dxa"/>
            <w:vAlign w:val="center"/>
          </w:tcPr>
          <w:p>
            <w:pPr>
              <w:adjustRightInd w:val="0"/>
              <w:snapToGrid w:val="0"/>
              <w:spacing w:line="400" w:lineRule="exact"/>
              <w:ind w:firstLine="33" w:firstLineChars="14"/>
              <w:rPr>
                <w:rFonts w:ascii="宋体" w:hAnsi="宋体" w:cs="宋体"/>
                <w:color w:val="auto"/>
                <w:sz w:val="24"/>
                <w:szCs w:val="24"/>
                <w:highlight w:val="none"/>
              </w:rPr>
            </w:pPr>
            <w:r>
              <w:rPr>
                <w:rFonts w:hint="eastAsia" w:ascii="宋体" w:hAnsi="宋体" w:cs="宋体"/>
                <w:color w:val="auto"/>
                <w:sz w:val="24"/>
                <w:szCs w:val="24"/>
                <w:highlight w:val="none"/>
              </w:rPr>
              <w:t>只允许有一个报价，不接受可变动性报价、赠送及“零”报价。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pPr>
              <w:adjustRightInd w:val="0"/>
              <w:snapToGrid w:val="0"/>
              <w:spacing w:line="400" w:lineRule="exact"/>
              <w:jc w:val="center"/>
              <w:rPr>
                <w:rFonts w:ascii="宋体" w:hAnsi="宋体" w:cstheme="majorEastAsia"/>
                <w:bCs/>
                <w:color w:val="auto"/>
                <w:sz w:val="24"/>
                <w:szCs w:val="24"/>
                <w:highlight w:val="none"/>
              </w:rPr>
            </w:pPr>
            <w:r>
              <w:rPr>
                <w:rFonts w:hint="eastAsia" w:ascii="宋体" w:hAnsi="宋体" w:cstheme="majorEastAsia"/>
                <w:bCs/>
                <w:color w:val="auto"/>
                <w:sz w:val="24"/>
                <w:szCs w:val="24"/>
                <w:highlight w:val="none"/>
              </w:rPr>
              <w:t>2</w:t>
            </w:r>
          </w:p>
        </w:tc>
        <w:tc>
          <w:tcPr>
            <w:tcW w:w="7832" w:type="dxa"/>
            <w:vAlign w:val="center"/>
          </w:tcPr>
          <w:p>
            <w:pPr>
              <w:adjustRightInd w:val="0"/>
              <w:snapToGrid w:val="0"/>
              <w:spacing w:line="400" w:lineRule="exact"/>
              <w:ind w:firstLine="33" w:firstLineChars="14"/>
              <w:rPr>
                <w:rFonts w:ascii="宋体" w:hAnsi="宋体" w:cs="宋体"/>
                <w:color w:val="auto"/>
                <w:sz w:val="24"/>
                <w:szCs w:val="24"/>
                <w:highlight w:val="none"/>
              </w:rPr>
            </w:pPr>
            <w:r>
              <w:rPr>
                <w:rFonts w:hint="eastAsia" w:ascii="宋体" w:hAnsi="宋体" w:cs="宋体"/>
                <w:color w:val="auto"/>
                <w:sz w:val="24"/>
                <w:szCs w:val="24"/>
                <w:highlight w:val="none"/>
              </w:rPr>
              <w:t>必须采用人民币报价。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4" w:hRule="exact"/>
          <w:jc w:val="center"/>
        </w:trPr>
        <w:tc>
          <w:tcPr>
            <w:tcW w:w="850" w:type="dxa"/>
            <w:vAlign w:val="center"/>
          </w:tcPr>
          <w:p>
            <w:pPr>
              <w:adjustRightInd w:val="0"/>
              <w:snapToGrid w:val="0"/>
              <w:spacing w:line="400" w:lineRule="exact"/>
              <w:jc w:val="center"/>
              <w:rPr>
                <w:rFonts w:ascii="宋体" w:hAnsi="宋体" w:cstheme="majorEastAsia"/>
                <w:bCs/>
                <w:color w:val="auto"/>
                <w:sz w:val="24"/>
                <w:szCs w:val="24"/>
                <w:highlight w:val="none"/>
              </w:rPr>
            </w:pPr>
            <w:r>
              <w:rPr>
                <w:rFonts w:hint="eastAsia" w:ascii="宋体" w:hAnsi="宋体" w:cstheme="majorEastAsia"/>
                <w:bCs/>
                <w:color w:val="auto"/>
                <w:sz w:val="24"/>
                <w:szCs w:val="24"/>
                <w:highlight w:val="none"/>
              </w:rPr>
              <w:t>3</w:t>
            </w:r>
          </w:p>
        </w:tc>
        <w:tc>
          <w:tcPr>
            <w:tcW w:w="7832" w:type="dxa"/>
            <w:vAlign w:val="center"/>
          </w:tcPr>
          <w:p>
            <w:pPr>
              <w:adjustRightInd w:val="0"/>
              <w:snapToGrid w:val="0"/>
              <w:spacing w:line="400" w:lineRule="exact"/>
              <w:ind w:firstLine="33" w:firstLineChars="14"/>
              <w:rPr>
                <w:rFonts w:ascii="宋体" w:hAnsi="宋体" w:cs="宋体"/>
                <w:color w:val="auto"/>
                <w:sz w:val="24"/>
                <w:szCs w:val="24"/>
                <w:highlight w:val="none"/>
              </w:rPr>
            </w:pPr>
            <w:r>
              <w:rPr>
                <w:rFonts w:hint="eastAsia" w:ascii="宋体" w:hAnsi="宋体" w:cs="宋体"/>
                <w:color w:val="auto"/>
                <w:sz w:val="24"/>
                <w:szCs w:val="24"/>
                <w:highlight w:val="none"/>
              </w:rPr>
              <w:t>投标报价没有明显低于成本，若有时，投标人能在规定时间内作出合理说明或提供相关证明材料。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850" w:type="dxa"/>
            <w:vAlign w:val="center"/>
          </w:tcPr>
          <w:p>
            <w:pPr>
              <w:adjustRightInd w:val="0"/>
              <w:snapToGrid w:val="0"/>
              <w:spacing w:line="400" w:lineRule="exact"/>
              <w:jc w:val="center"/>
              <w:rPr>
                <w:rFonts w:ascii="宋体" w:hAnsi="宋体" w:cstheme="majorEastAsia"/>
                <w:bCs/>
                <w:color w:val="auto"/>
                <w:sz w:val="24"/>
                <w:szCs w:val="24"/>
                <w:highlight w:val="none"/>
              </w:rPr>
            </w:pPr>
            <w:r>
              <w:rPr>
                <w:rFonts w:hint="eastAsia" w:ascii="宋体" w:hAnsi="宋体" w:cstheme="majorEastAsia"/>
                <w:bCs/>
                <w:color w:val="auto"/>
                <w:sz w:val="24"/>
                <w:szCs w:val="24"/>
                <w:highlight w:val="none"/>
              </w:rPr>
              <w:t>4</w:t>
            </w:r>
          </w:p>
        </w:tc>
        <w:tc>
          <w:tcPr>
            <w:tcW w:w="7832" w:type="dxa"/>
            <w:vAlign w:val="center"/>
          </w:tcPr>
          <w:p>
            <w:pPr>
              <w:adjustRightInd w:val="0"/>
              <w:snapToGrid w:val="0"/>
              <w:spacing w:line="400" w:lineRule="exact"/>
              <w:ind w:firstLine="33" w:firstLineChars="14"/>
              <w:rPr>
                <w:rFonts w:ascii="宋体" w:hAnsi="宋体" w:cs="宋体"/>
                <w:color w:val="auto"/>
                <w:sz w:val="24"/>
                <w:szCs w:val="24"/>
                <w:highlight w:val="none"/>
              </w:rPr>
            </w:pPr>
            <w:r>
              <w:rPr>
                <w:rFonts w:hint="eastAsia" w:ascii="宋体" w:hAnsi="宋体" w:cs="宋体"/>
                <w:color w:val="auto"/>
                <w:sz w:val="24"/>
                <w:szCs w:val="24"/>
                <w:highlight w:val="none"/>
              </w:rPr>
              <w:t>投标文件必须按招标文件规定格式完整提供，并要盖投标人章、法定代表人或被授权人签字或盖章。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4" w:hRule="exact"/>
          <w:jc w:val="center"/>
        </w:trPr>
        <w:tc>
          <w:tcPr>
            <w:tcW w:w="850" w:type="dxa"/>
            <w:vAlign w:val="center"/>
          </w:tcPr>
          <w:p>
            <w:pPr>
              <w:adjustRightInd w:val="0"/>
              <w:snapToGrid w:val="0"/>
              <w:spacing w:line="400" w:lineRule="exact"/>
              <w:jc w:val="center"/>
              <w:rPr>
                <w:rFonts w:ascii="宋体" w:hAnsi="宋体" w:cstheme="majorEastAsia"/>
                <w:bCs/>
                <w:color w:val="auto"/>
                <w:sz w:val="24"/>
                <w:szCs w:val="24"/>
                <w:highlight w:val="none"/>
              </w:rPr>
            </w:pPr>
            <w:r>
              <w:rPr>
                <w:rFonts w:hint="eastAsia" w:ascii="宋体" w:hAnsi="宋体" w:cstheme="majorEastAsia"/>
                <w:bCs/>
                <w:color w:val="auto"/>
                <w:sz w:val="24"/>
                <w:szCs w:val="24"/>
                <w:highlight w:val="none"/>
              </w:rPr>
              <w:t>5</w:t>
            </w:r>
          </w:p>
        </w:tc>
        <w:tc>
          <w:tcPr>
            <w:tcW w:w="7832" w:type="dxa"/>
            <w:vAlign w:val="center"/>
          </w:tcPr>
          <w:p>
            <w:pPr>
              <w:adjustRightInd w:val="0"/>
              <w:snapToGrid w:val="0"/>
              <w:spacing w:line="400" w:lineRule="exact"/>
              <w:ind w:firstLine="33" w:firstLineChars="14"/>
              <w:rPr>
                <w:rFonts w:ascii="宋体" w:hAnsi="宋体" w:cstheme="majorEastAsia"/>
                <w:color w:val="auto"/>
                <w:sz w:val="24"/>
                <w:szCs w:val="24"/>
                <w:highlight w:val="none"/>
              </w:rPr>
            </w:pPr>
            <w:r>
              <w:rPr>
                <w:rFonts w:hint="eastAsia" w:ascii="宋体" w:hAnsi="宋体" w:cstheme="majorEastAsia"/>
                <w:color w:val="auto"/>
                <w:sz w:val="24"/>
                <w:szCs w:val="24"/>
                <w:highlight w:val="none"/>
              </w:rPr>
              <w:t>法定代表人（负责人、自然人）授权委托书必须按招标文件规定格式完整提供，并要盖投标人章、法定代表人（负责人、自然人）签字或盖章，被授权人签字或盖章。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pPr>
              <w:adjustRightInd w:val="0"/>
              <w:snapToGrid w:val="0"/>
              <w:spacing w:line="400" w:lineRule="exact"/>
              <w:jc w:val="center"/>
              <w:rPr>
                <w:rFonts w:ascii="宋体" w:hAnsi="宋体" w:cstheme="majorEastAsia"/>
                <w:bCs/>
                <w:color w:val="auto"/>
                <w:sz w:val="24"/>
                <w:szCs w:val="24"/>
                <w:highlight w:val="none"/>
              </w:rPr>
            </w:pPr>
            <w:r>
              <w:rPr>
                <w:rFonts w:hint="eastAsia" w:ascii="宋体" w:hAnsi="宋体" w:cstheme="majorEastAsia"/>
                <w:bCs/>
                <w:color w:val="auto"/>
                <w:sz w:val="24"/>
                <w:szCs w:val="24"/>
                <w:highlight w:val="none"/>
              </w:rPr>
              <w:t>6</w:t>
            </w:r>
          </w:p>
        </w:tc>
        <w:tc>
          <w:tcPr>
            <w:tcW w:w="7832" w:type="dxa"/>
            <w:vAlign w:val="center"/>
          </w:tcPr>
          <w:p>
            <w:pPr>
              <w:adjustRightInd w:val="0"/>
              <w:snapToGrid w:val="0"/>
              <w:spacing w:line="400" w:lineRule="exact"/>
              <w:ind w:firstLine="33" w:firstLineChars="14"/>
              <w:rPr>
                <w:rFonts w:ascii="宋体" w:hAnsi="宋体" w:cstheme="majorEastAsia"/>
                <w:color w:val="auto"/>
                <w:sz w:val="24"/>
                <w:szCs w:val="24"/>
                <w:highlight w:val="none"/>
              </w:rPr>
            </w:pPr>
            <w:r>
              <w:rPr>
                <w:rFonts w:hint="eastAsia" w:ascii="宋体" w:hAnsi="宋体" w:cstheme="majorEastAsia"/>
                <w:color w:val="auto"/>
                <w:sz w:val="24"/>
                <w:szCs w:val="24"/>
                <w:highlight w:val="none"/>
              </w:rPr>
              <w:t>投标文件必须注明“正本”或“副本”字样。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pPr>
              <w:adjustRightInd w:val="0"/>
              <w:snapToGrid w:val="0"/>
              <w:spacing w:line="400" w:lineRule="exact"/>
              <w:jc w:val="center"/>
              <w:rPr>
                <w:rFonts w:ascii="宋体" w:hAnsi="宋体" w:cstheme="majorEastAsia"/>
                <w:bCs/>
                <w:color w:val="auto"/>
                <w:sz w:val="24"/>
                <w:szCs w:val="24"/>
                <w:highlight w:val="none"/>
              </w:rPr>
            </w:pPr>
            <w:r>
              <w:rPr>
                <w:rFonts w:hint="eastAsia" w:ascii="宋体" w:hAnsi="宋体" w:cstheme="majorEastAsia"/>
                <w:bCs/>
                <w:color w:val="auto"/>
                <w:sz w:val="24"/>
                <w:szCs w:val="24"/>
                <w:highlight w:val="none"/>
              </w:rPr>
              <w:t>7</w:t>
            </w:r>
          </w:p>
        </w:tc>
        <w:tc>
          <w:tcPr>
            <w:tcW w:w="7832" w:type="dxa"/>
            <w:vAlign w:val="center"/>
          </w:tcPr>
          <w:p>
            <w:pPr>
              <w:adjustRightInd w:val="0"/>
              <w:snapToGrid w:val="0"/>
              <w:spacing w:line="400" w:lineRule="exact"/>
              <w:ind w:firstLine="33" w:firstLineChars="14"/>
              <w:rPr>
                <w:rFonts w:ascii="宋体" w:hAnsi="宋体" w:cstheme="majorEastAsia"/>
                <w:color w:val="auto"/>
                <w:sz w:val="24"/>
                <w:szCs w:val="24"/>
                <w:highlight w:val="none"/>
              </w:rPr>
            </w:pPr>
            <w:r>
              <w:rPr>
                <w:rFonts w:hint="eastAsia" w:ascii="宋体" w:hAnsi="宋体" w:cstheme="majorEastAsia"/>
                <w:color w:val="auto"/>
                <w:sz w:val="24"/>
                <w:szCs w:val="24"/>
                <w:highlight w:val="none"/>
              </w:rPr>
              <w:t>投标报价没有超过最高限价。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pPr>
              <w:adjustRightInd w:val="0"/>
              <w:snapToGrid w:val="0"/>
              <w:spacing w:line="400" w:lineRule="exact"/>
              <w:jc w:val="center"/>
              <w:rPr>
                <w:rFonts w:ascii="宋体" w:hAnsi="宋体" w:cstheme="majorEastAsia"/>
                <w:bCs/>
                <w:color w:val="auto"/>
                <w:sz w:val="24"/>
                <w:szCs w:val="24"/>
                <w:highlight w:val="none"/>
              </w:rPr>
            </w:pPr>
            <w:r>
              <w:rPr>
                <w:rFonts w:hint="eastAsia" w:ascii="宋体" w:hAnsi="宋体" w:cstheme="majorEastAsia"/>
                <w:bCs/>
                <w:color w:val="auto"/>
                <w:sz w:val="24"/>
                <w:szCs w:val="24"/>
                <w:highlight w:val="none"/>
              </w:rPr>
              <w:t>8</w:t>
            </w:r>
          </w:p>
        </w:tc>
        <w:tc>
          <w:tcPr>
            <w:tcW w:w="7832" w:type="dxa"/>
            <w:vAlign w:val="center"/>
          </w:tcPr>
          <w:p>
            <w:pPr>
              <w:adjustRightInd w:val="0"/>
              <w:snapToGrid w:val="0"/>
              <w:spacing w:line="400" w:lineRule="exact"/>
              <w:ind w:firstLine="33" w:firstLineChars="14"/>
              <w:rPr>
                <w:rFonts w:ascii="宋体" w:hAnsi="宋体" w:cstheme="majorEastAsia"/>
                <w:color w:val="auto"/>
                <w:sz w:val="24"/>
                <w:szCs w:val="24"/>
                <w:highlight w:val="none"/>
              </w:rPr>
            </w:pPr>
            <w:r>
              <w:rPr>
                <w:rFonts w:hint="eastAsia" w:ascii="宋体" w:hAnsi="宋体" w:cstheme="majorEastAsia"/>
                <w:color w:val="auto"/>
                <w:sz w:val="24"/>
                <w:szCs w:val="24"/>
                <w:highlight w:val="none"/>
              </w:rPr>
              <w:t>投标文件未含有采购人不能接受的附加条件。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pPr>
              <w:adjustRightInd w:val="0"/>
              <w:snapToGrid w:val="0"/>
              <w:spacing w:line="400" w:lineRule="exact"/>
              <w:jc w:val="center"/>
              <w:rPr>
                <w:rFonts w:ascii="宋体" w:hAnsi="宋体" w:cstheme="majorEastAsia"/>
                <w:bCs/>
                <w:color w:val="auto"/>
                <w:sz w:val="24"/>
                <w:szCs w:val="24"/>
                <w:highlight w:val="none"/>
              </w:rPr>
            </w:pPr>
            <w:r>
              <w:rPr>
                <w:rFonts w:hint="eastAsia" w:ascii="宋体" w:hAnsi="宋体" w:cstheme="majorEastAsia"/>
                <w:bCs/>
                <w:color w:val="auto"/>
                <w:sz w:val="24"/>
                <w:szCs w:val="24"/>
                <w:highlight w:val="none"/>
              </w:rPr>
              <w:t>9</w:t>
            </w:r>
          </w:p>
        </w:tc>
        <w:tc>
          <w:tcPr>
            <w:tcW w:w="7832" w:type="dxa"/>
            <w:vAlign w:val="center"/>
          </w:tcPr>
          <w:p>
            <w:pPr>
              <w:adjustRightInd w:val="0"/>
              <w:snapToGrid w:val="0"/>
              <w:spacing w:line="400" w:lineRule="exact"/>
              <w:ind w:firstLine="33" w:firstLineChars="14"/>
              <w:rPr>
                <w:rFonts w:ascii="宋体" w:hAnsi="宋体" w:cstheme="majorEastAsia"/>
                <w:color w:val="auto"/>
                <w:sz w:val="24"/>
                <w:szCs w:val="24"/>
                <w:highlight w:val="none"/>
              </w:rPr>
            </w:pPr>
            <w:r>
              <w:rPr>
                <w:rFonts w:hint="eastAsia" w:ascii="宋体" w:hAnsi="宋体" w:cstheme="majorEastAsia"/>
                <w:color w:val="auto"/>
                <w:sz w:val="24"/>
                <w:szCs w:val="24"/>
                <w:highlight w:val="none"/>
              </w:rPr>
              <w:t>投标文件与招标文件没有重大偏离的。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pPr>
              <w:adjustRightInd w:val="0"/>
              <w:snapToGrid w:val="0"/>
              <w:spacing w:line="400" w:lineRule="exact"/>
              <w:jc w:val="center"/>
              <w:rPr>
                <w:rFonts w:ascii="宋体" w:hAnsi="宋体" w:cstheme="majorEastAsia"/>
                <w:bCs/>
                <w:color w:val="auto"/>
                <w:sz w:val="24"/>
                <w:szCs w:val="24"/>
                <w:highlight w:val="none"/>
              </w:rPr>
            </w:pPr>
            <w:r>
              <w:rPr>
                <w:rFonts w:hint="eastAsia" w:ascii="宋体" w:hAnsi="宋体" w:cstheme="majorEastAsia"/>
                <w:bCs/>
                <w:color w:val="auto"/>
                <w:sz w:val="24"/>
                <w:szCs w:val="24"/>
                <w:highlight w:val="none"/>
              </w:rPr>
              <w:t>10</w:t>
            </w:r>
          </w:p>
        </w:tc>
        <w:tc>
          <w:tcPr>
            <w:tcW w:w="7832" w:type="dxa"/>
            <w:vAlign w:val="center"/>
          </w:tcPr>
          <w:p>
            <w:pPr>
              <w:adjustRightInd w:val="0"/>
              <w:snapToGrid w:val="0"/>
              <w:spacing w:line="400" w:lineRule="exact"/>
              <w:ind w:firstLine="33" w:firstLineChars="14"/>
              <w:rPr>
                <w:rFonts w:ascii="宋体" w:hAnsi="宋体" w:cstheme="majorEastAsia"/>
                <w:color w:val="auto"/>
                <w:sz w:val="24"/>
                <w:szCs w:val="24"/>
                <w:highlight w:val="none"/>
              </w:rPr>
            </w:pPr>
            <w:r>
              <w:rPr>
                <w:rFonts w:hint="eastAsia" w:ascii="宋体" w:hAnsi="宋体" w:cstheme="majorEastAsia"/>
                <w:color w:val="auto"/>
                <w:sz w:val="24"/>
                <w:szCs w:val="24"/>
                <w:highlight w:val="none"/>
              </w:rPr>
              <w:t>不存在其他无效情形的，如不符合法律、法规和招标文件规定的。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8682" w:type="dxa"/>
            <w:gridSpan w:val="2"/>
            <w:vAlign w:val="center"/>
          </w:tcPr>
          <w:p>
            <w:pPr>
              <w:adjustRightInd w:val="0"/>
              <w:snapToGrid w:val="0"/>
              <w:spacing w:line="400" w:lineRule="exact"/>
              <w:ind w:firstLine="33" w:firstLineChars="14"/>
              <w:rPr>
                <w:rFonts w:ascii="宋体" w:hAnsi="宋体" w:cstheme="majorEastAsia"/>
                <w:color w:val="auto"/>
                <w:sz w:val="24"/>
                <w:szCs w:val="24"/>
                <w:highlight w:val="none"/>
              </w:rPr>
            </w:pPr>
            <w:r>
              <w:rPr>
                <w:rFonts w:hint="eastAsia" w:ascii="宋体" w:hAnsi="宋体" w:cs="宋体"/>
                <w:color w:val="auto"/>
                <w:sz w:val="24"/>
                <w:szCs w:val="24"/>
                <w:highlight w:val="none"/>
              </w:rPr>
              <w:t>备注：如果符合性审查中有一项不满足审查标准的，将认定该供应商不通过符合性审查，不得进入下一阶段评审，并且不允许供应商通过修改或撤销其不符合要求的差异或保留，使其成为实质性响应。</w:t>
            </w:r>
          </w:p>
        </w:tc>
      </w:tr>
    </w:tbl>
    <w:p>
      <w:pPr>
        <w:pStyle w:val="23"/>
        <w:rPr>
          <w:rFonts w:hAnsi="宋体"/>
          <w:color w:val="auto"/>
          <w:highlight w:val="none"/>
        </w:rPr>
      </w:pPr>
    </w:p>
    <w:p>
      <w:pPr>
        <w:adjustRightInd w:val="0"/>
        <w:snapToGrid w:val="0"/>
        <w:spacing w:line="500" w:lineRule="exact"/>
        <w:ind w:firstLine="472" w:firstLineChars="196"/>
        <w:rPr>
          <w:rFonts w:ascii="宋体" w:hAnsi="宋体" w:cstheme="majorEastAsia"/>
          <w:b/>
          <w:bCs/>
          <w:color w:val="auto"/>
          <w:sz w:val="24"/>
          <w:szCs w:val="24"/>
          <w:highlight w:val="none"/>
        </w:rPr>
      </w:pPr>
      <w:r>
        <w:rPr>
          <w:rFonts w:hint="eastAsia" w:ascii="宋体" w:hAnsi="宋体" w:cstheme="majorEastAsia"/>
          <w:b/>
          <w:bCs/>
          <w:color w:val="auto"/>
          <w:sz w:val="24"/>
          <w:szCs w:val="24"/>
          <w:highlight w:val="none"/>
        </w:rPr>
        <w:t>26.2 实质审查与比较</w:t>
      </w:r>
    </w:p>
    <w:p>
      <w:pPr>
        <w:adjustRightInd w:val="0"/>
        <w:snapToGrid w:val="0"/>
        <w:spacing w:line="500" w:lineRule="exact"/>
        <w:ind w:firstLine="480" w:firstLineChars="200"/>
        <w:rPr>
          <w:rFonts w:ascii="宋体" w:hAnsi="宋体" w:cstheme="majorEastAsia"/>
          <w:color w:val="auto"/>
          <w:sz w:val="24"/>
          <w:szCs w:val="24"/>
          <w:highlight w:val="none"/>
        </w:rPr>
      </w:pPr>
      <w:r>
        <w:rPr>
          <w:rFonts w:hint="eastAsia" w:ascii="宋体" w:hAnsi="宋体" w:cstheme="majorEastAsia"/>
          <w:color w:val="auto"/>
          <w:sz w:val="24"/>
          <w:szCs w:val="24"/>
          <w:highlight w:val="none"/>
        </w:rPr>
        <w:t>26.2.1评标委员会审查投标文件的实质性内容是否符合招标文件的实质性要求。</w:t>
      </w:r>
    </w:p>
    <w:p>
      <w:pPr>
        <w:adjustRightInd w:val="0"/>
        <w:snapToGrid w:val="0"/>
        <w:spacing w:line="500" w:lineRule="exact"/>
        <w:ind w:firstLine="480" w:firstLineChars="200"/>
        <w:rPr>
          <w:rFonts w:ascii="宋体" w:hAnsi="宋体" w:cstheme="majorEastAsia"/>
          <w:color w:val="auto"/>
          <w:sz w:val="24"/>
          <w:szCs w:val="24"/>
          <w:highlight w:val="none"/>
        </w:rPr>
      </w:pPr>
      <w:r>
        <w:rPr>
          <w:rFonts w:hint="eastAsia" w:ascii="宋体" w:hAnsi="宋体" w:cstheme="majorEastAsia"/>
          <w:color w:val="auto"/>
          <w:sz w:val="24"/>
          <w:szCs w:val="24"/>
          <w:highlight w:val="none"/>
        </w:rPr>
        <w:t>26.2.2评标委员会将根据投标人的投标文件进行审查、核对,如有疑问,将对投标人进行询标,投标人要向评标委员会澄清有关问题,并最终以书面形式进行答复。</w:t>
      </w:r>
    </w:p>
    <w:p>
      <w:pPr>
        <w:adjustRightInd w:val="0"/>
        <w:snapToGrid w:val="0"/>
        <w:spacing w:line="500" w:lineRule="exact"/>
        <w:ind w:firstLine="480" w:firstLineChars="200"/>
        <w:rPr>
          <w:rFonts w:ascii="宋体" w:hAnsi="宋体" w:cstheme="majorEastAsia"/>
          <w:color w:val="auto"/>
          <w:sz w:val="24"/>
          <w:szCs w:val="24"/>
          <w:highlight w:val="none"/>
        </w:rPr>
      </w:pPr>
      <w:r>
        <w:rPr>
          <w:rFonts w:hint="eastAsia" w:ascii="宋体" w:hAnsi="宋体" w:cstheme="majorEastAsia"/>
          <w:color w:val="auto"/>
          <w:sz w:val="24"/>
          <w:szCs w:val="24"/>
          <w:highlight w:val="none"/>
        </w:rPr>
        <w:t>投标人代表未到场或者拒绝澄清或者澄清的内容改变了投标文件的实质性内容的，评标委员会有权对该投标文件作出不利于投标人的评判。</w:t>
      </w:r>
    </w:p>
    <w:p>
      <w:pPr>
        <w:adjustRightInd w:val="0"/>
        <w:snapToGrid w:val="0"/>
        <w:spacing w:line="500" w:lineRule="exact"/>
        <w:ind w:firstLine="480" w:firstLineChars="200"/>
        <w:rPr>
          <w:rFonts w:ascii="宋体" w:hAnsi="宋体" w:cstheme="majorEastAsia"/>
          <w:color w:val="auto"/>
          <w:sz w:val="24"/>
          <w:szCs w:val="24"/>
          <w:highlight w:val="none"/>
        </w:rPr>
      </w:pPr>
      <w:r>
        <w:rPr>
          <w:rFonts w:hint="eastAsia" w:ascii="宋体" w:hAnsi="宋体" w:cstheme="majorEastAsia"/>
          <w:color w:val="auto"/>
          <w:sz w:val="24"/>
          <w:szCs w:val="24"/>
          <w:highlight w:val="none"/>
        </w:rPr>
        <w:t>26.2.3各投标人的技术得分为所有评委的有效评分的算术平均数，由指定专人进行计算复核。</w:t>
      </w:r>
    </w:p>
    <w:p>
      <w:pPr>
        <w:adjustRightInd w:val="0"/>
        <w:snapToGrid w:val="0"/>
        <w:spacing w:line="500" w:lineRule="exact"/>
        <w:ind w:firstLine="480" w:firstLineChars="200"/>
        <w:rPr>
          <w:rFonts w:ascii="宋体" w:hAnsi="宋体" w:cstheme="majorEastAsia"/>
          <w:color w:val="auto"/>
          <w:sz w:val="24"/>
          <w:szCs w:val="24"/>
          <w:highlight w:val="none"/>
        </w:rPr>
      </w:pPr>
      <w:r>
        <w:rPr>
          <w:rFonts w:hint="eastAsia" w:ascii="宋体" w:hAnsi="宋体" w:cstheme="majorEastAsia"/>
          <w:color w:val="auto"/>
          <w:sz w:val="24"/>
          <w:szCs w:val="24"/>
          <w:highlight w:val="none"/>
        </w:rPr>
        <w:t>26.2.4采购代理机构工作人员协助评标委员会根据本项目的评分标准计算各投标人的商务报价得分。</w:t>
      </w:r>
    </w:p>
    <w:p>
      <w:pPr>
        <w:adjustRightInd w:val="0"/>
        <w:snapToGrid w:val="0"/>
        <w:spacing w:line="500" w:lineRule="exact"/>
        <w:ind w:firstLine="480" w:firstLineChars="200"/>
        <w:rPr>
          <w:rFonts w:ascii="宋体" w:hAnsi="宋体" w:cstheme="majorEastAsia"/>
          <w:color w:val="auto"/>
          <w:sz w:val="24"/>
          <w:szCs w:val="24"/>
          <w:highlight w:val="none"/>
        </w:rPr>
      </w:pPr>
      <w:r>
        <w:rPr>
          <w:rFonts w:hint="eastAsia" w:ascii="宋体" w:hAnsi="宋体" w:cstheme="majorEastAsia"/>
          <w:color w:val="auto"/>
          <w:sz w:val="24"/>
          <w:szCs w:val="24"/>
          <w:highlight w:val="none"/>
        </w:rPr>
        <w:t>26.2.5评标委员会完成评标后,评委对各部分得分汇总,计算出本项目最终得分等。评标委员会按评标原则推荐中标候选人，同时起草评标报告。</w:t>
      </w:r>
    </w:p>
    <w:p>
      <w:pPr>
        <w:pStyle w:val="6"/>
        <w:rPr>
          <w:rFonts w:ascii="宋体" w:hAnsi="宋体"/>
          <w:color w:val="auto"/>
          <w:highlight w:val="none"/>
        </w:rPr>
      </w:pPr>
      <w:bookmarkStart w:id="76" w:name="_Toc26304"/>
      <w:r>
        <w:rPr>
          <w:rFonts w:hint="eastAsia" w:ascii="宋体" w:hAnsi="宋体"/>
          <w:color w:val="auto"/>
          <w:highlight w:val="none"/>
        </w:rPr>
        <w:t>27、澄清问题的形式</w:t>
      </w:r>
      <w:bookmarkEnd w:id="76"/>
    </w:p>
    <w:p>
      <w:pPr>
        <w:adjustRightInd w:val="0"/>
        <w:snapToGrid w:val="0"/>
        <w:spacing w:line="500" w:lineRule="exact"/>
        <w:ind w:firstLine="480" w:firstLineChars="200"/>
        <w:rPr>
          <w:rFonts w:ascii="宋体" w:hAnsi="宋体" w:cstheme="majorEastAsia"/>
          <w:color w:val="auto"/>
          <w:sz w:val="24"/>
          <w:szCs w:val="24"/>
          <w:highlight w:val="none"/>
        </w:rPr>
      </w:pPr>
      <w:r>
        <w:rPr>
          <w:rFonts w:hint="eastAsia" w:ascii="宋体" w:hAnsi="宋体" w:cstheme="majorEastAsia"/>
          <w:color w:val="auto"/>
          <w:sz w:val="24"/>
          <w:szCs w:val="24"/>
          <w:highlight w:val="none"/>
        </w:rPr>
        <w:t>对投标文件中含义不明确、同类问题表述不一致或者有明显文字和计算错误的内容，评标委员会可要求投标人作出必要的澄清、说明或者纠正。投标人的澄清、说明或者补正应当采用书面形式，由其授权代表签字或盖章确认，并不得超出投标文件的范围或者改变投标文件的实质性内容。</w:t>
      </w:r>
    </w:p>
    <w:p>
      <w:pPr>
        <w:pStyle w:val="6"/>
        <w:rPr>
          <w:rFonts w:ascii="宋体" w:hAnsi="宋体"/>
          <w:color w:val="auto"/>
          <w:highlight w:val="none"/>
        </w:rPr>
      </w:pPr>
      <w:bookmarkStart w:id="77" w:name="_Toc1409"/>
      <w:r>
        <w:rPr>
          <w:rFonts w:hint="eastAsia" w:ascii="宋体" w:hAnsi="宋体"/>
          <w:color w:val="auto"/>
          <w:highlight w:val="none"/>
        </w:rPr>
        <w:t>28、错误修正</w:t>
      </w:r>
      <w:bookmarkEnd w:id="77"/>
    </w:p>
    <w:p>
      <w:pPr>
        <w:adjustRightInd w:val="0"/>
        <w:snapToGrid w:val="0"/>
        <w:spacing w:line="500" w:lineRule="exact"/>
        <w:ind w:left="719" w:leftChars="228" w:hanging="240" w:hangingChars="100"/>
        <w:rPr>
          <w:rFonts w:ascii="宋体" w:hAnsi="宋体" w:cstheme="majorEastAsia"/>
          <w:color w:val="auto"/>
          <w:sz w:val="24"/>
          <w:szCs w:val="24"/>
          <w:highlight w:val="none"/>
        </w:rPr>
      </w:pPr>
      <w:r>
        <w:rPr>
          <w:rFonts w:hint="eastAsia" w:ascii="宋体" w:hAnsi="宋体" w:cstheme="majorEastAsia"/>
          <w:color w:val="auto"/>
          <w:sz w:val="24"/>
          <w:szCs w:val="24"/>
          <w:highlight w:val="none"/>
        </w:rPr>
        <w:t>投标文件如果出现计算或表达上的错误，修正错误的原则如下：</w:t>
      </w:r>
    </w:p>
    <w:p>
      <w:pPr>
        <w:adjustRightInd w:val="0"/>
        <w:snapToGrid w:val="0"/>
        <w:spacing w:line="500" w:lineRule="exact"/>
        <w:ind w:firstLine="480" w:firstLineChars="200"/>
        <w:rPr>
          <w:rFonts w:ascii="宋体" w:hAnsi="宋体" w:cstheme="majorEastAsia"/>
          <w:color w:val="auto"/>
          <w:sz w:val="24"/>
          <w:szCs w:val="24"/>
          <w:highlight w:val="none"/>
        </w:rPr>
      </w:pPr>
      <w:r>
        <w:rPr>
          <w:rFonts w:hint="eastAsia" w:ascii="宋体" w:hAnsi="宋体" w:cstheme="majorEastAsia"/>
          <w:color w:val="auto"/>
          <w:sz w:val="24"/>
          <w:szCs w:val="24"/>
          <w:highlight w:val="none"/>
        </w:rPr>
        <w:t>28.1 开标一览表总价与投标报价明细表汇总数不一致的，</w:t>
      </w:r>
      <w:r>
        <w:rPr>
          <w:rFonts w:hint="eastAsia" w:ascii="宋体" w:hAnsi="宋体" w:cstheme="majorEastAsia"/>
          <w:color w:val="auto"/>
          <w:kern w:val="0"/>
          <w:sz w:val="24"/>
          <w:szCs w:val="24"/>
          <w:highlight w:val="none"/>
        </w:rPr>
        <w:t>以开标一览表为准；</w:t>
      </w:r>
    </w:p>
    <w:p>
      <w:pPr>
        <w:adjustRightInd w:val="0"/>
        <w:snapToGrid w:val="0"/>
        <w:spacing w:line="500" w:lineRule="exact"/>
        <w:ind w:firstLine="480" w:firstLineChars="200"/>
        <w:rPr>
          <w:rFonts w:ascii="宋体" w:hAnsi="宋体" w:cstheme="majorEastAsia"/>
          <w:color w:val="auto"/>
          <w:sz w:val="24"/>
          <w:szCs w:val="24"/>
          <w:highlight w:val="none"/>
        </w:rPr>
      </w:pPr>
      <w:r>
        <w:rPr>
          <w:rFonts w:hint="eastAsia" w:ascii="宋体" w:hAnsi="宋体" w:cstheme="majorEastAsia"/>
          <w:color w:val="auto"/>
          <w:sz w:val="24"/>
          <w:szCs w:val="24"/>
          <w:highlight w:val="none"/>
        </w:rPr>
        <w:t>28.2 投标文件的大写金额和小写金额不一致的，以大写金额为准；</w:t>
      </w:r>
    </w:p>
    <w:p>
      <w:pPr>
        <w:adjustRightInd w:val="0"/>
        <w:snapToGrid w:val="0"/>
        <w:spacing w:line="500" w:lineRule="exact"/>
        <w:ind w:firstLine="480" w:firstLineChars="200"/>
        <w:rPr>
          <w:rFonts w:ascii="宋体" w:hAnsi="宋体" w:cstheme="majorEastAsia"/>
          <w:color w:val="auto"/>
          <w:sz w:val="24"/>
          <w:szCs w:val="24"/>
          <w:highlight w:val="none"/>
        </w:rPr>
      </w:pPr>
      <w:r>
        <w:rPr>
          <w:rFonts w:hint="eastAsia" w:ascii="宋体" w:hAnsi="宋体" w:cstheme="majorEastAsia"/>
          <w:color w:val="auto"/>
          <w:sz w:val="24"/>
          <w:szCs w:val="24"/>
          <w:highlight w:val="none"/>
        </w:rPr>
        <w:t>28.3 总价金额与按单价汇总金额不一致的，以单价金额计算结果为准；</w:t>
      </w:r>
    </w:p>
    <w:p>
      <w:pPr>
        <w:adjustRightInd w:val="0"/>
        <w:snapToGrid w:val="0"/>
        <w:spacing w:line="500" w:lineRule="exact"/>
        <w:ind w:firstLine="480" w:firstLineChars="200"/>
        <w:rPr>
          <w:rFonts w:ascii="宋体" w:hAnsi="宋体" w:cstheme="majorEastAsia"/>
          <w:color w:val="auto"/>
          <w:sz w:val="24"/>
          <w:szCs w:val="24"/>
          <w:highlight w:val="none"/>
        </w:rPr>
      </w:pPr>
      <w:r>
        <w:rPr>
          <w:rFonts w:hint="eastAsia" w:ascii="宋体" w:hAnsi="宋体" w:cstheme="majorEastAsia"/>
          <w:color w:val="auto"/>
          <w:sz w:val="24"/>
          <w:szCs w:val="24"/>
          <w:highlight w:val="none"/>
        </w:rPr>
        <w:t>28.4 对不同文字文本投标文件的解释发生异议的，以中文文本为准。</w:t>
      </w:r>
    </w:p>
    <w:p>
      <w:pPr>
        <w:adjustRightInd w:val="0"/>
        <w:snapToGrid w:val="0"/>
        <w:spacing w:line="500" w:lineRule="exact"/>
        <w:ind w:firstLine="482" w:firstLineChars="200"/>
        <w:rPr>
          <w:rFonts w:ascii="宋体" w:hAnsi="宋体" w:cstheme="majorEastAsia"/>
          <w:b/>
          <w:bCs/>
          <w:color w:val="auto"/>
          <w:sz w:val="24"/>
          <w:szCs w:val="24"/>
          <w:highlight w:val="none"/>
        </w:rPr>
      </w:pPr>
      <w:r>
        <w:rPr>
          <w:rFonts w:hint="eastAsia" w:ascii="宋体" w:hAnsi="宋体" w:cstheme="majorEastAsia"/>
          <w:b/>
          <w:bCs/>
          <w:color w:val="auto"/>
          <w:sz w:val="24"/>
          <w:szCs w:val="24"/>
          <w:highlight w:val="none"/>
        </w:rPr>
        <w:t>按上述修正错误的原则及方法调整或修正投标文件的投标报价，投标人同意并签字确认后，调整后的投标报价对投标人具有约束作用。如果投标人不接受修正后的报价，则其投标将作为无效投标处理。</w:t>
      </w:r>
    </w:p>
    <w:p>
      <w:pPr>
        <w:pStyle w:val="6"/>
        <w:rPr>
          <w:rFonts w:ascii="宋体" w:hAnsi="宋体"/>
          <w:color w:val="auto"/>
          <w:highlight w:val="none"/>
        </w:rPr>
      </w:pPr>
      <w:bookmarkStart w:id="78" w:name="_Toc8797"/>
      <w:r>
        <w:rPr>
          <w:rFonts w:hint="eastAsia" w:ascii="宋体" w:hAnsi="宋体"/>
          <w:color w:val="auto"/>
          <w:highlight w:val="none"/>
        </w:rPr>
        <w:t>29、评标原则和评标办法</w:t>
      </w:r>
      <w:bookmarkEnd w:id="78"/>
    </w:p>
    <w:p>
      <w:pPr>
        <w:adjustRightInd w:val="0"/>
        <w:snapToGrid w:val="0"/>
        <w:spacing w:line="500" w:lineRule="exact"/>
        <w:ind w:firstLine="480" w:firstLineChars="200"/>
        <w:rPr>
          <w:rFonts w:ascii="宋体" w:hAnsi="宋体" w:cstheme="majorEastAsia"/>
          <w:color w:val="auto"/>
          <w:sz w:val="24"/>
          <w:szCs w:val="24"/>
          <w:highlight w:val="none"/>
        </w:rPr>
      </w:pPr>
      <w:r>
        <w:rPr>
          <w:rFonts w:hint="eastAsia" w:ascii="宋体" w:hAnsi="宋体" w:cstheme="majorEastAsia"/>
          <w:color w:val="auto"/>
          <w:sz w:val="24"/>
          <w:szCs w:val="24"/>
          <w:highlight w:val="none"/>
        </w:rPr>
        <w:t>29.1 评标原则。评标委员会必须公平、公正、客观，不带任何倾向性和启发性；不得向外界透露任何与评标有关的内容；任何单位和个人不得干扰、影响评标的正常进行；评标委员会及有关工作人员不得私下与投标人接触。</w:t>
      </w:r>
    </w:p>
    <w:p>
      <w:pPr>
        <w:adjustRightInd w:val="0"/>
        <w:snapToGrid w:val="0"/>
        <w:spacing w:line="500" w:lineRule="exact"/>
        <w:ind w:firstLine="480" w:firstLineChars="200"/>
        <w:rPr>
          <w:rFonts w:ascii="宋体" w:hAnsi="宋体" w:cstheme="majorEastAsia"/>
          <w:color w:val="auto"/>
          <w:sz w:val="24"/>
          <w:szCs w:val="24"/>
          <w:highlight w:val="none"/>
        </w:rPr>
      </w:pPr>
      <w:r>
        <w:rPr>
          <w:rFonts w:hint="eastAsia" w:ascii="宋体" w:hAnsi="宋体" w:cstheme="majorEastAsia"/>
          <w:color w:val="auto"/>
          <w:sz w:val="24"/>
          <w:szCs w:val="24"/>
          <w:highlight w:val="none"/>
        </w:rPr>
        <w:t>29.2 评标办法。本项目评标办法是</w:t>
      </w:r>
      <w:r>
        <w:rPr>
          <w:rFonts w:hint="eastAsia" w:ascii="宋体" w:hAnsi="宋体" w:cstheme="majorEastAsia"/>
          <w:b/>
          <w:color w:val="auto"/>
          <w:sz w:val="24"/>
          <w:szCs w:val="24"/>
          <w:highlight w:val="none"/>
          <w:u w:val="single"/>
        </w:rPr>
        <w:t xml:space="preserve"> 综合评分法 </w:t>
      </w:r>
      <w:r>
        <w:rPr>
          <w:rFonts w:hint="eastAsia" w:ascii="宋体" w:hAnsi="宋体" w:cstheme="majorEastAsia"/>
          <w:color w:val="auto"/>
          <w:sz w:val="24"/>
          <w:szCs w:val="24"/>
          <w:highlight w:val="none"/>
        </w:rPr>
        <w:t>，具体评标内容及评分标准等详见《第三章 评分办法及评分标准》。</w:t>
      </w:r>
    </w:p>
    <w:p>
      <w:pPr>
        <w:pStyle w:val="19"/>
        <w:adjustRightInd w:val="0"/>
        <w:snapToGrid w:val="0"/>
        <w:spacing w:line="500" w:lineRule="exact"/>
        <w:ind w:firstLine="480" w:firstLineChars="200"/>
        <w:rPr>
          <w:rFonts w:ascii="宋体" w:hAnsi="宋体" w:eastAsia="宋体" w:cstheme="majorEastAsia"/>
          <w:color w:val="auto"/>
          <w:sz w:val="24"/>
          <w:szCs w:val="24"/>
          <w:highlight w:val="none"/>
        </w:rPr>
      </w:pPr>
      <w:r>
        <w:rPr>
          <w:rFonts w:hint="eastAsia" w:ascii="宋体" w:hAnsi="宋体" w:eastAsia="宋体" w:cstheme="majorEastAsia"/>
          <w:color w:val="auto"/>
          <w:sz w:val="24"/>
          <w:szCs w:val="24"/>
          <w:highlight w:val="none"/>
        </w:rPr>
        <w:t>29.3废标</w:t>
      </w:r>
    </w:p>
    <w:p>
      <w:pPr>
        <w:pStyle w:val="19"/>
        <w:adjustRightInd w:val="0"/>
        <w:snapToGrid w:val="0"/>
        <w:spacing w:line="500" w:lineRule="exact"/>
        <w:ind w:firstLine="480" w:firstLineChars="200"/>
        <w:rPr>
          <w:rFonts w:ascii="宋体" w:hAnsi="宋体" w:eastAsia="宋体" w:cstheme="majorEastAsia"/>
          <w:color w:val="auto"/>
          <w:sz w:val="24"/>
          <w:szCs w:val="24"/>
          <w:highlight w:val="none"/>
        </w:rPr>
      </w:pPr>
      <w:r>
        <w:rPr>
          <w:rFonts w:hint="eastAsia" w:ascii="宋体" w:hAnsi="宋体" w:eastAsia="宋体" w:cstheme="majorEastAsia"/>
          <w:color w:val="auto"/>
          <w:sz w:val="24"/>
          <w:szCs w:val="24"/>
          <w:highlight w:val="none"/>
        </w:rPr>
        <w:t>在采购中，出现下列情形之一的，本项目或标包应予废标：</w:t>
      </w:r>
    </w:p>
    <w:p>
      <w:pPr>
        <w:pStyle w:val="19"/>
        <w:adjustRightInd w:val="0"/>
        <w:snapToGrid w:val="0"/>
        <w:spacing w:line="500" w:lineRule="exact"/>
        <w:ind w:firstLine="420" w:firstLineChars="175"/>
        <w:rPr>
          <w:rFonts w:ascii="宋体" w:hAnsi="宋体" w:eastAsia="宋体" w:cstheme="majorEastAsia"/>
          <w:color w:val="auto"/>
          <w:sz w:val="24"/>
          <w:szCs w:val="24"/>
          <w:highlight w:val="none"/>
        </w:rPr>
      </w:pPr>
      <w:r>
        <w:rPr>
          <w:rFonts w:hint="eastAsia" w:ascii="宋体" w:hAnsi="宋体" w:eastAsia="宋体" w:cstheme="majorEastAsia"/>
          <w:color w:val="auto"/>
          <w:sz w:val="24"/>
          <w:szCs w:val="24"/>
          <w:highlight w:val="none"/>
        </w:rPr>
        <w:t>(1）出现影响采购公正的违法、违规行为的；</w:t>
      </w:r>
    </w:p>
    <w:p>
      <w:pPr>
        <w:pStyle w:val="19"/>
        <w:adjustRightInd w:val="0"/>
        <w:snapToGrid w:val="0"/>
        <w:spacing w:line="500" w:lineRule="exact"/>
        <w:ind w:firstLine="420" w:firstLineChars="175"/>
        <w:rPr>
          <w:rFonts w:ascii="宋体" w:hAnsi="宋体" w:eastAsia="宋体" w:cstheme="majorEastAsia"/>
          <w:color w:val="auto"/>
          <w:sz w:val="24"/>
          <w:szCs w:val="24"/>
          <w:highlight w:val="none"/>
        </w:rPr>
      </w:pPr>
      <w:r>
        <w:rPr>
          <w:rFonts w:hint="eastAsia" w:ascii="宋体" w:hAnsi="宋体" w:eastAsia="宋体" w:cstheme="majorEastAsia"/>
          <w:color w:val="auto"/>
          <w:sz w:val="24"/>
          <w:szCs w:val="24"/>
          <w:highlight w:val="none"/>
        </w:rPr>
        <w:t>(2）有效投标单位不足三家的；</w:t>
      </w:r>
    </w:p>
    <w:p>
      <w:pPr>
        <w:pStyle w:val="19"/>
        <w:adjustRightInd w:val="0"/>
        <w:snapToGrid w:val="0"/>
        <w:spacing w:line="500" w:lineRule="exact"/>
        <w:ind w:firstLine="420" w:firstLineChars="175"/>
        <w:rPr>
          <w:rFonts w:ascii="宋体" w:hAnsi="宋体" w:eastAsia="宋体" w:cstheme="majorEastAsia"/>
          <w:color w:val="auto"/>
          <w:sz w:val="24"/>
          <w:szCs w:val="24"/>
          <w:highlight w:val="none"/>
        </w:rPr>
      </w:pPr>
      <w:r>
        <w:rPr>
          <w:rFonts w:hint="eastAsia" w:ascii="宋体" w:hAnsi="宋体" w:eastAsia="宋体" w:cstheme="majorEastAsia"/>
          <w:color w:val="auto"/>
          <w:sz w:val="24"/>
          <w:szCs w:val="24"/>
          <w:highlight w:val="none"/>
        </w:rPr>
        <w:t>(3）因重大变故，采购任务取消的。</w:t>
      </w:r>
    </w:p>
    <w:p>
      <w:pPr>
        <w:pStyle w:val="5"/>
        <w:rPr>
          <w:rFonts w:ascii="宋体" w:hAnsi="宋体"/>
          <w:color w:val="auto"/>
          <w:highlight w:val="none"/>
        </w:rPr>
      </w:pPr>
      <w:bookmarkStart w:id="79" w:name="_Toc5562"/>
      <w:bookmarkStart w:id="80" w:name="_Toc17951"/>
      <w:r>
        <w:rPr>
          <w:rFonts w:hint="eastAsia" w:ascii="宋体" w:hAnsi="宋体"/>
          <w:color w:val="auto"/>
          <w:highlight w:val="none"/>
        </w:rPr>
        <w:t>六、定标及</w:t>
      </w:r>
      <w:bookmarkStart w:id="81" w:name="_Toc9510640"/>
      <w:r>
        <w:rPr>
          <w:rFonts w:hint="eastAsia" w:ascii="宋体" w:hAnsi="宋体"/>
          <w:color w:val="auto"/>
          <w:highlight w:val="none"/>
        </w:rPr>
        <w:t>合同授予</w:t>
      </w:r>
      <w:bookmarkEnd w:id="79"/>
      <w:bookmarkEnd w:id="80"/>
    </w:p>
    <w:p>
      <w:pPr>
        <w:pStyle w:val="6"/>
        <w:rPr>
          <w:rFonts w:ascii="宋体" w:hAnsi="宋体"/>
          <w:color w:val="auto"/>
          <w:highlight w:val="none"/>
        </w:rPr>
      </w:pPr>
      <w:bookmarkStart w:id="82" w:name="_Toc31428"/>
      <w:r>
        <w:rPr>
          <w:rFonts w:hint="eastAsia" w:ascii="宋体" w:hAnsi="宋体"/>
          <w:color w:val="auto"/>
          <w:highlight w:val="none"/>
        </w:rPr>
        <w:t>30、确</w:t>
      </w:r>
      <w:bookmarkEnd w:id="81"/>
      <w:r>
        <w:rPr>
          <w:rFonts w:hint="eastAsia" w:ascii="宋体" w:hAnsi="宋体"/>
          <w:color w:val="auto"/>
          <w:highlight w:val="none"/>
        </w:rPr>
        <w:t>定中标人</w:t>
      </w:r>
      <w:bookmarkEnd w:id="82"/>
    </w:p>
    <w:p>
      <w:pPr>
        <w:adjustRightInd w:val="0"/>
        <w:snapToGrid w:val="0"/>
        <w:spacing w:line="500" w:lineRule="exact"/>
        <w:ind w:firstLine="472" w:firstLineChars="196"/>
        <w:rPr>
          <w:rFonts w:ascii="宋体" w:hAnsi="宋体" w:cstheme="majorEastAsia"/>
          <w:b/>
          <w:bCs/>
          <w:color w:val="auto"/>
          <w:sz w:val="24"/>
          <w:szCs w:val="24"/>
          <w:highlight w:val="none"/>
        </w:rPr>
      </w:pPr>
      <w:r>
        <w:rPr>
          <w:rFonts w:hint="eastAsia" w:ascii="宋体" w:hAnsi="宋体" w:cstheme="majorEastAsia"/>
          <w:b/>
          <w:bCs/>
          <w:color w:val="auto"/>
          <w:sz w:val="24"/>
          <w:szCs w:val="24"/>
          <w:highlight w:val="none"/>
        </w:rPr>
        <w:t>本项目由采购人确定中标人。</w:t>
      </w:r>
    </w:p>
    <w:p>
      <w:pPr>
        <w:adjustRightInd w:val="0"/>
        <w:snapToGrid w:val="0"/>
        <w:spacing w:line="500" w:lineRule="exact"/>
        <w:ind w:firstLine="480" w:firstLineChars="200"/>
        <w:rPr>
          <w:rFonts w:ascii="宋体" w:hAnsi="宋体" w:cstheme="majorEastAsia"/>
          <w:color w:val="auto"/>
          <w:sz w:val="24"/>
          <w:szCs w:val="24"/>
          <w:highlight w:val="none"/>
        </w:rPr>
      </w:pPr>
      <w:r>
        <w:rPr>
          <w:rFonts w:hint="eastAsia" w:ascii="宋体" w:hAnsi="宋体" w:cstheme="majorEastAsia"/>
          <w:color w:val="auto"/>
          <w:sz w:val="24"/>
          <w:szCs w:val="24"/>
          <w:highlight w:val="none"/>
        </w:rPr>
        <w:t>30.1本项目由评标委员会推荐每个标包的中标候选人，</w:t>
      </w:r>
      <w:r>
        <w:rPr>
          <w:rFonts w:hint="eastAsia" w:ascii="宋体" w:hAnsi="宋体" w:cs="宋体"/>
          <w:color w:val="auto"/>
          <w:kern w:val="0"/>
          <w:sz w:val="24"/>
          <w:szCs w:val="24"/>
          <w:highlight w:val="none"/>
        </w:rPr>
        <w:t>采购代理机构应当自评审结束之日起2个工作日内将评审报告送交采购人。采购人应当自收到评审报告之日起5个工作日内在评审报告推荐的中标或者成交候选人中按顺序确定中标或者成交供应商。</w:t>
      </w:r>
    </w:p>
    <w:p>
      <w:pPr>
        <w:adjustRightInd w:val="0"/>
        <w:snapToGrid w:val="0"/>
        <w:spacing w:line="500" w:lineRule="exact"/>
        <w:ind w:firstLine="470" w:firstLineChars="196"/>
        <w:rPr>
          <w:rFonts w:ascii="宋体" w:hAnsi="宋体" w:cstheme="majorEastAsia"/>
          <w:color w:val="auto"/>
          <w:sz w:val="24"/>
          <w:szCs w:val="24"/>
          <w:highlight w:val="none"/>
        </w:rPr>
      </w:pPr>
      <w:r>
        <w:rPr>
          <w:rFonts w:hint="eastAsia" w:ascii="宋体" w:hAnsi="宋体" w:cstheme="majorEastAsia"/>
          <w:color w:val="auto"/>
          <w:sz w:val="24"/>
          <w:szCs w:val="24"/>
          <w:highlight w:val="none"/>
        </w:rPr>
        <w:t>30.2</w:t>
      </w:r>
      <w:r>
        <w:rPr>
          <w:rFonts w:hint="eastAsia" w:ascii="宋体" w:hAnsi="宋体" w:cs="宋体"/>
          <w:color w:val="auto"/>
          <w:kern w:val="0"/>
          <w:sz w:val="24"/>
          <w:szCs w:val="24"/>
          <w:highlight w:val="none"/>
        </w:rPr>
        <w:t>采购人或者采购代理机构应当自中标、成交供应商确定之日起2个工作日内，发出中标、成交通知书，并在省级以上人民政府财政部门指定的媒体上公告中标、成交结果</w:t>
      </w:r>
      <w:r>
        <w:rPr>
          <w:rFonts w:hint="eastAsia" w:ascii="宋体" w:hAnsi="宋体" w:cstheme="majorEastAsia"/>
          <w:color w:val="auto"/>
          <w:sz w:val="24"/>
          <w:szCs w:val="24"/>
          <w:highlight w:val="none"/>
        </w:rPr>
        <w:t>。投标人如对评审结果有质疑的，按照《中华人民共和国政府采购法》、《中华人民共和国政府采购法实施条例》等有关程序办理。</w:t>
      </w:r>
    </w:p>
    <w:p>
      <w:pPr>
        <w:pStyle w:val="6"/>
        <w:rPr>
          <w:rFonts w:ascii="宋体" w:hAnsi="宋体"/>
          <w:color w:val="auto"/>
          <w:highlight w:val="none"/>
        </w:rPr>
      </w:pPr>
      <w:bookmarkStart w:id="83" w:name="_Toc4164"/>
      <w:r>
        <w:rPr>
          <w:rFonts w:hint="eastAsia" w:ascii="宋体" w:hAnsi="宋体"/>
          <w:color w:val="auto"/>
          <w:highlight w:val="none"/>
        </w:rPr>
        <w:t>31、签订合同</w:t>
      </w:r>
      <w:bookmarkEnd w:id="83"/>
    </w:p>
    <w:p>
      <w:pPr>
        <w:adjustRightInd w:val="0"/>
        <w:snapToGrid w:val="0"/>
        <w:spacing w:line="500" w:lineRule="exact"/>
        <w:ind w:firstLine="480" w:firstLineChars="200"/>
        <w:rPr>
          <w:rFonts w:ascii="宋体" w:hAnsi="宋体" w:cstheme="majorEastAsia"/>
          <w:color w:val="auto"/>
          <w:sz w:val="24"/>
          <w:szCs w:val="24"/>
          <w:highlight w:val="none"/>
        </w:rPr>
      </w:pPr>
      <w:r>
        <w:rPr>
          <w:rFonts w:hint="eastAsia" w:ascii="宋体" w:hAnsi="宋体" w:cstheme="majorEastAsia"/>
          <w:color w:val="auto"/>
          <w:sz w:val="24"/>
          <w:szCs w:val="24"/>
          <w:highlight w:val="none"/>
        </w:rPr>
        <w:t>31.1招标文件和中标投标人的投标文件均为签订采购合同的依据。</w:t>
      </w:r>
    </w:p>
    <w:p>
      <w:pPr>
        <w:adjustRightInd w:val="0"/>
        <w:snapToGrid w:val="0"/>
        <w:spacing w:line="500" w:lineRule="exact"/>
        <w:ind w:firstLine="480" w:firstLineChars="200"/>
        <w:rPr>
          <w:rFonts w:ascii="宋体" w:hAnsi="宋体" w:cstheme="majorEastAsia"/>
          <w:color w:val="auto"/>
          <w:sz w:val="24"/>
          <w:szCs w:val="24"/>
          <w:highlight w:val="none"/>
        </w:rPr>
      </w:pPr>
      <w:r>
        <w:rPr>
          <w:rFonts w:hint="eastAsia" w:ascii="宋体" w:hAnsi="宋体" w:cstheme="majorEastAsia"/>
          <w:color w:val="auto"/>
          <w:sz w:val="24"/>
          <w:szCs w:val="24"/>
          <w:highlight w:val="none"/>
        </w:rPr>
        <w:t>31.2中标投标人应当在中标通知书发出之日起30日内，与采购人签订采购合同。</w:t>
      </w:r>
    </w:p>
    <w:p>
      <w:pPr>
        <w:adjustRightInd w:val="0"/>
        <w:snapToGrid w:val="0"/>
        <w:spacing w:line="500" w:lineRule="exact"/>
        <w:ind w:firstLine="480" w:firstLineChars="200"/>
        <w:rPr>
          <w:rFonts w:ascii="宋体" w:hAnsi="宋体" w:cstheme="majorEastAsia"/>
          <w:color w:val="auto"/>
          <w:sz w:val="24"/>
          <w:szCs w:val="24"/>
          <w:highlight w:val="none"/>
        </w:rPr>
      </w:pPr>
      <w:r>
        <w:rPr>
          <w:rFonts w:hint="eastAsia" w:ascii="宋体" w:hAnsi="宋体" w:cstheme="majorEastAsia"/>
          <w:color w:val="auto"/>
          <w:sz w:val="24"/>
          <w:szCs w:val="24"/>
          <w:highlight w:val="none"/>
        </w:rPr>
        <w:t>31.3采购人不得与中标投标人订立背离招标文件确定的合同文本以及采购标的、规格型号、采购金额、采购数量、技术和服务要求等实质性内容的协议。</w:t>
      </w:r>
    </w:p>
    <w:p>
      <w:pPr>
        <w:adjustRightInd w:val="0"/>
        <w:snapToGrid w:val="0"/>
        <w:spacing w:line="500" w:lineRule="exact"/>
        <w:ind w:firstLine="480" w:firstLineChars="200"/>
        <w:rPr>
          <w:rFonts w:ascii="宋体" w:hAnsi="宋体" w:cstheme="majorEastAsia"/>
          <w:color w:val="auto"/>
          <w:sz w:val="24"/>
          <w:szCs w:val="24"/>
          <w:highlight w:val="none"/>
        </w:rPr>
      </w:pPr>
      <w:r>
        <w:rPr>
          <w:rFonts w:hint="eastAsia" w:ascii="宋体" w:hAnsi="宋体" w:cstheme="majorEastAsia"/>
          <w:color w:val="auto"/>
          <w:sz w:val="24"/>
          <w:szCs w:val="24"/>
          <w:highlight w:val="none"/>
        </w:rPr>
        <w:t>31.4自政府采购合同签订之日起2个工作日内，本项目政府采购合同在投标人须知前附表规定的媒体上公告，但政府采购合同中涉及国家秘密、商业秘密的内容除外。</w:t>
      </w:r>
    </w:p>
    <w:p>
      <w:pPr>
        <w:pStyle w:val="6"/>
        <w:rPr>
          <w:rFonts w:ascii="宋体" w:hAnsi="宋体"/>
          <w:color w:val="auto"/>
          <w:highlight w:val="none"/>
        </w:rPr>
      </w:pPr>
      <w:bookmarkStart w:id="84" w:name="_Toc15336"/>
      <w:r>
        <w:rPr>
          <w:rFonts w:hint="eastAsia" w:ascii="宋体" w:hAnsi="宋体"/>
          <w:color w:val="auto"/>
          <w:highlight w:val="none"/>
        </w:rPr>
        <w:t>32、其他说明</w:t>
      </w:r>
      <w:bookmarkEnd w:id="84"/>
    </w:p>
    <w:p>
      <w:pPr>
        <w:adjustRightInd w:val="0"/>
        <w:snapToGrid w:val="0"/>
        <w:spacing w:line="500" w:lineRule="exact"/>
        <w:ind w:firstLine="480" w:firstLineChars="200"/>
        <w:rPr>
          <w:rFonts w:ascii="宋体" w:hAnsi="宋体" w:cstheme="majorEastAsia"/>
          <w:bCs/>
          <w:color w:val="auto"/>
          <w:sz w:val="24"/>
          <w:szCs w:val="24"/>
          <w:highlight w:val="none"/>
        </w:rPr>
      </w:pPr>
      <w:r>
        <w:rPr>
          <w:rFonts w:hint="eastAsia" w:ascii="宋体" w:hAnsi="宋体" w:cstheme="majorEastAsia"/>
          <w:bCs/>
          <w:color w:val="auto"/>
          <w:sz w:val="24"/>
          <w:szCs w:val="24"/>
          <w:highlight w:val="none"/>
        </w:rPr>
        <w:t>保密要求：在合同期内或合同终止后，未征得有关方同意，不得泄露与本项目、本合同业务有关的保密资料。</w:t>
      </w:r>
    </w:p>
    <w:p>
      <w:pPr>
        <w:adjustRightInd w:val="0"/>
        <w:snapToGrid w:val="0"/>
        <w:spacing w:line="500" w:lineRule="exact"/>
        <w:ind w:firstLine="480" w:firstLineChars="200"/>
        <w:rPr>
          <w:rFonts w:ascii="宋体" w:hAnsi="宋体" w:cstheme="majorEastAsia"/>
          <w:bCs/>
          <w:color w:val="auto"/>
          <w:sz w:val="24"/>
          <w:szCs w:val="24"/>
          <w:highlight w:val="none"/>
        </w:rPr>
      </w:pPr>
      <w:r>
        <w:rPr>
          <w:rFonts w:hint="eastAsia" w:ascii="宋体" w:hAnsi="宋体" w:cstheme="majorEastAsia"/>
          <w:bCs/>
          <w:color w:val="auto"/>
          <w:sz w:val="24"/>
          <w:szCs w:val="24"/>
          <w:highlight w:val="none"/>
        </w:rPr>
        <w:t>本招标文件未尽事宜按现行招标投标的有关法律法规和规定执行。</w:t>
      </w:r>
    </w:p>
    <w:p>
      <w:pPr>
        <w:rPr>
          <w:rFonts w:ascii="宋体" w:hAnsi="宋体" w:cstheme="majorEastAsia"/>
          <w:bCs/>
          <w:color w:val="auto"/>
          <w:sz w:val="24"/>
          <w:szCs w:val="24"/>
          <w:highlight w:val="none"/>
        </w:rPr>
      </w:pPr>
      <w:r>
        <w:rPr>
          <w:rFonts w:hint="eastAsia" w:ascii="宋体" w:hAnsi="宋体" w:cstheme="majorEastAsia"/>
          <w:bCs/>
          <w:color w:val="auto"/>
          <w:sz w:val="24"/>
          <w:szCs w:val="24"/>
          <w:highlight w:val="none"/>
        </w:rPr>
        <w:br w:type="page"/>
      </w:r>
    </w:p>
    <w:p>
      <w:pPr>
        <w:pStyle w:val="3"/>
        <w:rPr>
          <w:rFonts w:ascii="宋体" w:hAnsi="宋体"/>
          <w:color w:val="auto"/>
          <w:highlight w:val="none"/>
        </w:rPr>
      </w:pPr>
      <w:bookmarkStart w:id="85" w:name="_Toc23127"/>
      <w:bookmarkStart w:id="86" w:name="_Toc8515"/>
      <w:bookmarkStart w:id="87" w:name="_Toc161525973"/>
      <w:r>
        <w:rPr>
          <w:rFonts w:hint="eastAsia" w:ascii="宋体" w:hAnsi="宋体"/>
          <w:color w:val="auto"/>
          <w:highlight w:val="none"/>
        </w:rPr>
        <w:t>第三章 评分</w:t>
      </w:r>
      <w:bookmarkEnd w:id="85"/>
      <w:bookmarkEnd w:id="86"/>
      <w:r>
        <w:rPr>
          <w:rFonts w:hint="eastAsia" w:ascii="宋体" w:hAnsi="宋体"/>
          <w:color w:val="auto"/>
          <w:highlight w:val="none"/>
        </w:rPr>
        <w:t>办法及评分标准</w:t>
      </w:r>
      <w:bookmarkEnd w:id="87"/>
    </w:p>
    <w:p>
      <w:pPr>
        <w:spacing w:line="500" w:lineRule="exact"/>
        <w:ind w:firstLine="480" w:firstLineChars="200"/>
        <w:rPr>
          <w:rFonts w:ascii="宋体" w:hAnsi="宋体" w:cstheme="minorEastAsia"/>
          <w:color w:val="auto"/>
          <w:sz w:val="24"/>
          <w:szCs w:val="24"/>
          <w:highlight w:val="none"/>
        </w:rPr>
      </w:pPr>
      <w:r>
        <w:rPr>
          <w:rFonts w:hint="eastAsia" w:ascii="宋体" w:hAnsi="宋体" w:cstheme="minorEastAsia"/>
          <w:color w:val="auto"/>
          <w:sz w:val="24"/>
          <w:szCs w:val="24"/>
          <w:highlight w:val="none"/>
        </w:rPr>
        <w:t>为公正、公平、科学地选择中标人，根据有关法律法规的规定，并结合本项目的实际情况，制定本办法。</w:t>
      </w:r>
    </w:p>
    <w:p>
      <w:pPr>
        <w:pStyle w:val="5"/>
        <w:rPr>
          <w:rFonts w:ascii="宋体" w:hAnsi="宋体"/>
          <w:color w:val="auto"/>
          <w:highlight w:val="none"/>
        </w:rPr>
      </w:pPr>
      <w:bookmarkStart w:id="88" w:name="_Toc32479"/>
      <w:bookmarkStart w:id="89" w:name="_Toc29264"/>
      <w:r>
        <w:rPr>
          <w:rFonts w:hint="eastAsia" w:ascii="宋体" w:hAnsi="宋体"/>
          <w:color w:val="auto"/>
          <w:highlight w:val="none"/>
        </w:rPr>
        <w:t>一、评标组织</w:t>
      </w:r>
      <w:bookmarkEnd w:id="88"/>
      <w:bookmarkEnd w:id="89"/>
    </w:p>
    <w:p>
      <w:pPr>
        <w:spacing w:line="500" w:lineRule="exact"/>
        <w:ind w:firstLine="480" w:firstLineChars="200"/>
        <w:rPr>
          <w:rFonts w:ascii="宋体" w:hAnsi="宋体" w:cstheme="minorEastAsia"/>
          <w:color w:val="auto"/>
          <w:sz w:val="24"/>
          <w:szCs w:val="24"/>
          <w:highlight w:val="none"/>
        </w:rPr>
      </w:pPr>
      <w:bookmarkStart w:id="90" w:name="_Toc249760792"/>
      <w:bookmarkStart w:id="91" w:name="_Toc405213814"/>
      <w:bookmarkStart w:id="92" w:name="_Toc251566663"/>
      <w:r>
        <w:rPr>
          <w:rFonts w:hint="eastAsia" w:ascii="宋体" w:hAnsi="宋体" w:cstheme="minorEastAsia"/>
          <w:color w:val="auto"/>
          <w:sz w:val="24"/>
          <w:szCs w:val="24"/>
          <w:highlight w:val="none"/>
        </w:rPr>
        <w:t>评标工作</w:t>
      </w:r>
      <w:bookmarkEnd w:id="90"/>
      <w:bookmarkEnd w:id="91"/>
      <w:bookmarkEnd w:id="92"/>
      <w:r>
        <w:rPr>
          <w:rFonts w:hint="eastAsia" w:ascii="宋体" w:hAnsi="宋体" w:cstheme="minorEastAsia"/>
          <w:color w:val="auto"/>
          <w:sz w:val="24"/>
          <w:szCs w:val="24"/>
          <w:highlight w:val="none"/>
        </w:rPr>
        <w:t>由</w:t>
      </w:r>
      <w:bookmarkStart w:id="93" w:name="_Toc405213815"/>
      <w:bookmarkStart w:id="94" w:name="_Toc249760793"/>
      <w:bookmarkStart w:id="95" w:name="_Toc251566664"/>
      <w:r>
        <w:rPr>
          <w:rFonts w:hint="eastAsia" w:ascii="宋体" w:hAnsi="宋体" w:cstheme="minorEastAsia"/>
          <w:color w:val="auto"/>
          <w:sz w:val="24"/>
          <w:szCs w:val="24"/>
          <w:highlight w:val="none"/>
        </w:rPr>
        <w:t>采购代理机构负责组织，具体评标事务由依法组建的评标委员会负责。</w:t>
      </w:r>
    </w:p>
    <w:p>
      <w:pPr>
        <w:pStyle w:val="5"/>
        <w:rPr>
          <w:rFonts w:ascii="宋体" w:hAnsi="宋体"/>
          <w:color w:val="auto"/>
          <w:highlight w:val="none"/>
        </w:rPr>
      </w:pPr>
      <w:bookmarkStart w:id="96" w:name="_Toc3581"/>
      <w:bookmarkStart w:id="97" w:name="_Toc24221"/>
      <w:r>
        <w:rPr>
          <w:rFonts w:hint="eastAsia" w:ascii="宋体" w:hAnsi="宋体"/>
          <w:color w:val="auto"/>
          <w:highlight w:val="none"/>
        </w:rPr>
        <w:t>二、评标纪律</w:t>
      </w:r>
      <w:bookmarkEnd w:id="96"/>
      <w:bookmarkEnd w:id="97"/>
    </w:p>
    <w:p>
      <w:pPr>
        <w:spacing w:line="500" w:lineRule="exact"/>
        <w:ind w:firstLine="480" w:firstLineChars="200"/>
        <w:rPr>
          <w:rFonts w:ascii="宋体" w:hAnsi="宋体" w:cstheme="minorEastAsia"/>
          <w:color w:val="auto"/>
          <w:sz w:val="24"/>
          <w:szCs w:val="24"/>
          <w:highlight w:val="none"/>
        </w:rPr>
      </w:pPr>
      <w:r>
        <w:rPr>
          <w:rFonts w:hint="eastAsia" w:ascii="宋体" w:hAnsi="宋体" w:cstheme="minorEastAsia"/>
          <w:color w:val="auto"/>
          <w:sz w:val="24"/>
          <w:szCs w:val="24"/>
          <w:highlight w:val="none"/>
        </w:rPr>
        <w:t>1．评标</w:t>
      </w:r>
      <w:bookmarkEnd w:id="93"/>
      <w:bookmarkEnd w:id="94"/>
      <w:bookmarkEnd w:id="95"/>
      <w:r>
        <w:rPr>
          <w:rFonts w:hint="eastAsia" w:ascii="宋体" w:hAnsi="宋体" w:cstheme="minorEastAsia"/>
          <w:color w:val="auto"/>
          <w:sz w:val="24"/>
          <w:szCs w:val="24"/>
          <w:highlight w:val="none"/>
        </w:rPr>
        <w:t>是招标工作的重要环节，评标工作在评标委员会内独立进行。评标委员会将按照评标原则的要求，公正、平等地对待所有投标人。</w:t>
      </w:r>
    </w:p>
    <w:p>
      <w:pPr>
        <w:spacing w:line="500" w:lineRule="exact"/>
        <w:ind w:firstLine="480" w:firstLineChars="200"/>
        <w:rPr>
          <w:rFonts w:ascii="宋体" w:hAnsi="宋体" w:cstheme="minorEastAsia"/>
          <w:color w:val="auto"/>
          <w:sz w:val="24"/>
          <w:szCs w:val="24"/>
          <w:highlight w:val="none"/>
        </w:rPr>
      </w:pPr>
      <w:r>
        <w:rPr>
          <w:rFonts w:hint="eastAsia" w:ascii="宋体" w:hAnsi="宋体" w:cstheme="minorEastAsia"/>
          <w:color w:val="auto"/>
          <w:sz w:val="24"/>
          <w:szCs w:val="24"/>
          <w:highlight w:val="none"/>
        </w:rPr>
        <w:t>2．所有评标人员应忠于职守、廉洁自律、秉公办事、不徇私情。</w:t>
      </w:r>
    </w:p>
    <w:p>
      <w:pPr>
        <w:spacing w:line="500" w:lineRule="exact"/>
        <w:ind w:firstLine="480" w:firstLineChars="200"/>
        <w:rPr>
          <w:rFonts w:ascii="宋体" w:hAnsi="宋体" w:cstheme="minorEastAsia"/>
          <w:color w:val="auto"/>
          <w:sz w:val="24"/>
          <w:szCs w:val="24"/>
          <w:highlight w:val="none"/>
        </w:rPr>
      </w:pPr>
      <w:r>
        <w:rPr>
          <w:rFonts w:hint="eastAsia" w:ascii="宋体" w:hAnsi="宋体" w:cstheme="minorEastAsia"/>
          <w:color w:val="auto"/>
          <w:sz w:val="24"/>
          <w:szCs w:val="24"/>
          <w:highlight w:val="none"/>
        </w:rPr>
        <w:t>3．评标人员不得接受或参加投标人或与投标有关的单位、组织或个人的有碍公务的宴请、娱乐活动等，不得以任何形式弄虚作假。</w:t>
      </w:r>
    </w:p>
    <w:p>
      <w:pPr>
        <w:spacing w:line="500" w:lineRule="exact"/>
        <w:ind w:firstLine="480" w:firstLineChars="200"/>
        <w:rPr>
          <w:rFonts w:ascii="宋体" w:hAnsi="宋体" w:cstheme="minorEastAsia"/>
          <w:color w:val="auto"/>
          <w:sz w:val="24"/>
          <w:szCs w:val="24"/>
          <w:highlight w:val="none"/>
        </w:rPr>
      </w:pPr>
      <w:r>
        <w:rPr>
          <w:rFonts w:hint="eastAsia" w:ascii="宋体" w:hAnsi="宋体" w:cstheme="minorEastAsia"/>
          <w:color w:val="auto"/>
          <w:sz w:val="24"/>
          <w:szCs w:val="24"/>
          <w:highlight w:val="none"/>
        </w:rPr>
        <w:t>4．评标期间，评标人员不得随意出入评标地点、与外界通讯、会客等。</w:t>
      </w:r>
    </w:p>
    <w:p>
      <w:pPr>
        <w:spacing w:line="500" w:lineRule="exact"/>
        <w:ind w:firstLine="480" w:firstLineChars="200"/>
        <w:rPr>
          <w:rFonts w:ascii="宋体" w:hAnsi="宋体" w:cstheme="minorEastAsia"/>
          <w:color w:val="auto"/>
          <w:sz w:val="24"/>
          <w:szCs w:val="24"/>
          <w:highlight w:val="none"/>
        </w:rPr>
      </w:pPr>
      <w:r>
        <w:rPr>
          <w:rFonts w:hint="eastAsia" w:ascii="宋体" w:hAnsi="宋体" w:cstheme="minorEastAsia"/>
          <w:color w:val="auto"/>
          <w:sz w:val="24"/>
          <w:szCs w:val="24"/>
          <w:highlight w:val="none"/>
        </w:rPr>
        <w:t>5．在投标文件的审查、澄清、评价和比较以及授予合同的过程中，投标人对采购人、采购代理机构人员及评标委员会成员施加影响的任何行为，都将导致被取消投标资格。</w:t>
      </w:r>
    </w:p>
    <w:p>
      <w:pPr>
        <w:spacing w:line="500" w:lineRule="exact"/>
        <w:ind w:firstLine="480" w:firstLineChars="200"/>
        <w:rPr>
          <w:rFonts w:ascii="宋体" w:hAnsi="宋体" w:cstheme="minorEastAsia"/>
          <w:color w:val="auto"/>
          <w:sz w:val="24"/>
          <w:szCs w:val="24"/>
          <w:highlight w:val="none"/>
        </w:rPr>
      </w:pPr>
      <w:r>
        <w:rPr>
          <w:rFonts w:hint="eastAsia" w:ascii="宋体" w:hAnsi="宋体" w:cstheme="minorEastAsia"/>
          <w:color w:val="auto"/>
          <w:sz w:val="24"/>
          <w:szCs w:val="24"/>
          <w:highlight w:val="none"/>
        </w:rPr>
        <w:t>6．为保证评标的公正性，在评标过程中，评标委员会成员不得与投标人或与中标结果有利害关系的人进行私下接触。在评标工作结束后，凡与评标情况有接触的任何人，不得将评标情况扩散出评标委员会以外。</w:t>
      </w:r>
    </w:p>
    <w:p>
      <w:pPr>
        <w:spacing w:line="500" w:lineRule="exact"/>
        <w:ind w:firstLine="480" w:firstLineChars="200"/>
        <w:rPr>
          <w:rFonts w:ascii="宋体" w:hAnsi="宋体" w:cstheme="minorEastAsia"/>
          <w:color w:val="auto"/>
          <w:sz w:val="24"/>
          <w:szCs w:val="24"/>
          <w:highlight w:val="none"/>
        </w:rPr>
      </w:pPr>
      <w:r>
        <w:rPr>
          <w:rFonts w:hint="eastAsia" w:ascii="宋体" w:hAnsi="宋体" w:cstheme="minorEastAsia"/>
          <w:color w:val="auto"/>
          <w:sz w:val="24"/>
          <w:szCs w:val="24"/>
          <w:highlight w:val="none"/>
        </w:rPr>
        <w:t>7．评标过程中，评标专家对投标人的优劣情况，以及认为差异较大的情况，应以书面意见作出真实、专业、诚恳负责的表述，不得违背客观、公正的原则。</w:t>
      </w:r>
    </w:p>
    <w:p>
      <w:pPr>
        <w:spacing w:line="500" w:lineRule="exact"/>
        <w:ind w:firstLine="480" w:firstLineChars="200"/>
        <w:rPr>
          <w:rFonts w:ascii="宋体" w:hAnsi="宋体" w:cstheme="minorEastAsia"/>
          <w:color w:val="auto"/>
          <w:sz w:val="24"/>
          <w:szCs w:val="24"/>
          <w:highlight w:val="none"/>
        </w:rPr>
      </w:pPr>
      <w:r>
        <w:rPr>
          <w:rFonts w:hint="eastAsia" w:ascii="宋体" w:hAnsi="宋体" w:cstheme="minorEastAsia"/>
          <w:color w:val="auto"/>
          <w:sz w:val="24"/>
          <w:szCs w:val="24"/>
          <w:highlight w:val="none"/>
        </w:rPr>
        <w:t>8．评标结束后，各评标人员应将全部资料整理上交采购代理机构，严禁将评标过程中的任何资料带出评标现场向投标人或其他单位提供。</w:t>
      </w:r>
    </w:p>
    <w:p>
      <w:pPr>
        <w:spacing w:line="500" w:lineRule="exact"/>
        <w:ind w:firstLine="480" w:firstLineChars="200"/>
        <w:rPr>
          <w:rFonts w:ascii="宋体" w:hAnsi="宋体" w:cstheme="minorEastAsia"/>
          <w:color w:val="auto"/>
          <w:sz w:val="24"/>
          <w:szCs w:val="24"/>
          <w:highlight w:val="none"/>
        </w:rPr>
      </w:pPr>
      <w:r>
        <w:rPr>
          <w:rFonts w:hint="eastAsia" w:ascii="宋体" w:hAnsi="宋体" w:cstheme="minorEastAsia"/>
          <w:color w:val="auto"/>
          <w:sz w:val="24"/>
          <w:szCs w:val="24"/>
          <w:highlight w:val="none"/>
        </w:rPr>
        <w:t>9．在中标结果公布前应对评标委员会成员名单予以</w:t>
      </w:r>
      <w:r>
        <w:rPr>
          <w:rFonts w:hint="eastAsia" w:ascii="宋体" w:hAnsi="宋体" w:cstheme="majorEastAsia"/>
          <w:bCs/>
          <w:color w:val="auto"/>
          <w:sz w:val="24"/>
          <w:szCs w:val="24"/>
          <w:highlight w:val="none"/>
        </w:rPr>
        <w:t>保密</w:t>
      </w:r>
      <w:r>
        <w:rPr>
          <w:rFonts w:hint="eastAsia" w:ascii="宋体" w:hAnsi="宋体" w:cstheme="minorEastAsia"/>
          <w:color w:val="auto"/>
          <w:sz w:val="24"/>
          <w:szCs w:val="24"/>
          <w:highlight w:val="none"/>
        </w:rPr>
        <w:t>。</w:t>
      </w:r>
    </w:p>
    <w:p>
      <w:pPr>
        <w:spacing w:line="500" w:lineRule="exact"/>
        <w:ind w:firstLine="480" w:firstLineChars="200"/>
        <w:rPr>
          <w:rFonts w:ascii="宋体" w:hAnsi="宋体" w:cstheme="minorEastAsia"/>
          <w:color w:val="auto"/>
          <w:sz w:val="24"/>
          <w:szCs w:val="24"/>
          <w:highlight w:val="none"/>
        </w:rPr>
      </w:pPr>
      <w:r>
        <w:rPr>
          <w:rFonts w:hint="eastAsia" w:ascii="宋体" w:hAnsi="宋体" w:cstheme="minorEastAsia"/>
          <w:color w:val="auto"/>
          <w:sz w:val="24"/>
          <w:szCs w:val="24"/>
          <w:highlight w:val="none"/>
        </w:rPr>
        <w:t>10．评标委员会对各投标人的商业秘密予以</w:t>
      </w:r>
      <w:r>
        <w:rPr>
          <w:rFonts w:hint="eastAsia" w:ascii="宋体" w:hAnsi="宋体" w:cstheme="majorEastAsia"/>
          <w:bCs/>
          <w:color w:val="auto"/>
          <w:sz w:val="24"/>
          <w:szCs w:val="24"/>
          <w:highlight w:val="none"/>
        </w:rPr>
        <w:t>保密</w:t>
      </w:r>
      <w:r>
        <w:rPr>
          <w:rFonts w:hint="eastAsia" w:ascii="宋体" w:hAnsi="宋体" w:cstheme="minorEastAsia"/>
          <w:color w:val="auto"/>
          <w:sz w:val="24"/>
          <w:szCs w:val="24"/>
          <w:highlight w:val="none"/>
        </w:rPr>
        <w:t>。</w:t>
      </w:r>
    </w:p>
    <w:p>
      <w:pPr>
        <w:spacing w:line="500" w:lineRule="exact"/>
        <w:ind w:firstLine="480" w:firstLineChars="200"/>
        <w:rPr>
          <w:rFonts w:ascii="宋体" w:hAnsi="宋体" w:cstheme="minorEastAsia"/>
          <w:color w:val="auto"/>
          <w:sz w:val="24"/>
          <w:szCs w:val="24"/>
          <w:highlight w:val="none"/>
        </w:rPr>
      </w:pPr>
      <w:r>
        <w:rPr>
          <w:rFonts w:hint="eastAsia" w:ascii="宋体" w:hAnsi="宋体" w:cstheme="minorEastAsia"/>
          <w:color w:val="auto"/>
          <w:sz w:val="24"/>
          <w:szCs w:val="24"/>
          <w:highlight w:val="none"/>
        </w:rPr>
        <w:t>11．评标委员会成员应当客观、公正地履行职责，遵守职业道德，对所提出的评审意见承担个人责任。</w:t>
      </w:r>
    </w:p>
    <w:p>
      <w:pPr>
        <w:spacing w:line="500" w:lineRule="exact"/>
        <w:ind w:firstLine="480" w:firstLineChars="200"/>
        <w:rPr>
          <w:rFonts w:ascii="宋体" w:hAnsi="宋体" w:cstheme="minorEastAsia"/>
          <w:color w:val="auto"/>
          <w:sz w:val="24"/>
          <w:szCs w:val="24"/>
          <w:highlight w:val="none"/>
        </w:rPr>
      </w:pPr>
      <w:r>
        <w:rPr>
          <w:rFonts w:hint="eastAsia" w:ascii="宋体" w:hAnsi="宋体" w:cstheme="minorEastAsia"/>
          <w:color w:val="auto"/>
          <w:sz w:val="24"/>
          <w:szCs w:val="24"/>
          <w:highlight w:val="none"/>
        </w:rPr>
        <w:t>12．在整个评标过程中，投标人企图影响招标结果的任何活动，可能导致其投标失败。如有违法行为，将依法追究其法律责任。</w:t>
      </w:r>
    </w:p>
    <w:p>
      <w:pPr>
        <w:pStyle w:val="5"/>
        <w:rPr>
          <w:rFonts w:ascii="宋体" w:hAnsi="宋体"/>
          <w:color w:val="auto"/>
          <w:highlight w:val="none"/>
        </w:rPr>
      </w:pPr>
      <w:bookmarkStart w:id="98" w:name="_Toc10772"/>
      <w:bookmarkStart w:id="99" w:name="_Toc6124"/>
      <w:r>
        <w:rPr>
          <w:rFonts w:hint="eastAsia" w:ascii="宋体" w:hAnsi="宋体"/>
          <w:color w:val="auto"/>
          <w:highlight w:val="none"/>
        </w:rPr>
        <w:t>三、评分标准和细则</w:t>
      </w:r>
      <w:bookmarkEnd w:id="98"/>
      <w:bookmarkEnd w:id="99"/>
    </w:p>
    <w:p>
      <w:pPr>
        <w:spacing w:line="500" w:lineRule="exact"/>
        <w:ind w:firstLine="482" w:firstLineChars="200"/>
        <w:rPr>
          <w:rFonts w:ascii="宋体" w:hAnsi="宋体" w:cstheme="minorEastAsia"/>
          <w:b/>
          <w:bCs/>
          <w:color w:val="auto"/>
          <w:sz w:val="24"/>
          <w:szCs w:val="24"/>
          <w:highlight w:val="none"/>
        </w:rPr>
      </w:pPr>
      <w:r>
        <w:rPr>
          <w:rFonts w:hint="eastAsia" w:ascii="宋体" w:hAnsi="宋体" w:cstheme="minorEastAsia"/>
          <w:b/>
          <w:bCs/>
          <w:color w:val="auto"/>
          <w:sz w:val="24"/>
          <w:szCs w:val="24"/>
          <w:highlight w:val="none"/>
        </w:rPr>
        <w:t>（一）评分标准：</w:t>
      </w:r>
    </w:p>
    <w:p>
      <w:pPr>
        <w:spacing w:line="500" w:lineRule="exact"/>
        <w:ind w:firstLine="480" w:firstLineChars="200"/>
        <w:rPr>
          <w:rFonts w:ascii="宋体" w:hAnsi="宋体" w:cstheme="minorEastAsia"/>
          <w:color w:val="auto"/>
          <w:sz w:val="24"/>
          <w:szCs w:val="24"/>
          <w:highlight w:val="none"/>
        </w:rPr>
      </w:pPr>
      <w:r>
        <w:rPr>
          <w:rFonts w:hint="eastAsia" w:ascii="宋体" w:hAnsi="宋体" w:cstheme="minorEastAsia"/>
          <w:color w:val="auto"/>
          <w:sz w:val="24"/>
          <w:szCs w:val="24"/>
          <w:highlight w:val="none"/>
        </w:rPr>
        <w:t>1.评标委员会根据招标文件对各投标文件技术内容充分审核、讨论、评议后，评标委员会按评分细则，进行评判，每人一张评分票，并记名；如某张评分票的一个项目评分超过规定的分值范围，则该张评分票无效；各供应商技术的最终评分值为评标委员会成员的有效评分票的算术平均值。</w:t>
      </w:r>
    </w:p>
    <w:p>
      <w:pPr>
        <w:spacing w:line="500" w:lineRule="exact"/>
        <w:ind w:firstLine="480" w:firstLineChars="200"/>
        <w:rPr>
          <w:rFonts w:ascii="宋体" w:hAnsi="宋体" w:cstheme="minorEastAsia"/>
          <w:color w:val="auto"/>
          <w:sz w:val="24"/>
          <w:szCs w:val="24"/>
          <w:highlight w:val="none"/>
        </w:rPr>
      </w:pPr>
      <w:r>
        <w:rPr>
          <w:rFonts w:hint="eastAsia" w:ascii="宋体" w:hAnsi="宋体" w:cstheme="minorEastAsia"/>
          <w:color w:val="auto"/>
          <w:sz w:val="24"/>
          <w:szCs w:val="24"/>
          <w:highlight w:val="none"/>
        </w:rPr>
        <w:t>2.评标委员会成员按评分细则对各供应商的最终报价进行统一计算评分，集体统一判定评分。</w:t>
      </w:r>
    </w:p>
    <w:p>
      <w:pPr>
        <w:spacing w:line="500" w:lineRule="exact"/>
        <w:ind w:firstLine="480" w:firstLineChars="200"/>
        <w:rPr>
          <w:rFonts w:ascii="宋体" w:hAnsi="宋体" w:cstheme="minorEastAsia"/>
          <w:color w:val="auto"/>
          <w:sz w:val="24"/>
          <w:szCs w:val="24"/>
          <w:highlight w:val="none"/>
        </w:rPr>
      </w:pPr>
      <w:r>
        <w:rPr>
          <w:rFonts w:hint="eastAsia" w:ascii="宋体" w:hAnsi="宋体" w:cstheme="minorEastAsia"/>
          <w:color w:val="auto"/>
          <w:sz w:val="24"/>
          <w:szCs w:val="24"/>
          <w:highlight w:val="none"/>
        </w:rPr>
        <w:t>3.供应商的综合评分为技术、商务和投标报价三部分的总计，由指定专人进行计算和复核。中标候选资格按评标得分由高到低顺序排列，得分相同的，按投标报价由低到高顺序排列；得分且投标报价相同的，按技术得分由高到低顺序排列。</w:t>
      </w:r>
    </w:p>
    <w:p>
      <w:pPr>
        <w:spacing w:line="400" w:lineRule="exact"/>
        <w:ind w:firstLine="482" w:firstLineChars="200"/>
        <w:rPr>
          <w:rFonts w:ascii="宋体" w:hAnsi="宋体" w:cstheme="minorEastAsia"/>
          <w:b/>
          <w:color w:val="auto"/>
          <w:sz w:val="24"/>
          <w:szCs w:val="24"/>
          <w:highlight w:val="none"/>
        </w:rPr>
      </w:pPr>
      <w:r>
        <w:rPr>
          <w:rFonts w:hint="eastAsia" w:ascii="宋体" w:hAnsi="宋体" w:cs="宋体"/>
          <w:b/>
          <w:bCs/>
          <w:color w:val="auto"/>
          <w:sz w:val="24"/>
          <w:szCs w:val="24"/>
          <w:highlight w:val="none"/>
        </w:rPr>
        <w:t>（二）评分细则：</w:t>
      </w:r>
    </w:p>
    <w:p>
      <w:pPr>
        <w:pStyle w:val="4"/>
        <w:rPr>
          <w:rFonts w:ascii="宋体" w:hAnsi="宋体" w:cstheme="minorEastAsia"/>
          <w:b/>
          <w:color w:val="auto"/>
          <w:sz w:val="24"/>
          <w:szCs w:val="24"/>
          <w:highlight w:val="none"/>
        </w:rPr>
      </w:pPr>
      <w:r>
        <w:rPr>
          <w:rFonts w:hint="eastAsia" w:ascii="宋体" w:hAnsi="宋体" w:cstheme="minorEastAsia"/>
          <w:b/>
          <w:color w:val="auto"/>
          <w:sz w:val="24"/>
          <w:szCs w:val="24"/>
          <w:highlight w:val="none"/>
        </w:rPr>
        <w:t>第1包评分标准：</w:t>
      </w:r>
    </w:p>
    <w:tbl>
      <w:tblPr>
        <w:tblStyle w:val="38"/>
        <w:tblW w:w="91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97"/>
        <w:gridCol w:w="1371"/>
        <w:gridCol w:w="5954"/>
        <w:gridCol w:w="68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7"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宋体" w:hAnsi="宋体" w:cstheme="minorEastAsia"/>
                <w:b/>
                <w:color w:val="auto"/>
                <w:sz w:val="24"/>
                <w:szCs w:val="24"/>
                <w:highlight w:val="none"/>
              </w:rPr>
            </w:pPr>
            <w:r>
              <w:rPr>
                <w:rFonts w:hint="eastAsia" w:ascii="宋体" w:hAnsi="宋体" w:cstheme="minorEastAsia"/>
                <w:b/>
                <w:color w:val="auto"/>
                <w:kern w:val="0"/>
                <w:sz w:val="24"/>
                <w:szCs w:val="24"/>
                <w:highlight w:val="none"/>
              </w:rPr>
              <w:t>评分因素及权重</w:t>
            </w:r>
          </w:p>
        </w:tc>
        <w:tc>
          <w:tcPr>
            <w:tcW w:w="1371" w:type="dxa"/>
            <w:tcMar>
              <w:top w:w="15" w:type="dxa"/>
              <w:left w:w="15" w:type="dxa"/>
              <w:right w:w="15" w:type="dxa"/>
            </w:tcMar>
            <w:vAlign w:val="center"/>
          </w:tcPr>
          <w:p>
            <w:pPr>
              <w:widowControl/>
              <w:spacing w:line="400" w:lineRule="exact"/>
              <w:jc w:val="center"/>
              <w:textAlignment w:val="center"/>
              <w:rPr>
                <w:rFonts w:ascii="宋体" w:hAnsi="宋体" w:cstheme="minorEastAsia"/>
                <w:b/>
                <w:color w:val="auto"/>
                <w:sz w:val="24"/>
                <w:szCs w:val="24"/>
                <w:highlight w:val="none"/>
              </w:rPr>
            </w:pPr>
            <w:r>
              <w:rPr>
                <w:rFonts w:hint="eastAsia" w:ascii="宋体" w:hAnsi="宋体" w:cstheme="minorEastAsia"/>
                <w:b/>
                <w:color w:val="auto"/>
                <w:kern w:val="0"/>
                <w:sz w:val="24"/>
                <w:szCs w:val="24"/>
                <w:highlight w:val="none"/>
              </w:rPr>
              <w:t>评标因素</w:t>
            </w:r>
          </w:p>
        </w:tc>
        <w:tc>
          <w:tcPr>
            <w:tcW w:w="5954" w:type="dxa"/>
            <w:tcMar>
              <w:top w:w="15" w:type="dxa"/>
              <w:left w:w="15" w:type="dxa"/>
              <w:right w:w="15" w:type="dxa"/>
            </w:tcMar>
            <w:vAlign w:val="center"/>
          </w:tcPr>
          <w:p>
            <w:pPr>
              <w:widowControl/>
              <w:spacing w:line="400" w:lineRule="exact"/>
              <w:jc w:val="center"/>
              <w:textAlignment w:val="center"/>
              <w:rPr>
                <w:rFonts w:ascii="宋体" w:hAnsi="宋体" w:cstheme="minorEastAsia"/>
                <w:b/>
                <w:color w:val="auto"/>
                <w:sz w:val="24"/>
                <w:szCs w:val="24"/>
                <w:highlight w:val="none"/>
              </w:rPr>
            </w:pPr>
            <w:r>
              <w:rPr>
                <w:rFonts w:hint="eastAsia" w:ascii="宋体" w:hAnsi="宋体" w:cstheme="minorEastAsia"/>
                <w:b/>
                <w:color w:val="auto"/>
                <w:kern w:val="0"/>
                <w:sz w:val="24"/>
                <w:szCs w:val="24"/>
                <w:highlight w:val="none"/>
              </w:rPr>
              <w:t>评分标准</w:t>
            </w:r>
          </w:p>
        </w:tc>
        <w:tc>
          <w:tcPr>
            <w:tcW w:w="687" w:type="dxa"/>
            <w:tcMar>
              <w:top w:w="15" w:type="dxa"/>
              <w:left w:w="15" w:type="dxa"/>
              <w:right w:w="15" w:type="dxa"/>
            </w:tcMar>
            <w:vAlign w:val="center"/>
          </w:tcPr>
          <w:p>
            <w:pPr>
              <w:widowControl/>
              <w:spacing w:line="400" w:lineRule="exact"/>
              <w:jc w:val="center"/>
              <w:textAlignment w:val="center"/>
              <w:rPr>
                <w:rFonts w:ascii="宋体" w:hAnsi="宋体" w:cstheme="minorEastAsia"/>
                <w:b/>
                <w:color w:val="auto"/>
                <w:sz w:val="24"/>
                <w:szCs w:val="24"/>
                <w:highlight w:val="none"/>
              </w:rPr>
            </w:pPr>
            <w:r>
              <w:rPr>
                <w:rFonts w:hint="eastAsia" w:ascii="宋体" w:hAnsi="宋体" w:cstheme="minorEastAsia"/>
                <w:b/>
                <w:color w:val="auto"/>
                <w:kern w:val="0"/>
                <w:sz w:val="24"/>
                <w:szCs w:val="24"/>
                <w:highlight w:val="none"/>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7"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宋体" w:hAnsi="宋体" w:cstheme="minorEastAsia"/>
                <w:color w:val="auto"/>
                <w:sz w:val="24"/>
                <w:szCs w:val="24"/>
                <w:highlight w:val="none"/>
              </w:rPr>
            </w:pPr>
            <w:r>
              <w:rPr>
                <w:rFonts w:hint="eastAsia" w:ascii="宋体" w:hAnsi="宋体" w:cstheme="minorEastAsia"/>
                <w:color w:val="auto"/>
                <w:kern w:val="0"/>
                <w:sz w:val="24"/>
                <w:szCs w:val="24"/>
                <w:highlight w:val="none"/>
              </w:rPr>
              <w:t>价格部分（30分）</w:t>
            </w:r>
          </w:p>
        </w:tc>
        <w:tc>
          <w:tcPr>
            <w:tcW w:w="1371" w:type="dxa"/>
            <w:tcMar>
              <w:top w:w="15" w:type="dxa"/>
              <w:left w:w="15" w:type="dxa"/>
              <w:right w:w="15" w:type="dxa"/>
            </w:tcMar>
            <w:vAlign w:val="center"/>
          </w:tcPr>
          <w:p>
            <w:pPr>
              <w:widowControl/>
              <w:spacing w:line="400" w:lineRule="exact"/>
              <w:jc w:val="center"/>
              <w:textAlignment w:val="center"/>
              <w:rPr>
                <w:rFonts w:ascii="宋体" w:hAnsi="宋体" w:cstheme="minorEastAsia"/>
                <w:color w:val="auto"/>
                <w:kern w:val="0"/>
                <w:sz w:val="24"/>
                <w:szCs w:val="24"/>
                <w:highlight w:val="none"/>
              </w:rPr>
            </w:pPr>
            <w:r>
              <w:rPr>
                <w:rFonts w:hint="eastAsia" w:ascii="宋体" w:hAnsi="宋体" w:cstheme="minorEastAsia"/>
                <w:color w:val="auto"/>
                <w:kern w:val="0"/>
                <w:sz w:val="24"/>
                <w:szCs w:val="24"/>
                <w:highlight w:val="none"/>
              </w:rPr>
              <w:t>投标</w:t>
            </w:r>
          </w:p>
          <w:p>
            <w:pPr>
              <w:widowControl/>
              <w:spacing w:line="400" w:lineRule="exact"/>
              <w:jc w:val="center"/>
              <w:textAlignment w:val="center"/>
              <w:rPr>
                <w:rFonts w:ascii="宋体" w:hAnsi="宋体" w:cstheme="minorEastAsia"/>
                <w:color w:val="auto"/>
                <w:kern w:val="0"/>
                <w:sz w:val="24"/>
                <w:szCs w:val="24"/>
                <w:highlight w:val="none"/>
              </w:rPr>
            </w:pPr>
            <w:r>
              <w:rPr>
                <w:rFonts w:hint="eastAsia" w:ascii="宋体" w:hAnsi="宋体" w:cstheme="minorEastAsia"/>
                <w:color w:val="auto"/>
                <w:kern w:val="0"/>
                <w:sz w:val="24"/>
                <w:szCs w:val="24"/>
                <w:highlight w:val="none"/>
              </w:rPr>
              <w:t>报价</w:t>
            </w:r>
          </w:p>
        </w:tc>
        <w:tc>
          <w:tcPr>
            <w:tcW w:w="5954" w:type="dxa"/>
            <w:tcMar>
              <w:top w:w="15" w:type="dxa"/>
              <w:left w:w="15" w:type="dxa"/>
              <w:right w:w="15" w:type="dxa"/>
            </w:tcMar>
            <w:vAlign w:val="center"/>
          </w:tcPr>
          <w:p>
            <w:pPr>
              <w:widowControl/>
              <w:spacing w:line="400" w:lineRule="exact"/>
              <w:textAlignment w:val="center"/>
              <w:rPr>
                <w:rFonts w:ascii="宋体" w:hAnsi="宋体" w:cstheme="minorEastAsia"/>
                <w:color w:val="auto"/>
                <w:kern w:val="0"/>
                <w:sz w:val="24"/>
                <w:szCs w:val="24"/>
                <w:highlight w:val="none"/>
              </w:rPr>
            </w:pPr>
            <w:r>
              <w:rPr>
                <w:rFonts w:hint="eastAsia" w:ascii="宋体" w:hAnsi="宋体" w:cstheme="minorEastAsia"/>
                <w:color w:val="auto"/>
                <w:kern w:val="0"/>
                <w:sz w:val="24"/>
                <w:szCs w:val="24"/>
                <w:highlight w:val="none"/>
              </w:rPr>
              <w:t>综合评分法中的价格分统一采用低价优先法计算，即满足招标文件要求且投标价格最低的投标报价为评标基准价，其价格分为满分30分，其它投标报价得分=评标基准价/投标报价*30</w:t>
            </w:r>
          </w:p>
        </w:tc>
        <w:tc>
          <w:tcPr>
            <w:tcW w:w="687" w:type="dxa"/>
            <w:tcMar>
              <w:top w:w="15" w:type="dxa"/>
              <w:left w:w="15" w:type="dxa"/>
              <w:right w:w="15" w:type="dxa"/>
            </w:tcMar>
            <w:vAlign w:val="center"/>
          </w:tcPr>
          <w:p>
            <w:pPr>
              <w:widowControl/>
              <w:spacing w:line="400" w:lineRule="exact"/>
              <w:jc w:val="center"/>
              <w:textAlignment w:val="center"/>
              <w:rPr>
                <w:rFonts w:ascii="宋体" w:hAnsi="宋体" w:cstheme="minorEastAsia"/>
                <w:color w:val="auto"/>
                <w:sz w:val="24"/>
                <w:szCs w:val="24"/>
                <w:highlight w:val="none"/>
              </w:rPr>
            </w:pPr>
            <w:r>
              <w:rPr>
                <w:rFonts w:hint="eastAsia" w:ascii="宋体" w:hAnsi="宋体" w:cstheme="minorEastAsia"/>
                <w:color w:val="auto"/>
                <w:kern w:val="0"/>
                <w:sz w:val="24"/>
                <w:szCs w:val="24"/>
                <w:highlight w:val="none"/>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restart"/>
            <w:tcMar>
              <w:top w:w="15" w:type="dxa"/>
              <w:left w:w="15" w:type="dxa"/>
              <w:right w:w="15" w:type="dxa"/>
            </w:tcMar>
            <w:vAlign w:val="center"/>
          </w:tcPr>
          <w:p>
            <w:pPr>
              <w:widowControl/>
              <w:spacing w:line="400" w:lineRule="exact"/>
              <w:jc w:val="center"/>
              <w:textAlignment w:val="center"/>
              <w:rPr>
                <w:rFonts w:ascii="宋体" w:hAnsi="宋体" w:cstheme="minorEastAsia"/>
                <w:color w:val="auto"/>
                <w:kern w:val="0"/>
                <w:sz w:val="24"/>
                <w:szCs w:val="24"/>
                <w:highlight w:val="none"/>
              </w:rPr>
            </w:pPr>
          </w:p>
          <w:p>
            <w:pPr>
              <w:widowControl/>
              <w:spacing w:line="400" w:lineRule="exact"/>
              <w:jc w:val="center"/>
              <w:textAlignment w:val="center"/>
              <w:rPr>
                <w:rFonts w:ascii="宋体" w:hAnsi="宋体" w:cstheme="minorEastAsia"/>
                <w:color w:val="auto"/>
                <w:kern w:val="0"/>
                <w:sz w:val="24"/>
                <w:szCs w:val="24"/>
                <w:highlight w:val="none"/>
              </w:rPr>
            </w:pPr>
          </w:p>
          <w:p>
            <w:pPr>
              <w:widowControl/>
              <w:spacing w:line="400" w:lineRule="exact"/>
              <w:jc w:val="center"/>
              <w:textAlignment w:val="center"/>
              <w:rPr>
                <w:rFonts w:ascii="宋体" w:hAnsi="宋体" w:cstheme="minorEastAsia"/>
                <w:color w:val="auto"/>
                <w:kern w:val="0"/>
                <w:sz w:val="24"/>
                <w:szCs w:val="24"/>
                <w:highlight w:val="none"/>
              </w:rPr>
            </w:pPr>
          </w:p>
          <w:p>
            <w:pPr>
              <w:widowControl/>
              <w:spacing w:line="400" w:lineRule="exact"/>
              <w:jc w:val="center"/>
              <w:textAlignment w:val="center"/>
              <w:rPr>
                <w:rFonts w:ascii="宋体" w:hAnsi="宋体" w:cstheme="minorEastAsia"/>
                <w:color w:val="auto"/>
                <w:kern w:val="0"/>
                <w:sz w:val="24"/>
                <w:szCs w:val="24"/>
                <w:highlight w:val="none"/>
              </w:rPr>
            </w:pPr>
          </w:p>
          <w:p>
            <w:pPr>
              <w:widowControl/>
              <w:spacing w:line="400" w:lineRule="exact"/>
              <w:jc w:val="center"/>
              <w:textAlignment w:val="center"/>
              <w:rPr>
                <w:rFonts w:ascii="宋体" w:hAnsi="宋体" w:cstheme="minorEastAsia"/>
                <w:color w:val="auto"/>
                <w:kern w:val="0"/>
                <w:sz w:val="24"/>
                <w:szCs w:val="24"/>
                <w:highlight w:val="none"/>
              </w:rPr>
            </w:pPr>
          </w:p>
          <w:p>
            <w:pPr>
              <w:widowControl/>
              <w:spacing w:line="400" w:lineRule="exact"/>
              <w:jc w:val="center"/>
              <w:textAlignment w:val="center"/>
              <w:rPr>
                <w:rFonts w:ascii="宋体" w:hAnsi="宋体" w:cstheme="minorEastAsia"/>
                <w:color w:val="auto"/>
                <w:kern w:val="0"/>
                <w:sz w:val="24"/>
                <w:szCs w:val="24"/>
                <w:highlight w:val="none"/>
              </w:rPr>
            </w:pPr>
          </w:p>
          <w:p>
            <w:pPr>
              <w:widowControl/>
              <w:spacing w:line="400" w:lineRule="exact"/>
              <w:jc w:val="center"/>
              <w:textAlignment w:val="center"/>
              <w:rPr>
                <w:rFonts w:ascii="宋体" w:hAnsi="宋体" w:cstheme="minorEastAsia"/>
                <w:color w:val="auto"/>
                <w:kern w:val="0"/>
                <w:sz w:val="24"/>
                <w:szCs w:val="24"/>
                <w:highlight w:val="none"/>
              </w:rPr>
            </w:pPr>
          </w:p>
          <w:p>
            <w:pPr>
              <w:widowControl/>
              <w:spacing w:line="400" w:lineRule="exact"/>
              <w:jc w:val="center"/>
              <w:textAlignment w:val="center"/>
              <w:rPr>
                <w:rFonts w:ascii="宋体" w:hAnsi="宋体" w:cstheme="minorEastAsia"/>
                <w:color w:val="auto"/>
                <w:kern w:val="0"/>
                <w:sz w:val="24"/>
                <w:szCs w:val="24"/>
                <w:highlight w:val="none"/>
              </w:rPr>
            </w:pPr>
          </w:p>
          <w:p>
            <w:pPr>
              <w:widowControl/>
              <w:spacing w:line="400" w:lineRule="exact"/>
              <w:jc w:val="center"/>
              <w:textAlignment w:val="center"/>
              <w:rPr>
                <w:rFonts w:ascii="宋体" w:hAnsi="宋体" w:cstheme="minorEastAsia"/>
                <w:color w:val="auto"/>
                <w:kern w:val="0"/>
                <w:sz w:val="24"/>
                <w:szCs w:val="24"/>
                <w:highlight w:val="none"/>
              </w:rPr>
            </w:pPr>
          </w:p>
          <w:p>
            <w:pPr>
              <w:widowControl/>
              <w:spacing w:line="400" w:lineRule="exact"/>
              <w:jc w:val="center"/>
              <w:textAlignment w:val="center"/>
              <w:rPr>
                <w:rFonts w:ascii="宋体" w:hAnsi="宋体" w:cstheme="minorEastAsia"/>
                <w:color w:val="auto"/>
                <w:kern w:val="0"/>
                <w:sz w:val="24"/>
                <w:szCs w:val="24"/>
                <w:highlight w:val="none"/>
              </w:rPr>
            </w:pPr>
          </w:p>
          <w:p>
            <w:pPr>
              <w:widowControl/>
              <w:spacing w:line="400" w:lineRule="exact"/>
              <w:jc w:val="center"/>
              <w:textAlignment w:val="center"/>
              <w:rPr>
                <w:rFonts w:ascii="宋体" w:hAnsi="宋体" w:cstheme="minorEastAsia"/>
                <w:color w:val="auto"/>
                <w:kern w:val="0"/>
                <w:sz w:val="24"/>
                <w:szCs w:val="24"/>
                <w:highlight w:val="none"/>
              </w:rPr>
            </w:pPr>
          </w:p>
          <w:p>
            <w:pPr>
              <w:widowControl/>
              <w:spacing w:line="400" w:lineRule="exact"/>
              <w:jc w:val="center"/>
              <w:textAlignment w:val="center"/>
              <w:rPr>
                <w:rFonts w:ascii="宋体" w:hAnsi="宋体" w:cstheme="minorEastAsia"/>
                <w:color w:val="auto"/>
                <w:kern w:val="0"/>
                <w:sz w:val="24"/>
                <w:szCs w:val="24"/>
                <w:highlight w:val="none"/>
              </w:rPr>
            </w:pPr>
          </w:p>
          <w:p>
            <w:pPr>
              <w:widowControl/>
              <w:spacing w:line="400" w:lineRule="exact"/>
              <w:jc w:val="center"/>
              <w:textAlignment w:val="center"/>
              <w:rPr>
                <w:rFonts w:ascii="宋体" w:hAnsi="宋体" w:cstheme="minorEastAsia"/>
                <w:color w:val="auto"/>
                <w:kern w:val="0"/>
                <w:sz w:val="24"/>
                <w:szCs w:val="24"/>
                <w:highlight w:val="none"/>
              </w:rPr>
            </w:pPr>
          </w:p>
          <w:p>
            <w:pPr>
              <w:widowControl/>
              <w:spacing w:line="400" w:lineRule="exact"/>
              <w:jc w:val="center"/>
              <w:textAlignment w:val="center"/>
              <w:rPr>
                <w:rFonts w:ascii="宋体" w:hAnsi="宋体" w:cstheme="minorEastAsia"/>
                <w:color w:val="auto"/>
                <w:kern w:val="0"/>
                <w:sz w:val="24"/>
                <w:szCs w:val="24"/>
                <w:highlight w:val="none"/>
              </w:rPr>
            </w:pPr>
          </w:p>
          <w:p>
            <w:pPr>
              <w:widowControl/>
              <w:spacing w:line="400" w:lineRule="exact"/>
              <w:jc w:val="center"/>
              <w:textAlignment w:val="center"/>
              <w:rPr>
                <w:rFonts w:ascii="宋体" w:hAnsi="宋体" w:cstheme="minorEastAsia"/>
                <w:color w:val="auto"/>
                <w:sz w:val="24"/>
                <w:szCs w:val="24"/>
                <w:highlight w:val="none"/>
              </w:rPr>
            </w:pPr>
            <w:r>
              <w:rPr>
                <w:rFonts w:hint="eastAsia" w:ascii="宋体" w:hAnsi="宋体" w:cstheme="minorEastAsia"/>
                <w:color w:val="auto"/>
                <w:kern w:val="0"/>
                <w:sz w:val="24"/>
                <w:szCs w:val="24"/>
                <w:highlight w:val="none"/>
              </w:rPr>
              <w:t>技术和商务部分（ 70分）</w:t>
            </w:r>
          </w:p>
        </w:tc>
        <w:tc>
          <w:tcPr>
            <w:tcW w:w="1371" w:type="dxa"/>
            <w:tcMar>
              <w:top w:w="15" w:type="dxa"/>
              <w:left w:w="15" w:type="dxa"/>
              <w:right w:w="15" w:type="dxa"/>
            </w:tcMar>
            <w:vAlign w:val="center"/>
          </w:tcPr>
          <w:p>
            <w:pPr>
              <w:widowControl/>
              <w:spacing w:line="400" w:lineRule="exact"/>
              <w:jc w:val="center"/>
              <w:textAlignment w:val="center"/>
              <w:rPr>
                <w:rFonts w:ascii="宋体" w:hAnsi="宋体" w:cstheme="minorEastAsia"/>
                <w:color w:val="auto"/>
                <w:kern w:val="0"/>
                <w:sz w:val="24"/>
                <w:szCs w:val="24"/>
                <w:highlight w:val="none"/>
              </w:rPr>
            </w:pPr>
            <w:r>
              <w:rPr>
                <w:rFonts w:hint="eastAsia" w:ascii="宋体" w:hAnsi="宋体" w:cstheme="minorEastAsia"/>
                <w:color w:val="auto"/>
                <w:kern w:val="0"/>
                <w:sz w:val="24"/>
                <w:szCs w:val="24"/>
                <w:highlight w:val="none"/>
              </w:rPr>
              <w:t>技术要求</w:t>
            </w:r>
          </w:p>
          <w:p>
            <w:pPr>
              <w:widowControl/>
              <w:spacing w:line="400" w:lineRule="exact"/>
              <w:jc w:val="center"/>
              <w:textAlignment w:val="center"/>
              <w:rPr>
                <w:rFonts w:ascii="宋体" w:hAnsi="宋体" w:cstheme="minorEastAsia"/>
                <w:color w:val="auto"/>
                <w:kern w:val="0"/>
                <w:sz w:val="24"/>
                <w:szCs w:val="24"/>
                <w:highlight w:val="none"/>
              </w:rPr>
            </w:pPr>
            <w:r>
              <w:rPr>
                <w:rFonts w:hint="eastAsia" w:ascii="宋体" w:hAnsi="宋体" w:cstheme="minorEastAsia"/>
                <w:color w:val="auto"/>
                <w:kern w:val="0"/>
                <w:sz w:val="24"/>
                <w:szCs w:val="24"/>
                <w:highlight w:val="none"/>
              </w:rPr>
              <w:t>响应评价</w:t>
            </w:r>
          </w:p>
        </w:tc>
        <w:tc>
          <w:tcPr>
            <w:tcW w:w="5954" w:type="dxa"/>
            <w:tcMar>
              <w:top w:w="15" w:type="dxa"/>
              <w:left w:w="15" w:type="dxa"/>
              <w:right w:w="15" w:type="dxa"/>
            </w:tcMar>
            <w:vAlign w:val="center"/>
          </w:tcPr>
          <w:p>
            <w:pPr>
              <w:widowControl/>
              <w:spacing w:line="400" w:lineRule="exact"/>
              <w:ind w:firstLine="480" w:firstLineChars="200"/>
              <w:textAlignment w:val="center"/>
              <w:rPr>
                <w:rFonts w:ascii="宋体" w:hAnsi="宋体" w:cstheme="minorEastAsia"/>
                <w:color w:val="auto"/>
                <w:kern w:val="0"/>
                <w:sz w:val="24"/>
                <w:szCs w:val="24"/>
                <w:highlight w:val="none"/>
              </w:rPr>
            </w:pPr>
            <w:r>
              <w:rPr>
                <w:rFonts w:hint="eastAsia" w:ascii="宋体" w:hAnsi="宋体" w:cstheme="minorEastAsia"/>
                <w:color w:val="auto"/>
                <w:kern w:val="0"/>
                <w:sz w:val="24"/>
                <w:szCs w:val="24"/>
                <w:highlight w:val="none"/>
              </w:rPr>
              <w:t>对照“项目需求”技术参数（每条技术参数前标注“★”的为核心技术参数，标注“▲”的为主要技术参数，未标注的为一般参数），根据投标人提供的产品配置及技术性能指标的响应情况进行评审。</w:t>
            </w:r>
          </w:p>
          <w:p>
            <w:pPr>
              <w:widowControl/>
              <w:spacing w:line="400" w:lineRule="exact"/>
              <w:ind w:firstLine="480" w:firstLineChars="200"/>
              <w:textAlignment w:val="center"/>
              <w:rPr>
                <w:rFonts w:ascii="宋体" w:hAnsi="宋体" w:cstheme="minorEastAsia"/>
                <w:color w:val="auto"/>
                <w:sz w:val="24"/>
                <w:szCs w:val="24"/>
                <w:highlight w:val="none"/>
              </w:rPr>
            </w:pPr>
            <w:r>
              <w:rPr>
                <w:rFonts w:hint="eastAsia" w:ascii="宋体" w:hAnsi="宋体" w:cstheme="minorEastAsia"/>
                <w:color w:val="auto"/>
                <w:sz w:val="24"/>
                <w:szCs w:val="24"/>
                <w:highlight w:val="none"/>
              </w:rPr>
              <w:t>1.投标人所投产品技术参数完全响应招标文件要求的，得30分；</w:t>
            </w:r>
          </w:p>
          <w:p>
            <w:pPr>
              <w:widowControl/>
              <w:spacing w:line="400" w:lineRule="exact"/>
              <w:ind w:firstLine="480" w:firstLineChars="200"/>
              <w:textAlignment w:val="center"/>
              <w:rPr>
                <w:rFonts w:ascii="宋体" w:hAnsi="宋体" w:cstheme="minorEastAsia"/>
                <w:color w:val="auto"/>
                <w:sz w:val="24"/>
                <w:szCs w:val="24"/>
                <w:highlight w:val="none"/>
              </w:rPr>
            </w:pPr>
            <w:r>
              <w:rPr>
                <w:rFonts w:hint="eastAsia" w:ascii="宋体" w:hAnsi="宋体" w:cstheme="minorEastAsia"/>
                <w:color w:val="auto"/>
                <w:sz w:val="24"/>
                <w:szCs w:val="24"/>
                <w:highlight w:val="none"/>
              </w:rPr>
              <w:t>2.核心技术参数存在负偏离的（</w:t>
            </w:r>
            <w:r>
              <w:rPr>
                <w:rFonts w:hint="eastAsia" w:ascii="宋体" w:hAnsi="宋体" w:cstheme="minorEastAsia"/>
                <w:color w:val="auto"/>
                <w:sz w:val="24"/>
                <w:szCs w:val="24"/>
                <w:highlight w:val="none"/>
                <w:lang w:val="en-US" w:eastAsia="zh-CN"/>
              </w:rPr>
              <w:t>5</w:t>
            </w:r>
            <w:r>
              <w:rPr>
                <w:rFonts w:hint="eastAsia" w:ascii="宋体" w:hAnsi="宋体" w:cstheme="minorEastAsia"/>
                <w:color w:val="auto"/>
                <w:sz w:val="24"/>
                <w:szCs w:val="24"/>
                <w:highlight w:val="none"/>
              </w:rPr>
              <w:t>条），此项不得分；</w:t>
            </w:r>
          </w:p>
          <w:p>
            <w:pPr>
              <w:pStyle w:val="2"/>
              <w:ind w:firstLine="480" w:firstLineChars="200"/>
              <w:rPr>
                <w:rFonts w:ascii="宋体" w:hAnsi="宋体" w:cstheme="minorEastAsia"/>
                <w:color w:val="auto"/>
                <w:sz w:val="24"/>
                <w:szCs w:val="24"/>
                <w:highlight w:val="none"/>
              </w:rPr>
            </w:pPr>
            <w:r>
              <w:rPr>
                <w:rFonts w:hint="eastAsia" w:ascii="宋体" w:hAnsi="宋体" w:cstheme="minorEastAsia"/>
                <w:color w:val="auto"/>
                <w:sz w:val="24"/>
                <w:szCs w:val="24"/>
                <w:highlight w:val="none"/>
              </w:rPr>
              <w:t>3.主要技术参数存在负偏离的（4条），每一条扣3分，最多扣12分；</w:t>
            </w:r>
          </w:p>
          <w:p>
            <w:pPr>
              <w:pStyle w:val="2"/>
              <w:ind w:firstLine="480" w:firstLineChars="200"/>
              <w:rPr>
                <w:rFonts w:ascii="宋体" w:hAnsi="宋体" w:cstheme="minorEastAsia"/>
                <w:color w:val="auto"/>
                <w:kern w:val="0"/>
                <w:sz w:val="24"/>
                <w:szCs w:val="24"/>
                <w:highlight w:val="none"/>
              </w:rPr>
            </w:pPr>
            <w:r>
              <w:rPr>
                <w:rFonts w:hint="eastAsia" w:ascii="宋体" w:hAnsi="宋体" w:cstheme="minorEastAsia"/>
                <w:color w:val="auto"/>
                <w:sz w:val="24"/>
                <w:szCs w:val="24"/>
                <w:highlight w:val="none"/>
              </w:rPr>
              <w:t>4.</w:t>
            </w:r>
            <w:r>
              <w:rPr>
                <w:rFonts w:hint="eastAsia" w:asciiTheme="minorEastAsia" w:hAnsiTheme="minorEastAsia" w:eastAsiaTheme="minorEastAsia" w:cstheme="minorEastAsia"/>
                <w:color w:val="auto"/>
                <w:kern w:val="0"/>
                <w:sz w:val="24"/>
                <w:szCs w:val="24"/>
                <w:highlight w:val="none"/>
              </w:rPr>
              <w:t>一般技术参数存在负偏离的（5</w:t>
            </w:r>
            <w:r>
              <w:rPr>
                <w:rFonts w:hint="eastAsia" w:asciiTheme="minorEastAsia" w:hAnsiTheme="minorEastAsia" w:eastAsiaTheme="minorEastAsia" w:cstheme="minorEastAsia"/>
                <w:color w:val="auto"/>
                <w:kern w:val="0"/>
                <w:sz w:val="24"/>
                <w:szCs w:val="24"/>
                <w:highlight w:val="none"/>
                <w:lang w:val="en-US" w:eastAsia="zh-CN"/>
              </w:rPr>
              <w:t>4</w:t>
            </w:r>
            <w:r>
              <w:rPr>
                <w:rFonts w:hint="eastAsia" w:asciiTheme="minorEastAsia" w:hAnsiTheme="minorEastAsia" w:eastAsiaTheme="minorEastAsia" w:cstheme="minorEastAsia"/>
                <w:color w:val="auto"/>
                <w:kern w:val="0"/>
                <w:sz w:val="24"/>
                <w:szCs w:val="24"/>
                <w:highlight w:val="none"/>
              </w:rPr>
              <w:t>条）</w:t>
            </w:r>
            <w:r>
              <w:rPr>
                <w:rFonts w:hint="eastAsia" w:ascii="宋体" w:hAnsi="宋体" w:cstheme="minorEastAsia"/>
                <w:color w:val="auto"/>
                <w:kern w:val="0"/>
                <w:sz w:val="24"/>
                <w:szCs w:val="24"/>
                <w:highlight w:val="none"/>
              </w:rPr>
              <w:t>，</w:t>
            </w:r>
            <w:r>
              <w:rPr>
                <w:rFonts w:hint="eastAsia" w:asciiTheme="minorEastAsia" w:hAnsiTheme="minorEastAsia" w:eastAsiaTheme="minorEastAsia" w:cstheme="minorEastAsia"/>
                <w:color w:val="auto"/>
                <w:kern w:val="0"/>
                <w:sz w:val="24"/>
                <w:szCs w:val="24"/>
                <w:highlight w:val="none"/>
              </w:rPr>
              <w:t>每一条扣0.</w:t>
            </w:r>
            <w:r>
              <w:rPr>
                <w:rFonts w:hint="eastAsia" w:asciiTheme="minorEastAsia" w:hAnsiTheme="minorEastAsia" w:eastAsiaTheme="minorEastAsia" w:cstheme="minorEastAsia"/>
                <w:color w:val="auto"/>
                <w:kern w:val="0"/>
                <w:sz w:val="24"/>
                <w:szCs w:val="24"/>
                <w:highlight w:val="none"/>
                <w:lang w:val="en-US" w:eastAsia="zh-CN"/>
              </w:rPr>
              <w:t>35</w:t>
            </w:r>
            <w:r>
              <w:rPr>
                <w:rFonts w:hint="eastAsia" w:asciiTheme="minorEastAsia" w:hAnsiTheme="minorEastAsia" w:eastAsiaTheme="minorEastAsia" w:cstheme="minorEastAsia"/>
                <w:color w:val="auto"/>
                <w:kern w:val="0"/>
                <w:sz w:val="24"/>
                <w:szCs w:val="24"/>
                <w:highlight w:val="none"/>
              </w:rPr>
              <w:t>分，最多扣</w:t>
            </w:r>
            <w:r>
              <w:rPr>
                <w:rFonts w:asciiTheme="minorEastAsia" w:hAnsiTheme="minorEastAsia" w:eastAsiaTheme="minorEastAsia" w:cstheme="minorEastAsia"/>
                <w:color w:val="auto"/>
                <w:kern w:val="0"/>
                <w:sz w:val="24"/>
                <w:szCs w:val="24"/>
                <w:highlight w:val="none"/>
              </w:rPr>
              <w:t>18</w:t>
            </w:r>
            <w:r>
              <w:rPr>
                <w:rFonts w:hint="eastAsia" w:asciiTheme="minorEastAsia" w:hAnsiTheme="minorEastAsia" w:eastAsiaTheme="minorEastAsia" w:cstheme="minorEastAsia"/>
                <w:color w:val="auto"/>
                <w:kern w:val="0"/>
                <w:sz w:val="24"/>
                <w:szCs w:val="24"/>
                <w:highlight w:val="none"/>
              </w:rPr>
              <w:t>分</w:t>
            </w:r>
            <w:r>
              <w:rPr>
                <w:rFonts w:hint="eastAsia" w:ascii="宋体" w:hAnsi="宋体" w:cstheme="minorEastAsia"/>
                <w:color w:val="auto"/>
                <w:kern w:val="0"/>
                <w:sz w:val="24"/>
                <w:szCs w:val="24"/>
                <w:highlight w:val="none"/>
              </w:rPr>
              <w:t>。本项满分18分。</w:t>
            </w:r>
          </w:p>
          <w:p>
            <w:pPr>
              <w:widowControl/>
              <w:spacing w:line="400" w:lineRule="exact"/>
              <w:ind w:firstLine="482" w:firstLineChars="200"/>
              <w:textAlignment w:val="center"/>
              <w:rPr>
                <w:rFonts w:ascii="宋体" w:hAnsi="宋体"/>
                <w:color w:val="auto"/>
                <w:highlight w:val="none"/>
              </w:rPr>
            </w:pPr>
            <w:r>
              <w:rPr>
                <w:rFonts w:ascii="宋体" w:hAnsi="宋体"/>
                <w:b/>
                <w:bCs/>
                <w:color w:val="auto"/>
                <w:sz w:val="24"/>
                <w:szCs w:val="24"/>
                <w:highlight w:val="none"/>
              </w:rPr>
              <w:t>注：负偏离评审依据：</w:t>
            </w:r>
            <w:r>
              <w:rPr>
                <w:rFonts w:hint="eastAsia" w:ascii="宋体" w:hAnsi="宋体"/>
                <w:b/>
                <w:bCs/>
                <w:color w:val="auto"/>
                <w:sz w:val="24"/>
                <w:szCs w:val="24"/>
                <w:highlight w:val="none"/>
              </w:rPr>
              <w:t>①</w:t>
            </w:r>
            <w:r>
              <w:rPr>
                <w:rFonts w:ascii="宋体" w:hAnsi="宋体"/>
                <w:b/>
                <w:bCs/>
                <w:color w:val="auto"/>
                <w:sz w:val="24"/>
                <w:szCs w:val="24"/>
                <w:highlight w:val="none"/>
              </w:rPr>
              <w:t>所</w:t>
            </w:r>
            <w:r>
              <w:rPr>
                <w:rFonts w:hint="eastAsia" w:ascii="宋体" w:hAnsi="宋体"/>
                <w:b/>
                <w:bCs/>
                <w:color w:val="auto"/>
                <w:sz w:val="24"/>
                <w:szCs w:val="24"/>
                <w:highlight w:val="none"/>
              </w:rPr>
              <w:t>提供</w:t>
            </w:r>
            <w:r>
              <w:rPr>
                <w:rFonts w:ascii="宋体" w:hAnsi="宋体"/>
                <w:b/>
                <w:bCs/>
                <w:color w:val="auto"/>
                <w:sz w:val="24"/>
                <w:szCs w:val="24"/>
                <w:highlight w:val="none"/>
              </w:rPr>
              <w:t>产品技术参数低于</w:t>
            </w:r>
            <w:r>
              <w:rPr>
                <w:rFonts w:hint="eastAsia" w:ascii="宋体" w:hAnsi="宋体"/>
                <w:b/>
                <w:bCs/>
                <w:color w:val="auto"/>
                <w:sz w:val="24"/>
                <w:szCs w:val="24"/>
                <w:highlight w:val="none"/>
              </w:rPr>
              <w:t>招标</w:t>
            </w:r>
            <w:r>
              <w:rPr>
                <w:rFonts w:ascii="宋体" w:hAnsi="宋体"/>
                <w:b/>
                <w:bCs/>
                <w:color w:val="auto"/>
                <w:sz w:val="24"/>
                <w:szCs w:val="24"/>
                <w:highlight w:val="none"/>
              </w:rPr>
              <w:t>文件要求的，视为负偏离；</w:t>
            </w:r>
            <w:r>
              <w:rPr>
                <w:rFonts w:hint="eastAsia" w:ascii="宋体" w:hAnsi="宋体"/>
                <w:b/>
                <w:bCs/>
                <w:color w:val="auto"/>
                <w:sz w:val="24"/>
                <w:szCs w:val="24"/>
                <w:highlight w:val="none"/>
              </w:rPr>
              <w:t>②</w:t>
            </w:r>
            <w:r>
              <w:rPr>
                <w:rFonts w:ascii="宋体" w:hAnsi="宋体"/>
                <w:b/>
                <w:bCs/>
                <w:color w:val="auto"/>
                <w:sz w:val="24"/>
                <w:szCs w:val="24"/>
                <w:highlight w:val="none"/>
              </w:rPr>
              <w:t>技术参数响应条款</w:t>
            </w:r>
            <w:r>
              <w:rPr>
                <w:rFonts w:hint="eastAsia" w:ascii="宋体" w:hAnsi="宋体"/>
                <w:b/>
                <w:bCs/>
                <w:color w:val="auto"/>
                <w:sz w:val="24"/>
                <w:szCs w:val="24"/>
                <w:highlight w:val="none"/>
              </w:rPr>
              <w:t>（以投标文件内技术偏离表为准）</w:t>
            </w:r>
            <w:r>
              <w:rPr>
                <w:rFonts w:ascii="宋体" w:hAnsi="宋体"/>
                <w:b/>
                <w:bCs/>
                <w:color w:val="auto"/>
                <w:sz w:val="24"/>
                <w:szCs w:val="24"/>
                <w:highlight w:val="none"/>
              </w:rPr>
              <w:t>与</w:t>
            </w:r>
            <w:r>
              <w:rPr>
                <w:rFonts w:hint="eastAsia" w:ascii="宋体" w:hAnsi="宋体"/>
                <w:b/>
                <w:bCs/>
                <w:color w:val="auto"/>
                <w:sz w:val="24"/>
                <w:szCs w:val="24"/>
                <w:highlight w:val="none"/>
              </w:rPr>
              <w:t>招标</w:t>
            </w:r>
            <w:r>
              <w:rPr>
                <w:rFonts w:ascii="宋体" w:hAnsi="宋体"/>
                <w:b/>
                <w:bCs/>
                <w:color w:val="auto"/>
                <w:sz w:val="24"/>
                <w:szCs w:val="24"/>
                <w:highlight w:val="none"/>
              </w:rPr>
              <w:t>文件对比有缺项、漏项的，视为负偏离；</w:t>
            </w:r>
            <w:r>
              <w:rPr>
                <w:rFonts w:hint="eastAsia" w:ascii="宋体" w:hAnsi="宋体"/>
                <w:b/>
                <w:bCs/>
                <w:color w:val="auto"/>
                <w:sz w:val="24"/>
                <w:szCs w:val="24"/>
                <w:highlight w:val="none"/>
              </w:rPr>
              <w:t>③投标文件内技术偏离表完全复制招标文件技术参数的（不涉及具体参数指标的描述性技术要求除外），视为负偏离；④投标人</w:t>
            </w:r>
            <w:r>
              <w:rPr>
                <w:rFonts w:ascii="宋体" w:hAnsi="宋体"/>
                <w:b/>
                <w:bCs/>
                <w:color w:val="auto"/>
                <w:sz w:val="24"/>
                <w:szCs w:val="24"/>
                <w:highlight w:val="none"/>
              </w:rPr>
              <w:t>提供的</w:t>
            </w:r>
            <w:r>
              <w:rPr>
                <w:rFonts w:hint="eastAsia" w:ascii="宋体" w:hAnsi="宋体"/>
                <w:b/>
                <w:bCs/>
                <w:color w:val="auto"/>
                <w:sz w:val="24"/>
                <w:szCs w:val="24"/>
                <w:highlight w:val="none"/>
              </w:rPr>
              <w:t>投标</w:t>
            </w:r>
            <w:r>
              <w:rPr>
                <w:rFonts w:ascii="宋体" w:hAnsi="宋体"/>
                <w:b/>
                <w:bCs/>
                <w:color w:val="auto"/>
                <w:sz w:val="24"/>
                <w:szCs w:val="24"/>
                <w:highlight w:val="none"/>
              </w:rPr>
              <w:t>文件中产品技术偏离表、产品技术规格书和产品检测报告内描述的同一产品技术参数响应值不一致的，视为负偏离</w:t>
            </w:r>
            <w:r>
              <w:rPr>
                <w:rFonts w:hint="eastAsia" w:ascii="宋体" w:hAnsi="宋体"/>
                <w:b/>
                <w:bCs/>
                <w:color w:val="auto"/>
                <w:sz w:val="24"/>
                <w:szCs w:val="24"/>
                <w:highlight w:val="none"/>
              </w:rPr>
              <w:t>。</w:t>
            </w:r>
          </w:p>
        </w:tc>
        <w:tc>
          <w:tcPr>
            <w:tcW w:w="687" w:type="dxa"/>
            <w:tcMar>
              <w:top w:w="15" w:type="dxa"/>
              <w:left w:w="15" w:type="dxa"/>
              <w:right w:w="15" w:type="dxa"/>
            </w:tcMar>
            <w:vAlign w:val="center"/>
          </w:tcPr>
          <w:p>
            <w:pPr>
              <w:widowControl/>
              <w:spacing w:line="400" w:lineRule="exact"/>
              <w:jc w:val="center"/>
              <w:textAlignment w:val="center"/>
              <w:rPr>
                <w:rFonts w:ascii="宋体" w:hAnsi="宋体" w:cstheme="minorEastAsia"/>
                <w:color w:val="auto"/>
                <w:kern w:val="0"/>
                <w:sz w:val="24"/>
                <w:szCs w:val="24"/>
                <w:highlight w:val="none"/>
              </w:rPr>
            </w:pPr>
            <w:r>
              <w:rPr>
                <w:rFonts w:hint="eastAsia" w:ascii="宋体" w:hAnsi="宋体" w:cstheme="minorEastAsia"/>
                <w:color w:val="auto"/>
                <w:sz w:val="24"/>
                <w:szCs w:val="24"/>
                <w:highlight w:val="none"/>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宋体" w:hAnsi="宋体" w:cstheme="minorEastAsia"/>
                <w:color w:val="auto"/>
                <w:kern w:val="0"/>
                <w:sz w:val="24"/>
                <w:szCs w:val="24"/>
                <w:highlight w:val="none"/>
              </w:rPr>
            </w:pPr>
          </w:p>
        </w:tc>
        <w:tc>
          <w:tcPr>
            <w:tcW w:w="1371" w:type="dxa"/>
            <w:tcMar>
              <w:top w:w="15" w:type="dxa"/>
              <w:left w:w="15" w:type="dxa"/>
              <w:right w:w="15" w:type="dxa"/>
            </w:tcMar>
            <w:vAlign w:val="center"/>
          </w:tcPr>
          <w:p>
            <w:pPr>
              <w:widowControl/>
              <w:spacing w:line="400" w:lineRule="exact"/>
              <w:jc w:val="center"/>
              <w:textAlignment w:val="center"/>
              <w:rPr>
                <w:rFonts w:ascii="宋体" w:hAnsi="宋体" w:cstheme="minorEastAsia"/>
                <w:color w:val="auto"/>
                <w:kern w:val="0"/>
                <w:sz w:val="24"/>
                <w:szCs w:val="24"/>
                <w:highlight w:val="none"/>
              </w:rPr>
            </w:pPr>
            <w:r>
              <w:rPr>
                <w:rFonts w:ascii="宋体" w:hAnsi="宋体"/>
                <w:color w:val="auto"/>
                <w:sz w:val="24"/>
                <w:szCs w:val="24"/>
                <w:highlight w:val="none"/>
              </w:rPr>
              <w:t>业绩证明</w:t>
            </w:r>
          </w:p>
        </w:tc>
        <w:tc>
          <w:tcPr>
            <w:tcW w:w="5954" w:type="dxa"/>
            <w:tcMar>
              <w:top w:w="15" w:type="dxa"/>
              <w:left w:w="15" w:type="dxa"/>
              <w:right w:w="15" w:type="dxa"/>
            </w:tcMar>
            <w:vAlign w:val="center"/>
          </w:tcPr>
          <w:p>
            <w:pPr>
              <w:widowControl/>
              <w:spacing w:line="40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供应商近三年内（2021年1月1日起至今，以合同签订日期为准）完成类似项目的业绩，每个项目业绩得2分，最多得6分。</w:t>
            </w:r>
          </w:p>
          <w:p>
            <w:pPr>
              <w:widowControl/>
              <w:spacing w:line="400" w:lineRule="exact"/>
              <w:ind w:firstLine="482" w:firstLineChars="200"/>
              <w:textAlignment w:val="center"/>
              <w:rPr>
                <w:rFonts w:ascii="宋体" w:hAnsi="宋体"/>
                <w:b/>
                <w:bCs/>
                <w:color w:val="auto"/>
                <w:sz w:val="24"/>
                <w:szCs w:val="24"/>
                <w:highlight w:val="none"/>
              </w:rPr>
            </w:pPr>
            <w:r>
              <w:rPr>
                <w:rFonts w:hint="eastAsia" w:ascii="宋体" w:hAnsi="宋体"/>
                <w:b/>
                <w:bCs/>
                <w:color w:val="auto"/>
                <w:sz w:val="24"/>
                <w:szCs w:val="24"/>
                <w:highlight w:val="none"/>
              </w:rPr>
              <w:t>注：①提供中标（成交）通知书和合同复印件，未按要求提供不得分；②同一单位近三年的类似合同不重复计算业绩，仅算一个业绩。</w:t>
            </w:r>
          </w:p>
        </w:tc>
        <w:tc>
          <w:tcPr>
            <w:tcW w:w="687" w:type="dxa"/>
            <w:tcMar>
              <w:top w:w="15" w:type="dxa"/>
              <w:left w:w="15" w:type="dxa"/>
              <w:right w:w="15" w:type="dxa"/>
            </w:tcMar>
            <w:vAlign w:val="center"/>
          </w:tcPr>
          <w:p>
            <w:pPr>
              <w:widowControl/>
              <w:spacing w:line="400" w:lineRule="exact"/>
              <w:jc w:val="center"/>
              <w:textAlignment w:val="center"/>
              <w:rPr>
                <w:rFonts w:ascii="宋体" w:hAnsi="宋体" w:cstheme="minorEastAsia"/>
                <w:color w:val="auto"/>
                <w:kern w:val="0"/>
                <w:sz w:val="24"/>
                <w:szCs w:val="24"/>
                <w:highlight w:val="none"/>
              </w:rPr>
            </w:pPr>
            <w:r>
              <w:rPr>
                <w:rFonts w:hint="eastAsia" w:ascii="宋体" w:hAnsi="宋体" w:cstheme="minorEastAsia"/>
                <w:color w:val="auto"/>
                <w:kern w:val="0"/>
                <w:sz w:val="24"/>
                <w:szCs w:val="24"/>
                <w:highlight w:val="none"/>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宋体" w:hAnsi="宋体" w:cstheme="minorEastAsia"/>
                <w:color w:val="auto"/>
                <w:kern w:val="0"/>
                <w:sz w:val="24"/>
                <w:szCs w:val="24"/>
                <w:highlight w:val="none"/>
              </w:rPr>
            </w:pPr>
          </w:p>
        </w:tc>
        <w:tc>
          <w:tcPr>
            <w:tcW w:w="1371" w:type="dxa"/>
            <w:tcMar>
              <w:top w:w="15" w:type="dxa"/>
              <w:left w:w="15" w:type="dxa"/>
              <w:right w:w="15" w:type="dxa"/>
            </w:tcMar>
            <w:vAlign w:val="center"/>
          </w:tcPr>
          <w:p>
            <w:pPr>
              <w:snapToGrid w:val="0"/>
              <w:spacing w:line="400" w:lineRule="exact"/>
              <w:jc w:val="center"/>
              <w:rPr>
                <w:rFonts w:ascii="宋体" w:hAnsi="宋体" w:cstheme="minorEastAsia"/>
                <w:color w:val="auto"/>
                <w:sz w:val="24"/>
                <w:szCs w:val="24"/>
                <w:highlight w:val="none"/>
              </w:rPr>
            </w:pPr>
            <w:r>
              <w:rPr>
                <w:rFonts w:hint="eastAsia" w:ascii="宋体" w:hAnsi="宋体" w:cstheme="minorEastAsia"/>
                <w:color w:val="auto"/>
                <w:sz w:val="24"/>
                <w:szCs w:val="24"/>
                <w:highlight w:val="none"/>
              </w:rPr>
              <w:t>项目组织</w:t>
            </w:r>
          </w:p>
          <w:p>
            <w:pPr>
              <w:widowControl/>
              <w:spacing w:line="400" w:lineRule="exact"/>
              <w:jc w:val="center"/>
              <w:textAlignment w:val="center"/>
              <w:rPr>
                <w:rFonts w:ascii="宋体" w:hAnsi="宋体"/>
                <w:color w:val="auto"/>
                <w:sz w:val="24"/>
                <w:szCs w:val="24"/>
                <w:highlight w:val="none"/>
              </w:rPr>
            </w:pPr>
            <w:r>
              <w:rPr>
                <w:rFonts w:hint="eastAsia" w:ascii="宋体" w:hAnsi="宋体" w:cstheme="minorEastAsia"/>
                <w:color w:val="auto"/>
                <w:sz w:val="24"/>
                <w:szCs w:val="24"/>
                <w:highlight w:val="none"/>
              </w:rPr>
              <w:t>方案评价</w:t>
            </w:r>
          </w:p>
        </w:tc>
        <w:tc>
          <w:tcPr>
            <w:tcW w:w="5954" w:type="dxa"/>
            <w:tcMar>
              <w:top w:w="15" w:type="dxa"/>
              <w:left w:w="15" w:type="dxa"/>
              <w:right w:w="15" w:type="dxa"/>
            </w:tcMar>
            <w:vAlign w:val="center"/>
          </w:tcPr>
          <w:p>
            <w:pPr>
              <w:widowControl/>
              <w:spacing w:line="40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根据供应商提供的项目实施方案进行评分：</w:t>
            </w:r>
          </w:p>
          <w:p>
            <w:pPr>
              <w:widowControl/>
              <w:spacing w:line="40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项目实施方案包括但不限于</w:t>
            </w:r>
            <w:r>
              <w:rPr>
                <w:rFonts w:hint="eastAsia" w:ascii="宋体" w:hAnsi="宋体" w:cstheme="majorEastAsia"/>
                <w:color w:val="auto"/>
                <w:sz w:val="24"/>
                <w:szCs w:val="24"/>
                <w:highlight w:val="none"/>
              </w:rPr>
              <w:t>项目人员配备、项目供货方案、安装调试方案</w:t>
            </w:r>
            <w:r>
              <w:rPr>
                <w:rFonts w:ascii="宋体" w:hAnsi="宋体"/>
                <w:color w:val="auto"/>
                <w:sz w:val="24"/>
                <w:szCs w:val="24"/>
                <w:highlight w:val="none"/>
              </w:rPr>
              <w:t>等</w:t>
            </w:r>
            <w:r>
              <w:rPr>
                <w:rFonts w:hint="eastAsia" w:ascii="宋体" w:hAnsi="宋体"/>
                <w:color w:val="auto"/>
                <w:sz w:val="24"/>
                <w:szCs w:val="24"/>
                <w:highlight w:val="none"/>
              </w:rPr>
              <w:t>内容，方案内容完整齐全，符合项目实际的，得12分；每缺少一项方案内容，或一项内容存在缺陷的，每一项扣4分，扣完为止；未提供项目实施方案的，此项不得分。</w:t>
            </w:r>
          </w:p>
          <w:p>
            <w:pPr>
              <w:widowControl/>
              <w:spacing w:line="400" w:lineRule="exact"/>
              <w:ind w:firstLine="482" w:firstLineChars="200"/>
              <w:rPr>
                <w:rFonts w:ascii="宋体" w:hAnsi="宋体"/>
                <w:b/>
                <w:bCs/>
                <w:color w:val="auto"/>
                <w:sz w:val="24"/>
                <w:szCs w:val="24"/>
                <w:highlight w:val="none"/>
              </w:rPr>
            </w:pPr>
            <w:r>
              <w:rPr>
                <w:rFonts w:hint="eastAsia" w:ascii="宋体" w:hAnsi="宋体"/>
                <w:b/>
                <w:bCs/>
                <w:color w:val="auto"/>
                <w:sz w:val="24"/>
                <w:szCs w:val="24"/>
                <w:highlight w:val="none"/>
              </w:rPr>
              <w:t>注：1.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widowControl/>
              <w:spacing w:line="400" w:lineRule="exact"/>
              <w:jc w:val="center"/>
              <w:textAlignment w:val="center"/>
              <w:rPr>
                <w:rFonts w:hint="eastAsia" w:ascii="宋体" w:hAnsi="宋体" w:eastAsia="宋体" w:cstheme="minorEastAsia"/>
                <w:color w:val="auto"/>
                <w:kern w:val="0"/>
                <w:sz w:val="24"/>
                <w:szCs w:val="24"/>
                <w:highlight w:val="none"/>
                <w:lang w:eastAsia="zh-CN"/>
              </w:rPr>
            </w:pPr>
            <w:r>
              <w:rPr>
                <w:rFonts w:hint="eastAsia" w:ascii="宋体" w:hAnsi="宋体" w:cstheme="minorEastAsia"/>
                <w:color w:val="auto"/>
                <w:kern w:val="0"/>
                <w:sz w:val="24"/>
                <w:szCs w:val="24"/>
                <w:highlight w:val="none"/>
              </w:rPr>
              <w:t>1</w:t>
            </w:r>
            <w:r>
              <w:rPr>
                <w:rFonts w:hint="eastAsia" w:ascii="宋体" w:hAnsi="宋体" w:cstheme="minorEastAsia"/>
                <w:color w:val="auto"/>
                <w:kern w:val="0"/>
                <w:sz w:val="24"/>
                <w:szCs w:val="24"/>
                <w:highlight w:val="none"/>
                <w:lang w:val="en-US" w:eastAsia="zh-CN"/>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2"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宋体" w:hAnsi="宋体" w:cstheme="minorEastAsia"/>
                <w:color w:val="auto"/>
                <w:sz w:val="24"/>
                <w:szCs w:val="24"/>
                <w:highlight w:val="none"/>
              </w:rPr>
            </w:pPr>
          </w:p>
        </w:tc>
        <w:tc>
          <w:tcPr>
            <w:tcW w:w="1371" w:type="dxa"/>
            <w:tcMar>
              <w:top w:w="15" w:type="dxa"/>
              <w:left w:w="15" w:type="dxa"/>
              <w:right w:w="15" w:type="dxa"/>
            </w:tcMar>
            <w:vAlign w:val="center"/>
          </w:tcPr>
          <w:p>
            <w:pPr>
              <w:widowControl/>
              <w:spacing w:line="400" w:lineRule="exact"/>
              <w:jc w:val="center"/>
              <w:textAlignment w:val="center"/>
              <w:rPr>
                <w:rFonts w:ascii="宋体" w:hAnsi="宋体" w:cstheme="minorEastAsia"/>
                <w:color w:val="auto"/>
                <w:kern w:val="0"/>
                <w:sz w:val="24"/>
                <w:szCs w:val="24"/>
                <w:highlight w:val="none"/>
              </w:rPr>
            </w:pPr>
            <w:r>
              <w:rPr>
                <w:rFonts w:hint="eastAsia" w:ascii="宋体" w:hAnsi="宋体" w:cstheme="minorEastAsia"/>
                <w:color w:val="auto"/>
                <w:kern w:val="0"/>
                <w:sz w:val="24"/>
                <w:szCs w:val="24"/>
                <w:highlight w:val="none"/>
              </w:rPr>
              <w:t>技术培训</w:t>
            </w:r>
          </w:p>
          <w:p>
            <w:pPr>
              <w:widowControl/>
              <w:spacing w:line="400" w:lineRule="exact"/>
              <w:jc w:val="center"/>
              <w:textAlignment w:val="center"/>
              <w:rPr>
                <w:rFonts w:ascii="宋体" w:hAnsi="宋体" w:cstheme="minorEastAsia"/>
                <w:color w:val="auto"/>
                <w:kern w:val="0"/>
                <w:sz w:val="24"/>
                <w:szCs w:val="24"/>
                <w:highlight w:val="none"/>
              </w:rPr>
            </w:pPr>
            <w:r>
              <w:rPr>
                <w:rFonts w:hint="eastAsia" w:ascii="宋体" w:hAnsi="宋体" w:cstheme="minorEastAsia"/>
                <w:color w:val="auto"/>
                <w:kern w:val="0"/>
                <w:sz w:val="24"/>
                <w:szCs w:val="24"/>
                <w:highlight w:val="none"/>
              </w:rPr>
              <w:t>方案评价</w:t>
            </w:r>
          </w:p>
        </w:tc>
        <w:tc>
          <w:tcPr>
            <w:tcW w:w="5954" w:type="dxa"/>
            <w:tcMar>
              <w:top w:w="15" w:type="dxa"/>
              <w:left w:w="15" w:type="dxa"/>
              <w:right w:w="15" w:type="dxa"/>
            </w:tcMar>
            <w:vAlign w:val="center"/>
          </w:tcPr>
          <w:p>
            <w:pPr>
              <w:widowControl/>
              <w:spacing w:line="40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根据供应商提供的项目培训方案进行评分：</w:t>
            </w:r>
          </w:p>
          <w:p>
            <w:pPr>
              <w:widowControl/>
              <w:spacing w:line="40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项目培训方案包括但不限于</w:t>
            </w:r>
            <w:r>
              <w:rPr>
                <w:rFonts w:ascii="宋体" w:hAnsi="宋体" w:cstheme="majorEastAsia"/>
                <w:color w:val="auto"/>
                <w:sz w:val="24"/>
                <w:szCs w:val="24"/>
                <w:highlight w:val="none"/>
              </w:rPr>
              <w:t>培训内容</w:t>
            </w:r>
            <w:r>
              <w:rPr>
                <w:rFonts w:hint="eastAsia" w:ascii="宋体" w:hAnsi="宋体" w:cstheme="majorEastAsia"/>
                <w:color w:val="auto"/>
                <w:sz w:val="24"/>
                <w:szCs w:val="24"/>
                <w:highlight w:val="none"/>
              </w:rPr>
              <w:t>、</w:t>
            </w:r>
            <w:r>
              <w:rPr>
                <w:rFonts w:ascii="宋体" w:hAnsi="宋体" w:cstheme="majorEastAsia"/>
                <w:color w:val="auto"/>
                <w:sz w:val="24"/>
                <w:szCs w:val="24"/>
                <w:highlight w:val="none"/>
              </w:rPr>
              <w:t>培训方式</w:t>
            </w:r>
            <w:r>
              <w:rPr>
                <w:rFonts w:hint="eastAsia" w:ascii="宋体" w:hAnsi="宋体" w:cstheme="majorEastAsia"/>
                <w:color w:val="auto"/>
                <w:sz w:val="24"/>
                <w:szCs w:val="24"/>
                <w:highlight w:val="none"/>
              </w:rPr>
              <w:t>、</w:t>
            </w:r>
            <w:r>
              <w:rPr>
                <w:rFonts w:ascii="宋体" w:hAnsi="宋体" w:cstheme="majorEastAsia"/>
                <w:color w:val="auto"/>
                <w:sz w:val="24"/>
                <w:szCs w:val="24"/>
                <w:highlight w:val="none"/>
              </w:rPr>
              <w:t>培训计划</w:t>
            </w:r>
            <w:r>
              <w:rPr>
                <w:rFonts w:hint="eastAsia" w:ascii="宋体" w:hAnsi="宋体" w:cstheme="majorEastAsia"/>
                <w:color w:val="auto"/>
                <w:sz w:val="24"/>
                <w:szCs w:val="24"/>
                <w:highlight w:val="none"/>
              </w:rPr>
              <w:t>、</w:t>
            </w:r>
            <w:r>
              <w:rPr>
                <w:rFonts w:ascii="宋体" w:hAnsi="宋体" w:cstheme="majorEastAsia"/>
                <w:color w:val="auto"/>
                <w:sz w:val="24"/>
                <w:szCs w:val="24"/>
                <w:highlight w:val="none"/>
              </w:rPr>
              <w:t>培训团队人员配置</w:t>
            </w:r>
            <w:r>
              <w:rPr>
                <w:rFonts w:ascii="宋体" w:hAnsi="宋体"/>
                <w:color w:val="auto"/>
                <w:sz w:val="24"/>
                <w:szCs w:val="24"/>
                <w:highlight w:val="none"/>
              </w:rPr>
              <w:t>等</w:t>
            </w:r>
            <w:r>
              <w:rPr>
                <w:rFonts w:hint="eastAsia" w:ascii="宋体" w:hAnsi="宋体"/>
                <w:color w:val="auto"/>
                <w:sz w:val="24"/>
                <w:szCs w:val="24"/>
                <w:highlight w:val="none"/>
              </w:rPr>
              <w:t>4项内容，方案内容完整齐全，符合项目实际的，得</w:t>
            </w:r>
            <w:r>
              <w:rPr>
                <w:rFonts w:hint="eastAsia" w:ascii="宋体" w:hAnsi="宋体"/>
                <w:color w:val="auto"/>
                <w:sz w:val="24"/>
                <w:szCs w:val="24"/>
                <w:highlight w:val="none"/>
                <w:lang w:val="en-US" w:eastAsia="zh-CN"/>
              </w:rPr>
              <w:t>10</w:t>
            </w:r>
            <w:r>
              <w:rPr>
                <w:rFonts w:hint="eastAsia" w:ascii="宋体" w:hAnsi="宋体"/>
                <w:color w:val="auto"/>
                <w:sz w:val="24"/>
                <w:szCs w:val="24"/>
                <w:highlight w:val="none"/>
              </w:rPr>
              <w:t>分；每缺少一项方案内容，或一项内容存在缺陷的，每一项扣2</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分，扣完为止；未提供项目实施方案的，此项不得分。</w:t>
            </w:r>
          </w:p>
          <w:p>
            <w:pPr>
              <w:snapToGrid w:val="0"/>
              <w:spacing w:line="400" w:lineRule="exact"/>
              <w:ind w:firstLine="482" w:firstLineChars="200"/>
              <w:rPr>
                <w:rFonts w:ascii="宋体" w:hAnsi="宋体" w:cstheme="minorEastAsia"/>
                <w:color w:val="auto"/>
                <w:kern w:val="0"/>
                <w:sz w:val="24"/>
                <w:szCs w:val="24"/>
                <w:highlight w:val="none"/>
              </w:rPr>
            </w:pPr>
            <w:r>
              <w:rPr>
                <w:rFonts w:hint="eastAsia" w:ascii="宋体" w:hAnsi="宋体"/>
                <w:b/>
                <w:bCs/>
                <w:color w:val="auto"/>
                <w:sz w:val="24"/>
                <w:szCs w:val="24"/>
                <w:highlight w:val="none"/>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widowControl/>
              <w:spacing w:line="400" w:lineRule="exact"/>
              <w:jc w:val="center"/>
              <w:textAlignment w:val="center"/>
              <w:rPr>
                <w:rFonts w:hint="default" w:ascii="宋体" w:hAnsi="宋体" w:eastAsia="宋体" w:cstheme="minorEastAsia"/>
                <w:color w:val="auto"/>
                <w:sz w:val="24"/>
                <w:szCs w:val="24"/>
                <w:highlight w:val="none"/>
                <w:lang w:val="en-US" w:eastAsia="zh-CN"/>
              </w:rPr>
            </w:pPr>
            <w:r>
              <w:rPr>
                <w:rFonts w:hint="eastAsia" w:ascii="宋体" w:hAnsi="宋体" w:cstheme="minorEastAsia"/>
                <w:color w:val="auto"/>
                <w:sz w:val="24"/>
                <w:szCs w:val="24"/>
                <w:highlight w:val="none"/>
                <w:lang w:val="en-US" w:eastAsia="zh-CN"/>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32"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宋体" w:hAnsi="宋体" w:cstheme="minorEastAsia"/>
                <w:color w:val="auto"/>
                <w:sz w:val="24"/>
                <w:szCs w:val="24"/>
                <w:highlight w:val="none"/>
              </w:rPr>
            </w:pPr>
          </w:p>
        </w:tc>
        <w:tc>
          <w:tcPr>
            <w:tcW w:w="1371" w:type="dxa"/>
            <w:tcBorders>
              <w:top w:val="single" w:color="auto" w:sz="4" w:space="0"/>
            </w:tcBorders>
            <w:tcMar>
              <w:top w:w="15" w:type="dxa"/>
              <w:left w:w="15" w:type="dxa"/>
              <w:right w:w="15" w:type="dxa"/>
            </w:tcMar>
            <w:vAlign w:val="center"/>
          </w:tcPr>
          <w:p>
            <w:pPr>
              <w:widowControl/>
              <w:spacing w:line="400" w:lineRule="exact"/>
              <w:jc w:val="center"/>
              <w:textAlignment w:val="center"/>
              <w:rPr>
                <w:rFonts w:ascii="宋体" w:hAnsi="宋体" w:cstheme="minorEastAsia"/>
                <w:color w:val="auto"/>
                <w:kern w:val="0"/>
                <w:sz w:val="24"/>
                <w:szCs w:val="24"/>
                <w:highlight w:val="none"/>
              </w:rPr>
            </w:pPr>
            <w:r>
              <w:rPr>
                <w:rFonts w:hint="eastAsia" w:ascii="宋体" w:hAnsi="宋体" w:cstheme="minorEastAsia"/>
                <w:color w:val="auto"/>
                <w:kern w:val="0"/>
                <w:sz w:val="24"/>
                <w:szCs w:val="24"/>
                <w:highlight w:val="none"/>
              </w:rPr>
              <w:t>售后服务</w:t>
            </w:r>
          </w:p>
          <w:p>
            <w:pPr>
              <w:widowControl/>
              <w:spacing w:line="400" w:lineRule="exact"/>
              <w:jc w:val="center"/>
              <w:textAlignment w:val="center"/>
              <w:rPr>
                <w:rFonts w:ascii="宋体" w:hAnsi="宋体" w:cstheme="minorEastAsia"/>
                <w:color w:val="auto"/>
                <w:kern w:val="0"/>
                <w:sz w:val="24"/>
                <w:szCs w:val="24"/>
                <w:highlight w:val="none"/>
              </w:rPr>
            </w:pPr>
            <w:r>
              <w:rPr>
                <w:rFonts w:hint="eastAsia" w:ascii="宋体" w:hAnsi="宋体" w:cstheme="minorEastAsia"/>
                <w:color w:val="auto"/>
                <w:kern w:val="0"/>
                <w:sz w:val="24"/>
                <w:szCs w:val="24"/>
                <w:highlight w:val="none"/>
              </w:rPr>
              <w:t>方案评价</w:t>
            </w:r>
          </w:p>
        </w:tc>
        <w:tc>
          <w:tcPr>
            <w:tcW w:w="5954" w:type="dxa"/>
            <w:tcMar>
              <w:top w:w="15" w:type="dxa"/>
              <w:left w:w="15" w:type="dxa"/>
              <w:right w:w="15" w:type="dxa"/>
            </w:tcMar>
            <w:vAlign w:val="center"/>
          </w:tcPr>
          <w:p>
            <w:pPr>
              <w:widowControl/>
              <w:spacing w:line="40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根据供应商提供的售后服务方案进行评分：</w:t>
            </w:r>
          </w:p>
          <w:p>
            <w:pPr>
              <w:widowControl/>
              <w:spacing w:line="40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项目售后服务方案包括但不限于</w:t>
            </w:r>
            <w:r>
              <w:rPr>
                <w:rFonts w:hint="eastAsia" w:ascii="宋体" w:hAnsi="宋体" w:cstheme="majorEastAsia"/>
                <w:color w:val="auto"/>
                <w:sz w:val="24"/>
                <w:szCs w:val="24"/>
                <w:highlight w:val="none"/>
              </w:rPr>
              <w:t>售后</w:t>
            </w:r>
            <w:r>
              <w:rPr>
                <w:rFonts w:ascii="宋体" w:hAnsi="宋体" w:cstheme="majorEastAsia"/>
                <w:color w:val="auto"/>
                <w:sz w:val="24"/>
                <w:szCs w:val="24"/>
                <w:highlight w:val="none"/>
              </w:rPr>
              <w:t>服务承诺</w:t>
            </w:r>
            <w:r>
              <w:rPr>
                <w:rFonts w:hint="eastAsia" w:ascii="宋体" w:hAnsi="宋体" w:cstheme="majorEastAsia"/>
                <w:color w:val="auto"/>
                <w:sz w:val="24"/>
                <w:szCs w:val="24"/>
                <w:highlight w:val="none"/>
              </w:rPr>
              <w:t>、</w:t>
            </w:r>
            <w:r>
              <w:rPr>
                <w:rFonts w:ascii="宋体" w:hAnsi="宋体" w:cstheme="majorEastAsia"/>
                <w:color w:val="auto"/>
                <w:sz w:val="24"/>
                <w:szCs w:val="24"/>
                <w:highlight w:val="none"/>
              </w:rPr>
              <w:t>服务响应方案</w:t>
            </w:r>
            <w:r>
              <w:rPr>
                <w:rFonts w:hint="eastAsia" w:ascii="宋体" w:hAnsi="宋体" w:cstheme="majorEastAsia"/>
                <w:color w:val="auto"/>
                <w:sz w:val="24"/>
                <w:szCs w:val="24"/>
                <w:highlight w:val="none"/>
              </w:rPr>
              <w:t>、</w:t>
            </w:r>
            <w:r>
              <w:rPr>
                <w:rFonts w:ascii="宋体" w:hAnsi="宋体" w:cstheme="majorEastAsia"/>
                <w:color w:val="auto"/>
                <w:sz w:val="24"/>
                <w:szCs w:val="24"/>
                <w:highlight w:val="none"/>
              </w:rPr>
              <w:t>备件（易耗品）供应方案</w:t>
            </w:r>
            <w:r>
              <w:rPr>
                <w:rFonts w:hint="eastAsia" w:ascii="宋体" w:hAnsi="宋体" w:cstheme="majorEastAsia"/>
                <w:color w:val="auto"/>
                <w:sz w:val="24"/>
                <w:szCs w:val="24"/>
                <w:highlight w:val="none"/>
              </w:rPr>
              <w:t>（含备件价格）、</w:t>
            </w:r>
            <w:r>
              <w:rPr>
                <w:rFonts w:ascii="宋体" w:hAnsi="宋体" w:cstheme="majorEastAsia"/>
                <w:color w:val="auto"/>
                <w:sz w:val="24"/>
                <w:szCs w:val="24"/>
                <w:highlight w:val="none"/>
              </w:rPr>
              <w:t>服务人员配备</w:t>
            </w:r>
            <w:r>
              <w:rPr>
                <w:rFonts w:hint="eastAsia" w:ascii="宋体" w:hAnsi="宋体" w:cstheme="majorEastAsia"/>
                <w:color w:val="auto"/>
                <w:sz w:val="24"/>
                <w:szCs w:val="24"/>
                <w:highlight w:val="none"/>
              </w:rPr>
              <w:t>、</w:t>
            </w:r>
            <w:r>
              <w:rPr>
                <w:rFonts w:ascii="宋体" w:hAnsi="宋体" w:cstheme="majorEastAsia"/>
                <w:color w:val="auto"/>
                <w:sz w:val="24"/>
                <w:szCs w:val="24"/>
                <w:highlight w:val="none"/>
              </w:rPr>
              <w:t>故障响应</w:t>
            </w:r>
            <w:r>
              <w:rPr>
                <w:rFonts w:hint="eastAsia" w:ascii="宋体" w:hAnsi="宋体" w:cstheme="majorEastAsia"/>
                <w:color w:val="auto"/>
                <w:sz w:val="24"/>
                <w:szCs w:val="24"/>
                <w:highlight w:val="none"/>
              </w:rPr>
              <w:t>措施、</w:t>
            </w:r>
            <w:r>
              <w:rPr>
                <w:rFonts w:ascii="宋体" w:hAnsi="宋体" w:cstheme="majorEastAsia"/>
                <w:color w:val="auto"/>
                <w:sz w:val="24"/>
                <w:szCs w:val="24"/>
                <w:highlight w:val="none"/>
              </w:rPr>
              <w:t>质保外服务措施</w:t>
            </w:r>
            <w:r>
              <w:rPr>
                <w:rFonts w:ascii="宋体" w:hAnsi="宋体"/>
                <w:color w:val="auto"/>
                <w:sz w:val="24"/>
                <w:szCs w:val="24"/>
                <w:highlight w:val="none"/>
              </w:rPr>
              <w:t>等</w:t>
            </w:r>
            <w:r>
              <w:rPr>
                <w:rFonts w:hint="eastAsia" w:ascii="宋体" w:hAnsi="宋体"/>
                <w:color w:val="auto"/>
                <w:sz w:val="24"/>
                <w:szCs w:val="24"/>
                <w:highlight w:val="none"/>
              </w:rPr>
              <w:t>6项内容，方案内容完整齐全，符合项目实际的，得12分；每缺少一项方案内容，或一项内容存在缺陷的，每一项扣2分，扣完为止；未提供项目实施方案的，此项不得分。</w:t>
            </w:r>
          </w:p>
          <w:p>
            <w:pPr>
              <w:snapToGrid w:val="0"/>
              <w:spacing w:line="400" w:lineRule="exact"/>
              <w:ind w:firstLine="482" w:firstLineChars="200"/>
              <w:rPr>
                <w:rFonts w:ascii="宋体" w:hAnsi="宋体" w:cstheme="minorEastAsia"/>
                <w:color w:val="auto"/>
                <w:sz w:val="24"/>
                <w:szCs w:val="24"/>
                <w:highlight w:val="none"/>
              </w:rPr>
            </w:pPr>
            <w:r>
              <w:rPr>
                <w:rFonts w:hint="eastAsia" w:ascii="宋体" w:hAnsi="宋体"/>
                <w:b/>
                <w:bCs/>
                <w:color w:val="auto"/>
                <w:sz w:val="24"/>
                <w:szCs w:val="24"/>
                <w:highlight w:val="none"/>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snapToGrid w:val="0"/>
              <w:spacing w:line="400" w:lineRule="exact"/>
              <w:jc w:val="center"/>
              <w:rPr>
                <w:rFonts w:ascii="宋体" w:hAnsi="宋体" w:cstheme="minorEastAsia"/>
                <w:color w:val="auto"/>
                <w:sz w:val="24"/>
                <w:szCs w:val="24"/>
                <w:highlight w:val="none"/>
              </w:rPr>
            </w:pPr>
            <w:r>
              <w:rPr>
                <w:rFonts w:hint="eastAsia" w:ascii="宋体" w:hAnsi="宋体" w:cstheme="minorEastAsia"/>
                <w:color w:val="auto"/>
                <w:sz w:val="24"/>
                <w:szCs w:val="24"/>
                <w:highlight w:val="none"/>
              </w:rPr>
              <w:t>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atLeast"/>
          <w:jc w:val="center"/>
        </w:trPr>
        <w:tc>
          <w:tcPr>
            <w:tcW w:w="9109" w:type="dxa"/>
            <w:gridSpan w:val="4"/>
            <w:tcMar>
              <w:top w:w="15" w:type="dxa"/>
              <w:left w:w="15" w:type="dxa"/>
              <w:right w:w="15" w:type="dxa"/>
            </w:tcMar>
            <w:vAlign w:val="center"/>
          </w:tcPr>
          <w:p>
            <w:pPr>
              <w:widowControl/>
              <w:spacing w:line="400" w:lineRule="exact"/>
              <w:jc w:val="center"/>
              <w:textAlignment w:val="center"/>
              <w:rPr>
                <w:rFonts w:ascii="宋体" w:hAnsi="宋体" w:cstheme="minorEastAsia"/>
                <w:color w:val="auto"/>
                <w:sz w:val="24"/>
                <w:szCs w:val="24"/>
                <w:highlight w:val="none"/>
              </w:rPr>
            </w:pPr>
            <w:r>
              <w:rPr>
                <w:rFonts w:hint="eastAsia" w:ascii="宋体" w:hAnsi="宋体" w:cstheme="minorEastAsia"/>
                <w:color w:val="auto"/>
                <w:kern w:val="0"/>
                <w:sz w:val="24"/>
                <w:szCs w:val="24"/>
                <w:highlight w:val="none"/>
              </w:rPr>
              <w:t>合计：100分</w:t>
            </w:r>
          </w:p>
        </w:tc>
      </w:tr>
    </w:tbl>
    <w:p>
      <w:pPr>
        <w:pStyle w:val="4"/>
        <w:rPr>
          <w:rFonts w:hint="eastAsia" w:ascii="宋体" w:hAnsi="宋体" w:cstheme="minorEastAsia"/>
          <w:b/>
          <w:color w:val="auto"/>
          <w:sz w:val="24"/>
          <w:szCs w:val="24"/>
          <w:highlight w:val="none"/>
        </w:rPr>
      </w:pPr>
    </w:p>
    <w:p>
      <w:pPr>
        <w:pStyle w:val="4"/>
        <w:rPr>
          <w:rFonts w:hint="eastAsia" w:ascii="宋体" w:hAnsi="宋体" w:cstheme="minorEastAsia"/>
          <w:b/>
          <w:color w:val="auto"/>
          <w:sz w:val="24"/>
          <w:szCs w:val="24"/>
          <w:highlight w:val="none"/>
        </w:rPr>
      </w:pPr>
    </w:p>
    <w:p>
      <w:pPr>
        <w:pStyle w:val="4"/>
        <w:rPr>
          <w:rFonts w:ascii="宋体" w:hAnsi="宋体" w:cstheme="minorEastAsia"/>
          <w:b/>
          <w:color w:val="auto"/>
          <w:sz w:val="24"/>
          <w:szCs w:val="24"/>
          <w:highlight w:val="none"/>
        </w:rPr>
      </w:pPr>
      <w:r>
        <w:rPr>
          <w:rFonts w:hint="eastAsia" w:ascii="宋体" w:hAnsi="宋体" w:cstheme="minorEastAsia"/>
          <w:b/>
          <w:color w:val="auto"/>
          <w:sz w:val="24"/>
          <w:szCs w:val="24"/>
          <w:highlight w:val="none"/>
        </w:rPr>
        <w:t>第2包评分标准：</w:t>
      </w:r>
    </w:p>
    <w:tbl>
      <w:tblPr>
        <w:tblStyle w:val="38"/>
        <w:tblW w:w="91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97"/>
        <w:gridCol w:w="1371"/>
        <w:gridCol w:w="5954"/>
        <w:gridCol w:w="68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7"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宋体" w:hAnsi="宋体" w:cstheme="minorEastAsia"/>
                <w:b/>
                <w:color w:val="auto"/>
                <w:sz w:val="24"/>
                <w:szCs w:val="24"/>
                <w:highlight w:val="none"/>
              </w:rPr>
            </w:pPr>
            <w:r>
              <w:rPr>
                <w:rFonts w:hint="eastAsia" w:ascii="宋体" w:hAnsi="宋体" w:cstheme="minorEastAsia"/>
                <w:b/>
                <w:color w:val="auto"/>
                <w:kern w:val="0"/>
                <w:sz w:val="24"/>
                <w:szCs w:val="24"/>
                <w:highlight w:val="none"/>
              </w:rPr>
              <w:t>评分因素及权重</w:t>
            </w:r>
          </w:p>
        </w:tc>
        <w:tc>
          <w:tcPr>
            <w:tcW w:w="1371" w:type="dxa"/>
            <w:tcMar>
              <w:top w:w="15" w:type="dxa"/>
              <w:left w:w="15" w:type="dxa"/>
              <w:right w:w="15" w:type="dxa"/>
            </w:tcMar>
            <w:vAlign w:val="center"/>
          </w:tcPr>
          <w:p>
            <w:pPr>
              <w:widowControl/>
              <w:spacing w:line="400" w:lineRule="exact"/>
              <w:jc w:val="center"/>
              <w:textAlignment w:val="center"/>
              <w:rPr>
                <w:rFonts w:ascii="宋体" w:hAnsi="宋体" w:cstheme="minorEastAsia"/>
                <w:b/>
                <w:color w:val="auto"/>
                <w:sz w:val="24"/>
                <w:szCs w:val="24"/>
                <w:highlight w:val="none"/>
              </w:rPr>
            </w:pPr>
            <w:r>
              <w:rPr>
                <w:rFonts w:hint="eastAsia" w:ascii="宋体" w:hAnsi="宋体" w:cstheme="minorEastAsia"/>
                <w:b/>
                <w:color w:val="auto"/>
                <w:kern w:val="0"/>
                <w:sz w:val="24"/>
                <w:szCs w:val="24"/>
                <w:highlight w:val="none"/>
              </w:rPr>
              <w:t>评标因素</w:t>
            </w:r>
          </w:p>
        </w:tc>
        <w:tc>
          <w:tcPr>
            <w:tcW w:w="5954" w:type="dxa"/>
            <w:tcMar>
              <w:top w:w="15" w:type="dxa"/>
              <w:left w:w="15" w:type="dxa"/>
              <w:right w:w="15" w:type="dxa"/>
            </w:tcMar>
            <w:vAlign w:val="center"/>
          </w:tcPr>
          <w:p>
            <w:pPr>
              <w:widowControl/>
              <w:spacing w:line="400" w:lineRule="exact"/>
              <w:jc w:val="center"/>
              <w:textAlignment w:val="center"/>
              <w:rPr>
                <w:rFonts w:ascii="宋体" w:hAnsi="宋体" w:cstheme="minorEastAsia"/>
                <w:b/>
                <w:color w:val="auto"/>
                <w:sz w:val="24"/>
                <w:szCs w:val="24"/>
                <w:highlight w:val="none"/>
              </w:rPr>
            </w:pPr>
            <w:r>
              <w:rPr>
                <w:rFonts w:hint="eastAsia" w:ascii="宋体" w:hAnsi="宋体" w:cstheme="minorEastAsia"/>
                <w:b/>
                <w:color w:val="auto"/>
                <w:kern w:val="0"/>
                <w:sz w:val="24"/>
                <w:szCs w:val="24"/>
                <w:highlight w:val="none"/>
              </w:rPr>
              <w:t>评分标准</w:t>
            </w:r>
          </w:p>
        </w:tc>
        <w:tc>
          <w:tcPr>
            <w:tcW w:w="687" w:type="dxa"/>
            <w:tcMar>
              <w:top w:w="15" w:type="dxa"/>
              <w:left w:w="15" w:type="dxa"/>
              <w:right w:w="15" w:type="dxa"/>
            </w:tcMar>
            <w:vAlign w:val="center"/>
          </w:tcPr>
          <w:p>
            <w:pPr>
              <w:widowControl/>
              <w:spacing w:line="400" w:lineRule="exact"/>
              <w:jc w:val="center"/>
              <w:textAlignment w:val="center"/>
              <w:rPr>
                <w:rFonts w:ascii="宋体" w:hAnsi="宋体" w:cstheme="minorEastAsia"/>
                <w:b/>
                <w:color w:val="auto"/>
                <w:sz w:val="24"/>
                <w:szCs w:val="24"/>
                <w:highlight w:val="none"/>
              </w:rPr>
            </w:pPr>
            <w:r>
              <w:rPr>
                <w:rFonts w:hint="eastAsia" w:ascii="宋体" w:hAnsi="宋体" w:cstheme="minorEastAsia"/>
                <w:b/>
                <w:color w:val="auto"/>
                <w:kern w:val="0"/>
                <w:sz w:val="24"/>
                <w:szCs w:val="24"/>
                <w:highlight w:val="none"/>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7"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宋体" w:hAnsi="宋体" w:cstheme="minorEastAsia"/>
                <w:color w:val="auto"/>
                <w:sz w:val="24"/>
                <w:szCs w:val="24"/>
                <w:highlight w:val="none"/>
              </w:rPr>
            </w:pPr>
            <w:r>
              <w:rPr>
                <w:rFonts w:hint="eastAsia" w:ascii="宋体" w:hAnsi="宋体" w:cstheme="minorEastAsia"/>
                <w:color w:val="auto"/>
                <w:kern w:val="0"/>
                <w:sz w:val="24"/>
                <w:szCs w:val="24"/>
                <w:highlight w:val="none"/>
              </w:rPr>
              <w:t>价格部分（30分）</w:t>
            </w:r>
          </w:p>
        </w:tc>
        <w:tc>
          <w:tcPr>
            <w:tcW w:w="1371" w:type="dxa"/>
            <w:tcMar>
              <w:top w:w="15" w:type="dxa"/>
              <w:left w:w="15" w:type="dxa"/>
              <w:right w:w="15" w:type="dxa"/>
            </w:tcMar>
            <w:vAlign w:val="center"/>
          </w:tcPr>
          <w:p>
            <w:pPr>
              <w:widowControl/>
              <w:spacing w:line="400" w:lineRule="exact"/>
              <w:jc w:val="center"/>
              <w:textAlignment w:val="center"/>
              <w:rPr>
                <w:rFonts w:ascii="宋体" w:hAnsi="宋体" w:cstheme="minorEastAsia"/>
                <w:color w:val="auto"/>
                <w:kern w:val="0"/>
                <w:sz w:val="24"/>
                <w:szCs w:val="24"/>
                <w:highlight w:val="none"/>
              </w:rPr>
            </w:pPr>
            <w:r>
              <w:rPr>
                <w:rFonts w:hint="eastAsia" w:ascii="宋体" w:hAnsi="宋体" w:cstheme="minorEastAsia"/>
                <w:color w:val="auto"/>
                <w:kern w:val="0"/>
                <w:sz w:val="24"/>
                <w:szCs w:val="24"/>
                <w:highlight w:val="none"/>
              </w:rPr>
              <w:t>投标</w:t>
            </w:r>
          </w:p>
          <w:p>
            <w:pPr>
              <w:widowControl/>
              <w:spacing w:line="400" w:lineRule="exact"/>
              <w:jc w:val="center"/>
              <w:textAlignment w:val="center"/>
              <w:rPr>
                <w:rFonts w:ascii="宋体" w:hAnsi="宋体" w:cstheme="minorEastAsia"/>
                <w:color w:val="auto"/>
                <w:kern w:val="0"/>
                <w:sz w:val="24"/>
                <w:szCs w:val="24"/>
                <w:highlight w:val="none"/>
              </w:rPr>
            </w:pPr>
            <w:r>
              <w:rPr>
                <w:rFonts w:hint="eastAsia" w:ascii="宋体" w:hAnsi="宋体" w:cstheme="minorEastAsia"/>
                <w:color w:val="auto"/>
                <w:kern w:val="0"/>
                <w:sz w:val="24"/>
                <w:szCs w:val="24"/>
                <w:highlight w:val="none"/>
              </w:rPr>
              <w:t>报价</w:t>
            </w:r>
          </w:p>
        </w:tc>
        <w:tc>
          <w:tcPr>
            <w:tcW w:w="5954" w:type="dxa"/>
            <w:tcMar>
              <w:top w:w="15" w:type="dxa"/>
              <w:left w:w="15" w:type="dxa"/>
              <w:right w:w="15" w:type="dxa"/>
            </w:tcMar>
            <w:vAlign w:val="center"/>
          </w:tcPr>
          <w:p>
            <w:pPr>
              <w:widowControl/>
              <w:spacing w:line="400" w:lineRule="exact"/>
              <w:textAlignment w:val="center"/>
              <w:rPr>
                <w:rFonts w:ascii="宋体" w:hAnsi="宋体" w:cstheme="minorEastAsia"/>
                <w:color w:val="auto"/>
                <w:kern w:val="0"/>
                <w:sz w:val="24"/>
                <w:szCs w:val="24"/>
                <w:highlight w:val="none"/>
              </w:rPr>
            </w:pPr>
            <w:r>
              <w:rPr>
                <w:rFonts w:hint="eastAsia" w:ascii="宋体" w:hAnsi="宋体" w:cstheme="minorEastAsia"/>
                <w:color w:val="auto"/>
                <w:kern w:val="0"/>
                <w:sz w:val="24"/>
                <w:szCs w:val="24"/>
                <w:highlight w:val="none"/>
              </w:rPr>
              <w:t>综合评分法中的价格分统一采用低价优先法计算，即满足招标文件要求且投标价格最低的投标报价为评标基准价，其价格分为满分30分，其它投标报价得分=评标基准价/投标报价*30</w:t>
            </w:r>
          </w:p>
        </w:tc>
        <w:tc>
          <w:tcPr>
            <w:tcW w:w="687" w:type="dxa"/>
            <w:tcMar>
              <w:top w:w="15" w:type="dxa"/>
              <w:left w:w="15" w:type="dxa"/>
              <w:right w:w="15" w:type="dxa"/>
            </w:tcMar>
            <w:vAlign w:val="center"/>
          </w:tcPr>
          <w:p>
            <w:pPr>
              <w:widowControl/>
              <w:spacing w:line="400" w:lineRule="exact"/>
              <w:jc w:val="center"/>
              <w:textAlignment w:val="center"/>
              <w:rPr>
                <w:rFonts w:ascii="宋体" w:hAnsi="宋体" w:cstheme="minorEastAsia"/>
                <w:color w:val="auto"/>
                <w:sz w:val="24"/>
                <w:szCs w:val="24"/>
                <w:highlight w:val="none"/>
              </w:rPr>
            </w:pPr>
            <w:r>
              <w:rPr>
                <w:rFonts w:hint="eastAsia" w:ascii="宋体" w:hAnsi="宋体" w:cstheme="minorEastAsia"/>
                <w:color w:val="auto"/>
                <w:kern w:val="0"/>
                <w:sz w:val="24"/>
                <w:szCs w:val="24"/>
                <w:highlight w:val="none"/>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restart"/>
            <w:tcMar>
              <w:top w:w="15" w:type="dxa"/>
              <w:left w:w="15" w:type="dxa"/>
              <w:right w:w="15" w:type="dxa"/>
            </w:tcMar>
            <w:vAlign w:val="center"/>
          </w:tcPr>
          <w:p>
            <w:pPr>
              <w:widowControl/>
              <w:spacing w:line="400" w:lineRule="exact"/>
              <w:jc w:val="center"/>
              <w:textAlignment w:val="center"/>
              <w:rPr>
                <w:rFonts w:ascii="宋体" w:hAnsi="宋体" w:cstheme="minorEastAsia"/>
                <w:color w:val="auto"/>
                <w:kern w:val="0"/>
                <w:sz w:val="24"/>
                <w:szCs w:val="24"/>
                <w:highlight w:val="none"/>
              </w:rPr>
            </w:pPr>
          </w:p>
          <w:p>
            <w:pPr>
              <w:widowControl/>
              <w:spacing w:line="400" w:lineRule="exact"/>
              <w:jc w:val="center"/>
              <w:textAlignment w:val="center"/>
              <w:rPr>
                <w:rFonts w:ascii="宋体" w:hAnsi="宋体" w:cstheme="minorEastAsia"/>
                <w:color w:val="auto"/>
                <w:kern w:val="0"/>
                <w:sz w:val="24"/>
                <w:szCs w:val="24"/>
                <w:highlight w:val="none"/>
              </w:rPr>
            </w:pPr>
          </w:p>
          <w:p>
            <w:pPr>
              <w:widowControl/>
              <w:spacing w:line="400" w:lineRule="exact"/>
              <w:jc w:val="center"/>
              <w:textAlignment w:val="center"/>
              <w:rPr>
                <w:rFonts w:ascii="宋体" w:hAnsi="宋体" w:cstheme="minorEastAsia"/>
                <w:color w:val="auto"/>
                <w:kern w:val="0"/>
                <w:sz w:val="24"/>
                <w:szCs w:val="24"/>
                <w:highlight w:val="none"/>
              </w:rPr>
            </w:pPr>
          </w:p>
          <w:p>
            <w:pPr>
              <w:widowControl/>
              <w:spacing w:line="400" w:lineRule="exact"/>
              <w:jc w:val="center"/>
              <w:textAlignment w:val="center"/>
              <w:rPr>
                <w:rFonts w:ascii="宋体" w:hAnsi="宋体" w:cstheme="minorEastAsia"/>
                <w:color w:val="auto"/>
                <w:kern w:val="0"/>
                <w:sz w:val="24"/>
                <w:szCs w:val="24"/>
                <w:highlight w:val="none"/>
              </w:rPr>
            </w:pPr>
          </w:p>
          <w:p>
            <w:pPr>
              <w:widowControl/>
              <w:spacing w:line="400" w:lineRule="exact"/>
              <w:jc w:val="center"/>
              <w:textAlignment w:val="center"/>
              <w:rPr>
                <w:rFonts w:ascii="宋体" w:hAnsi="宋体" w:cstheme="minorEastAsia"/>
                <w:color w:val="auto"/>
                <w:kern w:val="0"/>
                <w:sz w:val="24"/>
                <w:szCs w:val="24"/>
                <w:highlight w:val="none"/>
              </w:rPr>
            </w:pPr>
          </w:p>
          <w:p>
            <w:pPr>
              <w:widowControl/>
              <w:spacing w:line="400" w:lineRule="exact"/>
              <w:jc w:val="center"/>
              <w:textAlignment w:val="center"/>
              <w:rPr>
                <w:rFonts w:ascii="宋体" w:hAnsi="宋体" w:cstheme="minorEastAsia"/>
                <w:color w:val="auto"/>
                <w:kern w:val="0"/>
                <w:sz w:val="24"/>
                <w:szCs w:val="24"/>
                <w:highlight w:val="none"/>
              </w:rPr>
            </w:pPr>
          </w:p>
          <w:p>
            <w:pPr>
              <w:widowControl/>
              <w:spacing w:line="400" w:lineRule="exact"/>
              <w:jc w:val="center"/>
              <w:textAlignment w:val="center"/>
              <w:rPr>
                <w:rFonts w:ascii="宋体" w:hAnsi="宋体" w:cstheme="minorEastAsia"/>
                <w:color w:val="auto"/>
                <w:kern w:val="0"/>
                <w:sz w:val="24"/>
                <w:szCs w:val="24"/>
                <w:highlight w:val="none"/>
              </w:rPr>
            </w:pPr>
          </w:p>
          <w:p>
            <w:pPr>
              <w:widowControl/>
              <w:spacing w:line="400" w:lineRule="exact"/>
              <w:jc w:val="center"/>
              <w:textAlignment w:val="center"/>
              <w:rPr>
                <w:rFonts w:ascii="宋体" w:hAnsi="宋体" w:cstheme="minorEastAsia"/>
                <w:color w:val="auto"/>
                <w:kern w:val="0"/>
                <w:sz w:val="24"/>
                <w:szCs w:val="24"/>
                <w:highlight w:val="none"/>
              </w:rPr>
            </w:pPr>
          </w:p>
          <w:p>
            <w:pPr>
              <w:widowControl/>
              <w:spacing w:line="400" w:lineRule="exact"/>
              <w:jc w:val="center"/>
              <w:textAlignment w:val="center"/>
              <w:rPr>
                <w:rFonts w:ascii="宋体" w:hAnsi="宋体" w:cstheme="minorEastAsia"/>
                <w:color w:val="auto"/>
                <w:kern w:val="0"/>
                <w:sz w:val="24"/>
                <w:szCs w:val="24"/>
                <w:highlight w:val="none"/>
              </w:rPr>
            </w:pPr>
          </w:p>
          <w:p>
            <w:pPr>
              <w:widowControl/>
              <w:spacing w:line="400" w:lineRule="exact"/>
              <w:jc w:val="center"/>
              <w:textAlignment w:val="center"/>
              <w:rPr>
                <w:rFonts w:ascii="宋体" w:hAnsi="宋体" w:cstheme="minorEastAsia"/>
                <w:color w:val="auto"/>
                <w:kern w:val="0"/>
                <w:sz w:val="24"/>
                <w:szCs w:val="24"/>
                <w:highlight w:val="none"/>
              </w:rPr>
            </w:pPr>
          </w:p>
          <w:p>
            <w:pPr>
              <w:widowControl/>
              <w:spacing w:line="400" w:lineRule="exact"/>
              <w:jc w:val="center"/>
              <w:textAlignment w:val="center"/>
              <w:rPr>
                <w:rFonts w:ascii="宋体" w:hAnsi="宋体" w:cstheme="minorEastAsia"/>
                <w:color w:val="auto"/>
                <w:kern w:val="0"/>
                <w:sz w:val="24"/>
                <w:szCs w:val="24"/>
                <w:highlight w:val="none"/>
              </w:rPr>
            </w:pPr>
          </w:p>
          <w:p>
            <w:pPr>
              <w:widowControl/>
              <w:spacing w:line="400" w:lineRule="exact"/>
              <w:jc w:val="center"/>
              <w:textAlignment w:val="center"/>
              <w:rPr>
                <w:rFonts w:ascii="宋体" w:hAnsi="宋体" w:cstheme="minorEastAsia"/>
                <w:color w:val="auto"/>
                <w:kern w:val="0"/>
                <w:sz w:val="24"/>
                <w:szCs w:val="24"/>
                <w:highlight w:val="none"/>
              </w:rPr>
            </w:pPr>
          </w:p>
          <w:p>
            <w:pPr>
              <w:widowControl/>
              <w:spacing w:line="400" w:lineRule="exact"/>
              <w:jc w:val="center"/>
              <w:textAlignment w:val="center"/>
              <w:rPr>
                <w:rFonts w:ascii="宋体" w:hAnsi="宋体" w:cstheme="minorEastAsia"/>
                <w:color w:val="auto"/>
                <w:kern w:val="0"/>
                <w:sz w:val="24"/>
                <w:szCs w:val="24"/>
                <w:highlight w:val="none"/>
              </w:rPr>
            </w:pPr>
          </w:p>
          <w:p>
            <w:pPr>
              <w:widowControl/>
              <w:spacing w:line="400" w:lineRule="exact"/>
              <w:jc w:val="center"/>
              <w:textAlignment w:val="center"/>
              <w:rPr>
                <w:rFonts w:ascii="宋体" w:hAnsi="宋体" w:cstheme="minorEastAsia"/>
                <w:color w:val="auto"/>
                <w:kern w:val="0"/>
                <w:sz w:val="24"/>
                <w:szCs w:val="24"/>
                <w:highlight w:val="none"/>
              </w:rPr>
            </w:pPr>
          </w:p>
          <w:p>
            <w:pPr>
              <w:widowControl/>
              <w:spacing w:line="400" w:lineRule="exact"/>
              <w:jc w:val="center"/>
              <w:textAlignment w:val="center"/>
              <w:rPr>
                <w:rFonts w:ascii="宋体" w:hAnsi="宋体" w:cstheme="minorEastAsia"/>
                <w:color w:val="auto"/>
                <w:sz w:val="24"/>
                <w:szCs w:val="24"/>
                <w:highlight w:val="none"/>
              </w:rPr>
            </w:pPr>
            <w:r>
              <w:rPr>
                <w:rFonts w:hint="eastAsia" w:ascii="宋体" w:hAnsi="宋体" w:cstheme="minorEastAsia"/>
                <w:color w:val="auto"/>
                <w:kern w:val="0"/>
                <w:sz w:val="24"/>
                <w:szCs w:val="24"/>
                <w:highlight w:val="none"/>
              </w:rPr>
              <w:t>技术和商务部分（ 70分）</w:t>
            </w:r>
          </w:p>
        </w:tc>
        <w:tc>
          <w:tcPr>
            <w:tcW w:w="1371" w:type="dxa"/>
            <w:tcMar>
              <w:top w:w="15" w:type="dxa"/>
              <w:left w:w="15" w:type="dxa"/>
              <w:right w:w="15" w:type="dxa"/>
            </w:tcMar>
            <w:vAlign w:val="center"/>
          </w:tcPr>
          <w:p>
            <w:pPr>
              <w:widowControl/>
              <w:spacing w:line="400" w:lineRule="exact"/>
              <w:jc w:val="center"/>
              <w:textAlignment w:val="center"/>
              <w:rPr>
                <w:rFonts w:ascii="宋体" w:hAnsi="宋体" w:cstheme="minorEastAsia"/>
                <w:color w:val="auto"/>
                <w:kern w:val="0"/>
                <w:sz w:val="24"/>
                <w:szCs w:val="24"/>
                <w:highlight w:val="none"/>
              </w:rPr>
            </w:pPr>
            <w:r>
              <w:rPr>
                <w:rFonts w:hint="eastAsia" w:ascii="宋体" w:hAnsi="宋体" w:cstheme="minorEastAsia"/>
                <w:color w:val="auto"/>
                <w:kern w:val="0"/>
                <w:sz w:val="24"/>
                <w:szCs w:val="24"/>
                <w:highlight w:val="none"/>
              </w:rPr>
              <w:t>技术要求</w:t>
            </w:r>
          </w:p>
          <w:p>
            <w:pPr>
              <w:widowControl/>
              <w:spacing w:line="400" w:lineRule="exact"/>
              <w:jc w:val="center"/>
              <w:textAlignment w:val="center"/>
              <w:rPr>
                <w:rFonts w:ascii="宋体" w:hAnsi="宋体" w:cstheme="minorEastAsia"/>
                <w:color w:val="auto"/>
                <w:kern w:val="0"/>
                <w:sz w:val="24"/>
                <w:szCs w:val="24"/>
                <w:highlight w:val="none"/>
              </w:rPr>
            </w:pPr>
            <w:r>
              <w:rPr>
                <w:rFonts w:hint="eastAsia" w:ascii="宋体" w:hAnsi="宋体" w:cstheme="minorEastAsia"/>
                <w:color w:val="auto"/>
                <w:kern w:val="0"/>
                <w:sz w:val="24"/>
                <w:szCs w:val="24"/>
                <w:highlight w:val="none"/>
              </w:rPr>
              <w:t>响应评价</w:t>
            </w:r>
          </w:p>
        </w:tc>
        <w:tc>
          <w:tcPr>
            <w:tcW w:w="5954" w:type="dxa"/>
            <w:tcMar>
              <w:top w:w="15" w:type="dxa"/>
              <w:left w:w="15" w:type="dxa"/>
              <w:right w:w="15" w:type="dxa"/>
            </w:tcMar>
            <w:vAlign w:val="center"/>
          </w:tcPr>
          <w:p>
            <w:pPr>
              <w:widowControl/>
              <w:spacing w:line="400" w:lineRule="exact"/>
              <w:ind w:firstLine="480" w:firstLineChars="200"/>
              <w:textAlignment w:val="center"/>
              <w:rPr>
                <w:rFonts w:ascii="宋体" w:hAnsi="宋体" w:cstheme="minorEastAsia"/>
                <w:color w:val="auto"/>
                <w:kern w:val="0"/>
                <w:sz w:val="24"/>
                <w:szCs w:val="24"/>
                <w:highlight w:val="none"/>
              </w:rPr>
            </w:pPr>
            <w:r>
              <w:rPr>
                <w:rFonts w:hint="eastAsia" w:ascii="宋体" w:hAnsi="宋体" w:cstheme="minorEastAsia"/>
                <w:color w:val="auto"/>
                <w:kern w:val="0"/>
                <w:sz w:val="24"/>
                <w:szCs w:val="24"/>
                <w:highlight w:val="none"/>
              </w:rPr>
              <w:t>对照“项目需求”技术参数（每条技术参数前标注“★”的为核心技术参数，标注“▲”的为主要技术参数，未标注的为一般参数），根据投标人提供的产品配置及技术性能指标的响应情况进行评审。</w:t>
            </w:r>
          </w:p>
          <w:p>
            <w:pPr>
              <w:widowControl/>
              <w:spacing w:line="400" w:lineRule="exact"/>
              <w:ind w:firstLine="480" w:firstLineChars="200"/>
              <w:textAlignment w:val="center"/>
              <w:rPr>
                <w:rFonts w:ascii="宋体" w:hAnsi="宋体" w:cstheme="minorEastAsia"/>
                <w:color w:val="auto"/>
                <w:sz w:val="24"/>
                <w:szCs w:val="24"/>
                <w:highlight w:val="none"/>
              </w:rPr>
            </w:pPr>
            <w:r>
              <w:rPr>
                <w:rFonts w:hint="eastAsia" w:ascii="宋体" w:hAnsi="宋体" w:cstheme="minorEastAsia"/>
                <w:color w:val="auto"/>
                <w:sz w:val="24"/>
                <w:szCs w:val="24"/>
                <w:highlight w:val="none"/>
              </w:rPr>
              <w:t>1.投标人所投产品技术参数完全响应招标文件要求的，得30分；</w:t>
            </w:r>
          </w:p>
          <w:p>
            <w:pPr>
              <w:widowControl/>
              <w:spacing w:line="400" w:lineRule="exact"/>
              <w:ind w:firstLine="480" w:firstLineChars="200"/>
              <w:textAlignment w:val="center"/>
              <w:rPr>
                <w:rFonts w:ascii="宋体" w:hAnsi="宋体" w:cstheme="minorEastAsia"/>
                <w:color w:val="auto"/>
                <w:sz w:val="24"/>
                <w:szCs w:val="24"/>
                <w:highlight w:val="none"/>
              </w:rPr>
            </w:pPr>
            <w:r>
              <w:rPr>
                <w:rFonts w:hint="eastAsia" w:ascii="宋体" w:hAnsi="宋体" w:cstheme="minorEastAsia"/>
                <w:color w:val="auto"/>
                <w:sz w:val="24"/>
                <w:szCs w:val="24"/>
                <w:highlight w:val="none"/>
              </w:rPr>
              <w:t>2.核心技术参数存在负偏离的（</w:t>
            </w:r>
            <w:r>
              <w:rPr>
                <w:rFonts w:hint="eastAsia" w:ascii="宋体" w:hAnsi="宋体" w:cstheme="minorEastAsia"/>
                <w:color w:val="auto"/>
                <w:sz w:val="24"/>
                <w:szCs w:val="24"/>
                <w:highlight w:val="none"/>
                <w:lang w:val="en-US" w:eastAsia="zh-CN"/>
              </w:rPr>
              <w:t>4</w:t>
            </w:r>
            <w:r>
              <w:rPr>
                <w:rFonts w:hint="eastAsia" w:ascii="宋体" w:hAnsi="宋体" w:cstheme="minorEastAsia"/>
                <w:color w:val="auto"/>
                <w:sz w:val="24"/>
                <w:szCs w:val="24"/>
                <w:highlight w:val="none"/>
              </w:rPr>
              <w:t>条），此项不得分；</w:t>
            </w:r>
          </w:p>
          <w:p>
            <w:pPr>
              <w:pStyle w:val="2"/>
              <w:ind w:firstLine="480" w:firstLineChars="200"/>
              <w:rPr>
                <w:rFonts w:ascii="宋体" w:hAnsi="宋体" w:cstheme="minorEastAsia"/>
                <w:color w:val="auto"/>
                <w:sz w:val="24"/>
                <w:szCs w:val="24"/>
                <w:highlight w:val="none"/>
              </w:rPr>
            </w:pPr>
            <w:r>
              <w:rPr>
                <w:rFonts w:hint="eastAsia" w:ascii="宋体" w:hAnsi="宋体" w:cstheme="minorEastAsia"/>
                <w:color w:val="auto"/>
                <w:sz w:val="24"/>
                <w:szCs w:val="24"/>
                <w:highlight w:val="none"/>
              </w:rPr>
              <w:t>3.主要技术参数存在负偏离的（</w:t>
            </w:r>
            <w:r>
              <w:rPr>
                <w:rFonts w:hint="eastAsia" w:ascii="宋体" w:hAnsi="宋体" w:cstheme="minorEastAsia"/>
                <w:color w:val="auto"/>
                <w:sz w:val="24"/>
                <w:szCs w:val="24"/>
                <w:highlight w:val="none"/>
                <w:lang w:val="en-US" w:eastAsia="zh-CN"/>
              </w:rPr>
              <w:t>1</w:t>
            </w:r>
            <w:r>
              <w:rPr>
                <w:rFonts w:hint="eastAsia" w:ascii="宋体" w:hAnsi="宋体" w:cstheme="minorEastAsia"/>
                <w:color w:val="auto"/>
                <w:sz w:val="24"/>
                <w:szCs w:val="24"/>
                <w:highlight w:val="none"/>
              </w:rPr>
              <w:t>条），扣</w:t>
            </w:r>
            <w:r>
              <w:rPr>
                <w:rFonts w:hint="eastAsia" w:ascii="宋体" w:hAnsi="宋体" w:cstheme="minorEastAsia"/>
                <w:color w:val="auto"/>
                <w:sz w:val="24"/>
                <w:szCs w:val="24"/>
                <w:highlight w:val="none"/>
                <w:lang w:val="en-US" w:eastAsia="zh-CN"/>
              </w:rPr>
              <w:t>4</w:t>
            </w:r>
            <w:r>
              <w:rPr>
                <w:rFonts w:hint="eastAsia" w:ascii="宋体" w:hAnsi="宋体" w:cstheme="minorEastAsia"/>
                <w:color w:val="auto"/>
                <w:sz w:val="24"/>
                <w:szCs w:val="24"/>
                <w:highlight w:val="none"/>
              </w:rPr>
              <w:t>分；</w:t>
            </w:r>
          </w:p>
          <w:p>
            <w:pPr>
              <w:pStyle w:val="2"/>
              <w:ind w:firstLine="480" w:firstLineChars="200"/>
              <w:rPr>
                <w:rFonts w:ascii="宋体" w:hAnsi="宋体" w:cstheme="minorEastAsia"/>
                <w:color w:val="auto"/>
                <w:kern w:val="0"/>
                <w:sz w:val="24"/>
                <w:szCs w:val="24"/>
                <w:highlight w:val="none"/>
              </w:rPr>
            </w:pPr>
            <w:r>
              <w:rPr>
                <w:rFonts w:ascii="宋体" w:hAnsi="宋体" w:cstheme="minorEastAsia"/>
                <w:color w:val="auto"/>
                <w:sz w:val="24"/>
                <w:szCs w:val="24"/>
                <w:highlight w:val="none"/>
              </w:rPr>
              <w:t>3</w:t>
            </w:r>
            <w:r>
              <w:rPr>
                <w:rFonts w:hint="eastAsia" w:ascii="宋体" w:hAnsi="宋体" w:cstheme="minorEastAsia"/>
                <w:color w:val="auto"/>
                <w:sz w:val="24"/>
                <w:szCs w:val="24"/>
                <w:highlight w:val="none"/>
              </w:rPr>
              <w:t>.</w:t>
            </w:r>
            <w:r>
              <w:rPr>
                <w:rFonts w:hint="eastAsia" w:asciiTheme="minorEastAsia" w:hAnsiTheme="minorEastAsia" w:eastAsiaTheme="minorEastAsia" w:cstheme="minorEastAsia"/>
                <w:color w:val="auto"/>
                <w:kern w:val="0"/>
                <w:sz w:val="24"/>
                <w:szCs w:val="24"/>
                <w:highlight w:val="none"/>
              </w:rPr>
              <w:t>一般技术参数存在负偏离的（5</w:t>
            </w:r>
            <w:r>
              <w:rPr>
                <w:rFonts w:hint="eastAsia" w:asciiTheme="minorEastAsia" w:hAnsiTheme="minorEastAsia" w:eastAsiaTheme="minorEastAsia" w:cstheme="minorEastAsia"/>
                <w:color w:val="auto"/>
                <w:kern w:val="0"/>
                <w:sz w:val="24"/>
                <w:szCs w:val="24"/>
                <w:highlight w:val="none"/>
                <w:lang w:val="en-US" w:eastAsia="zh-CN"/>
              </w:rPr>
              <w:t>2</w:t>
            </w:r>
            <w:r>
              <w:rPr>
                <w:rFonts w:hint="eastAsia" w:asciiTheme="minorEastAsia" w:hAnsiTheme="minorEastAsia" w:eastAsiaTheme="minorEastAsia" w:cstheme="minorEastAsia"/>
                <w:color w:val="auto"/>
                <w:kern w:val="0"/>
                <w:sz w:val="24"/>
                <w:szCs w:val="24"/>
                <w:highlight w:val="none"/>
              </w:rPr>
              <w:t>条）</w:t>
            </w:r>
            <w:r>
              <w:rPr>
                <w:rFonts w:hint="eastAsia" w:ascii="宋体" w:hAnsi="宋体" w:cstheme="minorEastAsia"/>
                <w:color w:val="auto"/>
                <w:kern w:val="0"/>
                <w:sz w:val="24"/>
                <w:szCs w:val="24"/>
                <w:highlight w:val="none"/>
              </w:rPr>
              <w:t>，</w:t>
            </w:r>
            <w:r>
              <w:rPr>
                <w:rFonts w:hint="eastAsia" w:asciiTheme="minorEastAsia" w:hAnsiTheme="minorEastAsia" w:eastAsiaTheme="minorEastAsia" w:cstheme="minorEastAsia"/>
                <w:color w:val="auto"/>
                <w:kern w:val="0"/>
                <w:sz w:val="24"/>
                <w:szCs w:val="24"/>
                <w:highlight w:val="none"/>
              </w:rPr>
              <w:t>每一条扣0.5分，最多扣</w:t>
            </w:r>
            <w:r>
              <w:rPr>
                <w:rFonts w:hint="eastAsia" w:asciiTheme="minorEastAsia" w:hAnsiTheme="minorEastAsia" w:eastAsiaTheme="minorEastAsia" w:cstheme="minorEastAsia"/>
                <w:color w:val="auto"/>
                <w:kern w:val="0"/>
                <w:sz w:val="24"/>
                <w:szCs w:val="24"/>
                <w:highlight w:val="none"/>
                <w:lang w:val="en-US" w:eastAsia="zh-CN"/>
              </w:rPr>
              <w:t>26</w:t>
            </w:r>
            <w:r>
              <w:rPr>
                <w:rFonts w:hint="eastAsia" w:asciiTheme="minorEastAsia" w:hAnsiTheme="minorEastAsia" w:eastAsiaTheme="minorEastAsia" w:cstheme="minorEastAsia"/>
                <w:color w:val="auto"/>
                <w:kern w:val="0"/>
                <w:sz w:val="24"/>
                <w:szCs w:val="24"/>
                <w:highlight w:val="none"/>
              </w:rPr>
              <w:t>分</w:t>
            </w:r>
            <w:r>
              <w:rPr>
                <w:rFonts w:hint="eastAsia" w:ascii="宋体" w:hAnsi="宋体" w:cstheme="minorEastAsia"/>
                <w:color w:val="auto"/>
                <w:kern w:val="0"/>
                <w:sz w:val="24"/>
                <w:szCs w:val="24"/>
                <w:highlight w:val="none"/>
              </w:rPr>
              <w:t>。本项满分</w:t>
            </w:r>
            <w:r>
              <w:rPr>
                <w:rFonts w:hint="eastAsia" w:ascii="宋体" w:hAnsi="宋体" w:cstheme="minorEastAsia"/>
                <w:color w:val="auto"/>
                <w:kern w:val="0"/>
                <w:sz w:val="24"/>
                <w:szCs w:val="24"/>
                <w:highlight w:val="none"/>
                <w:lang w:val="en-US" w:eastAsia="zh-CN"/>
              </w:rPr>
              <w:t>26</w:t>
            </w:r>
            <w:r>
              <w:rPr>
                <w:rFonts w:hint="eastAsia" w:ascii="宋体" w:hAnsi="宋体" w:cstheme="minorEastAsia"/>
                <w:color w:val="auto"/>
                <w:kern w:val="0"/>
                <w:sz w:val="24"/>
                <w:szCs w:val="24"/>
                <w:highlight w:val="none"/>
              </w:rPr>
              <w:t>分。</w:t>
            </w:r>
          </w:p>
          <w:p>
            <w:pPr>
              <w:widowControl/>
              <w:spacing w:line="400" w:lineRule="exact"/>
              <w:ind w:firstLine="482" w:firstLineChars="200"/>
              <w:textAlignment w:val="center"/>
              <w:rPr>
                <w:rFonts w:ascii="宋体" w:hAnsi="宋体"/>
                <w:color w:val="auto"/>
                <w:highlight w:val="none"/>
              </w:rPr>
            </w:pPr>
            <w:r>
              <w:rPr>
                <w:rFonts w:ascii="宋体" w:hAnsi="宋体"/>
                <w:b/>
                <w:bCs/>
                <w:color w:val="auto"/>
                <w:sz w:val="24"/>
                <w:szCs w:val="24"/>
                <w:highlight w:val="none"/>
              </w:rPr>
              <w:t>注：负偏离评审依据：</w:t>
            </w:r>
            <w:r>
              <w:rPr>
                <w:rFonts w:hint="eastAsia" w:ascii="宋体" w:hAnsi="宋体"/>
                <w:b/>
                <w:bCs/>
                <w:color w:val="auto"/>
                <w:sz w:val="24"/>
                <w:szCs w:val="24"/>
                <w:highlight w:val="none"/>
              </w:rPr>
              <w:t>①</w:t>
            </w:r>
            <w:r>
              <w:rPr>
                <w:rFonts w:ascii="宋体" w:hAnsi="宋体"/>
                <w:b/>
                <w:bCs/>
                <w:color w:val="auto"/>
                <w:sz w:val="24"/>
                <w:szCs w:val="24"/>
                <w:highlight w:val="none"/>
              </w:rPr>
              <w:t>所</w:t>
            </w:r>
            <w:r>
              <w:rPr>
                <w:rFonts w:hint="eastAsia" w:ascii="宋体" w:hAnsi="宋体"/>
                <w:b/>
                <w:bCs/>
                <w:color w:val="auto"/>
                <w:sz w:val="24"/>
                <w:szCs w:val="24"/>
                <w:highlight w:val="none"/>
              </w:rPr>
              <w:t>提供</w:t>
            </w:r>
            <w:r>
              <w:rPr>
                <w:rFonts w:ascii="宋体" w:hAnsi="宋体"/>
                <w:b/>
                <w:bCs/>
                <w:color w:val="auto"/>
                <w:sz w:val="24"/>
                <w:szCs w:val="24"/>
                <w:highlight w:val="none"/>
              </w:rPr>
              <w:t>产品技术参数低于</w:t>
            </w:r>
            <w:r>
              <w:rPr>
                <w:rFonts w:hint="eastAsia" w:ascii="宋体" w:hAnsi="宋体"/>
                <w:b/>
                <w:bCs/>
                <w:color w:val="auto"/>
                <w:sz w:val="24"/>
                <w:szCs w:val="24"/>
                <w:highlight w:val="none"/>
              </w:rPr>
              <w:t>招标</w:t>
            </w:r>
            <w:r>
              <w:rPr>
                <w:rFonts w:ascii="宋体" w:hAnsi="宋体"/>
                <w:b/>
                <w:bCs/>
                <w:color w:val="auto"/>
                <w:sz w:val="24"/>
                <w:szCs w:val="24"/>
                <w:highlight w:val="none"/>
              </w:rPr>
              <w:t>文件要求的，视为负偏离；</w:t>
            </w:r>
            <w:r>
              <w:rPr>
                <w:rFonts w:hint="eastAsia" w:ascii="宋体" w:hAnsi="宋体"/>
                <w:b/>
                <w:bCs/>
                <w:color w:val="auto"/>
                <w:sz w:val="24"/>
                <w:szCs w:val="24"/>
                <w:highlight w:val="none"/>
              </w:rPr>
              <w:t>②</w:t>
            </w:r>
            <w:r>
              <w:rPr>
                <w:rFonts w:ascii="宋体" w:hAnsi="宋体"/>
                <w:b/>
                <w:bCs/>
                <w:color w:val="auto"/>
                <w:sz w:val="24"/>
                <w:szCs w:val="24"/>
                <w:highlight w:val="none"/>
              </w:rPr>
              <w:t>技术参数响应条款</w:t>
            </w:r>
            <w:r>
              <w:rPr>
                <w:rFonts w:hint="eastAsia" w:ascii="宋体" w:hAnsi="宋体"/>
                <w:b/>
                <w:bCs/>
                <w:color w:val="auto"/>
                <w:sz w:val="24"/>
                <w:szCs w:val="24"/>
                <w:highlight w:val="none"/>
              </w:rPr>
              <w:t>（以投标文件内技术偏离表为准）</w:t>
            </w:r>
            <w:r>
              <w:rPr>
                <w:rFonts w:ascii="宋体" w:hAnsi="宋体"/>
                <w:b/>
                <w:bCs/>
                <w:color w:val="auto"/>
                <w:sz w:val="24"/>
                <w:szCs w:val="24"/>
                <w:highlight w:val="none"/>
              </w:rPr>
              <w:t>与</w:t>
            </w:r>
            <w:r>
              <w:rPr>
                <w:rFonts w:hint="eastAsia" w:ascii="宋体" w:hAnsi="宋体"/>
                <w:b/>
                <w:bCs/>
                <w:color w:val="auto"/>
                <w:sz w:val="24"/>
                <w:szCs w:val="24"/>
                <w:highlight w:val="none"/>
              </w:rPr>
              <w:t>招标</w:t>
            </w:r>
            <w:r>
              <w:rPr>
                <w:rFonts w:ascii="宋体" w:hAnsi="宋体"/>
                <w:b/>
                <w:bCs/>
                <w:color w:val="auto"/>
                <w:sz w:val="24"/>
                <w:szCs w:val="24"/>
                <w:highlight w:val="none"/>
              </w:rPr>
              <w:t>文件对比有缺项、漏项的，视为负偏离；</w:t>
            </w:r>
            <w:r>
              <w:rPr>
                <w:rFonts w:hint="eastAsia" w:ascii="宋体" w:hAnsi="宋体"/>
                <w:b/>
                <w:bCs/>
                <w:color w:val="auto"/>
                <w:sz w:val="24"/>
                <w:szCs w:val="24"/>
                <w:highlight w:val="none"/>
              </w:rPr>
              <w:t>③投标文件内技术偏离表完全复制招标文件技术参数的（不涉及具体参数指标的描述性技术要求除外），视为负偏离；④投标人</w:t>
            </w:r>
            <w:r>
              <w:rPr>
                <w:rFonts w:ascii="宋体" w:hAnsi="宋体"/>
                <w:b/>
                <w:bCs/>
                <w:color w:val="auto"/>
                <w:sz w:val="24"/>
                <w:szCs w:val="24"/>
                <w:highlight w:val="none"/>
              </w:rPr>
              <w:t>提供的</w:t>
            </w:r>
            <w:r>
              <w:rPr>
                <w:rFonts w:hint="eastAsia" w:ascii="宋体" w:hAnsi="宋体"/>
                <w:b/>
                <w:bCs/>
                <w:color w:val="auto"/>
                <w:sz w:val="24"/>
                <w:szCs w:val="24"/>
                <w:highlight w:val="none"/>
              </w:rPr>
              <w:t>投标</w:t>
            </w:r>
            <w:r>
              <w:rPr>
                <w:rFonts w:ascii="宋体" w:hAnsi="宋体"/>
                <w:b/>
                <w:bCs/>
                <w:color w:val="auto"/>
                <w:sz w:val="24"/>
                <w:szCs w:val="24"/>
                <w:highlight w:val="none"/>
              </w:rPr>
              <w:t>文件中产品技术偏离表、产品技术规格书和产品检测报告内描述的同一产品技术参数响应值不一致的，视为负偏离</w:t>
            </w:r>
            <w:r>
              <w:rPr>
                <w:rFonts w:hint="eastAsia" w:ascii="宋体" w:hAnsi="宋体"/>
                <w:b/>
                <w:bCs/>
                <w:color w:val="auto"/>
                <w:sz w:val="24"/>
                <w:szCs w:val="24"/>
                <w:highlight w:val="none"/>
              </w:rPr>
              <w:t>。</w:t>
            </w:r>
          </w:p>
        </w:tc>
        <w:tc>
          <w:tcPr>
            <w:tcW w:w="687" w:type="dxa"/>
            <w:tcMar>
              <w:top w:w="15" w:type="dxa"/>
              <w:left w:w="15" w:type="dxa"/>
              <w:right w:w="15" w:type="dxa"/>
            </w:tcMar>
            <w:vAlign w:val="center"/>
          </w:tcPr>
          <w:p>
            <w:pPr>
              <w:widowControl/>
              <w:spacing w:line="400" w:lineRule="exact"/>
              <w:jc w:val="center"/>
              <w:textAlignment w:val="center"/>
              <w:rPr>
                <w:rFonts w:ascii="宋体" w:hAnsi="宋体" w:cstheme="minorEastAsia"/>
                <w:color w:val="auto"/>
                <w:kern w:val="0"/>
                <w:sz w:val="24"/>
                <w:szCs w:val="24"/>
                <w:highlight w:val="none"/>
              </w:rPr>
            </w:pPr>
            <w:r>
              <w:rPr>
                <w:rFonts w:hint="eastAsia" w:ascii="宋体" w:hAnsi="宋体" w:cstheme="minorEastAsia"/>
                <w:color w:val="auto"/>
                <w:sz w:val="24"/>
                <w:szCs w:val="24"/>
                <w:highlight w:val="none"/>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宋体" w:hAnsi="宋体" w:cstheme="minorEastAsia"/>
                <w:color w:val="auto"/>
                <w:kern w:val="0"/>
                <w:sz w:val="24"/>
                <w:szCs w:val="24"/>
                <w:highlight w:val="none"/>
              </w:rPr>
            </w:pPr>
          </w:p>
        </w:tc>
        <w:tc>
          <w:tcPr>
            <w:tcW w:w="1371" w:type="dxa"/>
            <w:tcMar>
              <w:top w:w="15" w:type="dxa"/>
              <w:left w:w="15" w:type="dxa"/>
              <w:right w:w="15" w:type="dxa"/>
            </w:tcMar>
            <w:vAlign w:val="center"/>
          </w:tcPr>
          <w:p>
            <w:pPr>
              <w:widowControl/>
              <w:spacing w:line="400" w:lineRule="exact"/>
              <w:jc w:val="center"/>
              <w:textAlignment w:val="center"/>
              <w:rPr>
                <w:rFonts w:ascii="宋体" w:hAnsi="宋体" w:cstheme="minorEastAsia"/>
                <w:color w:val="auto"/>
                <w:kern w:val="0"/>
                <w:sz w:val="24"/>
                <w:szCs w:val="24"/>
                <w:highlight w:val="none"/>
              </w:rPr>
            </w:pPr>
            <w:r>
              <w:rPr>
                <w:rFonts w:ascii="宋体" w:hAnsi="宋体"/>
                <w:color w:val="auto"/>
                <w:sz w:val="24"/>
                <w:szCs w:val="24"/>
                <w:highlight w:val="none"/>
              </w:rPr>
              <w:t>业绩证明</w:t>
            </w:r>
          </w:p>
        </w:tc>
        <w:tc>
          <w:tcPr>
            <w:tcW w:w="5954" w:type="dxa"/>
            <w:tcMar>
              <w:top w:w="15" w:type="dxa"/>
              <w:left w:w="15" w:type="dxa"/>
              <w:right w:w="15" w:type="dxa"/>
            </w:tcMar>
            <w:vAlign w:val="center"/>
          </w:tcPr>
          <w:p>
            <w:pPr>
              <w:widowControl/>
              <w:spacing w:line="40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供应商近三年内（2021年1月1日起至今，以合同签订日期为准）完成类似项目的业绩，每个项目业绩得2分，最多得6分。</w:t>
            </w:r>
          </w:p>
          <w:p>
            <w:pPr>
              <w:widowControl/>
              <w:spacing w:line="400" w:lineRule="exact"/>
              <w:ind w:firstLine="482" w:firstLineChars="200"/>
              <w:textAlignment w:val="center"/>
              <w:rPr>
                <w:rFonts w:ascii="宋体" w:hAnsi="宋体"/>
                <w:b/>
                <w:bCs/>
                <w:color w:val="auto"/>
                <w:sz w:val="24"/>
                <w:szCs w:val="24"/>
                <w:highlight w:val="none"/>
              </w:rPr>
            </w:pPr>
            <w:r>
              <w:rPr>
                <w:rFonts w:hint="eastAsia" w:ascii="宋体" w:hAnsi="宋体"/>
                <w:b/>
                <w:bCs/>
                <w:color w:val="auto"/>
                <w:sz w:val="24"/>
                <w:szCs w:val="24"/>
                <w:highlight w:val="none"/>
              </w:rPr>
              <w:t>注：①提供中标（成交）通知书和合同复印件，未按要求提供不得分；②同一单位近三年的类似合同不重复计算业绩，仅算一个业绩。</w:t>
            </w:r>
          </w:p>
        </w:tc>
        <w:tc>
          <w:tcPr>
            <w:tcW w:w="687" w:type="dxa"/>
            <w:tcMar>
              <w:top w:w="15" w:type="dxa"/>
              <w:left w:w="15" w:type="dxa"/>
              <w:right w:w="15" w:type="dxa"/>
            </w:tcMar>
            <w:vAlign w:val="center"/>
          </w:tcPr>
          <w:p>
            <w:pPr>
              <w:widowControl/>
              <w:spacing w:line="400" w:lineRule="exact"/>
              <w:jc w:val="center"/>
              <w:textAlignment w:val="center"/>
              <w:rPr>
                <w:rFonts w:ascii="宋体" w:hAnsi="宋体" w:cstheme="minorEastAsia"/>
                <w:color w:val="auto"/>
                <w:kern w:val="0"/>
                <w:sz w:val="24"/>
                <w:szCs w:val="24"/>
                <w:highlight w:val="none"/>
              </w:rPr>
            </w:pPr>
            <w:r>
              <w:rPr>
                <w:rFonts w:hint="eastAsia" w:ascii="宋体" w:hAnsi="宋体" w:cstheme="minorEastAsia"/>
                <w:color w:val="auto"/>
                <w:kern w:val="0"/>
                <w:sz w:val="24"/>
                <w:szCs w:val="24"/>
                <w:highlight w:val="none"/>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宋体" w:hAnsi="宋体" w:cstheme="minorEastAsia"/>
                <w:color w:val="auto"/>
                <w:kern w:val="0"/>
                <w:sz w:val="24"/>
                <w:szCs w:val="24"/>
                <w:highlight w:val="none"/>
              </w:rPr>
            </w:pPr>
          </w:p>
        </w:tc>
        <w:tc>
          <w:tcPr>
            <w:tcW w:w="1371" w:type="dxa"/>
            <w:tcMar>
              <w:top w:w="15" w:type="dxa"/>
              <w:left w:w="15" w:type="dxa"/>
              <w:right w:w="15" w:type="dxa"/>
            </w:tcMar>
            <w:vAlign w:val="center"/>
          </w:tcPr>
          <w:p>
            <w:pPr>
              <w:snapToGrid w:val="0"/>
              <w:spacing w:line="400" w:lineRule="exact"/>
              <w:jc w:val="center"/>
              <w:rPr>
                <w:rFonts w:ascii="宋体" w:hAnsi="宋体" w:cstheme="minorEastAsia"/>
                <w:color w:val="auto"/>
                <w:sz w:val="24"/>
                <w:szCs w:val="24"/>
                <w:highlight w:val="none"/>
              </w:rPr>
            </w:pPr>
            <w:r>
              <w:rPr>
                <w:rFonts w:hint="eastAsia" w:ascii="宋体" w:hAnsi="宋体" w:cstheme="minorEastAsia"/>
                <w:color w:val="auto"/>
                <w:sz w:val="24"/>
                <w:szCs w:val="24"/>
                <w:highlight w:val="none"/>
              </w:rPr>
              <w:t>项目组织</w:t>
            </w:r>
          </w:p>
          <w:p>
            <w:pPr>
              <w:widowControl/>
              <w:spacing w:line="400" w:lineRule="exact"/>
              <w:jc w:val="center"/>
              <w:textAlignment w:val="center"/>
              <w:rPr>
                <w:rFonts w:ascii="宋体" w:hAnsi="宋体"/>
                <w:color w:val="auto"/>
                <w:sz w:val="24"/>
                <w:szCs w:val="24"/>
                <w:highlight w:val="none"/>
              </w:rPr>
            </w:pPr>
            <w:r>
              <w:rPr>
                <w:rFonts w:hint="eastAsia" w:ascii="宋体" w:hAnsi="宋体" w:cstheme="minorEastAsia"/>
                <w:color w:val="auto"/>
                <w:sz w:val="24"/>
                <w:szCs w:val="24"/>
                <w:highlight w:val="none"/>
              </w:rPr>
              <w:t>方案评价</w:t>
            </w:r>
          </w:p>
        </w:tc>
        <w:tc>
          <w:tcPr>
            <w:tcW w:w="5954" w:type="dxa"/>
            <w:tcMar>
              <w:top w:w="15" w:type="dxa"/>
              <w:left w:w="15" w:type="dxa"/>
              <w:right w:w="15" w:type="dxa"/>
            </w:tcMar>
            <w:vAlign w:val="center"/>
          </w:tcPr>
          <w:p>
            <w:pPr>
              <w:widowControl/>
              <w:spacing w:line="40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根据供应商提供的项目实施方案进行评分：</w:t>
            </w:r>
          </w:p>
          <w:p>
            <w:pPr>
              <w:widowControl/>
              <w:spacing w:line="40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项目实施方案包括但不限于</w:t>
            </w:r>
            <w:r>
              <w:rPr>
                <w:rFonts w:hint="eastAsia" w:ascii="宋体" w:hAnsi="宋体" w:cstheme="majorEastAsia"/>
                <w:color w:val="auto"/>
                <w:sz w:val="24"/>
                <w:szCs w:val="24"/>
                <w:highlight w:val="none"/>
              </w:rPr>
              <w:t>项目人员配备、项目供货方案、安装调试方案</w:t>
            </w:r>
            <w:r>
              <w:rPr>
                <w:rFonts w:ascii="宋体" w:hAnsi="宋体"/>
                <w:color w:val="auto"/>
                <w:sz w:val="24"/>
                <w:szCs w:val="24"/>
                <w:highlight w:val="none"/>
              </w:rPr>
              <w:t>等</w:t>
            </w:r>
            <w:r>
              <w:rPr>
                <w:rFonts w:hint="eastAsia" w:ascii="宋体" w:hAnsi="宋体"/>
                <w:color w:val="auto"/>
                <w:sz w:val="24"/>
                <w:szCs w:val="24"/>
                <w:highlight w:val="none"/>
              </w:rPr>
              <w:t>内容，方案内容完整齐全，符合项目实际的，得12分；每缺少一项方案内容，或一项内容存在缺陷的，每一项扣4分，扣完为止；未提供项目实施方案的，此项不得分。</w:t>
            </w:r>
          </w:p>
          <w:p>
            <w:pPr>
              <w:widowControl/>
              <w:spacing w:line="400" w:lineRule="exact"/>
              <w:ind w:firstLine="482" w:firstLineChars="200"/>
              <w:rPr>
                <w:rFonts w:ascii="宋体" w:hAnsi="宋体"/>
                <w:b/>
                <w:bCs/>
                <w:color w:val="auto"/>
                <w:sz w:val="24"/>
                <w:szCs w:val="24"/>
                <w:highlight w:val="none"/>
              </w:rPr>
            </w:pPr>
            <w:r>
              <w:rPr>
                <w:rFonts w:hint="eastAsia" w:ascii="宋体" w:hAnsi="宋体"/>
                <w:b/>
                <w:bCs/>
                <w:color w:val="auto"/>
                <w:sz w:val="24"/>
                <w:szCs w:val="24"/>
                <w:highlight w:val="none"/>
              </w:rPr>
              <w:t>注：1.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widowControl/>
              <w:spacing w:line="400" w:lineRule="exact"/>
              <w:jc w:val="center"/>
              <w:textAlignment w:val="center"/>
              <w:rPr>
                <w:rFonts w:ascii="宋体" w:hAnsi="宋体" w:cstheme="minorEastAsia"/>
                <w:color w:val="auto"/>
                <w:kern w:val="0"/>
                <w:sz w:val="24"/>
                <w:szCs w:val="24"/>
                <w:highlight w:val="none"/>
              </w:rPr>
            </w:pPr>
            <w:r>
              <w:rPr>
                <w:rFonts w:hint="eastAsia" w:ascii="宋体" w:hAnsi="宋体" w:cstheme="minorEastAsia"/>
                <w:color w:val="auto"/>
                <w:kern w:val="0"/>
                <w:sz w:val="24"/>
                <w:szCs w:val="24"/>
                <w:highlight w:val="none"/>
              </w:rPr>
              <w:t>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2"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宋体" w:hAnsi="宋体" w:cstheme="minorEastAsia"/>
                <w:color w:val="auto"/>
                <w:sz w:val="24"/>
                <w:szCs w:val="24"/>
                <w:highlight w:val="none"/>
              </w:rPr>
            </w:pPr>
          </w:p>
        </w:tc>
        <w:tc>
          <w:tcPr>
            <w:tcW w:w="1371" w:type="dxa"/>
            <w:tcMar>
              <w:top w:w="15" w:type="dxa"/>
              <w:left w:w="15" w:type="dxa"/>
              <w:right w:w="15" w:type="dxa"/>
            </w:tcMar>
            <w:vAlign w:val="center"/>
          </w:tcPr>
          <w:p>
            <w:pPr>
              <w:widowControl/>
              <w:spacing w:line="400" w:lineRule="exact"/>
              <w:jc w:val="center"/>
              <w:textAlignment w:val="center"/>
              <w:rPr>
                <w:rFonts w:ascii="宋体" w:hAnsi="宋体" w:cstheme="minorEastAsia"/>
                <w:color w:val="auto"/>
                <w:kern w:val="0"/>
                <w:sz w:val="24"/>
                <w:szCs w:val="24"/>
                <w:highlight w:val="none"/>
              </w:rPr>
            </w:pPr>
            <w:r>
              <w:rPr>
                <w:rFonts w:hint="eastAsia" w:ascii="宋体" w:hAnsi="宋体" w:cstheme="minorEastAsia"/>
                <w:color w:val="auto"/>
                <w:kern w:val="0"/>
                <w:sz w:val="24"/>
                <w:szCs w:val="24"/>
                <w:highlight w:val="none"/>
              </w:rPr>
              <w:t>技术培训</w:t>
            </w:r>
          </w:p>
          <w:p>
            <w:pPr>
              <w:widowControl/>
              <w:spacing w:line="400" w:lineRule="exact"/>
              <w:jc w:val="center"/>
              <w:textAlignment w:val="center"/>
              <w:rPr>
                <w:rFonts w:ascii="宋体" w:hAnsi="宋体" w:cstheme="minorEastAsia"/>
                <w:color w:val="auto"/>
                <w:kern w:val="0"/>
                <w:sz w:val="24"/>
                <w:szCs w:val="24"/>
                <w:highlight w:val="none"/>
              </w:rPr>
            </w:pPr>
            <w:r>
              <w:rPr>
                <w:rFonts w:hint="eastAsia" w:ascii="宋体" w:hAnsi="宋体" w:cstheme="minorEastAsia"/>
                <w:color w:val="auto"/>
                <w:kern w:val="0"/>
                <w:sz w:val="24"/>
                <w:szCs w:val="24"/>
                <w:highlight w:val="none"/>
              </w:rPr>
              <w:t>方案评价</w:t>
            </w:r>
          </w:p>
        </w:tc>
        <w:tc>
          <w:tcPr>
            <w:tcW w:w="5954" w:type="dxa"/>
            <w:tcMar>
              <w:top w:w="15" w:type="dxa"/>
              <w:left w:w="15" w:type="dxa"/>
              <w:right w:w="15" w:type="dxa"/>
            </w:tcMar>
            <w:vAlign w:val="center"/>
          </w:tcPr>
          <w:p>
            <w:pPr>
              <w:widowControl/>
              <w:spacing w:line="40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根据供应商提供的项目培训方案进行评分：</w:t>
            </w:r>
          </w:p>
          <w:p>
            <w:pPr>
              <w:widowControl/>
              <w:spacing w:line="40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项目培训方案包括但不限于</w:t>
            </w:r>
            <w:r>
              <w:rPr>
                <w:rFonts w:ascii="宋体" w:hAnsi="宋体" w:cstheme="majorEastAsia"/>
                <w:color w:val="auto"/>
                <w:sz w:val="24"/>
                <w:szCs w:val="24"/>
                <w:highlight w:val="none"/>
              </w:rPr>
              <w:t>培训内容</w:t>
            </w:r>
            <w:r>
              <w:rPr>
                <w:rFonts w:hint="eastAsia" w:ascii="宋体" w:hAnsi="宋体" w:cstheme="majorEastAsia"/>
                <w:color w:val="auto"/>
                <w:sz w:val="24"/>
                <w:szCs w:val="24"/>
                <w:highlight w:val="none"/>
              </w:rPr>
              <w:t>、</w:t>
            </w:r>
            <w:r>
              <w:rPr>
                <w:rFonts w:ascii="宋体" w:hAnsi="宋体" w:cstheme="majorEastAsia"/>
                <w:color w:val="auto"/>
                <w:sz w:val="24"/>
                <w:szCs w:val="24"/>
                <w:highlight w:val="none"/>
              </w:rPr>
              <w:t>培训方式</w:t>
            </w:r>
            <w:r>
              <w:rPr>
                <w:rFonts w:hint="eastAsia" w:ascii="宋体" w:hAnsi="宋体" w:cstheme="majorEastAsia"/>
                <w:color w:val="auto"/>
                <w:sz w:val="24"/>
                <w:szCs w:val="24"/>
                <w:highlight w:val="none"/>
              </w:rPr>
              <w:t>、</w:t>
            </w:r>
            <w:r>
              <w:rPr>
                <w:rFonts w:ascii="宋体" w:hAnsi="宋体" w:cstheme="majorEastAsia"/>
                <w:color w:val="auto"/>
                <w:sz w:val="24"/>
                <w:szCs w:val="24"/>
                <w:highlight w:val="none"/>
              </w:rPr>
              <w:t>培训计划</w:t>
            </w:r>
            <w:r>
              <w:rPr>
                <w:rFonts w:hint="eastAsia" w:ascii="宋体" w:hAnsi="宋体" w:cstheme="majorEastAsia"/>
                <w:color w:val="auto"/>
                <w:sz w:val="24"/>
                <w:szCs w:val="24"/>
                <w:highlight w:val="none"/>
              </w:rPr>
              <w:t>、</w:t>
            </w:r>
            <w:r>
              <w:rPr>
                <w:rFonts w:ascii="宋体" w:hAnsi="宋体" w:cstheme="majorEastAsia"/>
                <w:color w:val="auto"/>
                <w:sz w:val="24"/>
                <w:szCs w:val="24"/>
                <w:highlight w:val="none"/>
              </w:rPr>
              <w:t>培训团队人员配置</w:t>
            </w:r>
            <w:r>
              <w:rPr>
                <w:rFonts w:ascii="宋体" w:hAnsi="宋体"/>
                <w:color w:val="auto"/>
                <w:sz w:val="24"/>
                <w:szCs w:val="24"/>
                <w:highlight w:val="none"/>
              </w:rPr>
              <w:t>等</w:t>
            </w:r>
            <w:r>
              <w:rPr>
                <w:rFonts w:hint="eastAsia" w:ascii="宋体" w:hAnsi="宋体"/>
                <w:color w:val="auto"/>
                <w:sz w:val="24"/>
                <w:szCs w:val="24"/>
                <w:highlight w:val="none"/>
              </w:rPr>
              <w:t>4项内容，方案内容完整齐全，符合项目实际的，得8分；每缺少一项方案内容，或一项内容存在缺陷的，每一项扣2</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分，扣完为止；未提供项目实施方案的，此项不得分。</w:t>
            </w:r>
          </w:p>
          <w:p>
            <w:pPr>
              <w:snapToGrid w:val="0"/>
              <w:spacing w:line="400" w:lineRule="exact"/>
              <w:ind w:firstLine="482" w:firstLineChars="200"/>
              <w:rPr>
                <w:rFonts w:ascii="宋体" w:hAnsi="宋体" w:cstheme="minorEastAsia"/>
                <w:color w:val="auto"/>
                <w:kern w:val="0"/>
                <w:sz w:val="24"/>
                <w:szCs w:val="24"/>
                <w:highlight w:val="none"/>
              </w:rPr>
            </w:pPr>
            <w:r>
              <w:rPr>
                <w:rFonts w:hint="eastAsia" w:ascii="宋体" w:hAnsi="宋体"/>
                <w:b/>
                <w:bCs/>
                <w:color w:val="auto"/>
                <w:sz w:val="24"/>
                <w:szCs w:val="24"/>
                <w:highlight w:val="none"/>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widowControl/>
              <w:spacing w:line="400" w:lineRule="exact"/>
              <w:jc w:val="center"/>
              <w:textAlignment w:val="center"/>
              <w:rPr>
                <w:rFonts w:hint="default" w:ascii="宋体" w:hAnsi="宋体" w:eastAsia="宋体" w:cstheme="minorEastAsia"/>
                <w:color w:val="auto"/>
                <w:sz w:val="24"/>
                <w:szCs w:val="24"/>
                <w:highlight w:val="none"/>
                <w:lang w:val="en-US" w:eastAsia="zh-CN"/>
              </w:rPr>
            </w:pPr>
            <w:r>
              <w:rPr>
                <w:rFonts w:hint="eastAsia" w:ascii="宋体" w:hAnsi="宋体" w:cstheme="minorEastAsia"/>
                <w:color w:val="auto"/>
                <w:sz w:val="24"/>
                <w:szCs w:val="24"/>
                <w:highlight w:val="none"/>
                <w:lang w:val="en-US" w:eastAsia="zh-CN"/>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8"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宋体" w:hAnsi="宋体" w:cstheme="minorEastAsia"/>
                <w:color w:val="auto"/>
                <w:sz w:val="24"/>
                <w:szCs w:val="24"/>
                <w:highlight w:val="none"/>
              </w:rPr>
            </w:pPr>
          </w:p>
        </w:tc>
        <w:tc>
          <w:tcPr>
            <w:tcW w:w="1371" w:type="dxa"/>
            <w:tcBorders>
              <w:top w:val="single" w:color="auto" w:sz="4" w:space="0"/>
            </w:tcBorders>
            <w:tcMar>
              <w:top w:w="15" w:type="dxa"/>
              <w:left w:w="15" w:type="dxa"/>
              <w:right w:w="15" w:type="dxa"/>
            </w:tcMar>
            <w:vAlign w:val="center"/>
          </w:tcPr>
          <w:p>
            <w:pPr>
              <w:widowControl/>
              <w:spacing w:line="400" w:lineRule="exact"/>
              <w:jc w:val="center"/>
              <w:textAlignment w:val="center"/>
              <w:rPr>
                <w:rFonts w:ascii="宋体" w:hAnsi="宋体" w:cstheme="minorEastAsia"/>
                <w:color w:val="auto"/>
                <w:kern w:val="0"/>
                <w:sz w:val="24"/>
                <w:szCs w:val="24"/>
                <w:highlight w:val="none"/>
              </w:rPr>
            </w:pPr>
            <w:r>
              <w:rPr>
                <w:rFonts w:hint="eastAsia" w:ascii="宋体" w:hAnsi="宋体" w:cstheme="minorEastAsia"/>
                <w:color w:val="auto"/>
                <w:kern w:val="0"/>
                <w:sz w:val="24"/>
                <w:szCs w:val="24"/>
                <w:highlight w:val="none"/>
              </w:rPr>
              <w:t>售后服务</w:t>
            </w:r>
          </w:p>
          <w:p>
            <w:pPr>
              <w:widowControl/>
              <w:spacing w:line="400" w:lineRule="exact"/>
              <w:jc w:val="center"/>
              <w:textAlignment w:val="center"/>
              <w:rPr>
                <w:rFonts w:ascii="宋体" w:hAnsi="宋体" w:cstheme="minorEastAsia"/>
                <w:color w:val="auto"/>
                <w:kern w:val="0"/>
                <w:sz w:val="24"/>
                <w:szCs w:val="24"/>
                <w:highlight w:val="none"/>
              </w:rPr>
            </w:pPr>
            <w:r>
              <w:rPr>
                <w:rFonts w:hint="eastAsia" w:ascii="宋体" w:hAnsi="宋体" w:cstheme="minorEastAsia"/>
                <w:color w:val="auto"/>
                <w:kern w:val="0"/>
                <w:sz w:val="24"/>
                <w:szCs w:val="24"/>
                <w:highlight w:val="none"/>
              </w:rPr>
              <w:t>方案评价</w:t>
            </w:r>
          </w:p>
        </w:tc>
        <w:tc>
          <w:tcPr>
            <w:tcW w:w="5954" w:type="dxa"/>
            <w:tcMar>
              <w:top w:w="15" w:type="dxa"/>
              <w:left w:w="15" w:type="dxa"/>
              <w:right w:w="15" w:type="dxa"/>
            </w:tcMar>
            <w:vAlign w:val="center"/>
          </w:tcPr>
          <w:p>
            <w:pPr>
              <w:widowControl/>
              <w:spacing w:line="40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根据供应商提供的售后服务方案进行评分：</w:t>
            </w:r>
          </w:p>
          <w:p>
            <w:pPr>
              <w:widowControl/>
              <w:spacing w:line="40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项目售后服务方案包括但不限于</w:t>
            </w:r>
            <w:r>
              <w:rPr>
                <w:rFonts w:hint="eastAsia" w:ascii="宋体" w:hAnsi="宋体" w:cstheme="majorEastAsia"/>
                <w:color w:val="auto"/>
                <w:sz w:val="24"/>
                <w:szCs w:val="24"/>
                <w:highlight w:val="none"/>
              </w:rPr>
              <w:t>售后</w:t>
            </w:r>
            <w:r>
              <w:rPr>
                <w:rFonts w:ascii="宋体" w:hAnsi="宋体" w:cstheme="majorEastAsia"/>
                <w:color w:val="auto"/>
                <w:sz w:val="24"/>
                <w:szCs w:val="24"/>
                <w:highlight w:val="none"/>
              </w:rPr>
              <w:t>服务承诺</w:t>
            </w:r>
            <w:r>
              <w:rPr>
                <w:rFonts w:hint="eastAsia" w:ascii="宋体" w:hAnsi="宋体" w:cstheme="majorEastAsia"/>
                <w:color w:val="auto"/>
                <w:sz w:val="24"/>
                <w:szCs w:val="24"/>
                <w:highlight w:val="none"/>
              </w:rPr>
              <w:t>、</w:t>
            </w:r>
            <w:r>
              <w:rPr>
                <w:rFonts w:ascii="宋体" w:hAnsi="宋体" w:cstheme="majorEastAsia"/>
                <w:color w:val="auto"/>
                <w:sz w:val="24"/>
                <w:szCs w:val="24"/>
                <w:highlight w:val="none"/>
              </w:rPr>
              <w:t>服务响应方案</w:t>
            </w:r>
            <w:r>
              <w:rPr>
                <w:rFonts w:hint="eastAsia" w:ascii="宋体" w:hAnsi="宋体" w:cstheme="majorEastAsia"/>
                <w:color w:val="auto"/>
                <w:sz w:val="24"/>
                <w:szCs w:val="24"/>
                <w:highlight w:val="none"/>
              </w:rPr>
              <w:t>、</w:t>
            </w:r>
            <w:r>
              <w:rPr>
                <w:rFonts w:ascii="宋体" w:hAnsi="宋体" w:cstheme="majorEastAsia"/>
                <w:color w:val="auto"/>
                <w:sz w:val="24"/>
                <w:szCs w:val="24"/>
                <w:highlight w:val="none"/>
              </w:rPr>
              <w:t>备件（易耗品）供应方案</w:t>
            </w:r>
            <w:r>
              <w:rPr>
                <w:rFonts w:hint="eastAsia" w:ascii="宋体" w:hAnsi="宋体" w:cstheme="majorEastAsia"/>
                <w:color w:val="auto"/>
                <w:sz w:val="24"/>
                <w:szCs w:val="24"/>
                <w:highlight w:val="none"/>
              </w:rPr>
              <w:t>（含备件价格）、</w:t>
            </w:r>
            <w:r>
              <w:rPr>
                <w:rFonts w:ascii="宋体" w:hAnsi="宋体" w:cstheme="majorEastAsia"/>
                <w:color w:val="auto"/>
                <w:sz w:val="24"/>
                <w:szCs w:val="24"/>
                <w:highlight w:val="none"/>
              </w:rPr>
              <w:t>服务人员配备</w:t>
            </w:r>
            <w:r>
              <w:rPr>
                <w:rFonts w:hint="eastAsia" w:ascii="宋体" w:hAnsi="宋体" w:cstheme="majorEastAsia"/>
                <w:color w:val="auto"/>
                <w:sz w:val="24"/>
                <w:szCs w:val="24"/>
                <w:highlight w:val="none"/>
              </w:rPr>
              <w:t>、</w:t>
            </w:r>
            <w:r>
              <w:rPr>
                <w:rFonts w:ascii="宋体" w:hAnsi="宋体" w:cstheme="majorEastAsia"/>
                <w:color w:val="auto"/>
                <w:sz w:val="24"/>
                <w:szCs w:val="24"/>
                <w:highlight w:val="none"/>
              </w:rPr>
              <w:t>故障响应</w:t>
            </w:r>
            <w:r>
              <w:rPr>
                <w:rFonts w:hint="eastAsia" w:ascii="宋体" w:hAnsi="宋体" w:cstheme="majorEastAsia"/>
                <w:color w:val="auto"/>
                <w:sz w:val="24"/>
                <w:szCs w:val="24"/>
                <w:highlight w:val="none"/>
              </w:rPr>
              <w:t>措施、</w:t>
            </w:r>
            <w:r>
              <w:rPr>
                <w:rFonts w:ascii="宋体" w:hAnsi="宋体" w:cstheme="majorEastAsia"/>
                <w:color w:val="auto"/>
                <w:sz w:val="24"/>
                <w:szCs w:val="24"/>
                <w:highlight w:val="none"/>
              </w:rPr>
              <w:t>质保外服务措施</w:t>
            </w:r>
            <w:r>
              <w:rPr>
                <w:rFonts w:ascii="宋体" w:hAnsi="宋体"/>
                <w:color w:val="auto"/>
                <w:sz w:val="24"/>
                <w:szCs w:val="24"/>
                <w:highlight w:val="none"/>
              </w:rPr>
              <w:t>等</w:t>
            </w:r>
            <w:r>
              <w:rPr>
                <w:rFonts w:hint="eastAsia" w:ascii="宋体" w:hAnsi="宋体"/>
                <w:color w:val="auto"/>
                <w:sz w:val="24"/>
                <w:szCs w:val="24"/>
                <w:highlight w:val="none"/>
              </w:rPr>
              <w:t>6项内容，方案内容完整齐全，符合项目实际的，得12分；每缺少一项方案内容，或一项内容存在缺陷的，每一项扣2分，扣完为止；未提供项目实施方案的，此项不得分。</w:t>
            </w:r>
          </w:p>
          <w:p>
            <w:pPr>
              <w:snapToGrid w:val="0"/>
              <w:spacing w:line="400" w:lineRule="exact"/>
              <w:ind w:firstLine="482" w:firstLineChars="200"/>
              <w:rPr>
                <w:rFonts w:ascii="宋体" w:hAnsi="宋体" w:cstheme="minorEastAsia"/>
                <w:color w:val="auto"/>
                <w:sz w:val="24"/>
                <w:szCs w:val="24"/>
                <w:highlight w:val="none"/>
              </w:rPr>
            </w:pPr>
            <w:r>
              <w:rPr>
                <w:rFonts w:hint="eastAsia" w:ascii="宋体" w:hAnsi="宋体"/>
                <w:b/>
                <w:bCs/>
                <w:color w:val="auto"/>
                <w:sz w:val="24"/>
                <w:szCs w:val="24"/>
                <w:highlight w:val="none"/>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snapToGrid w:val="0"/>
              <w:spacing w:line="400" w:lineRule="exact"/>
              <w:jc w:val="center"/>
              <w:rPr>
                <w:rFonts w:ascii="宋体" w:hAnsi="宋体" w:cstheme="minorEastAsia"/>
                <w:color w:val="auto"/>
                <w:sz w:val="24"/>
                <w:szCs w:val="24"/>
                <w:highlight w:val="none"/>
              </w:rPr>
            </w:pPr>
            <w:r>
              <w:rPr>
                <w:rFonts w:hint="eastAsia" w:ascii="宋体" w:hAnsi="宋体" w:cstheme="minorEastAsia"/>
                <w:color w:val="auto"/>
                <w:sz w:val="24"/>
                <w:szCs w:val="24"/>
                <w:highlight w:val="none"/>
              </w:rPr>
              <w:t>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atLeast"/>
          <w:jc w:val="center"/>
        </w:trPr>
        <w:tc>
          <w:tcPr>
            <w:tcW w:w="9109" w:type="dxa"/>
            <w:gridSpan w:val="4"/>
            <w:tcMar>
              <w:top w:w="15" w:type="dxa"/>
              <w:left w:w="15" w:type="dxa"/>
              <w:right w:w="15" w:type="dxa"/>
            </w:tcMar>
            <w:vAlign w:val="center"/>
          </w:tcPr>
          <w:p>
            <w:pPr>
              <w:widowControl/>
              <w:spacing w:line="400" w:lineRule="exact"/>
              <w:jc w:val="center"/>
              <w:textAlignment w:val="center"/>
              <w:rPr>
                <w:rFonts w:ascii="宋体" w:hAnsi="宋体" w:cstheme="minorEastAsia"/>
                <w:color w:val="auto"/>
                <w:sz w:val="24"/>
                <w:szCs w:val="24"/>
                <w:highlight w:val="none"/>
              </w:rPr>
            </w:pPr>
            <w:r>
              <w:rPr>
                <w:rFonts w:hint="eastAsia" w:ascii="宋体" w:hAnsi="宋体" w:cstheme="minorEastAsia"/>
                <w:color w:val="auto"/>
                <w:kern w:val="0"/>
                <w:sz w:val="24"/>
                <w:szCs w:val="24"/>
                <w:highlight w:val="none"/>
              </w:rPr>
              <w:t>合计：100分</w:t>
            </w:r>
          </w:p>
        </w:tc>
      </w:tr>
    </w:tbl>
    <w:p>
      <w:pPr>
        <w:pStyle w:val="4"/>
        <w:rPr>
          <w:rFonts w:ascii="宋体" w:hAnsi="宋体" w:cstheme="minorEastAsia"/>
          <w:b/>
          <w:bCs/>
          <w:color w:val="auto"/>
          <w:sz w:val="24"/>
          <w:szCs w:val="24"/>
          <w:highlight w:val="none"/>
        </w:rPr>
      </w:pPr>
    </w:p>
    <w:p>
      <w:pPr>
        <w:pStyle w:val="4"/>
        <w:rPr>
          <w:rFonts w:ascii="宋体" w:hAnsi="宋体" w:cstheme="minorEastAsia"/>
          <w:b/>
          <w:bCs/>
          <w:color w:val="auto"/>
          <w:sz w:val="24"/>
          <w:szCs w:val="24"/>
          <w:highlight w:val="none"/>
        </w:rPr>
      </w:pPr>
      <w:r>
        <w:rPr>
          <w:rFonts w:hint="eastAsia" w:ascii="宋体" w:hAnsi="宋体" w:cstheme="minorEastAsia"/>
          <w:b/>
          <w:bCs/>
          <w:color w:val="auto"/>
          <w:sz w:val="24"/>
          <w:szCs w:val="24"/>
          <w:highlight w:val="none"/>
        </w:rPr>
        <w:t>（三）政府采购政策功能落实</w:t>
      </w:r>
    </w:p>
    <w:p>
      <w:pPr>
        <w:spacing w:line="400" w:lineRule="exact"/>
        <w:ind w:firstLine="480" w:firstLineChars="200"/>
        <w:rPr>
          <w:rFonts w:ascii="宋体" w:hAnsi="宋体" w:cstheme="minorEastAsia"/>
          <w:color w:val="auto"/>
          <w:sz w:val="24"/>
          <w:szCs w:val="24"/>
          <w:highlight w:val="none"/>
        </w:rPr>
      </w:pPr>
      <w:r>
        <w:rPr>
          <w:rFonts w:hint="eastAsia" w:ascii="宋体" w:hAnsi="宋体" w:cstheme="minorEastAsia"/>
          <w:color w:val="auto"/>
          <w:sz w:val="24"/>
          <w:szCs w:val="24"/>
          <w:highlight w:val="none"/>
        </w:rPr>
        <w:t>1.小微型企业价格扣除</w:t>
      </w:r>
    </w:p>
    <w:p>
      <w:pPr>
        <w:spacing w:line="400" w:lineRule="exact"/>
        <w:ind w:firstLine="480" w:firstLineChars="200"/>
        <w:rPr>
          <w:rFonts w:ascii="宋体" w:hAnsi="宋体" w:cstheme="minorEastAsia"/>
          <w:color w:val="auto"/>
          <w:sz w:val="24"/>
          <w:szCs w:val="24"/>
          <w:highlight w:val="none"/>
        </w:rPr>
      </w:pPr>
      <w:r>
        <w:rPr>
          <w:rFonts w:hint="eastAsia" w:ascii="宋体" w:hAnsi="宋体" w:cstheme="minorEastAsia"/>
          <w:color w:val="auto"/>
          <w:sz w:val="24"/>
          <w:szCs w:val="24"/>
          <w:highlight w:val="none"/>
        </w:rPr>
        <w:t>（1）本项目供应商所提供货物的制造商为小型、微型企业的，给予10%的价格扣除，用扣除后的价格参与评审。</w:t>
      </w:r>
    </w:p>
    <w:p>
      <w:pPr>
        <w:spacing w:line="400" w:lineRule="exact"/>
        <w:ind w:firstLine="480" w:firstLineChars="200"/>
        <w:rPr>
          <w:rFonts w:ascii="宋体" w:hAnsi="宋体" w:cstheme="minorEastAsia"/>
          <w:color w:val="auto"/>
          <w:sz w:val="24"/>
          <w:szCs w:val="24"/>
          <w:highlight w:val="none"/>
        </w:rPr>
      </w:pPr>
      <w:r>
        <w:rPr>
          <w:rFonts w:hint="eastAsia" w:ascii="宋体" w:hAnsi="宋体" w:cstheme="minorEastAsia"/>
          <w:color w:val="auto"/>
          <w:sz w:val="24"/>
          <w:szCs w:val="24"/>
          <w:highlight w:val="none"/>
        </w:rPr>
        <w:t>（2）供应商需按照采购文件的要求提供相应的《中小企业声明函》。</w:t>
      </w:r>
    </w:p>
    <w:p>
      <w:pPr>
        <w:spacing w:line="400" w:lineRule="exact"/>
        <w:ind w:firstLine="480" w:firstLineChars="200"/>
        <w:rPr>
          <w:rFonts w:ascii="宋体" w:hAnsi="宋体" w:cstheme="minorEastAsia"/>
          <w:color w:val="auto"/>
          <w:sz w:val="24"/>
          <w:szCs w:val="24"/>
          <w:highlight w:val="none"/>
        </w:rPr>
      </w:pPr>
      <w:r>
        <w:rPr>
          <w:rFonts w:hint="eastAsia" w:ascii="宋体" w:hAnsi="宋体" w:cstheme="minorEastAsia"/>
          <w:color w:val="auto"/>
          <w:sz w:val="24"/>
          <w:szCs w:val="24"/>
          <w:highlight w:val="none"/>
        </w:rPr>
        <w:t>（3）企业标准请参照关于印发《政府采购促进中小企业发展管理办法》的通知（财库[2020]46号）文件规定自行填写。</w:t>
      </w:r>
    </w:p>
    <w:p>
      <w:pPr>
        <w:spacing w:line="400" w:lineRule="exact"/>
        <w:ind w:firstLine="480" w:firstLineChars="200"/>
        <w:rPr>
          <w:rFonts w:ascii="宋体" w:hAnsi="宋体" w:cstheme="minorEastAsia"/>
          <w:color w:val="auto"/>
          <w:sz w:val="24"/>
          <w:szCs w:val="24"/>
          <w:highlight w:val="none"/>
        </w:rPr>
      </w:pPr>
      <w:r>
        <w:rPr>
          <w:rFonts w:hint="eastAsia" w:ascii="宋体" w:hAnsi="宋体" w:cstheme="minorEastAsia"/>
          <w:color w:val="auto"/>
          <w:sz w:val="24"/>
          <w:szCs w:val="24"/>
          <w:highlight w:val="none"/>
        </w:rPr>
        <w:t>2.残疾人福利单位价格扣除</w:t>
      </w:r>
    </w:p>
    <w:p>
      <w:pPr>
        <w:spacing w:line="400" w:lineRule="exact"/>
        <w:ind w:firstLine="480" w:firstLineChars="200"/>
        <w:rPr>
          <w:rFonts w:ascii="宋体" w:hAnsi="宋体" w:cstheme="minorEastAsia"/>
          <w:color w:val="auto"/>
          <w:sz w:val="24"/>
          <w:szCs w:val="24"/>
          <w:highlight w:val="none"/>
        </w:rPr>
      </w:pPr>
      <w:r>
        <w:rPr>
          <w:rFonts w:hint="eastAsia" w:ascii="宋体" w:hAnsi="宋体" w:cstheme="minorEastAsia"/>
          <w:color w:val="auto"/>
          <w:sz w:val="24"/>
          <w:szCs w:val="24"/>
          <w:highlight w:val="none"/>
        </w:rPr>
        <w:t>（1）本项目对残疾人福利性单位视同小型、微型企业，给予10%的价格扣除，用扣除后的价格参与评审。</w:t>
      </w:r>
    </w:p>
    <w:p>
      <w:pPr>
        <w:spacing w:line="400" w:lineRule="exact"/>
        <w:ind w:firstLine="480" w:firstLineChars="200"/>
        <w:rPr>
          <w:rFonts w:ascii="宋体" w:hAnsi="宋体" w:cstheme="minorEastAsia"/>
          <w:color w:val="auto"/>
          <w:sz w:val="24"/>
          <w:szCs w:val="24"/>
          <w:highlight w:val="none"/>
        </w:rPr>
      </w:pPr>
      <w:r>
        <w:rPr>
          <w:rFonts w:hint="eastAsia" w:ascii="宋体" w:hAnsi="宋体" w:cstheme="minorEastAsia"/>
          <w:color w:val="auto"/>
          <w:sz w:val="24"/>
          <w:szCs w:val="24"/>
          <w:highlight w:val="none"/>
        </w:rPr>
        <w:t>（2）残疾人福利单位需按照采购文件的要求提供《残疾人福利性单位声明函》。</w:t>
      </w:r>
    </w:p>
    <w:p>
      <w:pPr>
        <w:spacing w:line="400" w:lineRule="exact"/>
        <w:ind w:firstLine="480" w:firstLineChars="200"/>
        <w:rPr>
          <w:rFonts w:ascii="宋体" w:hAnsi="宋体" w:cs="宋体"/>
          <w:color w:val="auto"/>
          <w:sz w:val="24"/>
          <w:szCs w:val="24"/>
          <w:highlight w:val="none"/>
        </w:rPr>
      </w:pPr>
      <w:r>
        <w:rPr>
          <w:rFonts w:hint="eastAsia" w:ascii="宋体" w:hAnsi="宋体" w:cstheme="minorEastAsia"/>
          <w:color w:val="auto"/>
          <w:sz w:val="24"/>
          <w:szCs w:val="24"/>
          <w:highlight w:val="none"/>
        </w:rPr>
        <w:t>（3）残疾人福利单位标准请参照《</w:t>
      </w:r>
      <w:r>
        <w:rPr>
          <w:rFonts w:hint="eastAsia" w:ascii="宋体" w:hAnsi="宋体" w:cs="宋体"/>
          <w:color w:val="auto"/>
          <w:sz w:val="24"/>
          <w:szCs w:val="24"/>
          <w:highlight w:val="none"/>
        </w:rPr>
        <w:t>关于促进残疾人就业政府采购政策的通知</w:t>
      </w:r>
      <w:r>
        <w:rPr>
          <w:rFonts w:hint="eastAsia" w:ascii="宋体" w:hAnsi="宋体" w:cstheme="minorEastAsia"/>
          <w:color w:val="auto"/>
          <w:sz w:val="24"/>
          <w:szCs w:val="24"/>
          <w:highlight w:val="none"/>
        </w:rPr>
        <w:t>》（财库[2017]141号）。</w:t>
      </w:r>
    </w:p>
    <w:p>
      <w:pPr>
        <w:spacing w:line="400" w:lineRule="exact"/>
        <w:ind w:firstLine="480" w:firstLineChars="200"/>
        <w:rPr>
          <w:rFonts w:ascii="宋体" w:hAnsi="宋体" w:cstheme="minorEastAsia"/>
          <w:color w:val="auto"/>
          <w:sz w:val="24"/>
          <w:szCs w:val="24"/>
          <w:highlight w:val="none"/>
        </w:rPr>
      </w:pPr>
      <w:r>
        <w:rPr>
          <w:rFonts w:hint="eastAsia" w:ascii="宋体" w:hAnsi="宋体" w:cstheme="minorEastAsia"/>
          <w:color w:val="auto"/>
          <w:sz w:val="24"/>
          <w:szCs w:val="24"/>
          <w:highlight w:val="none"/>
        </w:rPr>
        <w:t>3.监狱和戒毒企业价格扣除</w:t>
      </w:r>
    </w:p>
    <w:p>
      <w:pPr>
        <w:spacing w:line="400" w:lineRule="exact"/>
        <w:ind w:firstLine="480" w:firstLineChars="200"/>
        <w:rPr>
          <w:rFonts w:ascii="宋体" w:hAnsi="宋体" w:cstheme="minorEastAsia"/>
          <w:color w:val="auto"/>
          <w:sz w:val="24"/>
          <w:szCs w:val="24"/>
          <w:highlight w:val="none"/>
        </w:rPr>
      </w:pPr>
      <w:r>
        <w:rPr>
          <w:rFonts w:hint="eastAsia" w:ascii="宋体" w:hAnsi="宋体" w:cstheme="minorEastAsia"/>
          <w:color w:val="auto"/>
          <w:sz w:val="24"/>
          <w:szCs w:val="24"/>
          <w:highlight w:val="none"/>
        </w:rPr>
        <w:t>（1）本项目对监狱和戒毒企业（简称监狱企业）视同小型、微型企业，给予10%的价格扣除，用扣除后的价格参与评审。</w:t>
      </w:r>
    </w:p>
    <w:p>
      <w:pPr>
        <w:spacing w:line="400" w:lineRule="exact"/>
        <w:ind w:firstLine="480" w:firstLineChars="200"/>
        <w:rPr>
          <w:rFonts w:ascii="宋体" w:hAnsi="宋体" w:cstheme="minorEastAsia"/>
          <w:color w:val="auto"/>
          <w:sz w:val="24"/>
          <w:szCs w:val="24"/>
          <w:highlight w:val="none"/>
        </w:rPr>
      </w:pPr>
      <w:r>
        <w:rPr>
          <w:rFonts w:hint="eastAsia" w:ascii="宋体" w:hAnsi="宋体" w:cstheme="minorEastAsia"/>
          <w:color w:val="auto"/>
          <w:sz w:val="24"/>
          <w:szCs w:val="24"/>
          <w:highlight w:val="none"/>
        </w:rPr>
        <w:t>（2）监狱企业参加政府采购活动时，需提供由省级以上监狱管理局、戒毒管理局(含新疆生产建设兵团)出具的属于监狱企业的证明文件。供应商如不提供上述证明文件，价格将不做相应扣除。</w:t>
      </w:r>
    </w:p>
    <w:p>
      <w:pPr>
        <w:spacing w:line="400" w:lineRule="exact"/>
        <w:ind w:firstLine="480" w:firstLineChars="200"/>
        <w:rPr>
          <w:rFonts w:ascii="宋体" w:hAnsi="宋体" w:cstheme="minorEastAsia"/>
          <w:color w:val="auto"/>
          <w:sz w:val="24"/>
          <w:szCs w:val="24"/>
          <w:highlight w:val="none"/>
        </w:rPr>
      </w:pPr>
      <w:r>
        <w:rPr>
          <w:rFonts w:hint="eastAsia" w:ascii="宋体" w:hAnsi="宋体" w:cstheme="minorEastAsia"/>
          <w:color w:val="auto"/>
          <w:sz w:val="24"/>
          <w:szCs w:val="24"/>
          <w:highlight w:val="none"/>
        </w:rPr>
        <w:t>（3）监狱企业标准请参照《财政部、司法部关于政府采购支持监狱企业发展有关问题的通知》（财库[2014]68号）。</w:t>
      </w:r>
    </w:p>
    <w:p>
      <w:pPr>
        <w:spacing w:line="400" w:lineRule="exact"/>
        <w:ind w:firstLine="480" w:firstLineChars="200"/>
        <w:rPr>
          <w:rFonts w:ascii="宋体" w:hAnsi="宋体" w:cstheme="minorEastAsia"/>
          <w:color w:val="auto"/>
          <w:sz w:val="24"/>
          <w:szCs w:val="24"/>
          <w:highlight w:val="none"/>
        </w:rPr>
      </w:pPr>
      <w:r>
        <w:rPr>
          <w:rFonts w:hint="eastAsia" w:ascii="宋体" w:hAnsi="宋体" w:cstheme="minorEastAsia"/>
          <w:color w:val="auto"/>
          <w:sz w:val="24"/>
          <w:szCs w:val="24"/>
          <w:highlight w:val="none"/>
        </w:rPr>
        <w:t>4.残疾人福利单位、监狱企业属于小型、微型企业的，不重复享受政策。</w:t>
      </w:r>
    </w:p>
    <w:bookmarkEnd w:id="16"/>
    <w:bookmarkEnd w:id="17"/>
    <w:bookmarkEnd w:id="18"/>
    <w:bookmarkEnd w:id="19"/>
    <w:bookmarkEnd w:id="20"/>
    <w:bookmarkEnd w:id="21"/>
    <w:bookmarkEnd w:id="31"/>
    <w:p>
      <w:pPr>
        <w:pStyle w:val="2"/>
        <w:rPr>
          <w:rFonts w:ascii="宋体" w:hAnsi="宋体"/>
          <w:color w:val="auto"/>
          <w:highlight w:val="none"/>
        </w:rPr>
      </w:pPr>
      <w:bookmarkStart w:id="100" w:name="_Toc12223"/>
      <w:bookmarkStart w:id="101" w:name="_Toc26728"/>
      <w:bookmarkStart w:id="102" w:name="_Hlt16619350"/>
      <w:bookmarkStart w:id="103" w:name="_Toc479757211"/>
      <w:bookmarkStart w:id="104" w:name="_Toc462564139"/>
      <w:bookmarkStart w:id="105" w:name="_Toc20823346"/>
      <w:bookmarkStart w:id="106" w:name="_Toc16938590"/>
      <w:bookmarkStart w:id="107" w:name="_Toc120614244"/>
      <w:bookmarkStart w:id="108" w:name="_Toc31151"/>
      <w:bookmarkStart w:id="109" w:name="_Toc9411"/>
    </w:p>
    <w:p>
      <w:pPr>
        <w:pStyle w:val="2"/>
        <w:rPr>
          <w:rFonts w:ascii="宋体" w:hAnsi="宋体"/>
          <w:color w:val="auto"/>
          <w:highlight w:val="none"/>
        </w:rPr>
      </w:pPr>
    </w:p>
    <w:p>
      <w:pPr>
        <w:pStyle w:val="3"/>
        <w:jc w:val="both"/>
        <w:rPr>
          <w:rFonts w:hint="eastAsia" w:ascii="宋体" w:hAnsi="宋体"/>
          <w:color w:val="auto"/>
          <w:highlight w:val="none"/>
          <w:lang w:val="en-US" w:eastAsia="zh-CN"/>
        </w:rPr>
      </w:pPr>
      <w:bookmarkStart w:id="110" w:name="_Toc161525974"/>
    </w:p>
    <w:p>
      <w:pPr>
        <w:pStyle w:val="4"/>
        <w:rPr>
          <w:rFonts w:hint="eastAsia" w:ascii="宋体" w:hAnsi="宋体"/>
          <w:color w:val="auto"/>
          <w:highlight w:val="none"/>
          <w:lang w:val="en-US" w:eastAsia="zh-CN"/>
        </w:rPr>
      </w:pPr>
    </w:p>
    <w:p>
      <w:pPr>
        <w:rPr>
          <w:rFonts w:hint="eastAsia" w:ascii="宋体" w:hAnsi="宋体"/>
          <w:color w:val="auto"/>
          <w:highlight w:val="none"/>
          <w:lang w:val="en-US" w:eastAsia="zh-CN"/>
        </w:rPr>
      </w:pPr>
    </w:p>
    <w:p>
      <w:pPr>
        <w:rPr>
          <w:rFonts w:hint="eastAsia" w:ascii="宋体" w:hAnsi="宋体"/>
          <w:color w:val="auto"/>
          <w:highlight w:val="none"/>
          <w:lang w:val="en-US" w:eastAsia="zh-CN"/>
        </w:rPr>
      </w:pPr>
    </w:p>
    <w:p>
      <w:pPr>
        <w:rPr>
          <w:rFonts w:hint="eastAsia" w:ascii="宋体" w:hAnsi="宋体"/>
          <w:color w:val="auto"/>
          <w:highlight w:val="none"/>
          <w:lang w:val="en-US" w:eastAsia="zh-CN"/>
        </w:rPr>
      </w:pPr>
    </w:p>
    <w:p>
      <w:pPr>
        <w:pStyle w:val="3"/>
        <w:jc w:val="both"/>
        <w:rPr>
          <w:rFonts w:hint="eastAsia" w:ascii="宋体" w:hAnsi="宋体"/>
          <w:color w:val="auto"/>
          <w:highlight w:val="none"/>
        </w:rPr>
      </w:pPr>
    </w:p>
    <w:p>
      <w:pPr>
        <w:pStyle w:val="4"/>
        <w:rPr>
          <w:rFonts w:hint="eastAsia" w:ascii="宋体" w:hAnsi="宋体"/>
          <w:color w:val="auto"/>
          <w:highlight w:val="none"/>
        </w:rPr>
      </w:pPr>
    </w:p>
    <w:p>
      <w:pPr>
        <w:rPr>
          <w:rFonts w:hint="eastAsia" w:ascii="宋体" w:hAnsi="宋体"/>
          <w:color w:val="auto"/>
          <w:highlight w:val="none"/>
        </w:rPr>
      </w:pPr>
    </w:p>
    <w:p>
      <w:pPr>
        <w:rPr>
          <w:rFonts w:hint="eastAsia" w:ascii="宋体" w:hAnsi="宋体"/>
          <w:color w:val="auto"/>
          <w:highlight w:val="none"/>
        </w:rPr>
      </w:pPr>
    </w:p>
    <w:p>
      <w:pPr>
        <w:rPr>
          <w:rFonts w:hint="eastAsia" w:ascii="宋体" w:hAnsi="宋体"/>
          <w:color w:val="auto"/>
          <w:highlight w:val="none"/>
        </w:rPr>
      </w:pPr>
    </w:p>
    <w:p>
      <w:pPr>
        <w:pStyle w:val="3"/>
        <w:jc w:val="center"/>
        <w:rPr>
          <w:rFonts w:ascii="宋体" w:hAnsi="宋体"/>
          <w:color w:val="auto"/>
          <w:highlight w:val="none"/>
        </w:rPr>
      </w:pPr>
      <w:r>
        <w:rPr>
          <w:rFonts w:hint="eastAsia" w:ascii="宋体" w:hAnsi="宋体"/>
          <w:color w:val="auto"/>
          <w:highlight w:val="none"/>
        </w:rPr>
        <w:t>第四章拟订立的合同样本</w:t>
      </w:r>
      <w:bookmarkEnd w:id="100"/>
      <w:bookmarkEnd w:id="101"/>
      <w:bookmarkEnd w:id="110"/>
    </w:p>
    <w:p>
      <w:pPr>
        <w:pStyle w:val="4"/>
        <w:ind w:firstLine="0"/>
        <w:rPr>
          <w:rFonts w:ascii="宋体" w:hAnsi="宋体"/>
          <w:color w:val="auto"/>
          <w:highlight w:val="none"/>
        </w:rPr>
      </w:pPr>
    </w:p>
    <w:bookmarkEnd w:id="102"/>
    <w:bookmarkEnd w:id="103"/>
    <w:bookmarkEnd w:id="104"/>
    <w:bookmarkEnd w:id="105"/>
    <w:bookmarkEnd w:id="106"/>
    <w:bookmarkEnd w:id="107"/>
    <w:p>
      <w:pPr>
        <w:widowControl/>
        <w:rPr>
          <w:rFonts w:ascii="宋体" w:hAnsi="宋体"/>
          <w:color w:val="auto"/>
          <w:highlight w:val="none"/>
        </w:rPr>
      </w:pPr>
      <w:bookmarkStart w:id="111" w:name="_Toc9510642"/>
      <w:r>
        <w:rPr>
          <w:rFonts w:hint="eastAsia" w:ascii="宋体" w:hAnsi="宋体" w:cs="宋体"/>
          <w:b/>
          <w:color w:val="auto"/>
          <w:spacing w:val="-4"/>
          <w:sz w:val="30"/>
          <w:szCs w:val="30"/>
          <w:highlight w:val="none"/>
        </w:rPr>
        <w:t>一、拟订立的合同模板</w:t>
      </w:r>
    </w:p>
    <w:p>
      <w:pPr>
        <w:rPr>
          <w:rFonts w:ascii="宋体" w:hAnsi="宋体"/>
          <w:color w:val="auto"/>
          <w:highlight w:val="none"/>
        </w:rPr>
      </w:pPr>
    </w:p>
    <w:p>
      <w:pPr>
        <w:adjustRightInd w:val="0"/>
        <w:snapToGrid w:val="0"/>
        <w:spacing w:line="360" w:lineRule="auto"/>
        <w:jc w:val="center"/>
        <w:rPr>
          <w:rFonts w:ascii="宋体" w:hAnsi="宋体"/>
          <w:b/>
          <w:bCs/>
          <w:color w:val="auto"/>
          <w:sz w:val="44"/>
          <w:szCs w:val="44"/>
          <w:highlight w:val="none"/>
        </w:rPr>
      </w:pPr>
    </w:p>
    <w:p>
      <w:pPr>
        <w:adjustRightInd w:val="0"/>
        <w:snapToGrid w:val="0"/>
        <w:spacing w:line="360" w:lineRule="auto"/>
        <w:jc w:val="center"/>
        <w:rPr>
          <w:rFonts w:ascii="宋体" w:hAnsi="宋体"/>
          <w:b/>
          <w:bCs/>
          <w:color w:val="auto"/>
          <w:sz w:val="44"/>
          <w:szCs w:val="44"/>
          <w:highlight w:val="none"/>
        </w:rPr>
      </w:pPr>
      <w:r>
        <w:rPr>
          <w:rFonts w:hint="eastAsia" w:ascii="宋体" w:hAnsi="宋体"/>
          <w:b/>
          <w:bCs/>
          <w:color w:val="auto"/>
          <w:sz w:val="44"/>
          <w:szCs w:val="44"/>
          <w:highlight w:val="none"/>
        </w:rPr>
        <w:t>新疆消防救援总队阿勒泰支队“自然灾害应急能力提升工程”装备配备项目（消防车辆）</w:t>
      </w:r>
    </w:p>
    <w:p>
      <w:pPr>
        <w:adjustRightInd w:val="0"/>
        <w:snapToGrid w:val="0"/>
        <w:spacing w:line="360" w:lineRule="auto"/>
        <w:jc w:val="center"/>
        <w:rPr>
          <w:rFonts w:ascii="宋体" w:hAnsi="宋体"/>
          <w:b/>
          <w:bCs/>
          <w:color w:val="auto"/>
          <w:sz w:val="44"/>
          <w:szCs w:val="44"/>
          <w:highlight w:val="none"/>
        </w:rPr>
      </w:pPr>
      <w:r>
        <w:rPr>
          <w:rFonts w:hint="eastAsia" w:ascii="宋体" w:hAnsi="宋体"/>
          <w:b/>
          <w:bCs/>
          <w:color w:val="auto"/>
          <w:sz w:val="44"/>
          <w:szCs w:val="44"/>
          <w:highlight w:val="none"/>
        </w:rPr>
        <w:t>采购项目合同</w:t>
      </w:r>
    </w:p>
    <w:p>
      <w:pPr>
        <w:pStyle w:val="23"/>
        <w:rPr>
          <w:rFonts w:hAnsi="宋体"/>
          <w:color w:val="auto"/>
          <w:highlight w:val="none"/>
        </w:rPr>
      </w:pPr>
    </w:p>
    <w:p>
      <w:pPr>
        <w:pStyle w:val="23"/>
        <w:rPr>
          <w:rFonts w:hAnsi="宋体"/>
          <w:color w:val="auto"/>
          <w:highlight w:val="none"/>
        </w:rPr>
      </w:pPr>
    </w:p>
    <w:p>
      <w:pPr>
        <w:pStyle w:val="4"/>
        <w:ind w:firstLine="0"/>
        <w:jc w:val="center"/>
        <w:rPr>
          <w:rFonts w:ascii="宋体" w:hAnsi="宋体" w:cs="宋体"/>
          <w:color w:val="auto"/>
          <w:sz w:val="24"/>
          <w:szCs w:val="24"/>
          <w:highlight w:val="none"/>
        </w:rPr>
      </w:pPr>
      <w:r>
        <w:rPr>
          <w:rFonts w:hint="eastAsia" w:ascii="宋体" w:hAnsi="宋体" w:cs="宋体"/>
          <w:color w:val="auto"/>
          <w:sz w:val="24"/>
          <w:szCs w:val="24"/>
          <w:highlight w:val="none"/>
        </w:rPr>
        <w:t>本合同仅供参考，最终以与采购人实际签订合同为准</w:t>
      </w:r>
    </w:p>
    <w:p>
      <w:pPr>
        <w:rPr>
          <w:rFonts w:ascii="宋体" w:hAnsi="宋体" w:cs="宋体"/>
          <w:color w:val="auto"/>
          <w:sz w:val="24"/>
          <w:szCs w:val="24"/>
          <w:highlight w:val="none"/>
        </w:rPr>
      </w:pPr>
    </w:p>
    <w:p>
      <w:pPr>
        <w:pStyle w:val="4"/>
        <w:rPr>
          <w:rFonts w:ascii="宋体" w:hAnsi="宋体" w:cs="宋体"/>
          <w:color w:val="auto"/>
          <w:sz w:val="24"/>
          <w:szCs w:val="24"/>
          <w:highlight w:val="none"/>
        </w:rPr>
      </w:pPr>
    </w:p>
    <w:p>
      <w:pPr>
        <w:rPr>
          <w:rFonts w:ascii="宋体" w:hAnsi="宋体"/>
          <w:color w:val="auto"/>
          <w:highlight w:val="none"/>
        </w:rPr>
      </w:pPr>
    </w:p>
    <w:p>
      <w:pPr>
        <w:pStyle w:val="23"/>
        <w:rPr>
          <w:rFonts w:hAnsi="宋体"/>
          <w:color w:val="auto"/>
          <w:highlight w:val="none"/>
        </w:rPr>
      </w:pPr>
    </w:p>
    <w:p>
      <w:pPr>
        <w:pStyle w:val="23"/>
        <w:rPr>
          <w:rFonts w:hAnsi="宋体"/>
          <w:color w:val="auto"/>
          <w:highlight w:val="none"/>
        </w:rPr>
      </w:pPr>
    </w:p>
    <w:p>
      <w:pPr>
        <w:snapToGrid w:val="0"/>
        <w:spacing w:line="360" w:lineRule="auto"/>
        <w:rPr>
          <w:rFonts w:ascii="宋体" w:hAnsi="宋体" w:cs="宋体"/>
          <w:color w:val="auto"/>
          <w:sz w:val="24"/>
          <w:highlight w:val="none"/>
          <w:u w:val="single"/>
        </w:rPr>
      </w:pPr>
      <w:r>
        <w:rPr>
          <w:rFonts w:hint="eastAsia" w:ascii="宋体" w:hAnsi="宋体" w:cs="宋体"/>
          <w:color w:val="auto"/>
          <w:sz w:val="24"/>
          <w:highlight w:val="none"/>
        </w:rPr>
        <w:t>买方（甲方）：</w:t>
      </w:r>
    </w:p>
    <w:p>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地址：</w:t>
      </w:r>
    </w:p>
    <w:p>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指定联系人：              联系电话：                  联系邮箱：</w:t>
      </w:r>
    </w:p>
    <w:p>
      <w:pPr>
        <w:snapToGrid w:val="0"/>
        <w:spacing w:line="360" w:lineRule="auto"/>
        <w:rPr>
          <w:rFonts w:ascii="宋体" w:hAnsi="宋体" w:cs="宋体"/>
          <w:color w:val="auto"/>
          <w:sz w:val="24"/>
          <w:highlight w:val="none"/>
          <w:u w:val="single"/>
        </w:rPr>
      </w:pPr>
      <w:r>
        <w:rPr>
          <w:rFonts w:hint="eastAsia" w:ascii="宋体" w:hAnsi="宋体" w:cs="宋体"/>
          <w:color w:val="auto"/>
          <w:sz w:val="24"/>
          <w:highlight w:val="none"/>
        </w:rPr>
        <w:t>卖方（乙方）：</w:t>
      </w:r>
    </w:p>
    <w:p>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法定代表人：</w:t>
      </w:r>
    </w:p>
    <w:p>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地址：</w:t>
      </w:r>
    </w:p>
    <w:p>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指定联系人：              联系电话：                  联系邮箱：</w:t>
      </w:r>
    </w:p>
    <w:p>
      <w:pPr>
        <w:pStyle w:val="34"/>
        <w:snapToGrid w:val="0"/>
        <w:spacing w:before="0" w:beforeAutospacing="0" w:after="0" w:afterAutospacing="0" w:line="360" w:lineRule="auto"/>
        <w:ind w:firstLine="420"/>
        <w:rPr>
          <w:b/>
          <w:bCs/>
          <w:color w:val="auto"/>
          <w:highlight w:val="none"/>
          <w:u w:val="single"/>
        </w:rPr>
      </w:pPr>
      <w:r>
        <w:rPr>
          <w:rFonts w:hint="eastAsia"/>
          <w:color w:val="auto"/>
          <w:highlight w:val="none"/>
        </w:rPr>
        <w:t>买、卖双方本着公平自愿、平等互利、协商一致的原则，就</w:t>
      </w:r>
      <w:r>
        <w:rPr>
          <w:rFonts w:hint="eastAsia"/>
          <w:b/>
          <w:bCs/>
          <w:color w:val="auto"/>
          <w:highlight w:val="none"/>
          <w:u w:val="single"/>
        </w:rPr>
        <w:t xml:space="preserve">      项目第   包</w:t>
      </w:r>
      <w:r>
        <w:rPr>
          <w:rFonts w:hint="eastAsia"/>
          <w:color w:val="auto"/>
          <w:highlight w:val="none"/>
        </w:rPr>
        <w:t>签订本合同，双方信守执行。</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合同文本组成及解释顺序：</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第一章：合同协议书</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第二章：合同基本条款</w:t>
      </w:r>
    </w:p>
    <w:p>
      <w:pPr>
        <w:snapToGrid w:val="0"/>
        <w:spacing w:line="360" w:lineRule="auto"/>
        <w:ind w:firstLine="480" w:firstLineChars="200"/>
        <w:rPr>
          <w:rFonts w:ascii="宋体" w:hAnsi="宋体" w:cs="宋体"/>
          <w:color w:val="auto"/>
          <w:sz w:val="24"/>
          <w:highlight w:val="none"/>
        </w:rPr>
      </w:pPr>
    </w:p>
    <w:p>
      <w:pPr>
        <w:widowControl/>
        <w:snapToGrid w:val="0"/>
        <w:spacing w:line="400" w:lineRule="exact"/>
        <w:jc w:val="center"/>
        <w:rPr>
          <w:rFonts w:ascii="宋体" w:hAnsi="宋体" w:cs="宋体"/>
          <w:color w:val="auto"/>
          <w:sz w:val="24"/>
          <w:highlight w:val="none"/>
        </w:rPr>
      </w:pPr>
      <w:r>
        <w:rPr>
          <w:rFonts w:hint="eastAsia" w:ascii="宋体" w:hAnsi="宋体" w:cs="宋体"/>
          <w:b/>
          <w:bCs/>
          <w:color w:val="auto"/>
          <w:sz w:val="36"/>
          <w:szCs w:val="36"/>
          <w:highlight w:val="none"/>
        </w:rPr>
        <w:t>一、  合同协议书</w:t>
      </w:r>
    </w:p>
    <w:p>
      <w:pPr>
        <w:tabs>
          <w:tab w:val="left" w:pos="5940"/>
        </w:tabs>
        <w:snapToGrid w:val="0"/>
        <w:spacing w:line="400" w:lineRule="exact"/>
        <w:ind w:firstLine="480" w:firstLineChars="200"/>
        <w:rPr>
          <w:rFonts w:ascii="宋体" w:hAnsi="宋体" w:cs="宋体"/>
          <w:color w:val="auto"/>
          <w:sz w:val="24"/>
          <w:highlight w:val="none"/>
        </w:rPr>
      </w:pPr>
    </w:p>
    <w:p>
      <w:pPr>
        <w:tabs>
          <w:tab w:val="left" w:pos="5940"/>
        </w:tabs>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  商品名称、规格、型号、单位、数量、单价、金额详见清单。</w:t>
      </w:r>
    </w:p>
    <w:p>
      <w:pPr>
        <w:tabs>
          <w:tab w:val="left" w:pos="5940"/>
        </w:tabs>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单位：人民币：元</w:t>
      </w:r>
    </w:p>
    <w:tbl>
      <w:tblPr>
        <w:tblStyle w:val="38"/>
        <w:tblW w:w="9544" w:type="dxa"/>
        <w:jc w:val="center"/>
        <w:tblLayout w:type="fixed"/>
        <w:tblCellMar>
          <w:top w:w="0" w:type="dxa"/>
          <w:left w:w="108" w:type="dxa"/>
          <w:bottom w:w="0" w:type="dxa"/>
          <w:right w:w="108" w:type="dxa"/>
        </w:tblCellMar>
      </w:tblPr>
      <w:tblGrid>
        <w:gridCol w:w="1088"/>
        <w:gridCol w:w="2056"/>
        <w:gridCol w:w="2256"/>
        <w:gridCol w:w="1555"/>
        <w:gridCol w:w="1333"/>
        <w:gridCol w:w="1256"/>
      </w:tblGrid>
      <w:tr>
        <w:tblPrEx>
          <w:tblCellMar>
            <w:top w:w="0" w:type="dxa"/>
            <w:left w:w="108" w:type="dxa"/>
            <w:bottom w:w="0" w:type="dxa"/>
            <w:right w:w="108" w:type="dxa"/>
          </w:tblCellMar>
        </w:tblPrEx>
        <w:trPr>
          <w:trHeight w:val="570" w:hRule="atLeast"/>
          <w:jc w:val="center"/>
        </w:trPr>
        <w:tc>
          <w:tcPr>
            <w:tcW w:w="1088" w:type="dxa"/>
            <w:tcBorders>
              <w:top w:val="single" w:color="auto" w:sz="4" w:space="0"/>
              <w:left w:val="single" w:color="auto" w:sz="4" w:space="0"/>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0"/>
                <w:highlight w:val="none"/>
              </w:rPr>
            </w:pPr>
            <w:r>
              <w:rPr>
                <w:rFonts w:hint="eastAsia" w:ascii="宋体" w:hAnsi="宋体" w:cs="宋体"/>
                <w:color w:val="auto"/>
                <w:kern w:val="0"/>
                <w:sz w:val="20"/>
                <w:highlight w:val="none"/>
              </w:rPr>
              <w:t>包号</w:t>
            </w:r>
          </w:p>
        </w:tc>
        <w:tc>
          <w:tcPr>
            <w:tcW w:w="2056"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0"/>
                <w:highlight w:val="none"/>
              </w:rPr>
            </w:pPr>
            <w:r>
              <w:rPr>
                <w:rFonts w:hint="eastAsia" w:ascii="宋体" w:hAnsi="宋体" w:cs="宋体"/>
                <w:color w:val="auto"/>
                <w:kern w:val="0"/>
                <w:highlight w:val="none"/>
              </w:rPr>
              <w:t>货物名称</w:t>
            </w:r>
          </w:p>
        </w:tc>
        <w:tc>
          <w:tcPr>
            <w:tcW w:w="2256"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0"/>
                <w:highlight w:val="none"/>
              </w:rPr>
            </w:pPr>
            <w:r>
              <w:rPr>
                <w:rFonts w:hint="eastAsia" w:ascii="宋体" w:hAnsi="宋体" w:cs="宋体"/>
                <w:color w:val="auto"/>
                <w:kern w:val="0"/>
                <w:sz w:val="20"/>
                <w:highlight w:val="none"/>
              </w:rPr>
              <w:t>品名/型号</w:t>
            </w:r>
          </w:p>
        </w:tc>
        <w:tc>
          <w:tcPr>
            <w:tcW w:w="1555"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0"/>
                <w:highlight w:val="none"/>
              </w:rPr>
            </w:pPr>
            <w:r>
              <w:rPr>
                <w:rFonts w:hint="eastAsia" w:ascii="宋体" w:hAnsi="宋体" w:cs="宋体"/>
                <w:color w:val="auto"/>
                <w:kern w:val="0"/>
                <w:sz w:val="20"/>
                <w:highlight w:val="none"/>
              </w:rPr>
              <w:t xml:space="preserve">单价   </w:t>
            </w:r>
          </w:p>
        </w:tc>
        <w:tc>
          <w:tcPr>
            <w:tcW w:w="1333"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0"/>
                <w:highlight w:val="none"/>
              </w:rPr>
            </w:pPr>
            <w:r>
              <w:rPr>
                <w:rFonts w:hint="eastAsia" w:ascii="宋体" w:hAnsi="宋体" w:cs="宋体"/>
                <w:color w:val="auto"/>
                <w:kern w:val="0"/>
                <w:sz w:val="20"/>
                <w:highlight w:val="none"/>
              </w:rPr>
              <w:t>数量（辆）</w:t>
            </w:r>
          </w:p>
        </w:tc>
        <w:tc>
          <w:tcPr>
            <w:tcW w:w="1256"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0"/>
                <w:highlight w:val="none"/>
              </w:rPr>
            </w:pPr>
            <w:r>
              <w:rPr>
                <w:rFonts w:hint="eastAsia" w:ascii="宋体" w:hAnsi="宋体" w:cs="宋体"/>
                <w:color w:val="auto"/>
                <w:kern w:val="0"/>
                <w:sz w:val="20"/>
                <w:highlight w:val="none"/>
              </w:rPr>
              <w:t>中标总价</w:t>
            </w:r>
          </w:p>
        </w:tc>
      </w:tr>
      <w:tr>
        <w:tblPrEx>
          <w:tblCellMar>
            <w:top w:w="0" w:type="dxa"/>
            <w:left w:w="108" w:type="dxa"/>
            <w:bottom w:w="0" w:type="dxa"/>
            <w:right w:w="108" w:type="dxa"/>
          </w:tblCellMar>
        </w:tblPrEx>
        <w:trPr>
          <w:trHeight w:val="1380" w:hRule="atLeast"/>
          <w:jc w:val="center"/>
        </w:trPr>
        <w:tc>
          <w:tcPr>
            <w:tcW w:w="1088" w:type="dxa"/>
            <w:tcBorders>
              <w:top w:val="single" w:color="auto" w:sz="4" w:space="0"/>
              <w:left w:val="single" w:color="auto" w:sz="4" w:space="0"/>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0"/>
                <w:highlight w:val="none"/>
              </w:rPr>
            </w:pPr>
          </w:p>
        </w:tc>
        <w:tc>
          <w:tcPr>
            <w:tcW w:w="2056" w:type="dxa"/>
            <w:tcBorders>
              <w:top w:val="single" w:color="auto" w:sz="4" w:space="0"/>
              <w:left w:val="single" w:color="auto" w:sz="4" w:space="0"/>
              <w:bottom w:val="single" w:color="auto" w:sz="4" w:space="0"/>
              <w:right w:val="single" w:color="auto" w:sz="4" w:space="0"/>
            </w:tcBorders>
            <w:noWrap/>
            <w:vAlign w:val="center"/>
          </w:tcPr>
          <w:p>
            <w:pPr>
              <w:snapToGrid w:val="0"/>
              <w:spacing w:line="400" w:lineRule="exact"/>
              <w:jc w:val="center"/>
              <w:rPr>
                <w:rFonts w:ascii="宋体" w:hAnsi="宋体" w:cs="宋体"/>
                <w:color w:val="auto"/>
                <w:kern w:val="0"/>
                <w:sz w:val="20"/>
                <w:highlight w:val="none"/>
              </w:rPr>
            </w:pPr>
          </w:p>
        </w:tc>
        <w:tc>
          <w:tcPr>
            <w:tcW w:w="2256" w:type="dxa"/>
            <w:tcBorders>
              <w:top w:val="single" w:color="auto" w:sz="4" w:space="0"/>
              <w:left w:val="single" w:color="auto" w:sz="4" w:space="0"/>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highlight w:val="none"/>
              </w:rPr>
            </w:pPr>
          </w:p>
        </w:tc>
        <w:tc>
          <w:tcPr>
            <w:tcW w:w="1555" w:type="dxa"/>
            <w:tcBorders>
              <w:top w:val="single" w:color="auto" w:sz="4" w:space="0"/>
              <w:left w:val="single" w:color="auto" w:sz="4" w:space="0"/>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highlight w:val="none"/>
              </w:rPr>
            </w:pPr>
          </w:p>
        </w:tc>
        <w:tc>
          <w:tcPr>
            <w:tcW w:w="1333" w:type="dxa"/>
            <w:tcBorders>
              <w:top w:val="single" w:color="auto" w:sz="4" w:space="0"/>
              <w:left w:val="single" w:color="auto" w:sz="4" w:space="0"/>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0"/>
                <w:highlight w:val="none"/>
              </w:rPr>
            </w:pPr>
          </w:p>
        </w:tc>
        <w:tc>
          <w:tcPr>
            <w:tcW w:w="1256" w:type="dxa"/>
            <w:tcBorders>
              <w:top w:val="single" w:color="auto" w:sz="4" w:space="0"/>
              <w:left w:val="single" w:color="auto" w:sz="4" w:space="0"/>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0"/>
                <w:highlight w:val="none"/>
              </w:rPr>
            </w:pPr>
          </w:p>
        </w:tc>
      </w:tr>
      <w:tr>
        <w:tblPrEx>
          <w:tblCellMar>
            <w:top w:w="0" w:type="dxa"/>
            <w:left w:w="108" w:type="dxa"/>
            <w:bottom w:w="0" w:type="dxa"/>
            <w:right w:w="108" w:type="dxa"/>
          </w:tblCellMar>
        </w:tblPrEx>
        <w:trPr>
          <w:trHeight w:val="1380" w:hRule="atLeast"/>
          <w:jc w:val="center"/>
        </w:trPr>
        <w:tc>
          <w:tcPr>
            <w:tcW w:w="9544" w:type="dxa"/>
            <w:gridSpan w:val="6"/>
            <w:tcBorders>
              <w:top w:val="single" w:color="auto" w:sz="4" w:space="0"/>
              <w:left w:val="single" w:color="auto" w:sz="4" w:space="0"/>
              <w:bottom w:val="single" w:color="auto" w:sz="4" w:space="0"/>
              <w:right w:val="single" w:color="auto" w:sz="4" w:space="0"/>
            </w:tcBorders>
            <w:noWrap/>
          </w:tcPr>
          <w:p>
            <w:pPr>
              <w:widowControl/>
              <w:snapToGrid w:val="0"/>
              <w:spacing w:line="400" w:lineRule="exact"/>
              <w:rPr>
                <w:rFonts w:ascii="宋体" w:hAnsi="宋体" w:cs="宋体"/>
                <w:color w:val="auto"/>
                <w:kern w:val="0"/>
                <w:sz w:val="20"/>
                <w:highlight w:val="none"/>
              </w:rPr>
            </w:pPr>
            <w:r>
              <w:rPr>
                <w:rFonts w:hint="eastAsia" w:ascii="宋体" w:hAnsi="宋体" w:cs="宋体"/>
                <w:color w:val="auto"/>
                <w:kern w:val="0"/>
                <w:sz w:val="20"/>
                <w:highlight w:val="none"/>
              </w:rPr>
              <w:t>详细技术参数：</w:t>
            </w:r>
          </w:p>
        </w:tc>
      </w:tr>
    </w:tbl>
    <w:p>
      <w:pPr>
        <w:snapToGrid w:val="0"/>
        <w:spacing w:line="360" w:lineRule="auto"/>
        <w:ind w:firstLine="480" w:firstLineChars="200"/>
        <w:rPr>
          <w:rFonts w:ascii="宋体" w:hAnsi="宋体" w:cs="宋体"/>
          <w:color w:val="auto"/>
          <w:sz w:val="24"/>
          <w:highlight w:val="none"/>
        </w:rPr>
      </w:pPr>
    </w:p>
    <w:p>
      <w:pPr>
        <w:snapToGrid w:val="0"/>
        <w:spacing w:line="360" w:lineRule="auto"/>
        <w:ind w:firstLine="480" w:firstLineChars="200"/>
        <w:rPr>
          <w:rFonts w:ascii="宋体" w:hAnsi="宋体" w:cs="宋体"/>
          <w:bCs/>
          <w:color w:val="auto"/>
          <w:sz w:val="24"/>
          <w:highlight w:val="none"/>
        </w:rPr>
      </w:pPr>
      <w:r>
        <w:rPr>
          <w:rFonts w:hint="eastAsia" w:ascii="宋体" w:hAnsi="宋体" w:cs="宋体"/>
          <w:color w:val="auto"/>
          <w:sz w:val="24"/>
          <w:highlight w:val="none"/>
        </w:rPr>
        <w:t>2.  合同价款及结算方式（大写）元整（小写）元。以上价格为合同总价，</w:t>
      </w:r>
      <w:r>
        <w:rPr>
          <w:rFonts w:hint="eastAsia" w:ascii="宋体" w:hAnsi="宋体"/>
          <w:bCs/>
          <w:color w:val="auto"/>
          <w:sz w:val="24"/>
          <w:highlight w:val="none"/>
        </w:rPr>
        <w:t>最终结算按审计价格支付，</w:t>
      </w:r>
      <w:r>
        <w:rPr>
          <w:rFonts w:hint="eastAsia" w:ascii="宋体" w:hAnsi="宋体" w:cs="宋体"/>
          <w:color w:val="auto"/>
          <w:sz w:val="24"/>
          <w:highlight w:val="none"/>
        </w:rPr>
        <w:t>最终结算价格以审定价格为准，包括但不限于设备费、备品备件、专用工具、包装费、运保费、卸货费、安装指导费、调试费、税费等合同项下的义务；也包括买卖双方签订的技术附件中卖方承诺的其它系统配件</w:t>
      </w:r>
      <w:r>
        <w:rPr>
          <w:rFonts w:hint="eastAsia" w:ascii="宋体" w:hAnsi="宋体" w:cs="宋体"/>
          <w:bCs/>
          <w:color w:val="auto"/>
          <w:sz w:val="24"/>
          <w:highlight w:val="none"/>
        </w:rPr>
        <w:t>。</w:t>
      </w:r>
    </w:p>
    <w:p>
      <w:pPr>
        <w:snapToGrid w:val="0"/>
        <w:spacing w:line="360" w:lineRule="auto"/>
        <w:ind w:firstLine="480" w:firstLineChars="200"/>
        <w:rPr>
          <w:rFonts w:ascii="宋体" w:hAnsi="宋体" w:cs="宋体"/>
          <w:bCs/>
          <w:color w:val="auto"/>
          <w:sz w:val="24"/>
          <w:szCs w:val="22"/>
          <w:highlight w:val="none"/>
        </w:rPr>
      </w:pPr>
      <w:r>
        <w:rPr>
          <w:rFonts w:hint="eastAsia" w:ascii="宋体" w:hAnsi="宋体" w:cs="宋体"/>
          <w:bCs/>
          <w:color w:val="auto"/>
          <w:sz w:val="24"/>
          <w:szCs w:val="22"/>
          <w:highlight w:val="none"/>
        </w:rPr>
        <w:t>2.1履约保证金缴纳：</w:t>
      </w:r>
      <w:r>
        <w:rPr>
          <w:rFonts w:hint="eastAsia" w:ascii="宋体" w:hAnsi="宋体"/>
          <w:bCs/>
          <w:color w:val="auto"/>
          <w:sz w:val="24"/>
          <w:highlight w:val="none"/>
        </w:rPr>
        <w:t>合同签订前，中标单位按照中标金额的5%缴纳履约保证金，中标单位按合同约定交付全部产品，安装调试完毕，书面验收合格一年后，采购单位无息退还全部履约保证金。</w:t>
      </w:r>
    </w:p>
    <w:p>
      <w:pPr>
        <w:snapToGrid w:val="0"/>
        <w:spacing w:line="360" w:lineRule="auto"/>
        <w:ind w:left="139" w:leftChars="66" w:firstLine="360" w:firstLineChars="150"/>
        <w:rPr>
          <w:rFonts w:ascii="宋体" w:hAnsi="宋体" w:cs="宋体"/>
          <w:bCs/>
          <w:color w:val="auto"/>
          <w:sz w:val="24"/>
          <w:szCs w:val="22"/>
          <w:highlight w:val="none"/>
        </w:rPr>
      </w:pPr>
      <w:r>
        <w:rPr>
          <w:rFonts w:hint="eastAsia" w:ascii="宋体" w:hAnsi="宋体" w:cs="宋体"/>
          <w:bCs/>
          <w:color w:val="auto"/>
          <w:sz w:val="24"/>
          <w:szCs w:val="22"/>
          <w:highlight w:val="none"/>
        </w:rPr>
        <w:t>2.2付款方式：中标单位按合同约定交付全部产品、安装调试完毕，验收合格并经过结算审计后30日内，采购人按验收报告、结算审计、合同相关条款支付货款100%；如结算审计有审减，按照结算审计结果支付货款；如验收不合格、未完成安装调试，参照合同样本第二部分合同基本条款第14条违约责任执行。(如采购人有付款需求，在签订合同后，中标单位向采购人提供同等合同金额的银行保函，收到保函，采购人可支付合同金额的100%，待验收合格、安装调试完毕后，根据结算审计结果解除银行质押）</w:t>
      </w:r>
    </w:p>
    <w:p>
      <w:pPr>
        <w:snapToGrid w:val="0"/>
        <w:spacing w:line="360" w:lineRule="auto"/>
        <w:ind w:left="139" w:leftChars="66" w:firstLine="360" w:firstLineChars="150"/>
        <w:rPr>
          <w:rFonts w:ascii="宋体" w:hAnsi="宋体" w:cs="宋体"/>
          <w:b/>
          <w:color w:val="auto"/>
          <w:sz w:val="24"/>
          <w:highlight w:val="none"/>
          <w:u w:val="single"/>
        </w:rPr>
      </w:pPr>
      <w:r>
        <w:rPr>
          <w:rFonts w:hint="eastAsia" w:ascii="宋体" w:hAnsi="宋体" w:cs="宋体"/>
          <w:bCs/>
          <w:color w:val="auto"/>
          <w:sz w:val="24"/>
          <w:highlight w:val="none"/>
        </w:rPr>
        <w:t>3.运输及保险：</w:t>
      </w:r>
      <w:r>
        <w:rPr>
          <w:rFonts w:hint="eastAsia" w:ascii="宋体" w:hAnsi="宋体" w:cs="宋体"/>
          <w:color w:val="auto"/>
          <w:sz w:val="24"/>
          <w:highlight w:val="none"/>
          <w:u w:val="single"/>
        </w:rPr>
        <w:t xml:space="preserve">车辆运输方式不限，运输、保险等运输过程中发生的所有费用均由卖方承担  </w:t>
      </w:r>
      <w:r>
        <w:rPr>
          <w:rFonts w:hint="eastAsia" w:ascii="宋体" w:hAnsi="宋体" w:cs="宋体"/>
          <w:color w:val="auto"/>
          <w:sz w:val="24"/>
          <w:highlight w:val="none"/>
        </w:rPr>
        <w:t>。</w:t>
      </w:r>
    </w:p>
    <w:p>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    4.  运送</w:t>
      </w:r>
    </w:p>
    <w:p>
      <w:pPr>
        <w:snapToGrid w:val="0"/>
        <w:spacing w:line="360" w:lineRule="auto"/>
        <w:ind w:left="244" w:leftChars="116"/>
        <w:rPr>
          <w:rFonts w:ascii="宋体" w:hAnsi="宋体" w:cs="宋体"/>
          <w:color w:val="auto"/>
          <w:sz w:val="24"/>
          <w:highlight w:val="none"/>
        </w:rPr>
      </w:pPr>
      <w:r>
        <w:rPr>
          <w:rFonts w:hint="eastAsia" w:ascii="宋体" w:hAnsi="宋体" w:cs="宋体"/>
          <w:color w:val="auto"/>
          <w:sz w:val="24"/>
          <w:highlight w:val="none"/>
        </w:rPr>
        <w:t xml:space="preserve">  4.1  </w:t>
      </w:r>
      <w:r>
        <w:rPr>
          <w:rFonts w:hint="eastAsia" w:ascii="宋体" w:hAnsi="宋体" w:cs="宋体"/>
          <w:b/>
          <w:color w:val="auto"/>
          <w:sz w:val="24"/>
          <w:highlight w:val="none"/>
        </w:rPr>
        <w:t>运送完整性：保证车辆抵达交货地点时完整无损，对由于运送不善而引起的车辆损坏或损失、耽误交货时限等损失，均由卖方承担责任。</w:t>
      </w:r>
    </w:p>
    <w:p>
      <w:pPr>
        <w:tabs>
          <w:tab w:val="left" w:pos="540"/>
        </w:tabs>
        <w:snapToGrid w:val="0"/>
        <w:spacing w:line="360" w:lineRule="auto"/>
        <w:ind w:firstLine="616" w:firstLineChars="257"/>
        <w:rPr>
          <w:rFonts w:ascii="宋体" w:hAnsi="宋体" w:cs="宋体"/>
          <w:bCs/>
          <w:color w:val="auto"/>
          <w:sz w:val="24"/>
          <w:highlight w:val="none"/>
        </w:rPr>
      </w:pPr>
      <w:r>
        <w:rPr>
          <w:rFonts w:hint="eastAsia" w:ascii="宋体" w:hAnsi="宋体" w:cs="宋体"/>
          <w:bCs/>
          <w:color w:val="auto"/>
          <w:sz w:val="24"/>
          <w:highlight w:val="none"/>
        </w:rPr>
        <w:t>5.交货</w:t>
      </w:r>
    </w:p>
    <w:p>
      <w:pPr>
        <w:snapToGrid w:val="0"/>
        <w:spacing w:line="360" w:lineRule="auto"/>
        <w:ind w:firstLine="720" w:firstLineChars="300"/>
        <w:jc w:val="left"/>
        <w:rPr>
          <w:rFonts w:hint="eastAsia" w:ascii="宋体" w:hAnsi="宋体" w:cs="宋体"/>
          <w:bCs/>
          <w:color w:val="auto"/>
          <w:sz w:val="24"/>
          <w:highlight w:val="none"/>
        </w:rPr>
      </w:pPr>
      <w:r>
        <w:rPr>
          <w:rFonts w:hint="eastAsia" w:ascii="宋体" w:hAnsi="宋体" w:cs="宋体"/>
          <w:bCs/>
          <w:color w:val="auto"/>
          <w:sz w:val="24"/>
          <w:highlight w:val="none"/>
        </w:rPr>
        <w:t>5.1交货时间：合同签订后</w:t>
      </w:r>
      <w:r>
        <w:rPr>
          <w:rFonts w:hint="eastAsia" w:ascii="宋体" w:hAnsi="宋体" w:cs="宋体"/>
          <w:bCs/>
          <w:color w:val="auto"/>
          <w:sz w:val="24"/>
          <w:highlight w:val="none"/>
          <w:lang w:val="en-US" w:eastAsia="zh-CN"/>
        </w:rPr>
        <w:t>90</w:t>
      </w:r>
      <w:r>
        <w:rPr>
          <w:rFonts w:hint="eastAsia" w:ascii="宋体" w:hAnsi="宋体" w:cs="宋体"/>
          <w:bCs/>
          <w:color w:val="auto"/>
          <w:sz w:val="24"/>
          <w:highlight w:val="none"/>
        </w:rPr>
        <w:t>日内交付货物。</w:t>
      </w:r>
    </w:p>
    <w:p>
      <w:pPr>
        <w:snapToGrid w:val="0"/>
        <w:spacing w:line="360" w:lineRule="auto"/>
        <w:ind w:firstLine="723" w:firstLineChars="300"/>
        <w:jc w:val="left"/>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rPr>
        <w:t>车辆交付时整车必须取得工信部公告和国家权威机构出具的检测报告，整车合格证数据必须同步录入工信部相关数据库</w:t>
      </w:r>
      <w:r>
        <w:rPr>
          <w:rFonts w:hint="eastAsia" w:ascii="宋体" w:hAnsi="宋体" w:cs="宋体"/>
          <w:b/>
          <w:bCs/>
          <w:color w:val="auto"/>
          <w:sz w:val="24"/>
          <w:highlight w:val="none"/>
          <w:lang w:eastAsia="zh-CN"/>
        </w:rPr>
        <w:t>。</w:t>
      </w:r>
    </w:p>
    <w:p>
      <w:pPr>
        <w:snapToGrid w:val="0"/>
        <w:spacing w:line="360" w:lineRule="auto"/>
        <w:ind w:firstLine="723" w:firstLineChars="300"/>
        <w:jc w:val="left"/>
        <w:rPr>
          <w:rFonts w:ascii="宋体" w:hAnsi="宋体" w:cs="宋体"/>
          <w:color w:val="auto"/>
          <w:highlight w:val="none"/>
        </w:rPr>
      </w:pPr>
      <w:r>
        <w:rPr>
          <w:rFonts w:hint="eastAsia" w:ascii="宋体" w:hAnsi="宋体" w:cs="宋体"/>
          <w:b/>
          <w:bCs/>
          <w:color w:val="auto"/>
          <w:sz w:val="24"/>
          <w:highlight w:val="none"/>
        </w:rPr>
        <w:t>卖方须在上述时限之前，一次完成供货并交付验收。车辆发出后，卖方应发函通知买方，便于买方准备验收。交车时车辆油箱应注入不少于总油箱容积四分之三油料。</w:t>
      </w:r>
      <w:r>
        <w:rPr>
          <w:rFonts w:hint="eastAsia" w:ascii="宋体" w:hAnsi="宋体" w:cs="宋体"/>
          <w:b/>
          <w:bCs/>
          <w:color w:val="auto"/>
          <w:sz w:val="24"/>
          <w:szCs w:val="22"/>
          <w:highlight w:val="none"/>
        </w:rPr>
        <w:t>需提供车辆左前方（车头面左）90°三寸照片1张，发动机号、车架号拓印件2套。</w:t>
      </w:r>
    </w:p>
    <w:p>
      <w:pPr>
        <w:pStyle w:val="4"/>
        <w:snapToGrid w:val="0"/>
        <w:spacing w:line="360" w:lineRule="auto"/>
        <w:rPr>
          <w:rFonts w:ascii="宋体" w:hAnsi="宋体" w:cs="宋体"/>
          <w:b/>
          <w:bCs/>
          <w:color w:val="auto"/>
          <w:sz w:val="24"/>
          <w:highlight w:val="none"/>
        </w:rPr>
      </w:pPr>
      <w:r>
        <w:rPr>
          <w:rFonts w:hint="eastAsia" w:ascii="宋体" w:hAnsi="宋体" w:cs="宋体"/>
          <w:bCs/>
          <w:color w:val="auto"/>
          <w:sz w:val="24"/>
          <w:highlight w:val="none"/>
        </w:rPr>
        <w:t>5.2交货地点：</w:t>
      </w:r>
      <w:r>
        <w:rPr>
          <w:rFonts w:hint="eastAsia" w:ascii="宋体" w:hAnsi="宋体" w:cs="宋体"/>
          <w:b/>
          <w:bCs/>
          <w:color w:val="auto"/>
          <w:sz w:val="24"/>
          <w:highlight w:val="none"/>
        </w:rPr>
        <w:t>采购人指定地点</w:t>
      </w:r>
    </w:p>
    <w:p>
      <w:pPr>
        <w:snapToGrid w:val="0"/>
        <w:spacing w:line="360" w:lineRule="auto"/>
        <w:ind w:firstLine="480" w:firstLineChars="200"/>
        <w:rPr>
          <w:rFonts w:ascii="宋体" w:hAnsi="宋体" w:cs="宋体"/>
          <w:b/>
          <w:bCs/>
          <w:color w:val="auto"/>
          <w:sz w:val="24"/>
          <w:highlight w:val="none"/>
        </w:rPr>
      </w:pPr>
      <w:r>
        <w:rPr>
          <w:rFonts w:hint="eastAsia" w:ascii="宋体" w:hAnsi="宋体" w:cs="宋体"/>
          <w:bCs/>
          <w:color w:val="auto"/>
          <w:sz w:val="24"/>
          <w:highlight w:val="none"/>
        </w:rPr>
        <w:t>5.3联系方式：阿勒泰地区消防救援支队</w:t>
      </w:r>
    </w:p>
    <w:p>
      <w:pPr>
        <w:snapToGrid w:val="0"/>
        <w:spacing w:line="360" w:lineRule="auto"/>
        <w:ind w:firstLine="2243" w:firstLineChars="931"/>
        <w:rPr>
          <w:rFonts w:ascii="宋体" w:hAnsi="宋体" w:cs="宋体"/>
          <w:b/>
          <w:bCs/>
          <w:color w:val="auto"/>
          <w:sz w:val="24"/>
          <w:highlight w:val="none"/>
        </w:rPr>
      </w:pPr>
      <w:r>
        <w:rPr>
          <w:rFonts w:hint="eastAsia" w:ascii="宋体" w:hAnsi="宋体" w:cs="宋体"/>
          <w:b/>
          <w:bCs/>
          <w:color w:val="auto"/>
          <w:sz w:val="24"/>
          <w:highlight w:val="none"/>
        </w:rPr>
        <w:t xml:space="preserve">姓  名： </w:t>
      </w:r>
    </w:p>
    <w:p>
      <w:pPr>
        <w:snapToGrid w:val="0"/>
        <w:spacing w:line="360" w:lineRule="auto"/>
        <w:ind w:firstLine="2202" w:firstLineChars="914"/>
        <w:rPr>
          <w:rFonts w:ascii="宋体" w:hAnsi="宋体" w:cs="宋体"/>
          <w:b/>
          <w:bCs/>
          <w:color w:val="auto"/>
          <w:sz w:val="24"/>
          <w:highlight w:val="none"/>
        </w:rPr>
      </w:pPr>
      <w:r>
        <w:rPr>
          <w:rFonts w:hint="eastAsia" w:ascii="宋体" w:hAnsi="宋体" w:cs="宋体"/>
          <w:b/>
          <w:bCs/>
          <w:color w:val="auto"/>
          <w:sz w:val="24"/>
          <w:highlight w:val="none"/>
        </w:rPr>
        <w:t>电  话：</w:t>
      </w:r>
    </w:p>
    <w:p>
      <w:pPr>
        <w:snapToGrid w:val="0"/>
        <w:spacing w:line="360" w:lineRule="auto"/>
        <w:ind w:firstLine="2202" w:firstLineChars="914"/>
        <w:rPr>
          <w:rFonts w:ascii="宋体" w:hAnsi="宋体" w:cs="宋体"/>
          <w:b/>
          <w:bCs/>
          <w:color w:val="auto"/>
          <w:sz w:val="24"/>
          <w:highlight w:val="none"/>
        </w:rPr>
      </w:pPr>
      <w:r>
        <w:rPr>
          <w:rFonts w:hint="eastAsia" w:ascii="宋体" w:hAnsi="宋体" w:cs="宋体"/>
          <w:b/>
          <w:bCs/>
          <w:color w:val="auto"/>
          <w:sz w:val="24"/>
          <w:highlight w:val="none"/>
        </w:rPr>
        <w:t>传  真：</w:t>
      </w:r>
    </w:p>
    <w:p>
      <w:pPr>
        <w:snapToGrid w:val="0"/>
        <w:spacing w:line="360" w:lineRule="auto"/>
        <w:ind w:firstLine="600" w:firstLineChars="250"/>
        <w:rPr>
          <w:rFonts w:ascii="宋体" w:hAnsi="宋体" w:cs="宋体"/>
          <w:bCs/>
          <w:color w:val="auto"/>
          <w:sz w:val="24"/>
          <w:highlight w:val="none"/>
        </w:rPr>
      </w:pPr>
      <w:r>
        <w:rPr>
          <w:rFonts w:hint="eastAsia" w:ascii="宋体" w:hAnsi="宋体" w:cs="宋体"/>
          <w:bCs/>
          <w:color w:val="auto"/>
          <w:sz w:val="24"/>
          <w:highlight w:val="none"/>
        </w:rPr>
        <w:t>6.验收：</w:t>
      </w:r>
    </w:p>
    <w:p>
      <w:pPr>
        <w:snapToGrid w:val="0"/>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6.1验收标准：依照标书及本合同约定。</w:t>
      </w:r>
    </w:p>
    <w:p>
      <w:pPr>
        <w:snapToGrid w:val="0"/>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6.2验收时间及组织：全部车辆送达分初验、复验两个阶段，初验阶段由支队进行验收，复验阶段由支队试用30天后。</w:t>
      </w:r>
    </w:p>
    <w:p>
      <w:pPr>
        <w:pStyle w:val="4"/>
        <w:snapToGrid w:val="0"/>
        <w:spacing w:line="360" w:lineRule="auto"/>
        <w:ind w:firstLine="482" w:firstLineChars="200"/>
        <w:rPr>
          <w:rFonts w:ascii="宋体" w:hAnsi="宋体" w:cs="宋体"/>
          <w:color w:val="auto"/>
          <w:highlight w:val="none"/>
        </w:rPr>
      </w:pPr>
      <w:r>
        <w:rPr>
          <w:rFonts w:hint="eastAsia" w:ascii="宋体" w:hAnsi="宋体" w:cs="宋体"/>
          <w:b/>
          <w:bCs/>
          <w:color w:val="auto"/>
          <w:sz w:val="24"/>
          <w:highlight w:val="none"/>
        </w:rPr>
        <w:t>6.3验收前买方不负责货物的保管，由卖方负责。</w:t>
      </w:r>
    </w:p>
    <w:p>
      <w:pPr>
        <w:snapToGrid w:val="0"/>
        <w:spacing w:line="360" w:lineRule="auto"/>
        <w:ind w:firstLine="600" w:firstLineChars="250"/>
        <w:rPr>
          <w:rFonts w:ascii="宋体" w:hAnsi="宋体" w:cs="宋体"/>
          <w:bCs/>
          <w:color w:val="auto"/>
          <w:sz w:val="24"/>
          <w:highlight w:val="none"/>
        </w:rPr>
      </w:pPr>
      <w:r>
        <w:rPr>
          <w:rFonts w:hint="eastAsia" w:ascii="宋体" w:hAnsi="宋体" w:cs="宋体"/>
          <w:bCs/>
          <w:color w:val="auto"/>
          <w:sz w:val="24"/>
          <w:highlight w:val="none"/>
        </w:rPr>
        <w:t>7.合同效力</w:t>
      </w:r>
    </w:p>
    <w:p>
      <w:pPr>
        <w:snapToGrid w:val="0"/>
        <w:spacing w:line="360" w:lineRule="auto"/>
        <w:ind w:firstLine="600" w:firstLineChars="250"/>
        <w:rPr>
          <w:rFonts w:ascii="宋体" w:hAnsi="宋体" w:cs="宋体"/>
          <w:bCs/>
          <w:color w:val="auto"/>
          <w:sz w:val="24"/>
          <w:highlight w:val="none"/>
        </w:rPr>
      </w:pPr>
      <w:r>
        <w:rPr>
          <w:rFonts w:hint="eastAsia" w:ascii="宋体" w:hAnsi="宋体" w:cs="宋体"/>
          <w:bCs/>
          <w:color w:val="auto"/>
          <w:sz w:val="24"/>
          <w:highlight w:val="none"/>
        </w:rPr>
        <w:t>7.1  本合同经买卖双方授权代表签署，并经双方盖章后生效。</w:t>
      </w:r>
    </w:p>
    <w:p>
      <w:pPr>
        <w:snapToGrid w:val="0"/>
        <w:spacing w:line="360" w:lineRule="auto"/>
        <w:ind w:firstLine="600" w:firstLineChars="250"/>
        <w:rPr>
          <w:rFonts w:ascii="宋体" w:hAnsi="宋体" w:cs="宋体"/>
          <w:bCs/>
          <w:color w:val="auto"/>
          <w:sz w:val="24"/>
          <w:highlight w:val="none"/>
        </w:rPr>
      </w:pPr>
      <w:r>
        <w:rPr>
          <w:rFonts w:hint="eastAsia" w:ascii="宋体" w:hAnsi="宋体" w:cs="宋体"/>
          <w:bCs/>
          <w:color w:val="auto"/>
          <w:sz w:val="24"/>
          <w:highlight w:val="none"/>
        </w:rPr>
        <w:t>7.2  本合同一式肆份，买卖双方各持两份，具有相同的法律效力。</w:t>
      </w:r>
    </w:p>
    <w:p>
      <w:pPr>
        <w:spacing w:line="360" w:lineRule="auto"/>
        <w:ind w:firstLine="904" w:firstLineChars="250"/>
        <w:jc w:val="center"/>
        <w:rPr>
          <w:rFonts w:ascii="宋体" w:hAnsi="宋体" w:cs="宋体"/>
          <w:b/>
          <w:bCs/>
          <w:color w:val="auto"/>
          <w:sz w:val="36"/>
          <w:szCs w:val="36"/>
          <w:highlight w:val="none"/>
        </w:rPr>
      </w:pPr>
    </w:p>
    <w:p>
      <w:pPr>
        <w:pStyle w:val="4"/>
        <w:rPr>
          <w:rFonts w:ascii="宋体" w:hAnsi="宋体" w:cs="宋体"/>
          <w:b/>
          <w:bCs/>
          <w:color w:val="auto"/>
          <w:sz w:val="36"/>
          <w:szCs w:val="36"/>
          <w:highlight w:val="none"/>
        </w:rPr>
      </w:pPr>
    </w:p>
    <w:p>
      <w:pPr>
        <w:rPr>
          <w:rFonts w:ascii="宋体" w:hAnsi="宋体" w:cs="宋体"/>
          <w:b/>
          <w:bCs/>
          <w:color w:val="auto"/>
          <w:sz w:val="36"/>
          <w:szCs w:val="36"/>
          <w:highlight w:val="none"/>
        </w:rPr>
      </w:pPr>
    </w:p>
    <w:p>
      <w:pPr>
        <w:pStyle w:val="4"/>
        <w:rPr>
          <w:rFonts w:ascii="宋体" w:hAnsi="宋体" w:cs="宋体"/>
          <w:b/>
          <w:bCs/>
          <w:color w:val="auto"/>
          <w:sz w:val="36"/>
          <w:szCs w:val="36"/>
          <w:highlight w:val="none"/>
        </w:rPr>
      </w:pPr>
    </w:p>
    <w:p>
      <w:pPr>
        <w:rPr>
          <w:rFonts w:ascii="宋体" w:hAnsi="宋体" w:cs="宋体"/>
          <w:b/>
          <w:bCs/>
          <w:color w:val="auto"/>
          <w:sz w:val="36"/>
          <w:szCs w:val="36"/>
          <w:highlight w:val="none"/>
        </w:rPr>
      </w:pPr>
    </w:p>
    <w:p>
      <w:pPr>
        <w:pStyle w:val="4"/>
        <w:rPr>
          <w:rFonts w:ascii="宋体" w:hAnsi="宋体" w:cs="宋体"/>
          <w:b/>
          <w:bCs/>
          <w:color w:val="auto"/>
          <w:sz w:val="36"/>
          <w:szCs w:val="36"/>
          <w:highlight w:val="none"/>
        </w:rPr>
      </w:pPr>
    </w:p>
    <w:p>
      <w:pPr>
        <w:rPr>
          <w:rFonts w:ascii="宋体" w:hAnsi="宋体" w:cs="宋体"/>
          <w:b/>
          <w:bCs/>
          <w:color w:val="auto"/>
          <w:sz w:val="36"/>
          <w:szCs w:val="36"/>
          <w:highlight w:val="none"/>
        </w:rPr>
      </w:pPr>
    </w:p>
    <w:p>
      <w:pPr>
        <w:snapToGrid w:val="0"/>
        <w:spacing w:line="400" w:lineRule="exact"/>
        <w:jc w:val="center"/>
        <w:rPr>
          <w:rFonts w:ascii="宋体" w:hAnsi="宋体" w:cs="宋体"/>
          <w:b/>
          <w:bCs/>
          <w:color w:val="auto"/>
          <w:sz w:val="36"/>
          <w:szCs w:val="36"/>
          <w:highlight w:val="none"/>
        </w:rPr>
      </w:pPr>
      <w:r>
        <w:rPr>
          <w:rFonts w:hint="eastAsia" w:ascii="宋体" w:hAnsi="宋体" w:cs="宋体"/>
          <w:b/>
          <w:bCs/>
          <w:color w:val="auto"/>
          <w:sz w:val="36"/>
          <w:szCs w:val="36"/>
          <w:highlight w:val="none"/>
        </w:rPr>
        <w:t>二、合同基本条款</w:t>
      </w:r>
    </w:p>
    <w:p>
      <w:pPr>
        <w:pStyle w:val="4"/>
        <w:ind w:firstLine="0"/>
        <w:rPr>
          <w:rFonts w:ascii="宋体" w:hAnsi="宋体"/>
          <w:color w:val="auto"/>
          <w:highlight w:val="none"/>
        </w:rPr>
      </w:pP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  定义：</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本合同有关术语解释：</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1.1  “合同”是指买卖双方签署的用以约定买卖双方买卖事项而达成的协议，包括所有的附件和构成合同的其它文件。</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1.2  “合同总价”是指根据本合同约定，卖方在正确地完全履行合同义务后买方应支付给卖方的全部价款。</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1.3  “车辆”是指根据合同约定卖方向买方提供的一切设备及相应的配套设施（含备件、工具、操作手册及其他有关技术资料和材料）。</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1.4  “服务”是指根据合同约定卖方向买方承担的与供货有关的辅助服务，如运输、保险、安装、调试、技术支持、检验、维修、培训等与购销有关的义务。</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1.5  “现场”是指合同项下货物实际所在地。</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1.6  “验收”是指合同双方依据约定的程序和条件对合同标的物的数量、质量、性能等进行确认交接的行为。</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1.7   交货时间是指卖方将本合同内全部产品提交给买方验收的最后时间。卖方分几次供货时，以最后一次提交买方验收时间为交货时间。</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 标准</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2.1  本合同下交付的货物应符合技术规格所述的标准。合同未作特别标注的国产货物，以我国颁布的最新标准为准；如无国家标准的，以行业标准为准；如无行业标准的，按企业标准执行。</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2.2  本合同货物无特别标注的，计量单位均采用中华人民共和国法定计量单位。</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 专利权</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卖方保证，买方在使用合同货物或货物的任何一部分时，免受第三方提出的侵犯其专利权、商标权、著作权或其它知识产权的起诉。卖方应承担由此可能产生的一切法律责任和费用（包括但不限于买方支出的赔偿费、诉讼费、评估费、鉴定费、律师费等）。</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4. 运送</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4.1  除合同另有规定外，卖方提供的全部车辆，均采用国家或专业标准保护措施（不低于木箱标准）进行运送，使包装适用于海运、空运或陆上的长途运输，并有良好的防潮、防震、防锈和防粗暴装卸等保护措施，确保车辆安全无损运抵现场。这类运送还应足以承受但不限于承受转运过程中的装卸，暴露于恶劣气温，大风和降雨环境，以及露天存放。对由于运送不善而引起的车辆锈蚀、损坏或损失卖方应承担责任。</w:t>
      </w:r>
    </w:p>
    <w:p>
      <w:pPr>
        <w:snapToGrid w:val="0"/>
        <w:spacing w:line="360" w:lineRule="auto"/>
        <w:ind w:firstLine="480" w:firstLineChars="200"/>
        <w:rPr>
          <w:rFonts w:ascii="宋体" w:hAnsi="宋体" w:cs="宋体"/>
          <w:b/>
          <w:color w:val="auto"/>
          <w:sz w:val="24"/>
          <w:highlight w:val="none"/>
        </w:rPr>
      </w:pPr>
      <w:r>
        <w:rPr>
          <w:rFonts w:hint="eastAsia" w:ascii="宋体" w:hAnsi="宋体" w:cs="宋体"/>
          <w:color w:val="auto"/>
          <w:sz w:val="24"/>
          <w:highlight w:val="none"/>
        </w:rPr>
        <w:t xml:space="preserve">4.2  </w:t>
      </w:r>
      <w:r>
        <w:rPr>
          <w:rFonts w:hint="eastAsia" w:ascii="宋体" w:hAnsi="宋体" w:cs="宋体"/>
          <w:b/>
          <w:color w:val="auto"/>
          <w:sz w:val="24"/>
          <w:highlight w:val="none"/>
        </w:rPr>
        <w:t>卖方必须无偿提供合同内全部货物的中文使用说明书，说明书包括产品的功能、使用方法、技术参数、常见问题解决办法及产品序列号、型号、版本号以及配合使用的主要设备品牌、型号和版本等信息。</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5.  质量</w:t>
      </w:r>
    </w:p>
    <w:p>
      <w:pPr>
        <w:snapToGrid w:val="0"/>
        <w:spacing w:line="360" w:lineRule="auto"/>
        <w:ind w:firstLine="480" w:firstLineChars="200"/>
        <w:rPr>
          <w:rFonts w:ascii="宋体" w:hAnsi="宋体" w:cs="宋体"/>
          <w:b/>
          <w:color w:val="auto"/>
          <w:sz w:val="24"/>
          <w:highlight w:val="none"/>
        </w:rPr>
      </w:pPr>
      <w:r>
        <w:rPr>
          <w:rFonts w:hint="eastAsia" w:ascii="宋体" w:hAnsi="宋体" w:cs="宋体"/>
          <w:color w:val="auto"/>
          <w:sz w:val="24"/>
          <w:highlight w:val="none"/>
        </w:rPr>
        <w:t xml:space="preserve">5.1  </w:t>
      </w:r>
      <w:r>
        <w:rPr>
          <w:rFonts w:hint="eastAsia" w:ascii="宋体" w:hAnsi="宋体" w:cs="宋体"/>
          <w:b/>
          <w:color w:val="auto"/>
          <w:sz w:val="24"/>
          <w:szCs w:val="22"/>
          <w:highlight w:val="none"/>
        </w:rPr>
        <w:t xml:space="preserve">卖方保证所提供的货物是新品。破冰除雪车车辆的底盘应不早于2024年1月1日出厂，前突皮卡车车辆的底盘应不早于2024年1月1日出厂，车辆交货时每辆车须附有采购文件中要求的车辆购置发票、随车器材清单、合格证、质量保证书和保修保养手册（卡）等资料，还包括合同条款中规定的其他资料.（如有），纸质原件与电子扫描件光盘各1份。光盘中还须包含车辆操作视频教程。 </w:t>
      </w:r>
    </w:p>
    <w:p>
      <w:pPr>
        <w:snapToGrid w:val="0"/>
        <w:spacing w:line="360" w:lineRule="auto"/>
        <w:ind w:firstLine="482" w:firstLineChars="200"/>
        <w:rPr>
          <w:rFonts w:ascii="宋体" w:hAnsi="宋体" w:cs="宋体"/>
          <w:b/>
          <w:color w:val="auto"/>
          <w:sz w:val="24"/>
          <w:highlight w:val="none"/>
        </w:rPr>
      </w:pPr>
      <w:r>
        <w:rPr>
          <w:rFonts w:hint="eastAsia" w:ascii="宋体" w:hAnsi="宋体" w:cs="宋体"/>
          <w:b/>
          <w:color w:val="auto"/>
          <w:sz w:val="24"/>
          <w:highlight w:val="none"/>
        </w:rPr>
        <w:t>5.2  在车辆质保期内，卖方应当对由于设计、工艺、材料和配件的缺陷所产生的不足或故障负责，并承担由此给买方造成的相应损失。</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5.3  验收时，如发现卖方提供的车辆或配件等不符合合同约定或有缺陷时，买方应以书面形式通知卖方，提出索赔，卖方应当在约定的时间内予以更换，并按违约的相关约定向买方给予赔偿，更换的新产品质保期相应顺延；质保期内，如车辆或配件发生质量问题时，按售后服务的约定执行。</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6．交货</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6.1  交货的时间和地点执行本合同《协议书》。</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6.2  延期交货</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6.2.1 卖方应按合同规定的时间交货和提供服务。</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6.2.2  在履行合同过程中，如果卖方遇到不能按期交货和提供服务情况，应及时以书面形式将不能按时交货的理由、可能延误的时间通知买方。买方在收到通知后，应进行分析，如果同意，以书面形式通知卖方,可酌情延长交货时间。</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6.2.3  如果卖方毫无理由拖延交货，将受到扣除履约保证金的制裁或终止合同。</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7. 技术文件和资料</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7.1  提供技术文件和资料的种类和数量在本采购文件中已规定，买卖双方可根据需要订立具体的资料交付时间和数量。</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7.2  如果买方确认卖方提供的技术文件和资料不完整，或在运输途中丢失，卖方应在收到买方通知后3天内将文件、资料补齐。</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8. 税费</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8.1  车辆的投标报价为货到采购人指定地点价格。</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8.2  根据国家现行税法征收的与本合同有关的一切税费均由卖方承担。</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8.3  在中国境外发生的与本合同执行有关的一切税费由卖方承担。</w:t>
      </w:r>
    </w:p>
    <w:p>
      <w:pPr>
        <w:snapToGrid w:val="0"/>
        <w:spacing w:line="360" w:lineRule="auto"/>
        <w:ind w:firstLine="482" w:firstLineChars="200"/>
        <w:rPr>
          <w:rFonts w:ascii="宋体" w:hAnsi="宋体" w:cs="宋体"/>
          <w:b/>
          <w:color w:val="auto"/>
          <w:sz w:val="24"/>
          <w:highlight w:val="none"/>
        </w:rPr>
      </w:pPr>
      <w:r>
        <w:rPr>
          <w:rFonts w:hint="eastAsia" w:ascii="宋体" w:hAnsi="宋体" w:cs="宋体"/>
          <w:b/>
          <w:color w:val="auto"/>
          <w:sz w:val="24"/>
          <w:highlight w:val="none"/>
        </w:rPr>
        <w:t>9.  验收</w:t>
      </w:r>
    </w:p>
    <w:p>
      <w:pPr>
        <w:snapToGrid w:val="0"/>
        <w:spacing w:line="360" w:lineRule="auto"/>
        <w:ind w:firstLine="482" w:firstLineChars="200"/>
        <w:rPr>
          <w:rFonts w:ascii="宋体" w:hAnsi="宋体" w:cs="宋体"/>
          <w:b/>
          <w:color w:val="auto"/>
          <w:sz w:val="24"/>
          <w:highlight w:val="none"/>
        </w:rPr>
      </w:pPr>
      <w:r>
        <w:rPr>
          <w:rFonts w:hint="eastAsia" w:ascii="宋体" w:hAnsi="宋体" w:cs="宋体"/>
          <w:b/>
          <w:color w:val="auto"/>
          <w:sz w:val="24"/>
          <w:highlight w:val="none"/>
        </w:rPr>
        <w:t>本合同项下车辆验收遵照以下流程和条件</w:t>
      </w:r>
    </w:p>
    <w:p>
      <w:pPr>
        <w:snapToGrid w:val="0"/>
        <w:spacing w:line="360" w:lineRule="auto"/>
        <w:ind w:firstLine="482" w:firstLineChars="200"/>
        <w:rPr>
          <w:rFonts w:ascii="宋体" w:hAnsi="宋体" w:cs="宋体"/>
          <w:b/>
          <w:color w:val="auto"/>
          <w:sz w:val="24"/>
          <w:highlight w:val="none"/>
        </w:rPr>
      </w:pPr>
      <w:r>
        <w:rPr>
          <w:rFonts w:hint="eastAsia" w:ascii="宋体" w:hAnsi="宋体" w:cs="宋体"/>
          <w:b/>
          <w:color w:val="auto"/>
          <w:sz w:val="24"/>
          <w:highlight w:val="none"/>
        </w:rPr>
        <w:t>9.1 卖方应在供货合同规定的时间内将消防车辆发送收货地点并提交书面验收申请。</w:t>
      </w:r>
    </w:p>
    <w:p>
      <w:pPr>
        <w:snapToGrid w:val="0"/>
        <w:spacing w:line="360" w:lineRule="auto"/>
        <w:ind w:firstLine="482" w:firstLineChars="200"/>
        <w:rPr>
          <w:rFonts w:ascii="宋体" w:hAnsi="宋体" w:cs="宋体"/>
          <w:b/>
          <w:color w:val="auto"/>
          <w:sz w:val="24"/>
          <w:highlight w:val="none"/>
        </w:rPr>
      </w:pPr>
      <w:r>
        <w:rPr>
          <w:rFonts w:hint="eastAsia" w:ascii="宋体" w:hAnsi="宋体" w:cs="宋体"/>
          <w:b/>
          <w:color w:val="auto"/>
          <w:sz w:val="24"/>
          <w:highlight w:val="none"/>
        </w:rPr>
        <w:t>9.2 车辆到达目的地后买卖双方要在现场共同验收。买方将按照合同清点车辆数量，检查车辆外观情况，卖方必须派出代表参加车辆验收工作，否则买方不予验收，按照卖方车辆未到处理。</w:t>
      </w:r>
    </w:p>
    <w:p>
      <w:pPr>
        <w:snapToGrid w:val="0"/>
        <w:spacing w:line="360" w:lineRule="auto"/>
        <w:ind w:firstLine="482" w:firstLineChars="200"/>
        <w:rPr>
          <w:rFonts w:ascii="宋体" w:hAnsi="宋体" w:cs="宋体"/>
          <w:b/>
          <w:color w:val="auto"/>
          <w:sz w:val="24"/>
          <w:highlight w:val="none"/>
        </w:rPr>
      </w:pPr>
      <w:r>
        <w:rPr>
          <w:rFonts w:hint="eastAsia" w:ascii="宋体" w:hAnsi="宋体" w:cs="宋体"/>
          <w:b/>
          <w:color w:val="auto"/>
          <w:sz w:val="24"/>
          <w:highlight w:val="none"/>
        </w:rPr>
        <w:t>9.3 买方组成集中采购装备验收小组，对采购的车辆进行专门验收，不符合合同规定的，买方将不予验收。</w:t>
      </w:r>
    </w:p>
    <w:p>
      <w:pPr>
        <w:snapToGrid w:val="0"/>
        <w:spacing w:line="360" w:lineRule="auto"/>
        <w:ind w:firstLine="482" w:firstLineChars="200"/>
        <w:rPr>
          <w:rFonts w:ascii="宋体" w:hAnsi="宋体" w:cs="宋体"/>
          <w:b/>
          <w:color w:val="auto"/>
          <w:sz w:val="24"/>
          <w:highlight w:val="none"/>
        </w:rPr>
      </w:pPr>
      <w:r>
        <w:rPr>
          <w:rFonts w:hint="eastAsia" w:ascii="宋体" w:hAnsi="宋体" w:cs="宋体"/>
          <w:b/>
          <w:color w:val="auto"/>
          <w:sz w:val="24"/>
          <w:highlight w:val="none"/>
        </w:rPr>
        <w:t>9.4产品验收时，卖方必须要有一名以上厂家技术人员在场，验收完毕后，买方和卖方共同签字确认验收单。买方根据采购验收单按合同支付货款。</w:t>
      </w:r>
    </w:p>
    <w:p>
      <w:pPr>
        <w:adjustRightInd w:val="0"/>
        <w:snapToGrid w:val="0"/>
        <w:spacing w:line="360" w:lineRule="auto"/>
        <w:ind w:firstLine="482" w:firstLineChars="200"/>
        <w:rPr>
          <w:rFonts w:ascii="宋体" w:hAnsi="宋体" w:cs="宋体"/>
          <w:b/>
          <w:color w:val="auto"/>
          <w:sz w:val="24"/>
          <w:highlight w:val="none"/>
        </w:rPr>
      </w:pPr>
      <w:r>
        <w:rPr>
          <w:rFonts w:hint="eastAsia" w:ascii="宋体" w:hAnsi="宋体" w:cs="宋体"/>
          <w:b/>
          <w:color w:val="auto"/>
          <w:sz w:val="24"/>
          <w:highlight w:val="none"/>
        </w:rPr>
        <w:t>9.5车辆</w:t>
      </w:r>
      <w:r>
        <w:rPr>
          <w:rFonts w:hint="eastAsia" w:ascii="宋体" w:hAnsi="宋体" w:cs="宋体"/>
          <w:b/>
          <w:bCs/>
          <w:color w:val="auto"/>
          <w:sz w:val="24"/>
          <w:highlight w:val="none"/>
        </w:rPr>
        <w:t>的验收，综合判定为“合格”、“不合格”，综合评判为“合格”的车辆，清点接收。综合评判为“不合格”的车辆装备，限期整改并等比例扣除履约保证金，整改完毕后进行复验；限期内未整改完毕的或“复验”不合格的，按合同规定做退货处理，扣除全额履约保证金，并将供货商列入总队装备集中采购黑名单，3年内不得参加总队装备采购投标工作。</w:t>
      </w:r>
    </w:p>
    <w:p>
      <w:pPr>
        <w:adjustRightInd w:val="0"/>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10.  付款：执行本合同《协议书》。</w:t>
      </w:r>
    </w:p>
    <w:p>
      <w:pPr>
        <w:adjustRightInd w:val="0"/>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11.  培训</w:t>
      </w:r>
    </w:p>
    <w:p>
      <w:pPr>
        <w:adjustRightInd w:val="0"/>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12.  售后服务</w:t>
      </w:r>
    </w:p>
    <w:p>
      <w:pPr>
        <w:pStyle w:val="34"/>
        <w:adjustRightInd w:val="0"/>
        <w:snapToGrid w:val="0"/>
        <w:spacing w:before="0" w:beforeAutospacing="0" w:after="0" w:afterAutospacing="0" w:line="360" w:lineRule="auto"/>
        <w:ind w:firstLine="480" w:firstLineChars="200"/>
        <w:rPr>
          <w:color w:val="auto"/>
          <w:kern w:val="2"/>
          <w:szCs w:val="20"/>
          <w:highlight w:val="none"/>
        </w:rPr>
      </w:pPr>
      <w:r>
        <w:rPr>
          <w:rFonts w:hint="eastAsia"/>
          <w:color w:val="auto"/>
          <w:kern w:val="2"/>
          <w:szCs w:val="20"/>
          <w:highlight w:val="none"/>
        </w:rPr>
        <w:t xml:space="preserve">  （以中标方投标承诺为准） </w:t>
      </w:r>
    </w:p>
    <w:p>
      <w:pPr>
        <w:pStyle w:val="34"/>
        <w:adjustRightInd w:val="0"/>
        <w:snapToGrid w:val="0"/>
        <w:spacing w:before="0" w:beforeAutospacing="0" w:after="0" w:afterAutospacing="0" w:line="360" w:lineRule="auto"/>
        <w:ind w:firstLine="480" w:firstLineChars="200"/>
        <w:rPr>
          <w:color w:val="auto"/>
          <w:kern w:val="2"/>
          <w:szCs w:val="20"/>
          <w:highlight w:val="none"/>
        </w:rPr>
      </w:pPr>
      <w:r>
        <w:rPr>
          <w:rFonts w:hint="eastAsia"/>
          <w:color w:val="auto"/>
          <w:kern w:val="2"/>
          <w:szCs w:val="20"/>
          <w:highlight w:val="none"/>
        </w:rPr>
        <w:t>13.  双方责任</w:t>
      </w:r>
    </w:p>
    <w:p>
      <w:pPr>
        <w:pStyle w:val="34"/>
        <w:adjustRightInd w:val="0"/>
        <w:snapToGrid w:val="0"/>
        <w:spacing w:before="0" w:beforeAutospacing="0" w:after="0" w:afterAutospacing="0" w:line="360" w:lineRule="auto"/>
        <w:ind w:firstLine="480" w:firstLineChars="200"/>
        <w:rPr>
          <w:color w:val="auto"/>
          <w:kern w:val="2"/>
          <w:szCs w:val="20"/>
          <w:highlight w:val="none"/>
        </w:rPr>
      </w:pPr>
      <w:r>
        <w:rPr>
          <w:rFonts w:hint="eastAsia"/>
          <w:color w:val="auto"/>
          <w:highlight w:val="none"/>
        </w:rPr>
        <w:t>13.1  买方责任</w:t>
      </w:r>
    </w:p>
    <w:p>
      <w:pPr>
        <w:adjustRightInd w:val="0"/>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13.1.1  按合同规定向卖方支付货款。</w:t>
      </w:r>
    </w:p>
    <w:p>
      <w:pPr>
        <w:adjustRightInd w:val="0"/>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13.1.2  组织对车辆的验收。</w:t>
      </w:r>
    </w:p>
    <w:p>
      <w:pPr>
        <w:adjustRightInd w:val="0"/>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13.2  卖方责任</w:t>
      </w:r>
    </w:p>
    <w:p>
      <w:pPr>
        <w:adjustRightInd w:val="0"/>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13.2.1  按合同要求提供车辆和服务。</w:t>
      </w:r>
    </w:p>
    <w:p>
      <w:pPr>
        <w:adjustRightInd w:val="0"/>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13.2.2  对所提供的车辆和服务质量问题无条件负责处理。</w:t>
      </w:r>
    </w:p>
    <w:p>
      <w:pPr>
        <w:adjustRightInd w:val="0"/>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13.2.3卖方对本合同签订及履行过程中获知的买方信息负有保密义务。</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14.  违约责任</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14.1  交货违约</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14.1.1 卖方违反本合同约定，延迟交货未取得买方书面同意的，每延迟一天按合同总价的1 ‰扣除履约保证金；延迟超过15日，买方有权单方解除合同，扣除全部履约保证金，还应当承担合同总额30%的违约金，造成买方损失的，卖方还应当赔偿。</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14.1.2卖方所发货品规格、型号、质量等不符合合同约定的，买方有权单方解除合同，拒绝收货和付款，扣除履约保证金，并由卖方承担合同总额30%的违约金，由此所发生的一切费用、损失（包括给双方造成的经济损失），均由卖方负责。</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14.1.3合同生效后，卖方中途解除合同（不可抗力原因除外），应按给买方造成的损失向甲方支付赔偿金，买方有权扣除履约保证金，并由卖方向买方支付合同总金额30%的违约金。</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14.1.4卖方违约，还应赔偿买方因此遭受的其他损失，包括为主张权益所支付的律师费、交通费、公证费、鉴定费、评估费、差旅费等全部费用。</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14.1.5卖方违约的，买方有权将相应违约金、赔偿金从履约保证金及应给卖方支付的货款中直接予以扣除。</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14.2  付款违约</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买方接收经验收合格的</w:t>
      </w:r>
      <w:r>
        <w:rPr>
          <w:rFonts w:hint="eastAsia" w:ascii="宋体" w:hAnsi="宋体" w:cs="宋体"/>
          <w:color w:val="auto"/>
          <w:sz w:val="24"/>
          <w:szCs w:val="22"/>
          <w:highlight w:val="none"/>
        </w:rPr>
        <w:t>车辆</w:t>
      </w:r>
      <w:r>
        <w:rPr>
          <w:rFonts w:hint="eastAsia" w:ascii="宋体" w:hAnsi="宋体" w:cs="宋体"/>
          <w:color w:val="auto"/>
          <w:sz w:val="24"/>
          <w:highlight w:val="none"/>
        </w:rPr>
        <w:t>后而未能按合同约定时间付款的，推迟付款时间超过</w:t>
      </w:r>
      <w:r>
        <w:rPr>
          <w:rFonts w:hint="eastAsia" w:ascii="宋体" w:hAnsi="宋体" w:cs="宋体"/>
          <w:color w:val="auto"/>
          <w:sz w:val="24"/>
          <w:highlight w:val="none"/>
          <w:u w:val="single"/>
        </w:rPr>
        <w:t>30</w:t>
      </w:r>
      <w:r>
        <w:rPr>
          <w:rFonts w:hint="eastAsia" w:ascii="宋体" w:hAnsi="宋体" w:cs="宋体"/>
          <w:color w:val="auto"/>
          <w:sz w:val="24"/>
          <w:highlight w:val="none"/>
        </w:rPr>
        <w:t>天时，每超过一天按合同总价的</w:t>
      </w:r>
      <w:r>
        <w:rPr>
          <w:rFonts w:hint="eastAsia" w:ascii="宋体" w:hAnsi="宋体" w:cs="宋体"/>
          <w:color w:val="auto"/>
          <w:sz w:val="24"/>
          <w:highlight w:val="none"/>
          <w:u w:val="single"/>
        </w:rPr>
        <w:t>1</w:t>
      </w:r>
      <w:r>
        <w:rPr>
          <w:rFonts w:hint="eastAsia" w:ascii="宋体" w:hAnsi="宋体" w:cs="宋体"/>
          <w:color w:val="auto"/>
          <w:sz w:val="24"/>
          <w:highlight w:val="none"/>
        </w:rPr>
        <w:t>‰向对方支付违约金。</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14.</w:t>
      </w:r>
      <w:r>
        <w:rPr>
          <w:rFonts w:ascii="宋体" w:hAnsi="宋体" w:cs="宋体"/>
          <w:color w:val="auto"/>
          <w:sz w:val="24"/>
          <w:highlight w:val="none"/>
        </w:rPr>
        <w:t>3</w:t>
      </w:r>
      <w:r>
        <w:rPr>
          <w:rFonts w:hint="eastAsia" w:ascii="宋体" w:hAnsi="宋体" w:cs="宋体"/>
          <w:color w:val="auto"/>
          <w:sz w:val="24"/>
          <w:highlight w:val="none"/>
        </w:rPr>
        <w:t xml:space="preserve">  任意一方如提出增减合同数量，变动交货的，应提前通知对方，并征得对方同意，否则应承担与之相关的经济责任。</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14.5卖方违反保密义务或违反禁止转让、分包合同义务或违反本合同其他约定的，除本合同另有约定外，应按照本合同总价款的5%向买方支付违约金。</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14.</w:t>
      </w:r>
      <w:r>
        <w:rPr>
          <w:rFonts w:ascii="宋体" w:hAnsi="宋体" w:cs="宋体"/>
          <w:color w:val="auto"/>
          <w:sz w:val="24"/>
          <w:highlight w:val="none"/>
        </w:rPr>
        <w:t>4</w:t>
      </w:r>
      <w:r>
        <w:rPr>
          <w:rFonts w:hint="eastAsia" w:ascii="宋体" w:hAnsi="宋体" w:cs="宋体"/>
          <w:color w:val="auto"/>
          <w:sz w:val="24"/>
          <w:highlight w:val="none"/>
        </w:rPr>
        <w:t>卖方提供车辆不符合约定或违反本协议其他约定，给买方造成损失的，应赔偿买方的全部损失，包括但不限于直接损失、间接损失、买方为处理违约事件支出的律师费、诉讼费、评估费、鉴定费等。</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14.</w:t>
      </w:r>
      <w:r>
        <w:rPr>
          <w:rFonts w:ascii="宋体" w:hAnsi="宋体" w:cs="宋体"/>
          <w:color w:val="auto"/>
          <w:sz w:val="24"/>
          <w:highlight w:val="none"/>
        </w:rPr>
        <w:t>5</w:t>
      </w:r>
      <w:r>
        <w:rPr>
          <w:rFonts w:hint="eastAsia" w:ascii="宋体" w:hAnsi="宋体" w:cs="宋体"/>
          <w:color w:val="auto"/>
          <w:sz w:val="24"/>
          <w:highlight w:val="none"/>
        </w:rPr>
        <w:t>本合同所称违约金可以累积计算。</w:t>
      </w:r>
    </w:p>
    <w:p>
      <w:pPr>
        <w:snapToGrid w:val="0"/>
        <w:spacing w:line="360" w:lineRule="auto"/>
        <w:ind w:firstLine="482" w:firstLineChars="200"/>
        <w:rPr>
          <w:rFonts w:ascii="宋体" w:hAnsi="宋体" w:cs="宋体"/>
          <w:b/>
          <w:color w:val="auto"/>
          <w:sz w:val="24"/>
          <w:highlight w:val="none"/>
        </w:rPr>
      </w:pPr>
      <w:r>
        <w:rPr>
          <w:rFonts w:hint="eastAsia" w:ascii="宋体" w:hAnsi="宋体" w:cs="宋体"/>
          <w:b/>
          <w:color w:val="auto"/>
          <w:sz w:val="24"/>
          <w:highlight w:val="none"/>
        </w:rPr>
        <w:t>15.  履约保证金</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合同签订前，中标单位按照中标金额的5%缴纳履约保证金，中标单位按合同约定交付全部产品，安装调试完毕，书面验收合格一年后，采购单位无息退还全部履约保证金。</w:t>
      </w:r>
    </w:p>
    <w:p>
      <w:pPr>
        <w:snapToGrid w:val="0"/>
        <w:spacing w:line="360" w:lineRule="auto"/>
        <w:ind w:firstLine="482" w:firstLineChars="200"/>
        <w:rPr>
          <w:rFonts w:ascii="宋体" w:hAnsi="宋体" w:cs="宋体"/>
          <w:b/>
          <w:color w:val="auto"/>
          <w:sz w:val="24"/>
          <w:highlight w:val="none"/>
        </w:rPr>
      </w:pPr>
      <w:r>
        <w:rPr>
          <w:rFonts w:hint="eastAsia" w:ascii="宋体" w:hAnsi="宋体" w:cs="宋体"/>
          <w:b/>
          <w:color w:val="auto"/>
          <w:sz w:val="24"/>
          <w:highlight w:val="none"/>
        </w:rPr>
        <w:t>帐户名称：</w:t>
      </w:r>
    </w:p>
    <w:p>
      <w:pPr>
        <w:snapToGrid w:val="0"/>
        <w:spacing w:line="360" w:lineRule="auto"/>
        <w:ind w:firstLine="482" w:firstLineChars="200"/>
        <w:rPr>
          <w:rFonts w:ascii="宋体" w:hAnsi="宋体" w:cs="宋体"/>
          <w:b/>
          <w:color w:val="auto"/>
          <w:sz w:val="24"/>
          <w:highlight w:val="none"/>
        </w:rPr>
      </w:pPr>
      <w:r>
        <w:rPr>
          <w:rFonts w:hint="eastAsia" w:ascii="宋体" w:hAnsi="宋体" w:cs="宋体"/>
          <w:b/>
          <w:color w:val="auto"/>
          <w:sz w:val="24"/>
          <w:highlight w:val="none"/>
        </w:rPr>
        <w:t>开 户 行：</w:t>
      </w:r>
    </w:p>
    <w:p>
      <w:pPr>
        <w:snapToGrid w:val="0"/>
        <w:spacing w:line="360" w:lineRule="auto"/>
        <w:ind w:firstLine="482" w:firstLineChars="200"/>
        <w:rPr>
          <w:rFonts w:ascii="宋体" w:hAnsi="宋体" w:cs="宋体"/>
          <w:b/>
          <w:color w:val="auto"/>
          <w:sz w:val="24"/>
          <w:highlight w:val="none"/>
        </w:rPr>
      </w:pPr>
      <w:r>
        <w:rPr>
          <w:rFonts w:hint="eastAsia" w:ascii="宋体" w:hAnsi="宋体" w:cs="宋体"/>
          <w:b/>
          <w:color w:val="auto"/>
          <w:sz w:val="24"/>
          <w:highlight w:val="none"/>
        </w:rPr>
        <w:t>帐    号：</w:t>
      </w:r>
    </w:p>
    <w:p>
      <w:pPr>
        <w:snapToGrid w:val="0"/>
        <w:spacing w:line="360" w:lineRule="auto"/>
        <w:ind w:firstLine="482" w:firstLineChars="200"/>
        <w:rPr>
          <w:rFonts w:ascii="宋体" w:hAnsi="宋体" w:cs="宋体"/>
          <w:b/>
          <w:color w:val="auto"/>
          <w:sz w:val="24"/>
          <w:highlight w:val="none"/>
        </w:rPr>
      </w:pPr>
      <w:r>
        <w:rPr>
          <w:rFonts w:hint="eastAsia" w:ascii="宋体" w:hAnsi="宋体" w:cs="宋体"/>
          <w:b/>
          <w:color w:val="auto"/>
          <w:sz w:val="24"/>
          <w:highlight w:val="none"/>
        </w:rPr>
        <w:t>16.  合同终止</w:t>
      </w:r>
    </w:p>
    <w:p>
      <w:pPr>
        <w:snapToGrid w:val="0"/>
        <w:spacing w:line="360" w:lineRule="auto"/>
        <w:ind w:firstLine="482" w:firstLineChars="200"/>
        <w:rPr>
          <w:rFonts w:ascii="宋体" w:hAnsi="宋体" w:cs="宋体"/>
          <w:b/>
          <w:color w:val="auto"/>
          <w:sz w:val="24"/>
          <w:highlight w:val="none"/>
        </w:rPr>
      </w:pPr>
      <w:r>
        <w:rPr>
          <w:rFonts w:hint="eastAsia" w:ascii="宋体" w:hAnsi="宋体" w:cs="宋体"/>
          <w:b/>
          <w:color w:val="auto"/>
          <w:sz w:val="24"/>
          <w:highlight w:val="none"/>
        </w:rPr>
        <w:t>发生下列情况时，买方有权单方终止合同：</w:t>
      </w:r>
    </w:p>
    <w:p>
      <w:pPr>
        <w:snapToGrid w:val="0"/>
        <w:spacing w:line="360" w:lineRule="auto"/>
        <w:ind w:firstLine="482" w:firstLineChars="200"/>
        <w:rPr>
          <w:rFonts w:ascii="宋体" w:hAnsi="宋体" w:cs="宋体"/>
          <w:b/>
          <w:color w:val="auto"/>
          <w:sz w:val="24"/>
          <w:highlight w:val="none"/>
        </w:rPr>
      </w:pPr>
      <w:r>
        <w:rPr>
          <w:rFonts w:hint="eastAsia" w:ascii="宋体" w:hAnsi="宋体" w:cs="宋体"/>
          <w:b/>
          <w:color w:val="auto"/>
          <w:sz w:val="24"/>
          <w:highlight w:val="none"/>
        </w:rPr>
        <w:t>1）卖方未能在合同规定的期限内或买方同意延长的期限内提供全部车辆；</w:t>
      </w:r>
    </w:p>
    <w:p>
      <w:pPr>
        <w:snapToGrid w:val="0"/>
        <w:spacing w:line="360" w:lineRule="auto"/>
        <w:ind w:firstLine="482" w:firstLineChars="200"/>
        <w:rPr>
          <w:rFonts w:ascii="宋体" w:hAnsi="宋体" w:cs="宋体"/>
          <w:b/>
          <w:color w:val="auto"/>
          <w:sz w:val="24"/>
          <w:highlight w:val="none"/>
        </w:rPr>
      </w:pPr>
      <w:r>
        <w:rPr>
          <w:rFonts w:hint="eastAsia" w:ascii="宋体" w:hAnsi="宋体" w:cs="宋体"/>
          <w:b/>
          <w:color w:val="auto"/>
          <w:sz w:val="24"/>
          <w:highlight w:val="none"/>
        </w:rPr>
        <w:t>2）卖方未能履行合同规定的其他义务，卖方在收到买方发出的违约通知后30天内，或经买方书面认可延长的时间内未能纠正其过失。买方可向卖方发出书面通知，终止部分或全部合同，在这种情况下，并不影响买方向卖方提出的索赔。</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17.  纠纷解决方式</w:t>
      </w:r>
    </w:p>
    <w:p>
      <w:pPr>
        <w:snapToGrid w:val="0"/>
        <w:spacing w:line="360" w:lineRule="auto"/>
        <w:ind w:firstLine="420"/>
        <w:rPr>
          <w:rFonts w:ascii="宋体" w:hAnsi="宋体" w:cs="宋体"/>
          <w:color w:val="auto"/>
          <w:sz w:val="24"/>
          <w:highlight w:val="none"/>
        </w:rPr>
      </w:pPr>
      <w:r>
        <w:rPr>
          <w:rFonts w:hint="eastAsia" w:ascii="宋体" w:hAnsi="宋体" w:cs="宋体"/>
          <w:color w:val="auto"/>
          <w:sz w:val="24"/>
          <w:highlight w:val="none"/>
        </w:rPr>
        <w:t>本合同在执行中发生纠纷时，双方应友好协商予以解决。如协商解决不成时，双方约定采用第</w:t>
      </w:r>
      <w:r>
        <w:rPr>
          <w:rFonts w:hint="eastAsia" w:ascii="宋体" w:hAnsi="宋体" w:cs="宋体"/>
          <w:color w:val="auto"/>
          <w:sz w:val="24"/>
          <w:highlight w:val="none"/>
          <w:u w:val="single"/>
        </w:rPr>
        <w:t>17.1</w:t>
      </w:r>
      <w:r>
        <w:rPr>
          <w:rFonts w:hint="eastAsia" w:ascii="宋体" w:hAnsi="宋体" w:cs="宋体"/>
          <w:color w:val="auto"/>
          <w:sz w:val="24"/>
          <w:highlight w:val="none"/>
        </w:rPr>
        <w:t>种方式解决。</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17.1  向</w:t>
      </w:r>
      <w:r>
        <w:rPr>
          <w:rFonts w:hint="eastAsia" w:ascii="宋体" w:hAnsi="宋体" w:cs="宋体"/>
          <w:color w:val="auto"/>
          <w:sz w:val="24"/>
          <w:highlight w:val="none"/>
          <w:u w:val="single"/>
        </w:rPr>
        <w:t>合同签订地</w:t>
      </w:r>
      <w:r>
        <w:rPr>
          <w:rFonts w:hint="eastAsia" w:ascii="宋体" w:hAnsi="宋体" w:cs="宋体"/>
          <w:color w:val="auto"/>
          <w:sz w:val="24"/>
          <w:highlight w:val="none"/>
        </w:rPr>
        <w:t>人民法院提出诉讼；因卖方违约，买方主张自身合法权益提起诉讼产生的诉讼费、律师代理费等费用由卖方承担。</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17.2  申请</w:t>
      </w:r>
      <w:r>
        <w:rPr>
          <w:rFonts w:hint="eastAsia" w:ascii="宋体" w:hAnsi="宋体" w:cs="宋体"/>
          <w:color w:val="auto"/>
          <w:sz w:val="24"/>
          <w:highlight w:val="none"/>
          <w:u w:val="single"/>
        </w:rPr>
        <w:t>合同签订地</w:t>
      </w:r>
      <w:r>
        <w:rPr>
          <w:rFonts w:hint="eastAsia" w:ascii="宋体" w:hAnsi="宋体" w:cs="宋体"/>
          <w:color w:val="auto"/>
          <w:sz w:val="24"/>
          <w:highlight w:val="none"/>
        </w:rPr>
        <w:t>（仲裁机构）进行仲裁。</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18.  转让和分包</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卖方不得转让或分包其履行合同的义务。</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19.  适用法律</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本合同按照中华人民共和国的法律进行解释。</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20.合同生效及其他</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20.1合同效力执行本合同《协议书》。</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20.2  合同执行期间，如因故不能履行或需要修改时，必须经双方同意，并互相换文或另订合同。其它未尽事宜，双方应友好进行协商。协商结果以“补充件”的形式作为本合同的附件，与本合同有同等的法律效力。</w:t>
      </w:r>
    </w:p>
    <w:p>
      <w:pPr>
        <w:snapToGrid w:val="0"/>
        <w:spacing w:line="360" w:lineRule="auto"/>
        <w:ind w:firstLine="480" w:firstLineChars="200"/>
        <w:rPr>
          <w:rFonts w:ascii="宋体" w:hAnsi="宋体" w:cs="宋体"/>
          <w:color w:val="auto"/>
          <w:sz w:val="24"/>
          <w:highlight w:val="none"/>
          <w:u w:val="single"/>
        </w:rPr>
      </w:pPr>
      <w:r>
        <w:rPr>
          <w:rFonts w:hint="eastAsia" w:ascii="宋体" w:hAnsi="宋体" w:cs="宋体"/>
          <w:color w:val="auto"/>
          <w:sz w:val="24"/>
          <w:highlight w:val="none"/>
        </w:rPr>
        <w:t>20.3其他约定事项：</w:t>
      </w:r>
      <w:r>
        <w:rPr>
          <w:rFonts w:hint="eastAsia" w:ascii="宋体" w:hAnsi="宋体" w:cs="宋体"/>
          <w:color w:val="auto"/>
          <w:sz w:val="24"/>
          <w:highlight w:val="none"/>
          <w:u w:val="single"/>
        </w:rPr>
        <w:t>①合同签订地：</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20.4  合同有效期：年月日至年月日。</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20.5通知和送达买卖双方就本合同中涉及各类通知、协议等文件以及就合同发生纠纷时相关文件和法律文书送达时的送达地址及法律后果作如下约定：</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20.5.1买卖双方确认有效的地址及联系方式以本合同首部列明的为准。</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20.5.2双方该送达地址适用范围包括双方非诉时各类通知、协议等文件以及就合同发生纠纷时相关文件和法律文书的送达，同时包括在争议进入仲裁、民事诉讼程序后的一审、二审、再审和执行程序。</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20.5.3双方上述送达地址需要变更时应当向对方履行书面通知义务。若未履行变更通知义务，双方所确认的送达地址仍视为有效送达地址，因双方提供或者确认的送达地址不准确、送达地址变更后未及时依程序告知对方和法院、其他当事人或指定的接收人拒绝接收等原因，导致法律文书未能被接收方实际接收的，邮寄送达的，以文书退回之日视为送达之日；直接送达的，送达人当场在送达回证上记明情况之日视为送达之日；履行送达地址变更通知义务的，以变更后的送达地址为有效送达地址。对于上述双方在合同中明确约定的送达地址，法院进行送达时可直接邮寄送达，即使接收方未能收到法院邮寄送达的文书，由于其在合同中的约定，也应当视为送达。</w:t>
      </w:r>
    </w:p>
    <w:p>
      <w:pPr>
        <w:snapToGrid w:val="0"/>
        <w:spacing w:line="360" w:lineRule="auto"/>
        <w:ind w:firstLine="208" w:firstLineChars="87"/>
        <w:rPr>
          <w:rFonts w:ascii="宋体" w:hAnsi="宋体" w:cs="宋体"/>
          <w:bCs/>
          <w:color w:val="auto"/>
          <w:sz w:val="24"/>
          <w:highlight w:val="none"/>
        </w:rPr>
      </w:pPr>
    </w:p>
    <w:p>
      <w:pPr>
        <w:snapToGrid w:val="0"/>
        <w:spacing w:line="360" w:lineRule="auto"/>
        <w:rPr>
          <w:rFonts w:ascii="宋体" w:hAnsi="宋体" w:cs="宋体"/>
          <w:bCs/>
          <w:color w:val="auto"/>
          <w:sz w:val="24"/>
          <w:highlight w:val="none"/>
        </w:rPr>
      </w:pPr>
    </w:p>
    <w:p>
      <w:pPr>
        <w:snapToGrid w:val="0"/>
        <w:spacing w:line="360" w:lineRule="auto"/>
        <w:ind w:firstLine="208" w:firstLineChars="87"/>
        <w:rPr>
          <w:rFonts w:ascii="宋体" w:hAnsi="宋体" w:cs="宋体"/>
          <w:bCs/>
          <w:color w:val="auto"/>
          <w:sz w:val="24"/>
          <w:highlight w:val="none"/>
        </w:rPr>
      </w:pPr>
      <w:r>
        <w:rPr>
          <w:rFonts w:hint="eastAsia" w:ascii="宋体" w:hAnsi="宋体" w:cs="宋体"/>
          <w:bCs/>
          <w:color w:val="auto"/>
          <w:sz w:val="24"/>
          <w:highlight w:val="none"/>
        </w:rPr>
        <w:t xml:space="preserve">买方（印章）：                              卖方：（印章） </w:t>
      </w:r>
    </w:p>
    <w:p>
      <w:pPr>
        <w:snapToGrid w:val="0"/>
        <w:spacing w:line="360" w:lineRule="auto"/>
        <w:ind w:firstLine="208" w:firstLineChars="87"/>
        <w:rPr>
          <w:rFonts w:ascii="宋体" w:hAnsi="宋体" w:cs="宋体"/>
          <w:bCs/>
          <w:color w:val="auto"/>
          <w:sz w:val="24"/>
          <w:highlight w:val="none"/>
        </w:rPr>
      </w:pPr>
      <w:r>
        <w:rPr>
          <w:rFonts w:hint="eastAsia" w:ascii="宋体" w:hAnsi="宋体" w:cs="宋体"/>
          <w:bCs/>
          <w:color w:val="auto"/>
          <w:sz w:val="24"/>
          <w:highlight w:val="none"/>
        </w:rPr>
        <w:t>法定代表人或委托代理人:（签字）             法定代表人或委托代理人:（签字）</w:t>
      </w:r>
    </w:p>
    <w:p>
      <w:pPr>
        <w:snapToGrid w:val="0"/>
        <w:spacing w:line="360" w:lineRule="auto"/>
        <w:ind w:firstLine="208" w:firstLineChars="87"/>
        <w:rPr>
          <w:rFonts w:ascii="宋体" w:hAnsi="宋体" w:cs="宋体"/>
          <w:bCs/>
          <w:color w:val="auto"/>
          <w:sz w:val="24"/>
          <w:highlight w:val="none"/>
        </w:rPr>
      </w:pPr>
      <w:r>
        <w:rPr>
          <w:rFonts w:hint="eastAsia" w:ascii="宋体" w:hAnsi="宋体" w:cs="宋体"/>
          <w:bCs/>
          <w:color w:val="auto"/>
          <w:sz w:val="24"/>
          <w:highlight w:val="none"/>
        </w:rPr>
        <w:t xml:space="preserve">地址：                                      地址：    </w:t>
      </w:r>
    </w:p>
    <w:p>
      <w:pPr>
        <w:snapToGrid w:val="0"/>
        <w:spacing w:line="360" w:lineRule="auto"/>
        <w:ind w:firstLine="208" w:firstLineChars="87"/>
        <w:rPr>
          <w:rFonts w:ascii="宋体" w:hAnsi="宋体" w:cs="宋体"/>
          <w:bCs/>
          <w:color w:val="auto"/>
          <w:sz w:val="24"/>
          <w:highlight w:val="none"/>
        </w:rPr>
      </w:pPr>
      <w:r>
        <w:rPr>
          <w:rFonts w:hint="eastAsia" w:ascii="宋体" w:hAnsi="宋体" w:cs="宋体"/>
          <w:bCs/>
          <w:color w:val="auto"/>
          <w:sz w:val="24"/>
          <w:highlight w:val="none"/>
        </w:rPr>
        <w:t xml:space="preserve">邮政编码：                                  邮政编码： </w:t>
      </w:r>
    </w:p>
    <w:p>
      <w:pPr>
        <w:snapToGrid w:val="0"/>
        <w:spacing w:line="360" w:lineRule="auto"/>
        <w:ind w:firstLine="208" w:firstLineChars="87"/>
        <w:rPr>
          <w:rFonts w:ascii="宋体" w:hAnsi="宋体" w:cs="宋体"/>
          <w:bCs/>
          <w:color w:val="auto"/>
          <w:sz w:val="24"/>
          <w:highlight w:val="none"/>
        </w:rPr>
      </w:pPr>
      <w:r>
        <w:rPr>
          <w:rFonts w:hint="eastAsia" w:ascii="宋体" w:hAnsi="宋体" w:cs="宋体"/>
          <w:bCs/>
          <w:color w:val="auto"/>
          <w:sz w:val="24"/>
          <w:highlight w:val="none"/>
        </w:rPr>
        <w:t xml:space="preserve">电话：                                      电话： </w:t>
      </w:r>
    </w:p>
    <w:p>
      <w:pPr>
        <w:snapToGrid w:val="0"/>
        <w:spacing w:line="360" w:lineRule="auto"/>
        <w:ind w:firstLine="208" w:firstLineChars="87"/>
        <w:rPr>
          <w:rFonts w:ascii="宋体" w:hAnsi="宋体" w:cs="宋体"/>
          <w:bCs/>
          <w:color w:val="auto"/>
          <w:sz w:val="24"/>
          <w:highlight w:val="none"/>
        </w:rPr>
      </w:pPr>
      <w:r>
        <w:rPr>
          <w:rFonts w:hint="eastAsia" w:ascii="宋体" w:hAnsi="宋体" w:cs="宋体"/>
          <w:bCs/>
          <w:color w:val="auto"/>
          <w:sz w:val="24"/>
          <w:highlight w:val="none"/>
        </w:rPr>
        <w:t xml:space="preserve">传真：                                       传真： </w:t>
      </w:r>
    </w:p>
    <w:p>
      <w:pPr>
        <w:snapToGrid w:val="0"/>
        <w:spacing w:line="360" w:lineRule="auto"/>
        <w:ind w:firstLine="208" w:firstLineChars="87"/>
        <w:rPr>
          <w:rFonts w:ascii="宋体" w:hAnsi="宋体" w:cs="宋体"/>
          <w:bCs/>
          <w:color w:val="auto"/>
          <w:sz w:val="24"/>
          <w:highlight w:val="none"/>
        </w:rPr>
      </w:pPr>
      <w:r>
        <w:rPr>
          <w:rFonts w:hint="eastAsia" w:ascii="宋体" w:hAnsi="宋体" w:cs="宋体"/>
          <w:bCs/>
          <w:color w:val="auto"/>
          <w:sz w:val="24"/>
          <w:highlight w:val="none"/>
        </w:rPr>
        <w:t xml:space="preserve">                                            开户银行及账号：</w:t>
      </w:r>
    </w:p>
    <w:p>
      <w:pPr>
        <w:snapToGrid w:val="0"/>
        <w:spacing w:line="360" w:lineRule="auto"/>
        <w:ind w:firstLine="208" w:firstLineChars="87"/>
        <w:rPr>
          <w:rFonts w:ascii="宋体" w:hAnsi="宋体" w:cs="宋体"/>
          <w:bCs/>
          <w:color w:val="auto"/>
          <w:sz w:val="24"/>
          <w:highlight w:val="none"/>
        </w:rPr>
      </w:pPr>
      <w:r>
        <w:rPr>
          <w:rFonts w:hint="eastAsia" w:ascii="宋体" w:hAnsi="宋体" w:cs="宋体"/>
          <w:bCs/>
          <w:color w:val="auto"/>
          <w:sz w:val="24"/>
          <w:highlight w:val="none"/>
        </w:rPr>
        <w:t>日期：      年   月    日                  日 期：    年    月   日</w:t>
      </w:r>
    </w:p>
    <w:p>
      <w:pPr>
        <w:widowControl/>
        <w:spacing w:line="360" w:lineRule="auto"/>
        <w:rPr>
          <w:rFonts w:ascii="宋体" w:hAnsi="宋体" w:cs="宋体"/>
          <w:b/>
          <w:color w:val="auto"/>
          <w:spacing w:val="-4"/>
          <w:sz w:val="30"/>
          <w:szCs w:val="30"/>
          <w:highlight w:val="none"/>
        </w:rPr>
      </w:pPr>
    </w:p>
    <w:p>
      <w:pPr>
        <w:widowControl/>
        <w:rPr>
          <w:rFonts w:ascii="宋体" w:hAnsi="宋体" w:cs="宋体"/>
          <w:b/>
          <w:color w:val="auto"/>
          <w:spacing w:val="-4"/>
          <w:sz w:val="30"/>
          <w:szCs w:val="30"/>
          <w:highlight w:val="none"/>
        </w:rPr>
      </w:pPr>
    </w:p>
    <w:p>
      <w:pPr>
        <w:widowControl/>
        <w:rPr>
          <w:rFonts w:ascii="宋体" w:hAnsi="宋体" w:cs="宋体"/>
          <w:b/>
          <w:color w:val="auto"/>
          <w:spacing w:val="-4"/>
          <w:sz w:val="30"/>
          <w:szCs w:val="30"/>
          <w:highlight w:val="none"/>
        </w:rPr>
      </w:pPr>
    </w:p>
    <w:p>
      <w:pPr>
        <w:widowControl/>
        <w:rPr>
          <w:rFonts w:ascii="宋体" w:hAnsi="宋体" w:cs="宋体"/>
          <w:b/>
          <w:color w:val="auto"/>
          <w:spacing w:val="-4"/>
          <w:sz w:val="30"/>
          <w:szCs w:val="30"/>
          <w:highlight w:val="none"/>
        </w:rPr>
      </w:pPr>
    </w:p>
    <w:p>
      <w:pPr>
        <w:widowControl/>
        <w:rPr>
          <w:rFonts w:ascii="宋体" w:hAnsi="宋体" w:cs="宋体"/>
          <w:b/>
          <w:color w:val="auto"/>
          <w:spacing w:val="-4"/>
          <w:sz w:val="30"/>
          <w:szCs w:val="30"/>
          <w:highlight w:val="none"/>
        </w:rPr>
      </w:pPr>
    </w:p>
    <w:p>
      <w:pPr>
        <w:widowControl/>
        <w:rPr>
          <w:rFonts w:ascii="宋体" w:hAnsi="宋体" w:cs="宋体"/>
          <w:b/>
          <w:color w:val="auto"/>
          <w:spacing w:val="-4"/>
          <w:sz w:val="30"/>
          <w:szCs w:val="30"/>
          <w:highlight w:val="none"/>
        </w:rPr>
      </w:pPr>
    </w:p>
    <w:p>
      <w:pPr>
        <w:widowControl/>
        <w:rPr>
          <w:rFonts w:ascii="宋体" w:hAnsi="宋体" w:cs="宋体"/>
          <w:b/>
          <w:color w:val="auto"/>
          <w:spacing w:val="-4"/>
          <w:sz w:val="30"/>
          <w:szCs w:val="30"/>
          <w:highlight w:val="none"/>
        </w:rPr>
      </w:pPr>
    </w:p>
    <w:p>
      <w:pPr>
        <w:widowControl/>
        <w:rPr>
          <w:rFonts w:ascii="宋体" w:hAnsi="宋体" w:cs="宋体"/>
          <w:b/>
          <w:color w:val="auto"/>
          <w:spacing w:val="-4"/>
          <w:sz w:val="30"/>
          <w:szCs w:val="30"/>
          <w:highlight w:val="none"/>
        </w:rPr>
      </w:pPr>
    </w:p>
    <w:p>
      <w:pPr>
        <w:widowControl/>
        <w:rPr>
          <w:rFonts w:ascii="宋体" w:hAnsi="宋体" w:cs="宋体"/>
          <w:b/>
          <w:color w:val="auto"/>
          <w:spacing w:val="-4"/>
          <w:sz w:val="30"/>
          <w:szCs w:val="30"/>
          <w:highlight w:val="none"/>
        </w:rPr>
      </w:pPr>
    </w:p>
    <w:p>
      <w:pPr>
        <w:widowControl/>
        <w:rPr>
          <w:rFonts w:ascii="宋体" w:hAnsi="宋体" w:cs="宋体"/>
          <w:b/>
          <w:color w:val="auto"/>
          <w:spacing w:val="-4"/>
          <w:sz w:val="30"/>
          <w:szCs w:val="30"/>
          <w:highlight w:val="none"/>
        </w:rPr>
      </w:pPr>
    </w:p>
    <w:p>
      <w:pPr>
        <w:widowControl/>
        <w:rPr>
          <w:rFonts w:ascii="宋体" w:hAnsi="宋体" w:cs="宋体"/>
          <w:b/>
          <w:color w:val="auto"/>
          <w:spacing w:val="-4"/>
          <w:sz w:val="30"/>
          <w:szCs w:val="30"/>
          <w:highlight w:val="none"/>
        </w:rPr>
      </w:pPr>
    </w:p>
    <w:p>
      <w:pPr>
        <w:widowControl/>
        <w:rPr>
          <w:rFonts w:ascii="宋体" w:hAnsi="宋体" w:cs="宋体"/>
          <w:b/>
          <w:color w:val="auto"/>
          <w:spacing w:val="-4"/>
          <w:sz w:val="30"/>
          <w:szCs w:val="30"/>
          <w:highlight w:val="none"/>
        </w:rPr>
      </w:pPr>
    </w:p>
    <w:p>
      <w:pPr>
        <w:widowControl/>
        <w:rPr>
          <w:rFonts w:ascii="宋体" w:hAnsi="宋体" w:cs="宋体"/>
          <w:b/>
          <w:color w:val="auto"/>
          <w:spacing w:val="-4"/>
          <w:sz w:val="30"/>
          <w:szCs w:val="30"/>
          <w:highlight w:val="none"/>
        </w:rPr>
      </w:pPr>
    </w:p>
    <w:p>
      <w:pPr>
        <w:widowControl/>
        <w:rPr>
          <w:rFonts w:ascii="宋体" w:hAnsi="宋体" w:cs="宋体"/>
          <w:b/>
          <w:color w:val="auto"/>
          <w:spacing w:val="-4"/>
          <w:sz w:val="30"/>
          <w:szCs w:val="30"/>
          <w:highlight w:val="none"/>
        </w:rPr>
      </w:pPr>
    </w:p>
    <w:bookmarkEnd w:id="111"/>
    <w:p>
      <w:pPr>
        <w:pStyle w:val="15"/>
        <w:rPr>
          <w:rFonts w:ascii="宋体" w:hAnsi="宋体"/>
          <w:color w:val="auto"/>
          <w:highlight w:val="none"/>
        </w:rPr>
      </w:pPr>
    </w:p>
    <w:p>
      <w:pPr>
        <w:widowControl/>
        <w:jc w:val="left"/>
        <w:rPr>
          <w:rFonts w:ascii="宋体" w:hAnsi="宋体"/>
          <w:b/>
          <w:color w:val="auto"/>
          <w:sz w:val="32"/>
          <w:szCs w:val="32"/>
          <w:highlight w:val="none"/>
        </w:rPr>
      </w:pPr>
      <w:r>
        <w:rPr>
          <w:rFonts w:ascii="宋体" w:hAnsi="宋体"/>
          <w:color w:val="auto"/>
          <w:highlight w:val="none"/>
        </w:rPr>
        <w:br w:type="page"/>
      </w:r>
    </w:p>
    <w:p>
      <w:pPr>
        <w:pStyle w:val="3"/>
        <w:rPr>
          <w:rFonts w:ascii="宋体" w:hAnsi="宋体"/>
          <w:color w:val="auto"/>
          <w:highlight w:val="none"/>
        </w:rPr>
      </w:pPr>
      <w:bookmarkStart w:id="112" w:name="_Toc161525975"/>
      <w:r>
        <w:rPr>
          <w:rFonts w:hint="eastAsia" w:ascii="宋体" w:hAnsi="宋体"/>
          <w:color w:val="auto"/>
          <w:highlight w:val="none"/>
        </w:rPr>
        <w:t>第</w:t>
      </w:r>
      <w:bookmarkStart w:id="113" w:name="_Toc9510643"/>
      <w:r>
        <w:rPr>
          <w:rFonts w:hint="eastAsia" w:ascii="宋体" w:hAnsi="宋体"/>
          <w:color w:val="auto"/>
          <w:highlight w:val="none"/>
        </w:rPr>
        <w:t>五章 投标文件格式</w:t>
      </w:r>
      <w:bookmarkEnd w:id="108"/>
      <w:bookmarkEnd w:id="109"/>
      <w:bookmarkEnd w:id="112"/>
    </w:p>
    <w:p>
      <w:pPr>
        <w:adjustRightInd w:val="0"/>
        <w:snapToGrid w:val="0"/>
        <w:spacing w:line="360" w:lineRule="auto"/>
        <w:rPr>
          <w:rFonts w:ascii="宋体" w:hAnsi="宋体" w:cs="宋体"/>
          <w:color w:val="auto"/>
          <w:szCs w:val="24"/>
          <w:highlight w:val="none"/>
        </w:rPr>
      </w:pPr>
    </w:p>
    <w:p>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一、投</w:t>
      </w:r>
      <w:bookmarkEnd w:id="113"/>
      <w:r>
        <w:rPr>
          <w:rFonts w:hint="eastAsia" w:ascii="宋体" w:hAnsi="宋体" w:cs="宋体"/>
          <w:color w:val="auto"/>
          <w:sz w:val="24"/>
          <w:szCs w:val="24"/>
          <w:highlight w:val="none"/>
        </w:rPr>
        <w:t>标人提交投标文件须知：</w:t>
      </w:r>
    </w:p>
    <w:p>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1、投标人应严格按照以下顺序填写和提交下述规定的全部格式文件以及其他有关资料，混乱的编排导致投标文件被误读或评标小组查找不到有效文件是投标人的风险。</w:t>
      </w:r>
    </w:p>
    <w:p>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2、所附表格中要求回答的全部问题和/或信息都必须正面回答。</w:t>
      </w:r>
    </w:p>
    <w:p>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3、本声明书的签字人应保证全部声明和问题的回答是真实的和准确的。</w:t>
      </w:r>
    </w:p>
    <w:p>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4、评标委员会将应用投标人提交的资料根据自己的判断和考虑决定投标人履行合同的合格性及能力。</w:t>
      </w:r>
    </w:p>
    <w:p>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5、投标人提交的材料将在一定期限内被</w:t>
      </w:r>
      <w:r>
        <w:rPr>
          <w:rFonts w:hint="eastAsia" w:ascii="宋体" w:hAnsi="宋体" w:cstheme="majorEastAsia"/>
          <w:bCs/>
          <w:color w:val="auto"/>
          <w:sz w:val="24"/>
          <w:szCs w:val="24"/>
          <w:highlight w:val="none"/>
        </w:rPr>
        <w:t>保密</w:t>
      </w:r>
      <w:r>
        <w:rPr>
          <w:rFonts w:hint="eastAsia" w:ascii="宋体" w:hAnsi="宋体" w:cs="宋体"/>
          <w:color w:val="auto"/>
          <w:sz w:val="24"/>
          <w:szCs w:val="24"/>
          <w:highlight w:val="none"/>
        </w:rPr>
        <w:t>保存，但不退还。</w:t>
      </w:r>
    </w:p>
    <w:p>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6、全部文件应按投标人须知中规定的语言和份数提交。投标文件组成漏项或未按规定的格式编制或投标文件正、副本份数不足，内容不全或内容字迹模糊辨认不清的情况，将有可能被评标小组认定为投标无效。</w:t>
      </w:r>
    </w:p>
    <w:p>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二、投标文件编制格式及规范要求：</w:t>
      </w:r>
    </w:p>
    <w:p>
      <w:pPr>
        <w:adjustRightInd w:val="0"/>
        <w:snapToGrid w:val="0"/>
        <w:spacing w:line="500" w:lineRule="exact"/>
        <w:ind w:firstLine="360" w:firstLineChars="150"/>
        <w:rPr>
          <w:rFonts w:ascii="宋体" w:hAnsi="宋体" w:cs="宋体"/>
          <w:color w:val="auto"/>
          <w:sz w:val="24"/>
          <w:szCs w:val="24"/>
          <w:highlight w:val="none"/>
        </w:rPr>
      </w:pPr>
      <w:r>
        <w:rPr>
          <w:rFonts w:hint="eastAsia" w:ascii="宋体" w:hAnsi="宋体" w:cs="宋体"/>
          <w:color w:val="auto"/>
          <w:sz w:val="24"/>
          <w:szCs w:val="24"/>
          <w:highlight w:val="none"/>
        </w:rPr>
        <w:t>报价文件、商务技术文件部分，投标人在编制投标文件时请按照以下格式进行，并装订成册。</w:t>
      </w:r>
    </w:p>
    <w:p>
      <w:pPr>
        <w:adjustRightInd w:val="0"/>
        <w:snapToGrid w:val="0"/>
        <w:spacing w:before="50" w:after="50" w:line="360" w:lineRule="auto"/>
        <w:rPr>
          <w:rFonts w:ascii="宋体" w:hAnsi="宋体" w:cs="宋体"/>
          <w:color w:val="auto"/>
          <w:sz w:val="32"/>
          <w:highlight w:val="none"/>
        </w:rPr>
      </w:pPr>
    </w:p>
    <w:p>
      <w:pPr>
        <w:adjustRightInd w:val="0"/>
        <w:snapToGrid w:val="0"/>
        <w:spacing w:line="360" w:lineRule="auto"/>
        <w:rPr>
          <w:rFonts w:ascii="宋体" w:hAnsi="宋体" w:cs="宋体"/>
          <w:b/>
          <w:color w:val="auto"/>
          <w:sz w:val="24"/>
          <w:szCs w:val="24"/>
          <w:highlight w:val="none"/>
        </w:rPr>
      </w:pPr>
      <w:r>
        <w:rPr>
          <w:rFonts w:hint="eastAsia" w:ascii="宋体" w:hAnsi="宋体" w:cs="宋体"/>
          <w:color w:val="auto"/>
          <w:sz w:val="32"/>
          <w:highlight w:val="none"/>
        </w:rPr>
        <w:br w:type="page"/>
      </w:r>
      <w:r>
        <w:rPr>
          <w:rFonts w:hint="eastAsia" w:ascii="宋体" w:hAnsi="宋体" w:cs="宋体"/>
          <w:b/>
          <w:color w:val="auto"/>
          <w:sz w:val="24"/>
          <w:szCs w:val="24"/>
          <w:highlight w:val="none"/>
        </w:rPr>
        <w:t>投标文件封面</w:t>
      </w:r>
    </w:p>
    <w:p>
      <w:pPr>
        <w:snapToGrid w:val="0"/>
        <w:spacing w:line="360" w:lineRule="auto"/>
        <w:rPr>
          <w:rFonts w:ascii="宋体" w:hAnsi="宋体" w:cs="宋体"/>
          <w:color w:val="auto"/>
          <w:sz w:val="40"/>
          <w:szCs w:val="20"/>
          <w:highlight w:val="none"/>
        </w:rPr>
      </w:pPr>
      <w:r>
        <w:rPr>
          <w:rFonts w:hint="eastAsia" w:ascii="宋体" w:hAnsi="宋体" w:cs="宋体"/>
          <w:color w:val="auto"/>
          <w:sz w:val="40"/>
          <w:szCs w:val="20"/>
          <w:highlight w:val="none"/>
        </w:rPr>
        <w:t>正（副）本</w:t>
      </w:r>
    </w:p>
    <w:p>
      <w:pPr>
        <w:snapToGrid w:val="0"/>
        <w:spacing w:line="360" w:lineRule="auto"/>
        <w:jc w:val="center"/>
        <w:rPr>
          <w:rFonts w:ascii="宋体" w:hAnsi="宋体" w:cs="宋体"/>
          <w:color w:val="auto"/>
          <w:sz w:val="56"/>
          <w:szCs w:val="20"/>
          <w:highlight w:val="none"/>
        </w:rPr>
      </w:pPr>
    </w:p>
    <w:p>
      <w:pPr>
        <w:snapToGrid w:val="0"/>
        <w:spacing w:line="360" w:lineRule="auto"/>
        <w:jc w:val="center"/>
        <w:rPr>
          <w:rFonts w:ascii="宋体" w:hAnsi="宋体" w:cs="宋体"/>
          <w:color w:val="auto"/>
          <w:sz w:val="44"/>
          <w:szCs w:val="44"/>
          <w:highlight w:val="none"/>
        </w:rPr>
      </w:pPr>
      <w:r>
        <w:rPr>
          <w:rFonts w:hint="eastAsia" w:ascii="宋体" w:hAnsi="宋体" w:cs="宋体"/>
          <w:color w:val="auto"/>
          <w:sz w:val="44"/>
          <w:szCs w:val="44"/>
          <w:highlight w:val="none"/>
        </w:rPr>
        <w:t>(项目名称)项目</w:t>
      </w:r>
    </w:p>
    <w:p>
      <w:pPr>
        <w:snapToGrid w:val="0"/>
        <w:spacing w:line="360" w:lineRule="auto"/>
        <w:jc w:val="center"/>
        <w:rPr>
          <w:rFonts w:ascii="宋体" w:hAnsi="宋体" w:cs="宋体"/>
          <w:color w:val="auto"/>
          <w:sz w:val="28"/>
          <w:szCs w:val="20"/>
          <w:highlight w:val="none"/>
        </w:rPr>
      </w:pPr>
      <w:r>
        <w:rPr>
          <w:rFonts w:hint="eastAsia" w:ascii="宋体" w:hAnsi="宋体" w:cs="宋体"/>
          <w:color w:val="auto"/>
          <w:sz w:val="28"/>
          <w:szCs w:val="20"/>
          <w:highlight w:val="none"/>
        </w:rPr>
        <w:t>标包编号：</w:t>
      </w:r>
    </w:p>
    <w:p>
      <w:pPr>
        <w:snapToGrid w:val="0"/>
        <w:spacing w:line="360" w:lineRule="auto"/>
        <w:jc w:val="center"/>
        <w:rPr>
          <w:rFonts w:ascii="宋体" w:hAnsi="宋体" w:cs="宋体"/>
          <w:color w:val="auto"/>
          <w:sz w:val="56"/>
          <w:szCs w:val="20"/>
          <w:highlight w:val="none"/>
        </w:rPr>
      </w:pPr>
      <w:r>
        <w:rPr>
          <w:rFonts w:hint="eastAsia" w:ascii="宋体" w:hAnsi="宋体" w:cs="宋体"/>
          <w:color w:val="auto"/>
          <w:sz w:val="56"/>
          <w:szCs w:val="20"/>
          <w:highlight w:val="none"/>
        </w:rPr>
        <w:t>报</w:t>
      </w:r>
    </w:p>
    <w:p>
      <w:pPr>
        <w:snapToGrid w:val="0"/>
        <w:spacing w:line="360" w:lineRule="auto"/>
        <w:jc w:val="center"/>
        <w:rPr>
          <w:rFonts w:ascii="宋体" w:hAnsi="宋体" w:cs="宋体"/>
          <w:color w:val="auto"/>
          <w:sz w:val="56"/>
          <w:szCs w:val="20"/>
          <w:highlight w:val="none"/>
        </w:rPr>
      </w:pPr>
      <w:r>
        <w:rPr>
          <w:rFonts w:hint="eastAsia" w:ascii="宋体" w:hAnsi="宋体" w:cs="宋体"/>
          <w:color w:val="auto"/>
          <w:sz w:val="56"/>
          <w:szCs w:val="20"/>
          <w:highlight w:val="none"/>
        </w:rPr>
        <w:t>价</w:t>
      </w:r>
    </w:p>
    <w:p>
      <w:pPr>
        <w:snapToGrid w:val="0"/>
        <w:spacing w:line="360" w:lineRule="auto"/>
        <w:jc w:val="center"/>
        <w:rPr>
          <w:rFonts w:ascii="宋体" w:hAnsi="宋体" w:cs="宋体"/>
          <w:color w:val="auto"/>
          <w:sz w:val="56"/>
          <w:szCs w:val="20"/>
          <w:highlight w:val="none"/>
        </w:rPr>
      </w:pPr>
      <w:r>
        <w:rPr>
          <w:rFonts w:hint="eastAsia" w:ascii="宋体" w:hAnsi="宋体" w:cs="宋体"/>
          <w:color w:val="auto"/>
          <w:sz w:val="56"/>
          <w:szCs w:val="20"/>
          <w:highlight w:val="none"/>
        </w:rPr>
        <w:t>文</w:t>
      </w:r>
    </w:p>
    <w:p>
      <w:pPr>
        <w:snapToGrid w:val="0"/>
        <w:spacing w:line="360" w:lineRule="auto"/>
        <w:jc w:val="center"/>
        <w:rPr>
          <w:rFonts w:ascii="宋体" w:hAnsi="宋体" w:cs="宋体"/>
          <w:color w:val="auto"/>
          <w:sz w:val="56"/>
          <w:szCs w:val="20"/>
          <w:highlight w:val="none"/>
        </w:rPr>
      </w:pPr>
      <w:r>
        <w:rPr>
          <w:rFonts w:hint="eastAsia" w:ascii="宋体" w:hAnsi="宋体" w:cs="宋体"/>
          <w:color w:val="auto"/>
          <w:sz w:val="56"/>
          <w:szCs w:val="20"/>
          <w:highlight w:val="none"/>
        </w:rPr>
        <w:t>件</w:t>
      </w:r>
    </w:p>
    <w:p>
      <w:pPr>
        <w:snapToGrid w:val="0"/>
        <w:spacing w:line="360" w:lineRule="auto"/>
        <w:rPr>
          <w:rFonts w:ascii="宋体" w:hAnsi="宋体" w:cs="宋体"/>
          <w:color w:val="auto"/>
          <w:sz w:val="28"/>
          <w:szCs w:val="20"/>
          <w:highlight w:val="none"/>
        </w:rPr>
      </w:pPr>
    </w:p>
    <w:p>
      <w:pPr>
        <w:snapToGrid w:val="0"/>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投标单位名称：（加盖单位公章）</w:t>
      </w:r>
    </w:p>
    <w:p>
      <w:pPr>
        <w:snapToGrid w:val="0"/>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投标单位地址：</w:t>
      </w:r>
    </w:p>
    <w:p>
      <w:pPr>
        <w:snapToGrid w:val="0"/>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投标单位法定代表人（负责人、自然人）或授权代表姓名：（签字或盖章）</w:t>
      </w:r>
    </w:p>
    <w:p>
      <w:pPr>
        <w:snapToGrid w:val="0"/>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投标单位法定代表人（负责人、自然人）或授权代表职务：</w:t>
      </w:r>
    </w:p>
    <w:p>
      <w:pPr>
        <w:snapToGrid w:val="0"/>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投标单位联系方式：</w:t>
      </w:r>
    </w:p>
    <w:p>
      <w:pPr>
        <w:snapToGrid w:val="0"/>
        <w:spacing w:line="360" w:lineRule="auto"/>
        <w:rPr>
          <w:rFonts w:ascii="宋体" w:hAnsi="宋体" w:cs="宋体"/>
          <w:color w:val="auto"/>
          <w:sz w:val="20"/>
          <w:szCs w:val="20"/>
          <w:highlight w:val="none"/>
        </w:rPr>
      </w:pPr>
    </w:p>
    <w:p>
      <w:pPr>
        <w:adjustRightInd w:val="0"/>
        <w:snapToGrid w:val="0"/>
        <w:spacing w:before="50" w:after="50" w:line="360" w:lineRule="auto"/>
        <w:jc w:val="center"/>
        <w:rPr>
          <w:rFonts w:ascii="宋体" w:hAnsi="宋体" w:cs="宋体"/>
          <w:color w:val="auto"/>
          <w:sz w:val="28"/>
          <w:szCs w:val="28"/>
          <w:highlight w:val="none"/>
        </w:rPr>
      </w:pPr>
      <w:r>
        <w:rPr>
          <w:rFonts w:hint="eastAsia" w:ascii="宋体" w:hAnsi="宋体" w:cs="宋体"/>
          <w:color w:val="auto"/>
          <w:sz w:val="28"/>
          <w:szCs w:val="28"/>
          <w:highlight w:val="none"/>
        </w:rPr>
        <w:t>年  月  日</w:t>
      </w:r>
    </w:p>
    <w:p>
      <w:pPr>
        <w:rPr>
          <w:rFonts w:ascii="宋体" w:hAnsi="宋体" w:cs="宋体"/>
          <w:b/>
          <w:color w:val="auto"/>
          <w:sz w:val="44"/>
          <w:szCs w:val="44"/>
          <w:highlight w:val="none"/>
        </w:rPr>
      </w:pPr>
      <w:r>
        <w:rPr>
          <w:rFonts w:hint="eastAsia" w:ascii="宋体" w:hAnsi="宋体" w:cs="宋体"/>
          <w:b/>
          <w:color w:val="auto"/>
          <w:sz w:val="44"/>
          <w:szCs w:val="44"/>
          <w:highlight w:val="none"/>
        </w:rPr>
        <w:br w:type="page"/>
      </w:r>
    </w:p>
    <w:p>
      <w:pPr>
        <w:widowControl/>
        <w:snapToGrid w:val="0"/>
        <w:spacing w:line="360" w:lineRule="auto"/>
        <w:jc w:val="center"/>
        <w:rPr>
          <w:rFonts w:ascii="宋体" w:hAnsi="宋体" w:cs="宋体"/>
          <w:b/>
          <w:color w:val="auto"/>
          <w:sz w:val="44"/>
          <w:szCs w:val="44"/>
          <w:highlight w:val="none"/>
        </w:rPr>
      </w:pPr>
      <w:r>
        <w:rPr>
          <w:rFonts w:hint="eastAsia" w:ascii="宋体" w:hAnsi="宋体" w:cs="宋体"/>
          <w:b/>
          <w:color w:val="auto"/>
          <w:sz w:val="44"/>
          <w:szCs w:val="44"/>
          <w:highlight w:val="none"/>
        </w:rPr>
        <w:t xml:space="preserve">目 </w:t>
      </w:r>
      <w:r>
        <w:rPr>
          <w:rFonts w:hint="eastAsia" w:ascii="宋体" w:hAnsi="宋体" w:cs="宋体"/>
          <w:b/>
          <w:color w:val="auto"/>
          <w:sz w:val="44"/>
          <w:szCs w:val="44"/>
          <w:highlight w:val="none"/>
        </w:rPr>
        <w:tab/>
      </w:r>
      <w:r>
        <w:rPr>
          <w:rFonts w:hint="eastAsia" w:ascii="宋体" w:hAnsi="宋体" w:cs="宋体"/>
          <w:b/>
          <w:color w:val="auto"/>
          <w:sz w:val="44"/>
          <w:szCs w:val="44"/>
          <w:highlight w:val="none"/>
        </w:rPr>
        <w:t>录</w:t>
      </w:r>
    </w:p>
    <w:p>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1、投标函…………………………………………………………………（页码）</w:t>
      </w:r>
    </w:p>
    <w:p>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2、开标一览表……………………………………………………………（页码）</w:t>
      </w:r>
    </w:p>
    <w:p>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3、投标报价明细表………………………………………………………（页码）</w:t>
      </w:r>
    </w:p>
    <w:p>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4、投标保证金缴纳凭证复印件…………………………………………（页码）</w:t>
      </w:r>
    </w:p>
    <w:p>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5、投标人针对报价需要说明的其他文件和资料………………………（页码）</w:t>
      </w:r>
    </w:p>
    <w:p>
      <w:pPr>
        <w:adjustRightInd w:val="0"/>
        <w:snapToGrid w:val="0"/>
        <w:spacing w:line="400" w:lineRule="exact"/>
        <w:rPr>
          <w:rFonts w:ascii="宋体" w:hAnsi="宋体" w:cs="宋体"/>
          <w:color w:val="auto"/>
          <w:sz w:val="24"/>
          <w:szCs w:val="24"/>
          <w:highlight w:val="none"/>
        </w:rPr>
      </w:pPr>
    </w:p>
    <w:p>
      <w:pPr>
        <w:widowControl/>
        <w:jc w:val="left"/>
        <w:rPr>
          <w:rFonts w:ascii="宋体" w:hAnsi="宋体"/>
          <w:b/>
          <w:bCs/>
          <w:color w:val="auto"/>
          <w:sz w:val="32"/>
          <w:szCs w:val="32"/>
          <w:highlight w:val="none"/>
        </w:rPr>
      </w:pPr>
      <w:r>
        <w:rPr>
          <w:rFonts w:ascii="宋体" w:hAnsi="宋体"/>
          <w:color w:val="auto"/>
          <w:highlight w:val="none"/>
        </w:rPr>
        <w:br w:type="page"/>
      </w:r>
    </w:p>
    <w:p>
      <w:pPr>
        <w:adjustRightInd w:val="0"/>
        <w:snapToGrid w:val="0"/>
        <w:spacing w:before="50" w:after="50" w:line="400" w:lineRule="exact"/>
        <w:rPr>
          <w:rFonts w:ascii="宋体" w:hAnsi="宋体" w:cs="宋体"/>
          <w:b/>
          <w:color w:val="auto"/>
          <w:sz w:val="24"/>
          <w:szCs w:val="24"/>
          <w:highlight w:val="none"/>
        </w:rPr>
      </w:pPr>
      <w:r>
        <w:rPr>
          <w:rFonts w:hint="eastAsia" w:ascii="宋体" w:hAnsi="宋体" w:cs="宋体"/>
          <w:b/>
          <w:color w:val="auto"/>
          <w:sz w:val="24"/>
          <w:szCs w:val="24"/>
          <w:highlight w:val="none"/>
        </w:rPr>
        <w:t>1、投标函格式：</w:t>
      </w:r>
    </w:p>
    <w:p>
      <w:pPr>
        <w:adjustRightInd w:val="0"/>
        <w:snapToGrid w:val="0"/>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投 标 函</w:t>
      </w: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（采购代理机构名称）：</w:t>
      </w:r>
    </w:p>
    <w:p>
      <w:pPr>
        <w:adjustRightInd w:val="0"/>
        <w:snapToGrid w:val="0"/>
        <w:spacing w:line="4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根据贵方项目（项目编号：）招标公告/投标邀请书，签字代表（全名）经正式授权并代表投标人（投标人名称）提交</w:t>
      </w:r>
      <w:r>
        <w:rPr>
          <w:rFonts w:hint="eastAsia" w:ascii="宋体" w:hAnsi="宋体" w:cs="宋体"/>
          <w:color w:val="auto"/>
          <w:sz w:val="24"/>
          <w:szCs w:val="24"/>
          <w:highlight w:val="none"/>
          <w:u w:val="single"/>
        </w:rPr>
        <w:t>标包编号及内容</w:t>
      </w:r>
      <w:r>
        <w:rPr>
          <w:rFonts w:hint="eastAsia" w:ascii="宋体" w:hAnsi="宋体" w:cs="宋体"/>
          <w:color w:val="auto"/>
          <w:sz w:val="24"/>
          <w:szCs w:val="24"/>
          <w:highlight w:val="none"/>
        </w:rPr>
        <w:t>投标文件正本一份、副本份、电子文件份。</w:t>
      </w:r>
    </w:p>
    <w:p>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据此函，签字代表宣布同意如下：</w:t>
      </w:r>
    </w:p>
    <w:p>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1、投标人已详细审查全部“招标文件”，包括补充文件（如有）以及全部参考资料和有关附件，已经了解我方对于招标文件、采购过程、采购结果有依法进行询问、质疑、投诉的权利及相关渠道和要求。</w:t>
      </w:r>
    </w:p>
    <w:p>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2、投标人在投标之前已经与贵方进行了充分的沟通，完全理解并接受招标文件的各项规定和要求，对招标文件的合理性、合法性不再有异议。</w:t>
      </w:r>
    </w:p>
    <w:p>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3、本投标有效期自递交投标文件截止之日起</w:t>
      </w:r>
      <w:r>
        <w:rPr>
          <w:rFonts w:hint="eastAsia" w:ascii="宋体" w:hAnsi="宋体" w:cs="宋体"/>
          <w:color w:val="auto"/>
          <w:sz w:val="24"/>
          <w:szCs w:val="24"/>
          <w:highlight w:val="none"/>
          <w:u w:val="single"/>
        </w:rPr>
        <w:t>90</w:t>
      </w:r>
      <w:r>
        <w:rPr>
          <w:rFonts w:hint="eastAsia" w:ascii="宋体" w:hAnsi="宋体" w:cs="宋体"/>
          <w:color w:val="auto"/>
          <w:sz w:val="24"/>
          <w:szCs w:val="24"/>
          <w:highlight w:val="none"/>
        </w:rPr>
        <w:t>日。</w:t>
      </w:r>
    </w:p>
    <w:p>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4、如中标，本投标文件至本项目合同履行完毕止均保持有效，本投标人将按“招标文件”及政府采购法律、法规的规定履行合同责任和义务。</w:t>
      </w:r>
    </w:p>
    <w:p>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5、投标人同意按照贵方要求提供与投标有关的一切数据或资料，完全理解采购人不一定接受最低价的投标或收到的任何投标。</w:t>
      </w:r>
    </w:p>
    <w:p>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6、与本投标有关的一切正式往来信函请寄：</w:t>
      </w:r>
    </w:p>
    <w:p>
      <w:pPr>
        <w:adjustRightInd w:val="0"/>
        <w:snapToGrid w:val="0"/>
        <w:spacing w:line="400" w:lineRule="exact"/>
        <w:ind w:firstLine="480" w:firstLineChars="200"/>
        <w:rPr>
          <w:rFonts w:ascii="宋体" w:hAnsi="宋体" w:cs="宋体"/>
          <w:color w:val="auto"/>
          <w:sz w:val="24"/>
          <w:szCs w:val="24"/>
          <w:highlight w:val="none"/>
        </w:rPr>
      </w:pP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地址：  邮编：     电话：</w:t>
      </w: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传真：   投标人代表姓名：  职务：</w:t>
      </w: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投标人名称(公章):</w:t>
      </w: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开户银行：    银行帐号：</w:t>
      </w:r>
    </w:p>
    <w:p>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授权代表签字:</w:t>
      </w:r>
    </w:p>
    <w:p>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                                             日期：年月日</w:t>
      </w:r>
    </w:p>
    <w:p>
      <w:pPr>
        <w:adjustRightInd w:val="0"/>
        <w:snapToGrid w:val="0"/>
        <w:spacing w:line="400" w:lineRule="exact"/>
        <w:rPr>
          <w:rFonts w:ascii="宋体" w:hAnsi="宋体" w:cs="宋体"/>
          <w:color w:val="auto"/>
          <w:sz w:val="24"/>
          <w:szCs w:val="24"/>
          <w:highlight w:val="none"/>
        </w:rPr>
      </w:pPr>
    </w:p>
    <w:p>
      <w:pPr>
        <w:adjustRightInd w:val="0"/>
        <w:snapToGrid w:val="0"/>
        <w:spacing w:line="400" w:lineRule="exact"/>
        <w:rPr>
          <w:rFonts w:ascii="宋体" w:hAnsi="宋体"/>
          <w:color w:val="auto"/>
          <w:highlight w:val="none"/>
        </w:rPr>
      </w:pPr>
    </w:p>
    <w:p>
      <w:pPr>
        <w:adjustRightInd w:val="0"/>
        <w:snapToGrid w:val="0"/>
        <w:spacing w:line="400" w:lineRule="exact"/>
        <w:rPr>
          <w:rFonts w:ascii="宋体" w:hAnsi="宋体"/>
          <w:color w:val="auto"/>
          <w:highlight w:val="none"/>
        </w:rPr>
      </w:pPr>
    </w:p>
    <w:p>
      <w:pPr>
        <w:adjustRightInd w:val="0"/>
        <w:snapToGrid w:val="0"/>
        <w:spacing w:line="400" w:lineRule="exact"/>
        <w:rPr>
          <w:rFonts w:ascii="宋体" w:hAnsi="宋体"/>
          <w:color w:val="auto"/>
          <w:highlight w:val="none"/>
        </w:rPr>
      </w:pPr>
    </w:p>
    <w:p>
      <w:pPr>
        <w:adjustRightInd w:val="0"/>
        <w:snapToGrid w:val="0"/>
        <w:spacing w:line="400" w:lineRule="exact"/>
        <w:rPr>
          <w:rFonts w:ascii="宋体" w:hAnsi="宋体"/>
          <w:color w:val="auto"/>
          <w:highlight w:val="none"/>
        </w:rPr>
      </w:pPr>
    </w:p>
    <w:p>
      <w:pPr>
        <w:adjustRightInd w:val="0"/>
        <w:snapToGrid w:val="0"/>
        <w:spacing w:line="400" w:lineRule="exact"/>
        <w:rPr>
          <w:rFonts w:ascii="宋体" w:hAnsi="宋体"/>
          <w:color w:val="auto"/>
          <w:highlight w:val="none"/>
        </w:rPr>
      </w:pPr>
    </w:p>
    <w:p>
      <w:pPr>
        <w:adjustRightInd w:val="0"/>
        <w:snapToGrid w:val="0"/>
        <w:spacing w:line="400" w:lineRule="exact"/>
        <w:rPr>
          <w:rFonts w:ascii="宋体" w:hAnsi="宋体"/>
          <w:color w:val="auto"/>
          <w:highlight w:val="none"/>
        </w:rPr>
      </w:pPr>
    </w:p>
    <w:p>
      <w:pPr>
        <w:adjustRightInd w:val="0"/>
        <w:snapToGrid w:val="0"/>
        <w:spacing w:line="400" w:lineRule="exact"/>
        <w:rPr>
          <w:rFonts w:ascii="宋体" w:hAnsi="宋体"/>
          <w:color w:val="auto"/>
          <w:highlight w:val="none"/>
        </w:rPr>
      </w:pPr>
    </w:p>
    <w:p>
      <w:pPr>
        <w:adjustRightInd w:val="0"/>
        <w:snapToGrid w:val="0"/>
        <w:spacing w:line="400" w:lineRule="exact"/>
        <w:rPr>
          <w:rFonts w:ascii="宋体" w:hAnsi="宋体"/>
          <w:color w:val="auto"/>
          <w:highlight w:val="none"/>
        </w:rPr>
      </w:pPr>
    </w:p>
    <w:p>
      <w:pPr>
        <w:adjustRightInd w:val="0"/>
        <w:snapToGrid w:val="0"/>
        <w:spacing w:line="400" w:lineRule="exact"/>
        <w:rPr>
          <w:rFonts w:ascii="宋体" w:hAnsi="宋体" w:cs="宋体"/>
          <w:b/>
          <w:color w:val="auto"/>
          <w:sz w:val="24"/>
          <w:szCs w:val="24"/>
          <w:highlight w:val="none"/>
        </w:rPr>
      </w:pPr>
      <w:r>
        <w:rPr>
          <w:rFonts w:hint="eastAsia" w:ascii="宋体" w:hAnsi="宋体" w:cs="宋体"/>
          <w:b/>
          <w:color w:val="auto"/>
          <w:sz w:val="24"/>
          <w:szCs w:val="24"/>
          <w:highlight w:val="none"/>
        </w:rPr>
        <w:t>2、开标一览表</w:t>
      </w:r>
    </w:p>
    <w:p>
      <w:pPr>
        <w:adjustRightInd w:val="0"/>
        <w:snapToGrid w:val="0"/>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开标一览表</w:t>
      </w: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      </w:t>
      </w: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标包编号及内容：                          单位：元/</w:t>
      </w:r>
      <w:r>
        <w:rPr>
          <w:rFonts w:hint="eastAsia" w:ascii="宋体" w:hAnsi="宋体"/>
          <w:color w:val="auto"/>
          <w:sz w:val="24"/>
          <w:szCs w:val="24"/>
          <w:highlight w:val="none"/>
        </w:rPr>
        <w:t>辆</w:t>
      </w:r>
      <w:r>
        <w:rPr>
          <w:rFonts w:hint="eastAsia" w:ascii="宋体" w:hAnsi="宋体" w:cs="宋体"/>
          <w:color w:val="auto"/>
          <w:sz w:val="24"/>
          <w:szCs w:val="24"/>
          <w:highlight w:val="none"/>
        </w:rPr>
        <w:t>等</w:t>
      </w:r>
    </w:p>
    <w:tbl>
      <w:tblPr>
        <w:tblStyle w:val="38"/>
        <w:tblW w:w="8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6"/>
        <w:gridCol w:w="1250"/>
        <w:gridCol w:w="1065"/>
        <w:gridCol w:w="641"/>
        <w:gridCol w:w="1282"/>
        <w:gridCol w:w="898"/>
        <w:gridCol w:w="1153"/>
        <w:gridCol w:w="1154"/>
        <w:gridCol w:w="8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jc w:val="center"/>
        </w:trPr>
        <w:tc>
          <w:tcPr>
            <w:tcW w:w="476" w:type="dxa"/>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序号</w:t>
            </w:r>
          </w:p>
        </w:tc>
        <w:tc>
          <w:tcPr>
            <w:tcW w:w="1250" w:type="dxa"/>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标的名称</w:t>
            </w:r>
          </w:p>
        </w:tc>
        <w:tc>
          <w:tcPr>
            <w:tcW w:w="1065" w:type="dxa"/>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品牌</w:t>
            </w:r>
          </w:p>
        </w:tc>
        <w:tc>
          <w:tcPr>
            <w:tcW w:w="641" w:type="dxa"/>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产地</w:t>
            </w:r>
          </w:p>
        </w:tc>
        <w:tc>
          <w:tcPr>
            <w:tcW w:w="1282" w:type="dxa"/>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规格型号</w:t>
            </w:r>
          </w:p>
        </w:tc>
        <w:tc>
          <w:tcPr>
            <w:tcW w:w="898" w:type="dxa"/>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数量</w:t>
            </w:r>
          </w:p>
        </w:tc>
        <w:tc>
          <w:tcPr>
            <w:tcW w:w="1153" w:type="dxa"/>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单价（元）</w:t>
            </w:r>
          </w:p>
        </w:tc>
        <w:tc>
          <w:tcPr>
            <w:tcW w:w="1154" w:type="dxa"/>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合计（元）</w:t>
            </w:r>
          </w:p>
        </w:tc>
        <w:tc>
          <w:tcPr>
            <w:tcW w:w="897" w:type="dxa"/>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jc w:val="center"/>
        </w:trPr>
        <w:tc>
          <w:tcPr>
            <w:tcW w:w="476" w:type="dxa"/>
            <w:vAlign w:val="center"/>
          </w:tcPr>
          <w:p>
            <w:pPr>
              <w:snapToGrid w:val="0"/>
              <w:spacing w:line="400" w:lineRule="exact"/>
              <w:jc w:val="center"/>
              <w:rPr>
                <w:rFonts w:ascii="宋体" w:hAnsi="宋体" w:cs="宋体"/>
                <w:color w:val="auto"/>
                <w:sz w:val="24"/>
                <w:szCs w:val="24"/>
                <w:highlight w:val="none"/>
              </w:rPr>
            </w:pPr>
          </w:p>
        </w:tc>
        <w:tc>
          <w:tcPr>
            <w:tcW w:w="1250" w:type="dxa"/>
            <w:vAlign w:val="center"/>
          </w:tcPr>
          <w:p>
            <w:pPr>
              <w:snapToGrid w:val="0"/>
              <w:spacing w:line="400" w:lineRule="exact"/>
              <w:jc w:val="center"/>
              <w:rPr>
                <w:rFonts w:ascii="宋体" w:hAnsi="宋体" w:cs="宋体"/>
                <w:color w:val="auto"/>
                <w:sz w:val="24"/>
                <w:szCs w:val="24"/>
                <w:highlight w:val="none"/>
              </w:rPr>
            </w:pPr>
          </w:p>
        </w:tc>
        <w:tc>
          <w:tcPr>
            <w:tcW w:w="1065" w:type="dxa"/>
            <w:vAlign w:val="center"/>
          </w:tcPr>
          <w:p>
            <w:pPr>
              <w:snapToGrid w:val="0"/>
              <w:spacing w:line="400" w:lineRule="exact"/>
              <w:jc w:val="center"/>
              <w:rPr>
                <w:rFonts w:ascii="宋体" w:hAnsi="宋体" w:cs="宋体"/>
                <w:color w:val="auto"/>
                <w:sz w:val="24"/>
                <w:szCs w:val="24"/>
                <w:highlight w:val="none"/>
              </w:rPr>
            </w:pPr>
          </w:p>
        </w:tc>
        <w:tc>
          <w:tcPr>
            <w:tcW w:w="641" w:type="dxa"/>
            <w:vAlign w:val="center"/>
          </w:tcPr>
          <w:p>
            <w:pPr>
              <w:snapToGrid w:val="0"/>
              <w:spacing w:line="400" w:lineRule="exact"/>
              <w:jc w:val="center"/>
              <w:rPr>
                <w:rFonts w:ascii="宋体" w:hAnsi="宋体" w:cs="宋体"/>
                <w:color w:val="auto"/>
                <w:sz w:val="24"/>
                <w:szCs w:val="24"/>
                <w:highlight w:val="none"/>
              </w:rPr>
            </w:pPr>
          </w:p>
        </w:tc>
        <w:tc>
          <w:tcPr>
            <w:tcW w:w="1282" w:type="dxa"/>
            <w:vAlign w:val="center"/>
          </w:tcPr>
          <w:p>
            <w:pPr>
              <w:snapToGrid w:val="0"/>
              <w:spacing w:line="400" w:lineRule="exact"/>
              <w:jc w:val="center"/>
              <w:rPr>
                <w:rFonts w:ascii="宋体" w:hAnsi="宋体" w:cs="宋体"/>
                <w:color w:val="auto"/>
                <w:sz w:val="24"/>
                <w:szCs w:val="24"/>
                <w:highlight w:val="none"/>
              </w:rPr>
            </w:pPr>
          </w:p>
        </w:tc>
        <w:tc>
          <w:tcPr>
            <w:tcW w:w="898" w:type="dxa"/>
            <w:vAlign w:val="center"/>
          </w:tcPr>
          <w:p>
            <w:pPr>
              <w:snapToGrid w:val="0"/>
              <w:spacing w:line="400" w:lineRule="exact"/>
              <w:jc w:val="center"/>
              <w:rPr>
                <w:rFonts w:ascii="宋体" w:hAnsi="宋体" w:cs="宋体"/>
                <w:color w:val="auto"/>
                <w:sz w:val="24"/>
                <w:szCs w:val="24"/>
                <w:highlight w:val="none"/>
              </w:rPr>
            </w:pPr>
          </w:p>
        </w:tc>
        <w:tc>
          <w:tcPr>
            <w:tcW w:w="1153" w:type="dxa"/>
            <w:vAlign w:val="center"/>
          </w:tcPr>
          <w:p>
            <w:pPr>
              <w:snapToGrid w:val="0"/>
              <w:spacing w:line="400" w:lineRule="exact"/>
              <w:jc w:val="left"/>
              <w:rPr>
                <w:rFonts w:ascii="宋体" w:hAnsi="宋体" w:cs="宋体"/>
                <w:color w:val="auto"/>
                <w:sz w:val="24"/>
                <w:szCs w:val="24"/>
                <w:highlight w:val="none"/>
              </w:rPr>
            </w:pPr>
          </w:p>
        </w:tc>
        <w:tc>
          <w:tcPr>
            <w:tcW w:w="1154" w:type="dxa"/>
            <w:vAlign w:val="center"/>
          </w:tcPr>
          <w:p>
            <w:pPr>
              <w:snapToGrid w:val="0"/>
              <w:spacing w:line="400" w:lineRule="exact"/>
              <w:jc w:val="center"/>
              <w:rPr>
                <w:rFonts w:ascii="宋体" w:hAnsi="宋体" w:cs="宋体"/>
                <w:color w:val="auto"/>
                <w:sz w:val="24"/>
                <w:szCs w:val="24"/>
                <w:highlight w:val="none"/>
              </w:rPr>
            </w:pPr>
          </w:p>
        </w:tc>
        <w:tc>
          <w:tcPr>
            <w:tcW w:w="897" w:type="dxa"/>
            <w:vAlign w:val="center"/>
          </w:tcPr>
          <w:p>
            <w:pPr>
              <w:snapToGrid w:val="0"/>
              <w:spacing w:line="400" w:lineRule="exact"/>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476" w:type="dxa"/>
            <w:vAlign w:val="center"/>
          </w:tcPr>
          <w:p>
            <w:pPr>
              <w:snapToGrid w:val="0"/>
              <w:spacing w:line="400" w:lineRule="exact"/>
              <w:jc w:val="center"/>
              <w:rPr>
                <w:rFonts w:ascii="宋体" w:hAnsi="宋体" w:cs="宋体"/>
                <w:color w:val="auto"/>
                <w:sz w:val="24"/>
                <w:szCs w:val="24"/>
                <w:highlight w:val="none"/>
              </w:rPr>
            </w:pPr>
          </w:p>
        </w:tc>
        <w:tc>
          <w:tcPr>
            <w:tcW w:w="1250" w:type="dxa"/>
            <w:vAlign w:val="center"/>
          </w:tcPr>
          <w:p>
            <w:pPr>
              <w:snapToGrid w:val="0"/>
              <w:spacing w:line="400" w:lineRule="exact"/>
              <w:jc w:val="center"/>
              <w:rPr>
                <w:rFonts w:ascii="宋体" w:hAnsi="宋体" w:cs="宋体"/>
                <w:color w:val="auto"/>
                <w:sz w:val="24"/>
                <w:szCs w:val="24"/>
                <w:highlight w:val="none"/>
              </w:rPr>
            </w:pPr>
          </w:p>
        </w:tc>
        <w:tc>
          <w:tcPr>
            <w:tcW w:w="1065" w:type="dxa"/>
            <w:vAlign w:val="center"/>
          </w:tcPr>
          <w:p>
            <w:pPr>
              <w:snapToGrid w:val="0"/>
              <w:spacing w:line="400" w:lineRule="exact"/>
              <w:jc w:val="center"/>
              <w:rPr>
                <w:rFonts w:ascii="宋体" w:hAnsi="宋体" w:cs="宋体"/>
                <w:color w:val="auto"/>
                <w:sz w:val="24"/>
                <w:szCs w:val="24"/>
                <w:highlight w:val="none"/>
              </w:rPr>
            </w:pPr>
          </w:p>
        </w:tc>
        <w:tc>
          <w:tcPr>
            <w:tcW w:w="641" w:type="dxa"/>
            <w:vAlign w:val="center"/>
          </w:tcPr>
          <w:p>
            <w:pPr>
              <w:snapToGrid w:val="0"/>
              <w:spacing w:line="400" w:lineRule="exact"/>
              <w:jc w:val="center"/>
              <w:rPr>
                <w:rFonts w:ascii="宋体" w:hAnsi="宋体" w:cs="宋体"/>
                <w:color w:val="auto"/>
                <w:sz w:val="24"/>
                <w:szCs w:val="24"/>
                <w:highlight w:val="none"/>
              </w:rPr>
            </w:pPr>
          </w:p>
        </w:tc>
        <w:tc>
          <w:tcPr>
            <w:tcW w:w="1282" w:type="dxa"/>
            <w:vAlign w:val="center"/>
          </w:tcPr>
          <w:p>
            <w:pPr>
              <w:snapToGrid w:val="0"/>
              <w:spacing w:line="400" w:lineRule="exact"/>
              <w:jc w:val="center"/>
              <w:rPr>
                <w:rFonts w:ascii="宋体" w:hAnsi="宋体" w:cs="宋体"/>
                <w:color w:val="auto"/>
                <w:sz w:val="24"/>
                <w:szCs w:val="24"/>
                <w:highlight w:val="none"/>
              </w:rPr>
            </w:pPr>
          </w:p>
        </w:tc>
        <w:tc>
          <w:tcPr>
            <w:tcW w:w="898" w:type="dxa"/>
            <w:vAlign w:val="center"/>
          </w:tcPr>
          <w:p>
            <w:pPr>
              <w:snapToGrid w:val="0"/>
              <w:spacing w:line="400" w:lineRule="exact"/>
              <w:jc w:val="center"/>
              <w:rPr>
                <w:rFonts w:ascii="宋体" w:hAnsi="宋体" w:cs="宋体"/>
                <w:color w:val="auto"/>
                <w:sz w:val="24"/>
                <w:szCs w:val="24"/>
                <w:highlight w:val="none"/>
              </w:rPr>
            </w:pPr>
          </w:p>
        </w:tc>
        <w:tc>
          <w:tcPr>
            <w:tcW w:w="1153" w:type="dxa"/>
            <w:vAlign w:val="center"/>
          </w:tcPr>
          <w:p>
            <w:pPr>
              <w:snapToGrid w:val="0"/>
              <w:spacing w:line="400" w:lineRule="exact"/>
              <w:jc w:val="left"/>
              <w:rPr>
                <w:rFonts w:ascii="宋体" w:hAnsi="宋体" w:cs="宋体"/>
                <w:color w:val="auto"/>
                <w:sz w:val="24"/>
                <w:szCs w:val="24"/>
                <w:highlight w:val="none"/>
              </w:rPr>
            </w:pPr>
          </w:p>
        </w:tc>
        <w:tc>
          <w:tcPr>
            <w:tcW w:w="1154" w:type="dxa"/>
            <w:vAlign w:val="center"/>
          </w:tcPr>
          <w:p>
            <w:pPr>
              <w:snapToGrid w:val="0"/>
              <w:spacing w:line="400" w:lineRule="exact"/>
              <w:jc w:val="center"/>
              <w:rPr>
                <w:rFonts w:ascii="宋体" w:hAnsi="宋体" w:cs="宋体"/>
                <w:color w:val="auto"/>
                <w:sz w:val="24"/>
                <w:szCs w:val="24"/>
                <w:highlight w:val="none"/>
              </w:rPr>
            </w:pPr>
          </w:p>
        </w:tc>
        <w:tc>
          <w:tcPr>
            <w:tcW w:w="897" w:type="dxa"/>
            <w:vAlign w:val="center"/>
          </w:tcPr>
          <w:p>
            <w:pPr>
              <w:snapToGrid w:val="0"/>
              <w:spacing w:line="400" w:lineRule="exact"/>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726" w:type="dxa"/>
            <w:gridSpan w:val="2"/>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投标总价（元）</w:t>
            </w:r>
          </w:p>
        </w:tc>
        <w:tc>
          <w:tcPr>
            <w:tcW w:w="7090" w:type="dxa"/>
            <w:gridSpan w:val="7"/>
            <w:vAlign w:val="center"/>
          </w:tcPr>
          <w:p>
            <w:pPr>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合计金额大写：  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726" w:type="dxa"/>
            <w:gridSpan w:val="2"/>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交货时间</w:t>
            </w:r>
          </w:p>
        </w:tc>
        <w:tc>
          <w:tcPr>
            <w:tcW w:w="7090" w:type="dxa"/>
            <w:gridSpan w:val="7"/>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（可填写是\否满足招标文件要求）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1726" w:type="dxa"/>
            <w:gridSpan w:val="2"/>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质保期</w:t>
            </w:r>
          </w:p>
        </w:tc>
        <w:tc>
          <w:tcPr>
            <w:tcW w:w="7090" w:type="dxa"/>
            <w:gridSpan w:val="7"/>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（可填写是\否满足招标文件要求）</w:t>
            </w:r>
          </w:p>
        </w:tc>
      </w:tr>
    </w:tbl>
    <w:p>
      <w:pPr>
        <w:adjustRightInd w:val="0"/>
        <w:snapToGrid w:val="0"/>
        <w:spacing w:line="400" w:lineRule="exact"/>
        <w:rPr>
          <w:rFonts w:ascii="宋体" w:hAnsi="宋体" w:cs="宋体"/>
          <w:color w:val="auto"/>
          <w:sz w:val="24"/>
          <w:szCs w:val="24"/>
          <w:highlight w:val="none"/>
        </w:rPr>
      </w:pPr>
    </w:p>
    <w:p>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注: 投标报价包括项目实施所需的货款、人工费、服务费、运输费、安装调试费、税金及其他一切费用。</w:t>
      </w:r>
    </w:p>
    <w:p>
      <w:pPr>
        <w:pStyle w:val="4"/>
        <w:rPr>
          <w:rFonts w:ascii="宋体" w:hAnsi="宋体"/>
          <w:color w:val="auto"/>
          <w:highlight w:val="none"/>
        </w:rPr>
      </w:pPr>
    </w:p>
    <w:p>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投标人名称（盖章）：</w:t>
      </w:r>
    </w:p>
    <w:p>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法定代表人或授权代表（签字）：</w:t>
      </w:r>
    </w:p>
    <w:p>
      <w:pPr>
        <w:adjustRightInd w:val="0"/>
        <w:snapToGrid w:val="0"/>
        <w:spacing w:line="400" w:lineRule="exact"/>
        <w:ind w:left="-2" w:leftChars="-1"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日期：    年   月   日</w:t>
      </w:r>
    </w:p>
    <w:p>
      <w:pPr>
        <w:adjustRightInd w:val="0"/>
        <w:snapToGrid w:val="0"/>
        <w:spacing w:line="400" w:lineRule="exact"/>
        <w:rPr>
          <w:rFonts w:ascii="宋体" w:hAnsi="宋体"/>
          <w:color w:val="auto"/>
          <w:highlight w:val="none"/>
        </w:rPr>
      </w:pPr>
      <w:r>
        <w:rPr>
          <w:rFonts w:hint="eastAsia" w:ascii="宋体" w:hAnsi="宋体" w:cs="宋体"/>
          <w:b/>
          <w:color w:val="auto"/>
          <w:sz w:val="24"/>
          <w:szCs w:val="24"/>
          <w:highlight w:val="none"/>
        </w:rPr>
        <w:br w:type="page"/>
      </w:r>
    </w:p>
    <w:p>
      <w:pPr>
        <w:adjustRightInd w:val="0"/>
        <w:snapToGrid w:val="0"/>
        <w:spacing w:line="400" w:lineRule="exact"/>
        <w:rPr>
          <w:rFonts w:ascii="宋体" w:hAnsi="宋体" w:cs="宋体"/>
          <w:color w:val="auto"/>
          <w:sz w:val="24"/>
          <w:szCs w:val="24"/>
          <w:highlight w:val="none"/>
        </w:rPr>
      </w:pPr>
      <w:r>
        <w:rPr>
          <w:rFonts w:hint="eastAsia" w:ascii="宋体" w:hAnsi="宋体" w:cs="宋体"/>
          <w:b/>
          <w:color w:val="auto"/>
          <w:sz w:val="24"/>
          <w:szCs w:val="24"/>
          <w:highlight w:val="none"/>
        </w:rPr>
        <w:t>3、投标报价明细表格式</w:t>
      </w:r>
      <w:r>
        <w:rPr>
          <w:rFonts w:hint="eastAsia" w:ascii="宋体" w:hAnsi="宋体" w:cs="宋体"/>
          <w:color w:val="auto"/>
          <w:sz w:val="24"/>
          <w:szCs w:val="24"/>
          <w:highlight w:val="none"/>
        </w:rPr>
        <w:t xml:space="preserve">：       </w:t>
      </w:r>
    </w:p>
    <w:p>
      <w:pPr>
        <w:adjustRightInd w:val="0"/>
        <w:snapToGrid w:val="0"/>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投标报价明细表</w:t>
      </w: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项目名称：</w:t>
      </w: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标包编号及内容：                               金额单位：人民币（元）</w:t>
      </w:r>
    </w:p>
    <w:tbl>
      <w:tblPr>
        <w:tblStyle w:val="38"/>
        <w:tblW w:w="833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57"/>
        <w:gridCol w:w="1315"/>
        <w:gridCol w:w="986"/>
        <w:gridCol w:w="1315"/>
        <w:gridCol w:w="1479"/>
        <w:gridCol w:w="903"/>
        <w:gridCol w:w="903"/>
        <w:gridCol w:w="78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18" w:hRule="atLeast"/>
          <w:jc w:val="center"/>
        </w:trPr>
        <w:tc>
          <w:tcPr>
            <w:tcW w:w="657"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z w:val="24"/>
                <w:szCs w:val="24"/>
                <w:highlight w:val="none"/>
              </w:rPr>
              <w:t>序号</w:t>
            </w: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z w:val="24"/>
                <w:szCs w:val="24"/>
                <w:highlight w:val="none"/>
              </w:rPr>
              <w:t>报价组成</w:t>
            </w:r>
          </w:p>
        </w:tc>
        <w:tc>
          <w:tcPr>
            <w:tcW w:w="986"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kern w:val="0"/>
                <w:sz w:val="24"/>
                <w:szCs w:val="24"/>
                <w:highlight w:val="none"/>
              </w:rPr>
            </w:pPr>
            <w:r>
              <w:rPr>
                <w:rFonts w:hint="eastAsia" w:ascii="宋体" w:hAnsi="宋体" w:cs="宋体"/>
                <w:color w:val="auto"/>
                <w:spacing w:val="-20"/>
                <w:kern w:val="0"/>
                <w:sz w:val="24"/>
                <w:szCs w:val="24"/>
                <w:highlight w:val="none"/>
              </w:rPr>
              <w:t>品牌</w:t>
            </w: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z w:val="24"/>
                <w:szCs w:val="24"/>
                <w:highlight w:val="none"/>
              </w:rPr>
              <w:t>规格型号</w:t>
            </w:r>
          </w:p>
        </w:tc>
        <w:tc>
          <w:tcPr>
            <w:tcW w:w="1479"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z w:val="24"/>
                <w:szCs w:val="24"/>
                <w:highlight w:val="none"/>
              </w:rPr>
              <w:t>单位及数量</w:t>
            </w: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z w:val="24"/>
                <w:szCs w:val="24"/>
                <w:highlight w:val="none"/>
              </w:rPr>
              <w:t>单价</w:t>
            </w: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z w:val="24"/>
                <w:szCs w:val="24"/>
                <w:highlight w:val="none"/>
              </w:rPr>
              <w:t>金额</w:t>
            </w:r>
          </w:p>
        </w:tc>
        <w:tc>
          <w:tcPr>
            <w:tcW w:w="780"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备注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1" w:hRule="atLeast"/>
          <w:jc w:val="center"/>
        </w:trPr>
        <w:tc>
          <w:tcPr>
            <w:tcW w:w="657"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86"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479"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780"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1" w:hRule="atLeast"/>
          <w:jc w:val="center"/>
        </w:trPr>
        <w:tc>
          <w:tcPr>
            <w:tcW w:w="657"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86"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479"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780"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1" w:hRule="atLeast"/>
          <w:jc w:val="center"/>
        </w:trPr>
        <w:tc>
          <w:tcPr>
            <w:tcW w:w="657"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86"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479"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780"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1" w:hRule="atLeast"/>
          <w:jc w:val="center"/>
        </w:trPr>
        <w:tc>
          <w:tcPr>
            <w:tcW w:w="657"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w:t>
            </w:r>
          </w:p>
        </w:tc>
        <w:tc>
          <w:tcPr>
            <w:tcW w:w="986"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479"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780"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1" w:hRule="atLeast"/>
          <w:jc w:val="center"/>
        </w:trPr>
        <w:tc>
          <w:tcPr>
            <w:tcW w:w="8338" w:type="dxa"/>
            <w:gridSpan w:val="8"/>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合计金额：（人民币大写）</w:t>
            </w:r>
          </w:p>
        </w:tc>
      </w:tr>
    </w:tbl>
    <w:p>
      <w:pPr>
        <w:tabs>
          <w:tab w:val="left" w:pos="1418"/>
        </w:tabs>
        <w:snapToGrid w:val="0"/>
        <w:spacing w:line="400" w:lineRule="exact"/>
        <w:rPr>
          <w:rFonts w:ascii="宋体" w:hAnsi="宋体" w:cs="宋体"/>
          <w:color w:val="auto"/>
          <w:spacing w:val="20"/>
          <w:sz w:val="24"/>
          <w:szCs w:val="24"/>
          <w:highlight w:val="none"/>
        </w:rPr>
      </w:pPr>
      <w:r>
        <w:rPr>
          <w:rFonts w:hint="eastAsia" w:ascii="宋体" w:hAnsi="宋体" w:cs="宋体"/>
          <w:color w:val="auto"/>
          <w:sz w:val="24"/>
          <w:szCs w:val="24"/>
          <w:highlight w:val="none"/>
        </w:rPr>
        <w:t>说明：1、若获得中标资格并与采购人签署供货合同，由于报价遗漏而造成在供货、安装、调试、培训等工作中出现费用的增加，均由中标供应商自行承担，采购人将不再支付任何额外费用</w:t>
      </w:r>
      <w:r>
        <w:rPr>
          <w:rFonts w:hint="eastAsia" w:ascii="宋体" w:hAnsi="宋体" w:cs="宋体"/>
          <w:color w:val="auto"/>
          <w:spacing w:val="20"/>
          <w:sz w:val="24"/>
          <w:szCs w:val="24"/>
          <w:highlight w:val="none"/>
        </w:rPr>
        <w:t>。</w:t>
      </w:r>
    </w:p>
    <w:p>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投标人名称（盖章）：</w:t>
      </w:r>
    </w:p>
    <w:p>
      <w:pPr>
        <w:adjustRightInd w:val="0"/>
        <w:snapToGrid w:val="0"/>
        <w:spacing w:line="400" w:lineRule="exact"/>
        <w:ind w:left="-3" w:leftChars="-72" w:right="-817" w:rightChars="-389" w:hanging="148" w:hangingChars="62"/>
        <w:rPr>
          <w:rFonts w:ascii="宋体" w:hAnsi="宋体" w:cs="宋体"/>
          <w:color w:val="auto"/>
          <w:sz w:val="24"/>
          <w:szCs w:val="24"/>
          <w:highlight w:val="none"/>
        </w:rPr>
      </w:pPr>
    </w:p>
    <w:p>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法定代表人或授权代表（签字）：</w:t>
      </w:r>
    </w:p>
    <w:p>
      <w:pPr>
        <w:adjustRightInd w:val="0"/>
        <w:snapToGrid w:val="0"/>
        <w:spacing w:line="400" w:lineRule="exact"/>
        <w:rPr>
          <w:rFonts w:ascii="宋体" w:hAnsi="宋体" w:cs="宋体"/>
          <w:color w:val="auto"/>
          <w:spacing w:val="20"/>
          <w:sz w:val="24"/>
          <w:szCs w:val="24"/>
          <w:highlight w:val="none"/>
        </w:rPr>
      </w:pPr>
    </w:p>
    <w:p>
      <w:pPr>
        <w:adjustRightInd w:val="0"/>
        <w:snapToGrid w:val="0"/>
        <w:spacing w:line="400" w:lineRule="exact"/>
        <w:ind w:left="-2" w:leftChars="-1" w:right="-817" w:rightChars="-389" w:firstLine="2"/>
        <w:jc w:val="left"/>
        <w:rPr>
          <w:rFonts w:ascii="宋体" w:hAnsi="宋体" w:cs="宋体"/>
          <w:color w:val="auto"/>
          <w:sz w:val="24"/>
          <w:szCs w:val="24"/>
          <w:highlight w:val="none"/>
        </w:rPr>
      </w:pPr>
      <w:r>
        <w:rPr>
          <w:rFonts w:hint="eastAsia" w:ascii="宋体" w:hAnsi="宋体" w:cs="宋体"/>
          <w:color w:val="auto"/>
          <w:sz w:val="24"/>
          <w:szCs w:val="24"/>
          <w:highlight w:val="none"/>
        </w:rPr>
        <w:t>日期：    年   月   日</w:t>
      </w:r>
    </w:p>
    <w:p>
      <w:pPr>
        <w:adjustRightInd w:val="0"/>
        <w:snapToGrid w:val="0"/>
        <w:spacing w:line="400" w:lineRule="exact"/>
        <w:rPr>
          <w:rFonts w:ascii="宋体" w:hAnsi="宋体" w:cs="宋体"/>
          <w:color w:val="auto"/>
          <w:sz w:val="24"/>
          <w:szCs w:val="24"/>
          <w:highlight w:val="none"/>
        </w:rPr>
      </w:pPr>
    </w:p>
    <w:p>
      <w:pPr>
        <w:adjustRightInd w:val="0"/>
        <w:snapToGrid w:val="0"/>
        <w:spacing w:line="400" w:lineRule="exact"/>
        <w:rPr>
          <w:rFonts w:ascii="宋体" w:hAnsi="宋体" w:cs="宋体"/>
          <w:color w:val="auto"/>
          <w:spacing w:val="20"/>
          <w:sz w:val="24"/>
          <w:szCs w:val="24"/>
          <w:highlight w:val="none"/>
          <w:u w:val="single"/>
        </w:rPr>
      </w:pPr>
    </w:p>
    <w:p>
      <w:pPr>
        <w:adjustRightInd w:val="0"/>
        <w:snapToGrid w:val="0"/>
        <w:spacing w:line="400" w:lineRule="exact"/>
        <w:rPr>
          <w:rFonts w:ascii="宋体" w:hAnsi="宋体" w:cs="宋体"/>
          <w:color w:val="auto"/>
          <w:spacing w:val="20"/>
          <w:sz w:val="24"/>
          <w:szCs w:val="24"/>
          <w:highlight w:val="none"/>
          <w:u w:val="single"/>
        </w:rPr>
      </w:pPr>
    </w:p>
    <w:p>
      <w:pPr>
        <w:adjustRightInd w:val="0"/>
        <w:snapToGrid w:val="0"/>
        <w:spacing w:before="50" w:after="50" w:line="400" w:lineRule="exact"/>
        <w:rPr>
          <w:rFonts w:ascii="宋体" w:hAnsi="宋体" w:cs="宋体"/>
          <w:b/>
          <w:color w:val="auto"/>
          <w:sz w:val="24"/>
          <w:szCs w:val="24"/>
          <w:highlight w:val="none"/>
        </w:rPr>
      </w:pPr>
      <w:r>
        <w:rPr>
          <w:rFonts w:hint="eastAsia" w:ascii="宋体" w:hAnsi="宋体" w:cs="宋体"/>
          <w:b/>
          <w:color w:val="auto"/>
          <w:sz w:val="24"/>
          <w:szCs w:val="24"/>
          <w:highlight w:val="none"/>
        </w:rPr>
        <w:t>4、投标保证金缴纳凭证复印件</w:t>
      </w:r>
    </w:p>
    <w:p>
      <w:pPr>
        <w:adjustRightInd w:val="0"/>
        <w:snapToGrid w:val="0"/>
        <w:spacing w:before="50" w:after="50" w:line="400" w:lineRule="exact"/>
        <w:rPr>
          <w:rFonts w:ascii="宋体" w:hAnsi="宋体" w:cs="宋体"/>
          <w:b/>
          <w:color w:val="auto"/>
          <w:sz w:val="24"/>
          <w:szCs w:val="24"/>
          <w:highlight w:val="none"/>
        </w:rPr>
      </w:pPr>
    </w:p>
    <w:p>
      <w:pPr>
        <w:adjustRightInd w:val="0"/>
        <w:snapToGrid w:val="0"/>
        <w:spacing w:before="50" w:after="50" w:line="400" w:lineRule="exact"/>
        <w:rPr>
          <w:rFonts w:ascii="宋体" w:hAnsi="宋体" w:cs="宋体"/>
          <w:b/>
          <w:color w:val="auto"/>
          <w:sz w:val="24"/>
          <w:szCs w:val="24"/>
          <w:highlight w:val="none"/>
        </w:rPr>
      </w:pPr>
      <w:r>
        <w:rPr>
          <w:rFonts w:hint="eastAsia" w:ascii="宋体" w:hAnsi="宋体" w:cs="宋体"/>
          <w:b/>
          <w:color w:val="auto"/>
          <w:sz w:val="24"/>
          <w:szCs w:val="24"/>
          <w:highlight w:val="none"/>
        </w:rPr>
        <w:t>5、投标人针对报价需要说明的其他文件和资料（如有）</w:t>
      </w:r>
    </w:p>
    <w:p>
      <w:pPr>
        <w:adjustRightInd w:val="0"/>
        <w:snapToGrid w:val="0"/>
        <w:spacing w:line="400" w:lineRule="exact"/>
        <w:rPr>
          <w:rFonts w:ascii="宋体" w:hAnsi="宋体" w:cs="宋体"/>
          <w:b/>
          <w:color w:val="auto"/>
          <w:sz w:val="24"/>
          <w:szCs w:val="24"/>
          <w:highlight w:val="none"/>
        </w:rPr>
      </w:pPr>
      <w:r>
        <w:rPr>
          <w:rFonts w:hint="eastAsia" w:ascii="宋体" w:hAnsi="宋体" w:cs="宋体"/>
          <w:b/>
          <w:color w:val="auto"/>
          <w:sz w:val="28"/>
          <w:szCs w:val="28"/>
          <w:highlight w:val="none"/>
        </w:rPr>
        <w:br w:type="page"/>
      </w:r>
      <w:r>
        <w:rPr>
          <w:rFonts w:hint="eastAsia" w:ascii="宋体" w:hAnsi="宋体" w:cs="宋体"/>
          <w:b/>
          <w:color w:val="auto"/>
          <w:sz w:val="24"/>
          <w:szCs w:val="24"/>
          <w:highlight w:val="none"/>
        </w:rPr>
        <w:t>投标文件封面</w:t>
      </w:r>
    </w:p>
    <w:p>
      <w:pPr>
        <w:spacing w:line="360" w:lineRule="auto"/>
        <w:rPr>
          <w:rFonts w:ascii="宋体" w:hAnsi="宋体" w:cs="宋体"/>
          <w:color w:val="auto"/>
          <w:sz w:val="40"/>
          <w:szCs w:val="20"/>
          <w:highlight w:val="none"/>
        </w:rPr>
      </w:pPr>
      <w:r>
        <w:rPr>
          <w:rFonts w:hint="eastAsia" w:ascii="宋体" w:hAnsi="宋体" w:cs="宋体"/>
          <w:color w:val="auto"/>
          <w:sz w:val="40"/>
          <w:szCs w:val="20"/>
          <w:highlight w:val="none"/>
        </w:rPr>
        <w:t>正（副）本</w:t>
      </w:r>
    </w:p>
    <w:p>
      <w:pPr>
        <w:spacing w:line="360" w:lineRule="auto"/>
        <w:jc w:val="center"/>
        <w:rPr>
          <w:rFonts w:ascii="宋体" w:hAnsi="宋体" w:cs="宋体"/>
          <w:color w:val="auto"/>
          <w:sz w:val="56"/>
          <w:szCs w:val="20"/>
          <w:highlight w:val="none"/>
        </w:rPr>
      </w:pPr>
    </w:p>
    <w:p>
      <w:pPr>
        <w:spacing w:line="360" w:lineRule="auto"/>
        <w:jc w:val="center"/>
        <w:rPr>
          <w:rFonts w:ascii="宋体" w:hAnsi="宋体" w:cs="宋体"/>
          <w:color w:val="auto"/>
          <w:sz w:val="56"/>
          <w:szCs w:val="20"/>
          <w:highlight w:val="none"/>
        </w:rPr>
      </w:pPr>
      <w:r>
        <w:rPr>
          <w:rFonts w:hint="eastAsia" w:ascii="宋体" w:hAnsi="宋体" w:cs="宋体"/>
          <w:color w:val="auto"/>
          <w:sz w:val="56"/>
          <w:szCs w:val="20"/>
          <w:highlight w:val="none"/>
        </w:rPr>
        <w:t>(项目名称)项目</w:t>
      </w:r>
    </w:p>
    <w:p>
      <w:pPr>
        <w:spacing w:line="360" w:lineRule="auto"/>
        <w:jc w:val="center"/>
        <w:rPr>
          <w:rFonts w:ascii="宋体" w:hAnsi="宋体" w:cs="宋体"/>
          <w:color w:val="auto"/>
          <w:sz w:val="28"/>
          <w:szCs w:val="20"/>
          <w:highlight w:val="none"/>
        </w:rPr>
      </w:pPr>
    </w:p>
    <w:p>
      <w:pPr>
        <w:spacing w:line="360" w:lineRule="auto"/>
        <w:jc w:val="center"/>
        <w:rPr>
          <w:rFonts w:ascii="宋体" w:hAnsi="宋体" w:cs="宋体"/>
          <w:color w:val="auto"/>
          <w:sz w:val="28"/>
          <w:szCs w:val="20"/>
          <w:highlight w:val="none"/>
        </w:rPr>
      </w:pPr>
      <w:r>
        <w:rPr>
          <w:rFonts w:hint="eastAsia" w:ascii="宋体" w:hAnsi="宋体" w:cs="宋体"/>
          <w:color w:val="auto"/>
          <w:sz w:val="28"/>
          <w:szCs w:val="20"/>
          <w:highlight w:val="none"/>
        </w:rPr>
        <w:t>标包编号：</w:t>
      </w:r>
    </w:p>
    <w:p>
      <w:pPr>
        <w:spacing w:line="360" w:lineRule="auto"/>
        <w:jc w:val="center"/>
        <w:rPr>
          <w:rFonts w:ascii="宋体" w:hAnsi="宋体" w:cs="宋体"/>
          <w:color w:val="auto"/>
          <w:sz w:val="28"/>
          <w:szCs w:val="20"/>
          <w:highlight w:val="none"/>
        </w:rPr>
      </w:pPr>
    </w:p>
    <w:p>
      <w:pPr>
        <w:spacing w:line="360" w:lineRule="auto"/>
        <w:jc w:val="center"/>
        <w:rPr>
          <w:rFonts w:ascii="宋体" w:hAnsi="宋体" w:cs="宋体"/>
          <w:color w:val="auto"/>
          <w:sz w:val="56"/>
          <w:szCs w:val="20"/>
          <w:highlight w:val="none"/>
        </w:rPr>
      </w:pPr>
      <w:r>
        <w:rPr>
          <w:rFonts w:hint="eastAsia" w:ascii="宋体" w:hAnsi="宋体" w:cs="宋体"/>
          <w:color w:val="auto"/>
          <w:sz w:val="56"/>
          <w:szCs w:val="20"/>
          <w:highlight w:val="none"/>
        </w:rPr>
        <w:t>商务技术文件</w:t>
      </w:r>
    </w:p>
    <w:p>
      <w:pPr>
        <w:spacing w:line="360" w:lineRule="auto"/>
        <w:jc w:val="center"/>
        <w:rPr>
          <w:rFonts w:ascii="宋体" w:hAnsi="宋体" w:cs="宋体"/>
          <w:color w:val="auto"/>
          <w:sz w:val="56"/>
          <w:szCs w:val="20"/>
          <w:highlight w:val="none"/>
        </w:rPr>
      </w:pPr>
    </w:p>
    <w:p>
      <w:pPr>
        <w:spacing w:line="360" w:lineRule="auto"/>
        <w:jc w:val="center"/>
        <w:rPr>
          <w:rFonts w:ascii="宋体" w:hAnsi="宋体" w:cs="宋体"/>
          <w:color w:val="auto"/>
          <w:sz w:val="56"/>
          <w:szCs w:val="20"/>
          <w:highlight w:val="none"/>
        </w:rPr>
      </w:pPr>
    </w:p>
    <w:p>
      <w:pPr>
        <w:spacing w:line="360" w:lineRule="auto"/>
        <w:jc w:val="center"/>
        <w:rPr>
          <w:rFonts w:ascii="宋体" w:hAnsi="宋体" w:cs="宋体"/>
          <w:color w:val="auto"/>
          <w:sz w:val="56"/>
          <w:szCs w:val="20"/>
          <w:highlight w:val="none"/>
        </w:rPr>
      </w:pPr>
    </w:p>
    <w:p>
      <w:pPr>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投标单位名称：（加盖单位公章）</w:t>
      </w:r>
    </w:p>
    <w:p>
      <w:pPr>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投标单位地址：</w:t>
      </w:r>
    </w:p>
    <w:p>
      <w:pPr>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投标单位法定代表人（负责人、自然人）或法人授权代表姓名：（签字或盖章）</w:t>
      </w:r>
    </w:p>
    <w:p>
      <w:pPr>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投标单位法定代表人（负责人、自然人）或法人授权代表职务：</w:t>
      </w:r>
    </w:p>
    <w:p>
      <w:pPr>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投标单位联系方式：</w:t>
      </w:r>
    </w:p>
    <w:p>
      <w:pPr>
        <w:spacing w:line="360" w:lineRule="auto"/>
        <w:rPr>
          <w:rFonts w:ascii="宋体" w:hAnsi="宋体" w:cs="宋体"/>
          <w:color w:val="auto"/>
          <w:sz w:val="20"/>
          <w:szCs w:val="20"/>
          <w:highlight w:val="none"/>
        </w:rPr>
      </w:pPr>
    </w:p>
    <w:p>
      <w:pPr>
        <w:adjustRightInd w:val="0"/>
        <w:snapToGrid w:val="0"/>
        <w:jc w:val="center"/>
        <w:rPr>
          <w:rFonts w:ascii="宋体" w:hAnsi="宋体" w:cs="宋体"/>
          <w:b/>
          <w:color w:val="auto"/>
          <w:sz w:val="24"/>
          <w:szCs w:val="24"/>
          <w:highlight w:val="none"/>
        </w:rPr>
      </w:pPr>
      <w:r>
        <w:rPr>
          <w:rFonts w:hint="eastAsia" w:ascii="宋体" w:hAnsi="宋体" w:cs="宋体"/>
          <w:color w:val="auto"/>
          <w:sz w:val="28"/>
          <w:szCs w:val="28"/>
          <w:highlight w:val="none"/>
        </w:rPr>
        <w:t>年  月  日</w:t>
      </w:r>
    </w:p>
    <w:p>
      <w:pPr>
        <w:jc w:val="center"/>
        <w:rPr>
          <w:rFonts w:ascii="宋体" w:hAnsi="宋体" w:cs="宋体"/>
          <w:b/>
          <w:color w:val="auto"/>
          <w:sz w:val="44"/>
          <w:szCs w:val="44"/>
          <w:highlight w:val="none"/>
        </w:rPr>
      </w:pPr>
      <w:r>
        <w:rPr>
          <w:rFonts w:hint="eastAsia" w:ascii="宋体" w:hAnsi="宋体" w:cs="宋体"/>
          <w:b/>
          <w:color w:val="auto"/>
          <w:sz w:val="28"/>
          <w:szCs w:val="28"/>
          <w:highlight w:val="none"/>
        </w:rPr>
        <w:br w:type="page"/>
      </w:r>
      <w:r>
        <w:rPr>
          <w:rFonts w:hint="eastAsia" w:ascii="宋体" w:hAnsi="宋体" w:cs="宋体"/>
          <w:b/>
          <w:color w:val="auto"/>
          <w:sz w:val="44"/>
          <w:szCs w:val="44"/>
          <w:highlight w:val="none"/>
        </w:rPr>
        <w:t xml:space="preserve">目 </w:t>
      </w:r>
      <w:r>
        <w:rPr>
          <w:rFonts w:hint="eastAsia" w:ascii="宋体" w:hAnsi="宋体" w:cs="宋体"/>
          <w:b/>
          <w:color w:val="auto"/>
          <w:sz w:val="44"/>
          <w:szCs w:val="44"/>
          <w:highlight w:val="none"/>
        </w:rPr>
        <w:tab/>
      </w:r>
      <w:r>
        <w:rPr>
          <w:rFonts w:hint="eastAsia" w:ascii="宋体" w:hAnsi="宋体" w:cs="宋体"/>
          <w:b/>
          <w:color w:val="auto"/>
          <w:sz w:val="44"/>
          <w:szCs w:val="44"/>
          <w:highlight w:val="none"/>
        </w:rPr>
        <w:t>录</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一、商务部分  </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1.投标声明书 </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2.法定代表人（负责人、自然人）授权书</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szCs w:val="24"/>
          <w:highlight w:val="none"/>
        </w:rPr>
        <w:t xml:space="preserve">3.企业法人营业执照（或登记证书、身份证） </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szCs w:val="24"/>
          <w:highlight w:val="none"/>
        </w:rPr>
        <w:t xml:space="preserve">4.投标人情况介绍 </w:t>
      </w:r>
      <w:r>
        <w:rPr>
          <w:rFonts w:hint="eastAsia" w:ascii="宋体" w:hAnsi="宋体" w:cs="宋体"/>
          <w:color w:val="auto"/>
          <w:sz w:val="24"/>
          <w:highlight w:val="none"/>
        </w:rPr>
        <w:t>……………………………………………………</w:t>
      </w:r>
      <w:r>
        <w:rPr>
          <w:rFonts w:hint="eastAsia" w:ascii="宋体" w:hAnsi="宋体" w:cs="宋体"/>
          <w:color w:val="auto"/>
          <w:sz w:val="24"/>
          <w:szCs w:val="24"/>
          <w:highlight w:val="none"/>
        </w:rPr>
        <w:t xml:space="preserve"> </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5.近年财务状况 </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szCs w:val="24"/>
          <w:highlight w:val="none"/>
        </w:rPr>
        <w:t xml:space="preserve">6.投标人须具有履行合同所必需的设备和专业技术能力证明资料 </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7.</w:t>
      </w:r>
      <w:r>
        <w:rPr>
          <w:rFonts w:hint="eastAsia" w:ascii="宋体" w:hAnsi="宋体" w:cs="宋体"/>
          <w:color w:val="auto"/>
          <w:sz w:val="24"/>
          <w:szCs w:val="24"/>
          <w:highlight w:val="none"/>
        </w:rPr>
        <w:t>纳税证明社保证明</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8.前三年内在经营活动中没有重大违法记录的书面声明 </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9.信用记录 </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10.其他认证证书等</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11.类似成功业绩…………………………………………………………（页码）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12.政府采购政策扶持证明材料…………………………………………（页码）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13.其他证明文件或供应商认为应提交的商务文件……………………（页码）</w:t>
      </w:r>
    </w:p>
    <w:p>
      <w:pPr>
        <w:tabs>
          <w:tab w:val="center" w:pos="4912"/>
        </w:tabs>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二、技术部分  </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14.技术响应偏离表</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15.产品详细技术规格书</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16.产品检测报告 </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17.针对本项目的详细组织实施方案 </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18.针对本项目的详细技术培训方案 </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19.针对本项目的售后服务方案 </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20.其他优惠条件（如有）</w:t>
      </w:r>
      <w:r>
        <w:rPr>
          <w:rFonts w:hint="eastAsia" w:ascii="宋体" w:hAnsi="宋体" w:cs="宋体"/>
          <w:color w:val="auto"/>
          <w:sz w:val="24"/>
          <w:highlight w:val="none"/>
        </w:rPr>
        <w:t>………………………………………………（页码）</w:t>
      </w:r>
    </w:p>
    <w:p>
      <w:pPr>
        <w:adjustRightInd w:val="0"/>
        <w:snapToGrid w:val="0"/>
        <w:ind w:firstLine="480" w:firstLineChars="200"/>
        <w:rPr>
          <w:rFonts w:ascii="宋体" w:hAnsi="宋体" w:cs="宋体"/>
          <w:color w:val="auto"/>
          <w:sz w:val="24"/>
          <w:highlight w:val="none"/>
        </w:rPr>
      </w:pPr>
      <w:r>
        <w:rPr>
          <w:rFonts w:hint="eastAsia" w:ascii="宋体" w:hAnsi="宋体" w:cs="宋体"/>
          <w:color w:val="auto"/>
          <w:sz w:val="24"/>
          <w:szCs w:val="24"/>
          <w:highlight w:val="none"/>
        </w:rPr>
        <w:t>21.供应商认为需要提供的其他技术文件或资料（如有）</w:t>
      </w:r>
      <w:r>
        <w:rPr>
          <w:rFonts w:hint="eastAsia" w:ascii="宋体" w:hAnsi="宋体" w:cs="宋体"/>
          <w:color w:val="auto"/>
          <w:sz w:val="24"/>
          <w:highlight w:val="none"/>
        </w:rPr>
        <w:t>……………（页码）</w:t>
      </w:r>
    </w:p>
    <w:p>
      <w:pPr>
        <w:spacing w:line="360" w:lineRule="auto"/>
        <w:ind w:left="719" w:leftChars="228" w:hanging="240" w:hangingChars="100"/>
        <w:rPr>
          <w:rFonts w:ascii="宋体" w:hAnsi="宋体" w:cs="宋体"/>
          <w:color w:val="auto"/>
          <w:sz w:val="24"/>
          <w:szCs w:val="24"/>
          <w:highlight w:val="none"/>
        </w:rPr>
      </w:pPr>
    </w:p>
    <w:p>
      <w:pPr>
        <w:rPr>
          <w:rFonts w:ascii="宋体" w:hAnsi="宋体"/>
          <w:color w:val="auto"/>
          <w:highlight w:val="none"/>
        </w:rPr>
      </w:pPr>
    </w:p>
    <w:p>
      <w:pPr>
        <w:rPr>
          <w:rFonts w:ascii="宋体" w:hAnsi="宋体"/>
          <w:color w:val="auto"/>
          <w:highlight w:val="none"/>
        </w:rPr>
      </w:pPr>
    </w:p>
    <w:p>
      <w:pPr>
        <w:rPr>
          <w:rFonts w:ascii="宋体" w:hAnsi="宋体"/>
          <w:color w:val="auto"/>
          <w:highlight w:val="none"/>
        </w:rPr>
      </w:pPr>
    </w:p>
    <w:p>
      <w:pPr>
        <w:rPr>
          <w:rFonts w:ascii="宋体" w:hAnsi="宋体"/>
          <w:color w:val="auto"/>
          <w:highlight w:val="none"/>
        </w:rPr>
      </w:pPr>
    </w:p>
    <w:p>
      <w:pPr>
        <w:rPr>
          <w:rFonts w:ascii="宋体" w:hAnsi="宋体"/>
          <w:color w:val="auto"/>
          <w:highlight w:val="none"/>
        </w:rPr>
      </w:pPr>
    </w:p>
    <w:p>
      <w:pPr>
        <w:rPr>
          <w:rFonts w:ascii="宋体" w:hAnsi="宋体"/>
          <w:color w:val="auto"/>
          <w:highlight w:val="none"/>
        </w:rPr>
      </w:pPr>
    </w:p>
    <w:p>
      <w:pPr>
        <w:rPr>
          <w:rFonts w:ascii="宋体" w:hAnsi="宋体"/>
          <w:color w:val="auto"/>
          <w:highlight w:val="none"/>
        </w:rPr>
      </w:pPr>
    </w:p>
    <w:p>
      <w:pPr>
        <w:adjustRightInd w:val="0"/>
        <w:snapToGrid w:val="0"/>
        <w:rPr>
          <w:rFonts w:ascii="宋体" w:hAnsi="宋体" w:cs="宋体"/>
          <w:b/>
          <w:color w:val="auto"/>
          <w:sz w:val="28"/>
          <w:szCs w:val="28"/>
          <w:highlight w:val="none"/>
        </w:rPr>
      </w:pPr>
    </w:p>
    <w:tbl>
      <w:tblPr>
        <w:tblStyle w:val="38"/>
        <w:tblW w:w="87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7"/>
        <w:gridCol w:w="2000"/>
        <w:gridCol w:w="2783"/>
        <w:gridCol w:w="25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14" w:type="dxa"/>
            <w:gridSpan w:val="4"/>
          </w:tcPr>
          <w:p>
            <w:pPr>
              <w:adjustRightInd w:val="0"/>
              <w:snapToGrid w:val="0"/>
              <w:jc w:val="center"/>
              <w:rPr>
                <w:rFonts w:ascii="宋体" w:hAnsi="宋体" w:cs="宋体"/>
                <w:b/>
                <w:color w:val="auto"/>
                <w:sz w:val="24"/>
                <w:szCs w:val="24"/>
                <w:highlight w:val="none"/>
              </w:rPr>
            </w:pPr>
            <w:r>
              <w:rPr>
                <w:rFonts w:hint="eastAsia" w:ascii="宋体" w:hAnsi="宋体" w:cs="宋体"/>
                <w:b/>
                <w:color w:val="auto"/>
                <w:sz w:val="24"/>
                <w:szCs w:val="24"/>
                <w:highlight w:val="none"/>
              </w:rPr>
              <w:t>评标索引表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序号</w:t>
            </w:r>
          </w:p>
        </w:tc>
        <w:tc>
          <w:tcPr>
            <w:tcW w:w="2000" w:type="dxa"/>
          </w:tcPr>
          <w:p>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评审因素</w:t>
            </w:r>
          </w:p>
        </w:tc>
        <w:tc>
          <w:tcPr>
            <w:tcW w:w="2783" w:type="dxa"/>
          </w:tcPr>
          <w:p>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索引页码</w:t>
            </w:r>
          </w:p>
        </w:tc>
        <w:tc>
          <w:tcPr>
            <w:tcW w:w="2584" w:type="dxa"/>
          </w:tcPr>
          <w:p>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color w:val="auto"/>
                <w:sz w:val="24"/>
                <w:szCs w:val="24"/>
                <w:highlight w:val="none"/>
              </w:rPr>
            </w:pPr>
          </w:p>
        </w:tc>
        <w:tc>
          <w:tcPr>
            <w:tcW w:w="2000" w:type="dxa"/>
          </w:tcPr>
          <w:p>
            <w:pPr>
              <w:adjustRightInd w:val="0"/>
              <w:snapToGrid w:val="0"/>
              <w:rPr>
                <w:rFonts w:ascii="宋体" w:hAnsi="宋体" w:cs="宋体"/>
                <w:b/>
                <w:color w:val="auto"/>
                <w:sz w:val="24"/>
                <w:szCs w:val="24"/>
                <w:highlight w:val="none"/>
              </w:rPr>
            </w:pPr>
          </w:p>
        </w:tc>
        <w:tc>
          <w:tcPr>
            <w:tcW w:w="2783" w:type="dxa"/>
          </w:tcPr>
          <w:p>
            <w:pPr>
              <w:adjustRightInd w:val="0"/>
              <w:snapToGrid w:val="0"/>
              <w:rPr>
                <w:rFonts w:ascii="宋体" w:hAnsi="宋体" w:cs="宋体"/>
                <w:b/>
                <w:color w:val="auto"/>
                <w:sz w:val="24"/>
                <w:szCs w:val="24"/>
                <w:highlight w:val="none"/>
              </w:rPr>
            </w:pPr>
          </w:p>
        </w:tc>
        <w:tc>
          <w:tcPr>
            <w:tcW w:w="2584" w:type="dxa"/>
          </w:tcPr>
          <w:p>
            <w:pPr>
              <w:adjustRightInd w:val="0"/>
              <w:snapToGrid w:val="0"/>
              <w:rPr>
                <w:rFonts w:ascii="宋体" w:hAnsi="宋体" w:cs="宋体"/>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color w:val="auto"/>
                <w:sz w:val="24"/>
                <w:szCs w:val="24"/>
                <w:highlight w:val="none"/>
              </w:rPr>
            </w:pPr>
          </w:p>
        </w:tc>
        <w:tc>
          <w:tcPr>
            <w:tcW w:w="2000" w:type="dxa"/>
          </w:tcPr>
          <w:p>
            <w:pPr>
              <w:adjustRightInd w:val="0"/>
              <w:snapToGrid w:val="0"/>
              <w:rPr>
                <w:rFonts w:ascii="宋体" w:hAnsi="宋体" w:cs="宋体"/>
                <w:b/>
                <w:color w:val="auto"/>
                <w:sz w:val="24"/>
                <w:szCs w:val="24"/>
                <w:highlight w:val="none"/>
              </w:rPr>
            </w:pPr>
          </w:p>
        </w:tc>
        <w:tc>
          <w:tcPr>
            <w:tcW w:w="2783" w:type="dxa"/>
          </w:tcPr>
          <w:p>
            <w:pPr>
              <w:adjustRightInd w:val="0"/>
              <w:snapToGrid w:val="0"/>
              <w:rPr>
                <w:rFonts w:ascii="宋体" w:hAnsi="宋体" w:cs="宋体"/>
                <w:b/>
                <w:color w:val="auto"/>
                <w:sz w:val="24"/>
                <w:szCs w:val="24"/>
                <w:highlight w:val="none"/>
              </w:rPr>
            </w:pPr>
          </w:p>
        </w:tc>
        <w:tc>
          <w:tcPr>
            <w:tcW w:w="2584" w:type="dxa"/>
          </w:tcPr>
          <w:p>
            <w:pPr>
              <w:adjustRightInd w:val="0"/>
              <w:snapToGrid w:val="0"/>
              <w:rPr>
                <w:rFonts w:ascii="宋体" w:hAnsi="宋体" w:cs="宋体"/>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w:t>
            </w:r>
          </w:p>
        </w:tc>
        <w:tc>
          <w:tcPr>
            <w:tcW w:w="2000" w:type="dxa"/>
          </w:tcPr>
          <w:p>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w:t>
            </w:r>
          </w:p>
        </w:tc>
        <w:tc>
          <w:tcPr>
            <w:tcW w:w="2783" w:type="dxa"/>
          </w:tcPr>
          <w:p>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w:t>
            </w:r>
          </w:p>
        </w:tc>
        <w:tc>
          <w:tcPr>
            <w:tcW w:w="2584" w:type="dxa"/>
          </w:tcPr>
          <w:p>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color w:val="auto"/>
                <w:sz w:val="24"/>
                <w:szCs w:val="24"/>
                <w:highlight w:val="none"/>
              </w:rPr>
            </w:pPr>
          </w:p>
        </w:tc>
        <w:tc>
          <w:tcPr>
            <w:tcW w:w="2000" w:type="dxa"/>
          </w:tcPr>
          <w:p>
            <w:pPr>
              <w:adjustRightInd w:val="0"/>
              <w:snapToGrid w:val="0"/>
              <w:rPr>
                <w:rFonts w:ascii="宋体" w:hAnsi="宋体" w:cs="宋体"/>
                <w:b/>
                <w:color w:val="auto"/>
                <w:sz w:val="24"/>
                <w:szCs w:val="24"/>
                <w:highlight w:val="none"/>
              </w:rPr>
            </w:pPr>
          </w:p>
        </w:tc>
        <w:tc>
          <w:tcPr>
            <w:tcW w:w="2783" w:type="dxa"/>
          </w:tcPr>
          <w:p>
            <w:pPr>
              <w:adjustRightInd w:val="0"/>
              <w:snapToGrid w:val="0"/>
              <w:rPr>
                <w:rFonts w:ascii="宋体" w:hAnsi="宋体" w:cs="宋体"/>
                <w:b/>
                <w:color w:val="auto"/>
                <w:sz w:val="24"/>
                <w:szCs w:val="24"/>
                <w:highlight w:val="none"/>
              </w:rPr>
            </w:pPr>
          </w:p>
        </w:tc>
        <w:tc>
          <w:tcPr>
            <w:tcW w:w="2584" w:type="dxa"/>
          </w:tcPr>
          <w:p>
            <w:pPr>
              <w:adjustRightInd w:val="0"/>
              <w:snapToGrid w:val="0"/>
              <w:rPr>
                <w:rFonts w:ascii="宋体" w:hAnsi="宋体" w:cs="宋体"/>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color w:val="auto"/>
                <w:sz w:val="24"/>
                <w:szCs w:val="24"/>
                <w:highlight w:val="none"/>
              </w:rPr>
            </w:pPr>
          </w:p>
        </w:tc>
        <w:tc>
          <w:tcPr>
            <w:tcW w:w="2000" w:type="dxa"/>
          </w:tcPr>
          <w:p>
            <w:pPr>
              <w:adjustRightInd w:val="0"/>
              <w:snapToGrid w:val="0"/>
              <w:rPr>
                <w:rFonts w:ascii="宋体" w:hAnsi="宋体" w:cs="宋体"/>
                <w:b/>
                <w:color w:val="auto"/>
                <w:sz w:val="24"/>
                <w:szCs w:val="24"/>
                <w:highlight w:val="none"/>
              </w:rPr>
            </w:pPr>
          </w:p>
        </w:tc>
        <w:tc>
          <w:tcPr>
            <w:tcW w:w="2783" w:type="dxa"/>
          </w:tcPr>
          <w:p>
            <w:pPr>
              <w:adjustRightInd w:val="0"/>
              <w:snapToGrid w:val="0"/>
              <w:rPr>
                <w:rFonts w:ascii="宋体" w:hAnsi="宋体" w:cs="宋体"/>
                <w:b/>
                <w:color w:val="auto"/>
                <w:sz w:val="24"/>
                <w:szCs w:val="24"/>
                <w:highlight w:val="none"/>
              </w:rPr>
            </w:pPr>
          </w:p>
        </w:tc>
        <w:tc>
          <w:tcPr>
            <w:tcW w:w="2584" w:type="dxa"/>
          </w:tcPr>
          <w:p>
            <w:pPr>
              <w:adjustRightInd w:val="0"/>
              <w:snapToGrid w:val="0"/>
              <w:rPr>
                <w:rFonts w:ascii="宋体" w:hAnsi="宋体" w:cs="宋体"/>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color w:val="auto"/>
                <w:sz w:val="24"/>
                <w:szCs w:val="24"/>
                <w:highlight w:val="none"/>
              </w:rPr>
            </w:pPr>
          </w:p>
        </w:tc>
        <w:tc>
          <w:tcPr>
            <w:tcW w:w="2000" w:type="dxa"/>
          </w:tcPr>
          <w:p>
            <w:pPr>
              <w:adjustRightInd w:val="0"/>
              <w:snapToGrid w:val="0"/>
              <w:rPr>
                <w:rFonts w:ascii="宋体" w:hAnsi="宋体" w:cs="宋体"/>
                <w:b/>
                <w:color w:val="auto"/>
                <w:sz w:val="24"/>
                <w:szCs w:val="24"/>
                <w:highlight w:val="none"/>
              </w:rPr>
            </w:pPr>
          </w:p>
        </w:tc>
        <w:tc>
          <w:tcPr>
            <w:tcW w:w="2783" w:type="dxa"/>
          </w:tcPr>
          <w:p>
            <w:pPr>
              <w:adjustRightInd w:val="0"/>
              <w:snapToGrid w:val="0"/>
              <w:rPr>
                <w:rFonts w:ascii="宋体" w:hAnsi="宋体" w:cs="宋体"/>
                <w:b/>
                <w:color w:val="auto"/>
                <w:sz w:val="24"/>
                <w:szCs w:val="24"/>
                <w:highlight w:val="none"/>
              </w:rPr>
            </w:pPr>
          </w:p>
        </w:tc>
        <w:tc>
          <w:tcPr>
            <w:tcW w:w="2584" w:type="dxa"/>
          </w:tcPr>
          <w:p>
            <w:pPr>
              <w:adjustRightInd w:val="0"/>
              <w:snapToGrid w:val="0"/>
              <w:rPr>
                <w:rFonts w:ascii="宋体" w:hAnsi="宋体" w:cs="宋体"/>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color w:val="auto"/>
                <w:sz w:val="24"/>
                <w:szCs w:val="24"/>
                <w:highlight w:val="none"/>
              </w:rPr>
            </w:pPr>
          </w:p>
        </w:tc>
        <w:tc>
          <w:tcPr>
            <w:tcW w:w="2000" w:type="dxa"/>
          </w:tcPr>
          <w:p>
            <w:pPr>
              <w:adjustRightInd w:val="0"/>
              <w:snapToGrid w:val="0"/>
              <w:rPr>
                <w:rFonts w:ascii="宋体" w:hAnsi="宋体" w:cs="宋体"/>
                <w:b/>
                <w:color w:val="auto"/>
                <w:sz w:val="24"/>
                <w:szCs w:val="24"/>
                <w:highlight w:val="none"/>
              </w:rPr>
            </w:pPr>
          </w:p>
        </w:tc>
        <w:tc>
          <w:tcPr>
            <w:tcW w:w="2783" w:type="dxa"/>
          </w:tcPr>
          <w:p>
            <w:pPr>
              <w:adjustRightInd w:val="0"/>
              <w:snapToGrid w:val="0"/>
              <w:rPr>
                <w:rFonts w:ascii="宋体" w:hAnsi="宋体" w:cs="宋体"/>
                <w:b/>
                <w:color w:val="auto"/>
                <w:sz w:val="24"/>
                <w:szCs w:val="24"/>
                <w:highlight w:val="none"/>
              </w:rPr>
            </w:pPr>
          </w:p>
        </w:tc>
        <w:tc>
          <w:tcPr>
            <w:tcW w:w="2584" w:type="dxa"/>
          </w:tcPr>
          <w:p>
            <w:pPr>
              <w:adjustRightInd w:val="0"/>
              <w:snapToGrid w:val="0"/>
              <w:rPr>
                <w:rFonts w:ascii="宋体" w:hAnsi="宋体" w:cs="宋体"/>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color w:val="auto"/>
                <w:sz w:val="24"/>
                <w:szCs w:val="24"/>
                <w:highlight w:val="none"/>
              </w:rPr>
            </w:pPr>
          </w:p>
        </w:tc>
        <w:tc>
          <w:tcPr>
            <w:tcW w:w="2000" w:type="dxa"/>
          </w:tcPr>
          <w:p>
            <w:pPr>
              <w:adjustRightInd w:val="0"/>
              <w:snapToGrid w:val="0"/>
              <w:rPr>
                <w:rFonts w:ascii="宋体" w:hAnsi="宋体" w:cs="宋体"/>
                <w:b/>
                <w:color w:val="auto"/>
                <w:sz w:val="24"/>
                <w:szCs w:val="24"/>
                <w:highlight w:val="none"/>
              </w:rPr>
            </w:pPr>
          </w:p>
        </w:tc>
        <w:tc>
          <w:tcPr>
            <w:tcW w:w="2783" w:type="dxa"/>
          </w:tcPr>
          <w:p>
            <w:pPr>
              <w:adjustRightInd w:val="0"/>
              <w:snapToGrid w:val="0"/>
              <w:rPr>
                <w:rFonts w:ascii="宋体" w:hAnsi="宋体" w:cs="宋体"/>
                <w:b/>
                <w:color w:val="auto"/>
                <w:sz w:val="24"/>
                <w:szCs w:val="24"/>
                <w:highlight w:val="none"/>
              </w:rPr>
            </w:pPr>
          </w:p>
        </w:tc>
        <w:tc>
          <w:tcPr>
            <w:tcW w:w="2584" w:type="dxa"/>
          </w:tcPr>
          <w:p>
            <w:pPr>
              <w:adjustRightInd w:val="0"/>
              <w:snapToGrid w:val="0"/>
              <w:rPr>
                <w:rFonts w:ascii="宋体" w:hAnsi="宋体" w:cs="宋体"/>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color w:val="auto"/>
                <w:sz w:val="24"/>
                <w:szCs w:val="24"/>
                <w:highlight w:val="none"/>
              </w:rPr>
            </w:pPr>
          </w:p>
        </w:tc>
        <w:tc>
          <w:tcPr>
            <w:tcW w:w="2000" w:type="dxa"/>
          </w:tcPr>
          <w:p>
            <w:pPr>
              <w:adjustRightInd w:val="0"/>
              <w:snapToGrid w:val="0"/>
              <w:rPr>
                <w:rFonts w:ascii="宋体" w:hAnsi="宋体" w:cs="宋体"/>
                <w:b/>
                <w:color w:val="auto"/>
                <w:sz w:val="24"/>
                <w:szCs w:val="24"/>
                <w:highlight w:val="none"/>
              </w:rPr>
            </w:pPr>
          </w:p>
        </w:tc>
        <w:tc>
          <w:tcPr>
            <w:tcW w:w="2783" w:type="dxa"/>
          </w:tcPr>
          <w:p>
            <w:pPr>
              <w:adjustRightInd w:val="0"/>
              <w:snapToGrid w:val="0"/>
              <w:rPr>
                <w:rFonts w:ascii="宋体" w:hAnsi="宋体" w:cs="宋体"/>
                <w:b/>
                <w:color w:val="auto"/>
                <w:sz w:val="24"/>
                <w:szCs w:val="24"/>
                <w:highlight w:val="none"/>
              </w:rPr>
            </w:pPr>
          </w:p>
        </w:tc>
        <w:tc>
          <w:tcPr>
            <w:tcW w:w="2584" w:type="dxa"/>
          </w:tcPr>
          <w:p>
            <w:pPr>
              <w:adjustRightInd w:val="0"/>
              <w:snapToGrid w:val="0"/>
              <w:rPr>
                <w:rFonts w:ascii="宋体" w:hAnsi="宋体" w:cs="宋体"/>
                <w:b/>
                <w:color w:val="auto"/>
                <w:sz w:val="24"/>
                <w:szCs w:val="24"/>
                <w:highlight w:val="none"/>
              </w:rPr>
            </w:pPr>
          </w:p>
        </w:tc>
      </w:tr>
    </w:tbl>
    <w:p>
      <w:pPr>
        <w:rPr>
          <w:rFonts w:ascii="宋体" w:hAnsi="宋体" w:cs="宋体"/>
          <w:b/>
          <w:color w:val="auto"/>
          <w:sz w:val="28"/>
          <w:szCs w:val="28"/>
          <w:highlight w:val="none"/>
        </w:rPr>
      </w:pPr>
      <w:r>
        <w:rPr>
          <w:rFonts w:hint="eastAsia" w:ascii="宋体" w:hAnsi="宋体" w:cs="宋体"/>
          <w:b/>
          <w:color w:val="auto"/>
          <w:sz w:val="28"/>
          <w:szCs w:val="28"/>
          <w:highlight w:val="none"/>
        </w:rPr>
        <w:br w:type="page"/>
      </w:r>
    </w:p>
    <w:p>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1、投标声明书格式：</w:t>
      </w:r>
    </w:p>
    <w:p>
      <w:pPr>
        <w:adjustRightInd w:val="0"/>
        <w:snapToGrid w:val="0"/>
        <w:jc w:val="center"/>
        <w:rPr>
          <w:rFonts w:ascii="宋体" w:hAnsi="宋体" w:cs="宋体"/>
          <w:color w:val="auto"/>
          <w:sz w:val="24"/>
          <w:szCs w:val="24"/>
          <w:highlight w:val="none"/>
        </w:rPr>
      </w:pPr>
      <w:r>
        <w:rPr>
          <w:rFonts w:hint="eastAsia" w:ascii="宋体" w:hAnsi="宋体" w:cs="宋体"/>
          <w:color w:val="auto"/>
          <w:sz w:val="24"/>
          <w:szCs w:val="24"/>
          <w:highlight w:val="none"/>
        </w:rPr>
        <w:t>投标声明书</w:t>
      </w: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（采购代理机构名称）：</w:t>
      </w:r>
    </w:p>
    <w:p>
      <w:pPr>
        <w:adjustRightInd w:val="0"/>
        <w:snapToGrid w:val="0"/>
        <w:spacing w:line="400" w:lineRule="exact"/>
        <w:ind w:firstLine="720" w:firstLineChars="300"/>
        <w:rPr>
          <w:rFonts w:ascii="宋体" w:hAnsi="宋体" w:cs="宋体"/>
          <w:color w:val="auto"/>
          <w:sz w:val="24"/>
          <w:szCs w:val="24"/>
          <w:highlight w:val="none"/>
        </w:rPr>
      </w:pPr>
      <w:r>
        <w:rPr>
          <w:rFonts w:hint="eastAsia" w:ascii="宋体" w:hAnsi="宋体" w:cs="宋体"/>
          <w:color w:val="auto"/>
          <w:sz w:val="24"/>
          <w:szCs w:val="24"/>
          <w:highlight w:val="none"/>
        </w:rPr>
        <w:t>（投标人名称）系中华人民共和国合法企业（其他组织），经营地址。</w:t>
      </w:r>
    </w:p>
    <w:p>
      <w:pPr>
        <w:adjustRightInd w:val="0"/>
        <w:snapToGrid w:val="0"/>
        <w:spacing w:line="400" w:lineRule="exact"/>
        <w:ind w:firstLine="645"/>
        <w:rPr>
          <w:rFonts w:ascii="宋体" w:hAnsi="宋体" w:cs="宋体"/>
          <w:color w:val="auto"/>
          <w:sz w:val="24"/>
          <w:szCs w:val="24"/>
          <w:highlight w:val="none"/>
        </w:rPr>
      </w:pPr>
      <w:r>
        <w:rPr>
          <w:rFonts w:hint="eastAsia" w:ascii="宋体" w:hAnsi="宋体" w:cs="宋体"/>
          <w:color w:val="auto"/>
          <w:sz w:val="24"/>
          <w:szCs w:val="24"/>
          <w:highlight w:val="none"/>
        </w:rPr>
        <w:t>我（姓名）系（投标人名称）的法定代表人（负责人），我方愿意参加贵方组织的项目（项目编号：）</w:t>
      </w:r>
      <w:r>
        <w:rPr>
          <w:rFonts w:hint="eastAsia" w:ascii="宋体" w:hAnsi="宋体" w:cs="宋体"/>
          <w:color w:val="auto"/>
          <w:sz w:val="24"/>
          <w:szCs w:val="24"/>
          <w:highlight w:val="none"/>
          <w:u w:val="single"/>
        </w:rPr>
        <w:t>标包编号及内容</w:t>
      </w:r>
      <w:r>
        <w:rPr>
          <w:rFonts w:hint="eastAsia" w:ascii="宋体" w:hAnsi="宋体" w:cs="宋体"/>
          <w:color w:val="auto"/>
          <w:sz w:val="24"/>
          <w:szCs w:val="24"/>
          <w:highlight w:val="none"/>
        </w:rPr>
        <w:t xml:space="preserve"> 的投标，为便于贵方公正、择优地确定中标人及其投标产品和服务，我方就本次投标有关事项郑重声明如下：</w:t>
      </w:r>
    </w:p>
    <w:p>
      <w:pPr>
        <w:numPr>
          <w:ilvl w:val="0"/>
          <w:numId w:val="8"/>
        </w:num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投标方已详细审查全部招标文件，同意招标文件的各项要求。</w:t>
      </w:r>
    </w:p>
    <w:p>
      <w:pPr>
        <w:numPr>
          <w:ilvl w:val="0"/>
          <w:numId w:val="8"/>
        </w:num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我方向贵方提交的所有投标文件、资料都是准确的和真实的。</w:t>
      </w:r>
    </w:p>
    <w:p>
      <w:pPr>
        <w:numPr>
          <w:ilvl w:val="0"/>
          <w:numId w:val="8"/>
        </w:num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若中标，我方将按招标文件规定履行合同责任和义务。</w:t>
      </w:r>
    </w:p>
    <w:p>
      <w:pPr>
        <w:numPr>
          <w:ilvl w:val="0"/>
          <w:numId w:val="8"/>
        </w:num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我方郑重承诺：我方所投产品及其任何一部分，免受第三方提出的侵犯其专利权、商标权、著作权或其它知识产权的起诉。我方承担由此可能产生的一切法律责任和费用。</w:t>
      </w:r>
    </w:p>
    <w:p>
      <w:pPr>
        <w:numPr>
          <w:ilvl w:val="0"/>
          <w:numId w:val="8"/>
        </w:num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我方不是采购人的附属机构；在获知本项目采购信息后，与采购人聘请的为此项目提供咨询服务的公司及其附属机构没有任何联系。</w:t>
      </w:r>
    </w:p>
    <w:p>
      <w:pPr>
        <w:numPr>
          <w:ilvl w:val="0"/>
          <w:numId w:val="8"/>
        </w:num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投标书自开标日起有效期为日。以上事项如有虚假或隐瞒，我方愿意承担一切后果，并不再寻求任何旨在减轻或免除法律责任的辩解。</w:t>
      </w:r>
    </w:p>
    <w:p>
      <w:pPr>
        <w:adjustRightInd w:val="0"/>
        <w:snapToGrid w:val="0"/>
        <w:spacing w:line="400" w:lineRule="exact"/>
        <w:ind w:left="-4" w:leftChars="-2" w:right="-817" w:rightChars="-389" w:firstLine="2"/>
        <w:rPr>
          <w:rFonts w:ascii="宋体" w:hAnsi="宋体" w:cs="宋体"/>
          <w:color w:val="auto"/>
          <w:sz w:val="24"/>
          <w:szCs w:val="24"/>
          <w:highlight w:val="none"/>
        </w:rPr>
      </w:pPr>
    </w:p>
    <w:p>
      <w:pPr>
        <w:adjustRightInd w:val="0"/>
        <w:snapToGrid w:val="0"/>
        <w:spacing w:line="400" w:lineRule="exact"/>
        <w:ind w:left="-4" w:leftChars="-2" w:right="-817" w:rightChars="-389" w:firstLine="2"/>
        <w:rPr>
          <w:rFonts w:ascii="宋体" w:hAnsi="宋体" w:cs="宋体"/>
          <w:color w:val="auto"/>
          <w:sz w:val="24"/>
          <w:szCs w:val="24"/>
          <w:highlight w:val="none"/>
        </w:rPr>
      </w:pPr>
    </w:p>
    <w:p>
      <w:pPr>
        <w:adjustRightInd w:val="0"/>
        <w:snapToGrid w:val="0"/>
        <w:spacing w:line="400" w:lineRule="exact"/>
        <w:ind w:left="-4" w:leftChars="-2" w:right="-817" w:rightChars="-389" w:firstLine="2"/>
        <w:rPr>
          <w:rFonts w:ascii="宋体" w:hAnsi="宋体" w:cs="宋体"/>
          <w:color w:val="auto"/>
          <w:sz w:val="24"/>
          <w:szCs w:val="24"/>
          <w:highlight w:val="none"/>
        </w:rPr>
      </w:pPr>
    </w:p>
    <w:p>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投标人名称（盖章）：</w:t>
      </w:r>
    </w:p>
    <w:p>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法定代表人（负责人、自然人）或授权代表（签字）：</w:t>
      </w:r>
    </w:p>
    <w:p>
      <w:pPr>
        <w:adjustRightInd w:val="0"/>
        <w:snapToGrid w:val="0"/>
        <w:spacing w:line="400" w:lineRule="exact"/>
        <w:ind w:left="-2" w:leftChars="-1" w:right="-817" w:rightChars="-389" w:firstLine="2"/>
        <w:jc w:val="left"/>
        <w:rPr>
          <w:rFonts w:ascii="宋体" w:hAnsi="宋体" w:cs="宋体"/>
          <w:color w:val="auto"/>
          <w:sz w:val="24"/>
          <w:szCs w:val="24"/>
          <w:highlight w:val="none"/>
        </w:rPr>
      </w:pPr>
      <w:r>
        <w:rPr>
          <w:rFonts w:hint="eastAsia" w:ascii="宋体" w:hAnsi="宋体" w:cs="宋体"/>
          <w:color w:val="auto"/>
          <w:sz w:val="24"/>
          <w:szCs w:val="24"/>
          <w:highlight w:val="none"/>
        </w:rPr>
        <w:t>日期：    年   月   日</w:t>
      </w:r>
    </w:p>
    <w:p>
      <w:pPr>
        <w:adjustRightInd w:val="0"/>
        <w:snapToGrid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br w:type="page"/>
      </w:r>
      <w:r>
        <w:rPr>
          <w:rFonts w:hint="eastAsia" w:ascii="宋体" w:hAnsi="宋体" w:cs="宋体"/>
          <w:b/>
          <w:color w:val="auto"/>
          <w:sz w:val="24"/>
          <w:szCs w:val="24"/>
          <w:highlight w:val="none"/>
        </w:rPr>
        <w:t>2、授权委托书格式：</w:t>
      </w:r>
    </w:p>
    <w:p>
      <w:pPr>
        <w:adjustRightInd w:val="0"/>
        <w:snapToGrid w:val="0"/>
        <w:spacing w:line="360" w:lineRule="auto"/>
        <w:jc w:val="center"/>
        <w:rPr>
          <w:rFonts w:ascii="宋体" w:hAnsi="宋体" w:cs="宋体"/>
          <w:color w:val="auto"/>
          <w:sz w:val="24"/>
          <w:szCs w:val="24"/>
          <w:highlight w:val="none"/>
        </w:rPr>
      </w:pPr>
    </w:p>
    <w:p>
      <w:pPr>
        <w:adjustRightInd w:val="0"/>
        <w:snapToGrid w:val="0"/>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rPr>
        <w:t>授权委托书</w:t>
      </w:r>
    </w:p>
    <w:p>
      <w:pPr>
        <w:adjustRightInd w:val="0"/>
        <w:snapToGrid w:val="0"/>
        <w:spacing w:line="360" w:lineRule="auto"/>
        <w:rPr>
          <w:rFonts w:ascii="宋体" w:hAnsi="宋体" w:cs="宋体"/>
          <w:b/>
          <w:bCs/>
          <w:color w:val="auto"/>
          <w:sz w:val="24"/>
          <w:szCs w:val="24"/>
          <w:highlight w:val="none"/>
        </w:rPr>
      </w:pPr>
      <w:r>
        <w:rPr>
          <w:rFonts w:hint="eastAsia" w:ascii="宋体" w:hAnsi="宋体" w:cs="宋体"/>
          <w:color w:val="auto"/>
          <w:sz w:val="24"/>
          <w:szCs w:val="24"/>
          <w:highlight w:val="none"/>
        </w:rPr>
        <w:t>（采购代理机构名称）：</w:t>
      </w:r>
    </w:p>
    <w:p>
      <w:pPr>
        <w:adjustRightInd w:val="0"/>
        <w:snapToGrid w:val="0"/>
        <w:spacing w:line="360" w:lineRule="auto"/>
        <w:ind w:firstLine="720" w:firstLineChars="300"/>
        <w:rPr>
          <w:rFonts w:ascii="宋体" w:hAnsi="宋体" w:cs="宋体"/>
          <w:color w:val="auto"/>
          <w:sz w:val="24"/>
          <w:szCs w:val="24"/>
          <w:highlight w:val="none"/>
        </w:rPr>
      </w:pPr>
      <w:r>
        <w:rPr>
          <w:rFonts w:hint="eastAsia" w:ascii="宋体" w:hAnsi="宋体" w:cs="宋体"/>
          <w:color w:val="auto"/>
          <w:sz w:val="24"/>
          <w:szCs w:val="24"/>
          <w:highlight w:val="none"/>
        </w:rPr>
        <w:t>我（姓名）系（投标人名称）的法定代表人（负责人、自然人），现授权委托本单位在职职工 （姓名）以我方的名义参加</w:t>
      </w:r>
      <w:r>
        <w:rPr>
          <w:rFonts w:hint="eastAsia" w:ascii="宋体" w:hAnsi="宋体" w:cs="宋体"/>
          <w:color w:val="auto"/>
          <w:sz w:val="24"/>
          <w:szCs w:val="24"/>
          <w:highlight w:val="none"/>
          <w:u w:val="single"/>
        </w:rPr>
        <w:t xml:space="preserve">     项目（项目编号：        ）标包编号及内容</w:t>
      </w:r>
      <w:r>
        <w:rPr>
          <w:rFonts w:hint="eastAsia" w:ascii="宋体" w:hAnsi="宋体" w:cs="宋体"/>
          <w:color w:val="auto"/>
          <w:sz w:val="24"/>
          <w:szCs w:val="24"/>
          <w:highlight w:val="none"/>
        </w:rPr>
        <w:t>的投标活动，并代表我方全权办理针对上述项目的投标、开标、评标、签约等具体事务和签署相关文件。</w:t>
      </w:r>
    </w:p>
    <w:p>
      <w:pPr>
        <w:adjustRightInd w:val="0"/>
        <w:snapToGrid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我方对被授权人的签名事项负全部责任。</w:t>
      </w:r>
    </w:p>
    <w:p>
      <w:pPr>
        <w:adjustRightInd w:val="0"/>
        <w:snapToGrid w:val="0"/>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u w:val="single"/>
        </w:rPr>
        <w:t>在撤销授权的书面通知以前，本授权书一直有效。</w:t>
      </w:r>
      <w:r>
        <w:rPr>
          <w:rFonts w:hint="eastAsia" w:ascii="宋体" w:hAnsi="宋体" w:cs="宋体"/>
          <w:color w:val="auto"/>
          <w:sz w:val="24"/>
          <w:szCs w:val="24"/>
          <w:highlight w:val="none"/>
        </w:rPr>
        <w:t>被授权人在授权书有效期内签署的所有文件不因授权的撤销而失效。</w:t>
      </w:r>
    </w:p>
    <w:p>
      <w:pPr>
        <w:adjustRightInd w:val="0"/>
        <w:snapToGrid w:val="0"/>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被授权人无转委托权，特此委托。</w:t>
      </w:r>
    </w:p>
    <w:p>
      <w:pPr>
        <w:adjustRightInd w:val="0"/>
        <w:snapToGrid w:val="0"/>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授权代表签名：                      授权人签名：</w:t>
      </w:r>
    </w:p>
    <w:p>
      <w:pPr>
        <w:adjustRightInd w:val="0"/>
        <w:snapToGrid w:val="0"/>
        <w:spacing w:line="360" w:lineRule="auto"/>
        <w:ind w:firstLine="960" w:firstLineChars="400"/>
        <w:rPr>
          <w:rFonts w:ascii="宋体" w:hAnsi="宋体" w:cs="宋体"/>
          <w:color w:val="auto"/>
          <w:sz w:val="24"/>
          <w:szCs w:val="24"/>
          <w:highlight w:val="none"/>
        </w:rPr>
      </w:pPr>
      <w:r>
        <w:rPr>
          <w:rFonts w:hint="eastAsia" w:ascii="宋体" w:hAnsi="宋体" w:cs="宋体"/>
          <w:color w:val="auto"/>
          <w:sz w:val="24"/>
          <w:szCs w:val="24"/>
          <w:highlight w:val="none"/>
        </w:rPr>
        <w:t>职务：                      职务：</w:t>
      </w:r>
    </w:p>
    <w:p>
      <w:pPr>
        <w:adjustRightInd w:val="0"/>
        <w:snapToGrid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授权代表身份证号码：</w:t>
      </w:r>
    </w:p>
    <w:p>
      <w:pPr>
        <w:adjustRightInd w:val="0"/>
        <w:snapToGrid w:val="0"/>
        <w:spacing w:line="360" w:lineRule="auto"/>
        <w:rPr>
          <w:rFonts w:ascii="宋体" w:hAnsi="宋体" w:cs="宋体"/>
          <w:color w:val="auto"/>
          <w:sz w:val="24"/>
          <w:szCs w:val="24"/>
          <w:highlight w:val="none"/>
        </w:rPr>
      </w:pPr>
    </w:p>
    <w:tbl>
      <w:tblPr>
        <w:tblStyle w:val="38"/>
        <w:tblW w:w="86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10"/>
        <w:gridCol w:w="43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1" w:hRule="atLeast"/>
        </w:trPr>
        <w:tc>
          <w:tcPr>
            <w:tcW w:w="4310" w:type="dxa"/>
            <w:vAlign w:val="center"/>
          </w:tcPr>
          <w:p>
            <w:pPr>
              <w:adjustRightInd w:val="0"/>
              <w:snapToGrid w:val="0"/>
              <w:spacing w:line="360" w:lineRule="auto"/>
              <w:ind w:right="480"/>
              <w:jc w:val="center"/>
              <w:rPr>
                <w:rFonts w:ascii="宋体" w:hAnsi="宋体" w:cs="宋体"/>
                <w:color w:val="auto"/>
                <w:sz w:val="24"/>
                <w:szCs w:val="24"/>
                <w:highlight w:val="none"/>
              </w:rPr>
            </w:pPr>
            <w:r>
              <w:rPr>
                <w:rFonts w:hint="eastAsia" w:ascii="宋体" w:hAnsi="宋体" w:cs="宋体"/>
                <w:color w:val="auto"/>
                <w:sz w:val="24"/>
                <w:szCs w:val="24"/>
                <w:highlight w:val="none"/>
              </w:rPr>
              <w:t>授权人身份证正面</w:t>
            </w:r>
          </w:p>
        </w:tc>
        <w:tc>
          <w:tcPr>
            <w:tcW w:w="4310" w:type="dxa"/>
            <w:vAlign w:val="center"/>
          </w:tcPr>
          <w:p>
            <w:pPr>
              <w:adjustRightInd w:val="0"/>
              <w:snapToGrid w:val="0"/>
              <w:spacing w:line="360" w:lineRule="auto"/>
              <w:ind w:right="480"/>
              <w:jc w:val="center"/>
              <w:rPr>
                <w:rFonts w:ascii="宋体" w:hAnsi="宋体" w:cs="宋体"/>
                <w:color w:val="auto"/>
                <w:sz w:val="24"/>
                <w:szCs w:val="24"/>
                <w:highlight w:val="none"/>
              </w:rPr>
            </w:pPr>
            <w:r>
              <w:rPr>
                <w:rFonts w:hint="eastAsia" w:ascii="宋体" w:hAnsi="宋体" w:cs="宋体"/>
                <w:color w:val="auto"/>
                <w:sz w:val="24"/>
                <w:szCs w:val="24"/>
                <w:highlight w:val="none"/>
              </w:rPr>
              <w:t>被授权人身份证正面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5" w:hRule="atLeast"/>
        </w:trPr>
        <w:tc>
          <w:tcPr>
            <w:tcW w:w="4310" w:type="dxa"/>
            <w:vAlign w:val="center"/>
          </w:tcPr>
          <w:p>
            <w:pPr>
              <w:adjustRightInd w:val="0"/>
              <w:snapToGrid w:val="0"/>
              <w:spacing w:line="360" w:lineRule="auto"/>
              <w:ind w:right="480"/>
              <w:jc w:val="center"/>
              <w:rPr>
                <w:rFonts w:ascii="宋体" w:hAnsi="宋体" w:cs="宋体"/>
                <w:color w:val="auto"/>
                <w:sz w:val="24"/>
                <w:szCs w:val="24"/>
                <w:highlight w:val="none"/>
              </w:rPr>
            </w:pPr>
            <w:r>
              <w:rPr>
                <w:rFonts w:hint="eastAsia" w:ascii="宋体" w:hAnsi="宋体" w:cs="宋体"/>
                <w:color w:val="auto"/>
                <w:sz w:val="24"/>
                <w:szCs w:val="24"/>
                <w:highlight w:val="none"/>
              </w:rPr>
              <w:t>授权人身份证反面</w:t>
            </w:r>
          </w:p>
        </w:tc>
        <w:tc>
          <w:tcPr>
            <w:tcW w:w="4310" w:type="dxa"/>
            <w:vAlign w:val="center"/>
          </w:tcPr>
          <w:p>
            <w:pPr>
              <w:adjustRightInd w:val="0"/>
              <w:snapToGrid w:val="0"/>
              <w:spacing w:line="360" w:lineRule="auto"/>
              <w:ind w:right="480"/>
              <w:jc w:val="center"/>
              <w:rPr>
                <w:rFonts w:ascii="宋体" w:hAnsi="宋体" w:cs="宋体"/>
                <w:color w:val="auto"/>
                <w:sz w:val="24"/>
                <w:szCs w:val="24"/>
                <w:highlight w:val="none"/>
              </w:rPr>
            </w:pPr>
            <w:r>
              <w:rPr>
                <w:rFonts w:hint="eastAsia" w:ascii="宋体" w:hAnsi="宋体" w:cs="宋体"/>
                <w:color w:val="auto"/>
                <w:sz w:val="24"/>
                <w:szCs w:val="24"/>
                <w:highlight w:val="none"/>
              </w:rPr>
              <w:t>被授权人身份证反面</w:t>
            </w:r>
          </w:p>
        </w:tc>
      </w:tr>
    </w:tbl>
    <w:p>
      <w:pPr>
        <w:adjustRightInd w:val="0"/>
        <w:snapToGrid w:val="0"/>
        <w:spacing w:line="360" w:lineRule="auto"/>
        <w:ind w:right="480"/>
        <w:jc w:val="center"/>
        <w:rPr>
          <w:rFonts w:ascii="宋体" w:hAnsi="宋体" w:cs="宋体"/>
          <w:color w:val="auto"/>
          <w:sz w:val="24"/>
          <w:szCs w:val="24"/>
          <w:highlight w:val="none"/>
        </w:rPr>
      </w:pPr>
    </w:p>
    <w:p>
      <w:pPr>
        <w:adjustRightInd w:val="0"/>
        <w:snapToGrid w:val="0"/>
        <w:spacing w:line="360" w:lineRule="auto"/>
        <w:ind w:right="48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                          投标人名称（盖章）：</w:t>
      </w:r>
    </w:p>
    <w:p>
      <w:pPr>
        <w:adjustRightInd w:val="0"/>
        <w:snapToGrid w:val="0"/>
        <w:spacing w:line="360" w:lineRule="auto"/>
        <w:ind w:right="360"/>
        <w:jc w:val="right"/>
        <w:rPr>
          <w:rFonts w:ascii="宋体" w:hAnsi="宋体" w:cs="宋体"/>
          <w:color w:val="auto"/>
          <w:sz w:val="24"/>
          <w:szCs w:val="24"/>
          <w:highlight w:val="none"/>
        </w:rPr>
      </w:pPr>
      <w:r>
        <w:rPr>
          <w:rFonts w:hint="eastAsia" w:ascii="宋体" w:hAnsi="宋体" w:cs="宋体"/>
          <w:color w:val="auto"/>
          <w:sz w:val="24"/>
          <w:szCs w:val="24"/>
          <w:highlight w:val="none"/>
        </w:rPr>
        <w:t>日期：    年    月    日</w:t>
      </w:r>
    </w:p>
    <w:p>
      <w:pPr>
        <w:adjustRightInd w:val="0"/>
        <w:snapToGrid w:val="0"/>
        <w:spacing w:line="360" w:lineRule="auto"/>
        <w:rPr>
          <w:rFonts w:ascii="宋体" w:hAnsi="宋体" w:cs="宋体"/>
          <w:b/>
          <w:color w:val="auto"/>
          <w:sz w:val="24"/>
          <w:szCs w:val="24"/>
          <w:highlight w:val="none"/>
        </w:rPr>
      </w:pPr>
    </w:p>
    <w:p>
      <w:pPr>
        <w:adjustRightInd w:val="0"/>
        <w:snapToGrid w:val="0"/>
        <w:spacing w:line="400" w:lineRule="exact"/>
        <w:rPr>
          <w:rFonts w:ascii="宋体" w:hAnsi="宋体" w:cs="宋体"/>
          <w:b/>
          <w:color w:val="auto"/>
          <w:sz w:val="24"/>
          <w:szCs w:val="24"/>
          <w:highlight w:val="none"/>
        </w:rPr>
      </w:pPr>
      <w:r>
        <w:rPr>
          <w:rFonts w:hint="eastAsia" w:ascii="宋体" w:hAnsi="宋体" w:cs="宋体"/>
          <w:b/>
          <w:color w:val="auto"/>
          <w:sz w:val="24"/>
          <w:szCs w:val="24"/>
          <w:highlight w:val="none"/>
        </w:rPr>
        <w:t>3、有效的营业执照（事业单位法人证书、民办非企业单位登记证书、社会团体法人登记证书、基金会法人登记证书、自然人身份证）副本复印件、税务登记证副本（如有）复印件</w:t>
      </w:r>
    </w:p>
    <w:p>
      <w:pPr>
        <w:adjustRightInd w:val="0"/>
        <w:snapToGrid w:val="0"/>
        <w:spacing w:line="400" w:lineRule="exact"/>
        <w:jc w:val="left"/>
        <w:rPr>
          <w:rFonts w:ascii="宋体" w:hAnsi="宋体" w:cs="宋体"/>
          <w:b/>
          <w:color w:val="auto"/>
          <w:sz w:val="24"/>
          <w:szCs w:val="24"/>
          <w:highlight w:val="none"/>
        </w:rPr>
      </w:pPr>
    </w:p>
    <w:p>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4、投标人情况介绍格式：</w:t>
      </w:r>
    </w:p>
    <w:p>
      <w:pPr>
        <w:adjustRightInd w:val="0"/>
        <w:snapToGrid w:val="0"/>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投标人情况</w:t>
      </w:r>
    </w:p>
    <w:p>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投标人名称:                                                   </w:t>
      </w:r>
    </w:p>
    <w:tbl>
      <w:tblPr>
        <w:tblStyle w:val="38"/>
        <w:tblW w:w="86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8"/>
        <w:gridCol w:w="1053"/>
        <w:gridCol w:w="1469"/>
        <w:gridCol w:w="854"/>
        <w:gridCol w:w="1453"/>
        <w:gridCol w:w="765"/>
        <w:gridCol w:w="14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投标人名称</w:t>
            </w:r>
          </w:p>
        </w:tc>
        <w:tc>
          <w:tcPr>
            <w:tcW w:w="6994" w:type="dxa"/>
            <w:gridSpan w:val="6"/>
            <w:vAlign w:val="center"/>
          </w:tcPr>
          <w:p>
            <w:pPr>
              <w:pStyle w:val="183"/>
              <w:numPr>
                <w:ilvl w:val="0"/>
                <w:numId w:val="9"/>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注册地址</w:t>
            </w:r>
          </w:p>
        </w:tc>
        <w:tc>
          <w:tcPr>
            <w:tcW w:w="3376" w:type="dxa"/>
            <w:gridSpan w:val="3"/>
            <w:vAlign w:val="center"/>
          </w:tcPr>
          <w:p>
            <w:pPr>
              <w:pStyle w:val="183"/>
              <w:numPr>
                <w:ilvl w:val="0"/>
                <w:numId w:val="9"/>
              </w:numPr>
              <w:spacing w:line="400" w:lineRule="exact"/>
              <w:ind w:firstLineChars="0"/>
              <w:rPr>
                <w:rFonts w:ascii="宋体" w:hAnsi="宋体" w:cs="宋体"/>
                <w:color w:val="auto"/>
                <w:sz w:val="24"/>
                <w:szCs w:val="24"/>
                <w:highlight w:val="none"/>
              </w:rPr>
            </w:pPr>
          </w:p>
        </w:tc>
        <w:tc>
          <w:tcPr>
            <w:tcW w:w="1453"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邮政编码</w:t>
            </w:r>
          </w:p>
        </w:tc>
        <w:tc>
          <w:tcPr>
            <w:tcW w:w="2165" w:type="dxa"/>
            <w:gridSpan w:val="2"/>
            <w:vAlign w:val="center"/>
          </w:tcPr>
          <w:p>
            <w:pPr>
              <w:pStyle w:val="183"/>
              <w:numPr>
                <w:ilvl w:val="0"/>
                <w:numId w:val="9"/>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Merge w:val="restart"/>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联系方式</w:t>
            </w:r>
          </w:p>
        </w:tc>
        <w:tc>
          <w:tcPr>
            <w:tcW w:w="1053"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联系人</w:t>
            </w:r>
          </w:p>
        </w:tc>
        <w:tc>
          <w:tcPr>
            <w:tcW w:w="2323" w:type="dxa"/>
            <w:gridSpan w:val="2"/>
            <w:vAlign w:val="center"/>
          </w:tcPr>
          <w:p>
            <w:pPr>
              <w:pStyle w:val="183"/>
              <w:numPr>
                <w:ilvl w:val="0"/>
                <w:numId w:val="9"/>
              </w:numPr>
              <w:spacing w:line="400" w:lineRule="exact"/>
              <w:ind w:firstLineChars="0"/>
              <w:rPr>
                <w:rFonts w:ascii="宋体" w:hAnsi="宋体" w:cs="宋体"/>
                <w:color w:val="auto"/>
                <w:sz w:val="24"/>
                <w:szCs w:val="24"/>
                <w:highlight w:val="none"/>
              </w:rPr>
            </w:pPr>
          </w:p>
        </w:tc>
        <w:tc>
          <w:tcPr>
            <w:tcW w:w="1453" w:type="dxa"/>
            <w:vAlign w:val="center"/>
          </w:tcPr>
          <w:p>
            <w:pPr>
              <w:pStyle w:val="183"/>
              <w:numPr>
                <w:ilvl w:val="0"/>
                <w:numId w:val="9"/>
              </w:numPr>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电话</w:t>
            </w:r>
          </w:p>
        </w:tc>
        <w:tc>
          <w:tcPr>
            <w:tcW w:w="2165" w:type="dxa"/>
            <w:gridSpan w:val="2"/>
            <w:vAlign w:val="center"/>
          </w:tcPr>
          <w:p>
            <w:pPr>
              <w:pStyle w:val="183"/>
              <w:numPr>
                <w:ilvl w:val="0"/>
                <w:numId w:val="9"/>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Merge w:val="continue"/>
            <w:vAlign w:val="center"/>
          </w:tcPr>
          <w:p>
            <w:pPr>
              <w:pStyle w:val="183"/>
              <w:numPr>
                <w:ilvl w:val="0"/>
                <w:numId w:val="9"/>
              </w:numPr>
              <w:spacing w:line="400" w:lineRule="exact"/>
              <w:ind w:firstLineChars="0"/>
              <w:rPr>
                <w:rFonts w:ascii="宋体" w:hAnsi="宋体" w:cs="宋体"/>
                <w:color w:val="auto"/>
                <w:sz w:val="24"/>
                <w:szCs w:val="24"/>
                <w:highlight w:val="none"/>
              </w:rPr>
            </w:pPr>
          </w:p>
        </w:tc>
        <w:tc>
          <w:tcPr>
            <w:tcW w:w="1053"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传 真</w:t>
            </w:r>
          </w:p>
        </w:tc>
        <w:tc>
          <w:tcPr>
            <w:tcW w:w="2323" w:type="dxa"/>
            <w:gridSpan w:val="2"/>
            <w:vAlign w:val="center"/>
          </w:tcPr>
          <w:p>
            <w:pPr>
              <w:pStyle w:val="183"/>
              <w:numPr>
                <w:ilvl w:val="0"/>
                <w:numId w:val="9"/>
              </w:numPr>
              <w:spacing w:line="400" w:lineRule="exact"/>
              <w:ind w:firstLineChars="0"/>
              <w:rPr>
                <w:rFonts w:ascii="宋体" w:hAnsi="宋体" w:cs="宋体"/>
                <w:color w:val="auto"/>
                <w:sz w:val="24"/>
                <w:szCs w:val="24"/>
                <w:highlight w:val="none"/>
              </w:rPr>
            </w:pPr>
          </w:p>
        </w:tc>
        <w:tc>
          <w:tcPr>
            <w:tcW w:w="1453" w:type="dxa"/>
            <w:vAlign w:val="center"/>
          </w:tcPr>
          <w:p>
            <w:pPr>
              <w:pStyle w:val="183"/>
              <w:numPr>
                <w:ilvl w:val="0"/>
                <w:numId w:val="9"/>
              </w:numPr>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网址</w:t>
            </w:r>
          </w:p>
        </w:tc>
        <w:tc>
          <w:tcPr>
            <w:tcW w:w="2165" w:type="dxa"/>
            <w:gridSpan w:val="2"/>
            <w:vAlign w:val="center"/>
          </w:tcPr>
          <w:p>
            <w:pPr>
              <w:pStyle w:val="183"/>
              <w:numPr>
                <w:ilvl w:val="0"/>
                <w:numId w:val="9"/>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法定代表人</w:t>
            </w:r>
          </w:p>
        </w:tc>
        <w:tc>
          <w:tcPr>
            <w:tcW w:w="1053"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姓名</w:t>
            </w:r>
          </w:p>
        </w:tc>
        <w:tc>
          <w:tcPr>
            <w:tcW w:w="1469" w:type="dxa"/>
            <w:vAlign w:val="center"/>
          </w:tcPr>
          <w:p>
            <w:pPr>
              <w:pStyle w:val="183"/>
              <w:numPr>
                <w:ilvl w:val="0"/>
                <w:numId w:val="9"/>
              </w:numPr>
              <w:spacing w:line="400" w:lineRule="exact"/>
              <w:ind w:firstLineChars="0"/>
              <w:rPr>
                <w:rFonts w:ascii="宋体" w:hAnsi="宋体" w:cs="宋体"/>
                <w:color w:val="auto"/>
                <w:sz w:val="24"/>
                <w:szCs w:val="24"/>
                <w:highlight w:val="none"/>
              </w:rPr>
            </w:pPr>
          </w:p>
        </w:tc>
        <w:tc>
          <w:tcPr>
            <w:tcW w:w="854"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职称</w:t>
            </w:r>
          </w:p>
        </w:tc>
        <w:tc>
          <w:tcPr>
            <w:tcW w:w="1453" w:type="dxa"/>
            <w:vAlign w:val="center"/>
          </w:tcPr>
          <w:p>
            <w:pPr>
              <w:pStyle w:val="183"/>
              <w:numPr>
                <w:ilvl w:val="0"/>
                <w:numId w:val="9"/>
              </w:numPr>
              <w:spacing w:line="400" w:lineRule="exact"/>
              <w:ind w:firstLineChars="0"/>
              <w:rPr>
                <w:rFonts w:ascii="宋体" w:hAnsi="宋体" w:cs="宋体"/>
                <w:color w:val="auto"/>
                <w:sz w:val="24"/>
                <w:szCs w:val="24"/>
                <w:highlight w:val="none"/>
              </w:rPr>
            </w:pPr>
          </w:p>
        </w:tc>
        <w:tc>
          <w:tcPr>
            <w:tcW w:w="765"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电话</w:t>
            </w:r>
          </w:p>
        </w:tc>
        <w:tc>
          <w:tcPr>
            <w:tcW w:w="1400" w:type="dxa"/>
            <w:vAlign w:val="center"/>
          </w:tcPr>
          <w:p>
            <w:pPr>
              <w:pStyle w:val="183"/>
              <w:numPr>
                <w:ilvl w:val="0"/>
                <w:numId w:val="9"/>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企业负责人</w:t>
            </w:r>
          </w:p>
        </w:tc>
        <w:tc>
          <w:tcPr>
            <w:tcW w:w="1053"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姓名</w:t>
            </w:r>
          </w:p>
        </w:tc>
        <w:tc>
          <w:tcPr>
            <w:tcW w:w="1469" w:type="dxa"/>
            <w:vAlign w:val="center"/>
          </w:tcPr>
          <w:p>
            <w:pPr>
              <w:pStyle w:val="183"/>
              <w:numPr>
                <w:ilvl w:val="0"/>
                <w:numId w:val="9"/>
              </w:numPr>
              <w:spacing w:line="400" w:lineRule="exact"/>
              <w:ind w:firstLineChars="0"/>
              <w:rPr>
                <w:rFonts w:ascii="宋体" w:hAnsi="宋体" w:cs="宋体"/>
                <w:color w:val="auto"/>
                <w:sz w:val="24"/>
                <w:szCs w:val="24"/>
                <w:highlight w:val="none"/>
              </w:rPr>
            </w:pPr>
          </w:p>
        </w:tc>
        <w:tc>
          <w:tcPr>
            <w:tcW w:w="854"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职称</w:t>
            </w:r>
          </w:p>
        </w:tc>
        <w:tc>
          <w:tcPr>
            <w:tcW w:w="1453" w:type="dxa"/>
            <w:vAlign w:val="center"/>
          </w:tcPr>
          <w:p>
            <w:pPr>
              <w:pStyle w:val="183"/>
              <w:numPr>
                <w:ilvl w:val="0"/>
                <w:numId w:val="9"/>
              </w:numPr>
              <w:spacing w:line="400" w:lineRule="exact"/>
              <w:ind w:firstLineChars="0"/>
              <w:rPr>
                <w:rFonts w:ascii="宋体" w:hAnsi="宋体" w:cs="宋体"/>
                <w:color w:val="auto"/>
                <w:sz w:val="24"/>
                <w:szCs w:val="24"/>
                <w:highlight w:val="none"/>
              </w:rPr>
            </w:pPr>
          </w:p>
        </w:tc>
        <w:tc>
          <w:tcPr>
            <w:tcW w:w="765"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电话</w:t>
            </w:r>
          </w:p>
        </w:tc>
        <w:tc>
          <w:tcPr>
            <w:tcW w:w="1400" w:type="dxa"/>
            <w:vAlign w:val="center"/>
          </w:tcPr>
          <w:p>
            <w:pPr>
              <w:pStyle w:val="183"/>
              <w:numPr>
                <w:ilvl w:val="0"/>
                <w:numId w:val="9"/>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技术负责人</w:t>
            </w:r>
          </w:p>
        </w:tc>
        <w:tc>
          <w:tcPr>
            <w:tcW w:w="1053"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姓名</w:t>
            </w:r>
          </w:p>
        </w:tc>
        <w:tc>
          <w:tcPr>
            <w:tcW w:w="1469" w:type="dxa"/>
            <w:vAlign w:val="center"/>
          </w:tcPr>
          <w:p>
            <w:pPr>
              <w:pStyle w:val="183"/>
              <w:numPr>
                <w:ilvl w:val="0"/>
                <w:numId w:val="9"/>
              </w:numPr>
              <w:spacing w:line="400" w:lineRule="exact"/>
              <w:ind w:firstLineChars="0"/>
              <w:rPr>
                <w:rFonts w:ascii="宋体" w:hAnsi="宋体" w:cs="宋体"/>
                <w:color w:val="auto"/>
                <w:sz w:val="24"/>
                <w:szCs w:val="24"/>
                <w:highlight w:val="none"/>
              </w:rPr>
            </w:pPr>
          </w:p>
        </w:tc>
        <w:tc>
          <w:tcPr>
            <w:tcW w:w="854"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职称</w:t>
            </w:r>
          </w:p>
        </w:tc>
        <w:tc>
          <w:tcPr>
            <w:tcW w:w="1453" w:type="dxa"/>
            <w:vAlign w:val="center"/>
          </w:tcPr>
          <w:p>
            <w:pPr>
              <w:pStyle w:val="183"/>
              <w:numPr>
                <w:ilvl w:val="0"/>
                <w:numId w:val="9"/>
              </w:numPr>
              <w:spacing w:line="400" w:lineRule="exact"/>
              <w:ind w:firstLineChars="0"/>
              <w:rPr>
                <w:rFonts w:ascii="宋体" w:hAnsi="宋体" w:cs="宋体"/>
                <w:color w:val="auto"/>
                <w:sz w:val="24"/>
                <w:szCs w:val="24"/>
                <w:highlight w:val="none"/>
              </w:rPr>
            </w:pPr>
          </w:p>
        </w:tc>
        <w:tc>
          <w:tcPr>
            <w:tcW w:w="765"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电话</w:t>
            </w:r>
          </w:p>
        </w:tc>
        <w:tc>
          <w:tcPr>
            <w:tcW w:w="1400" w:type="dxa"/>
            <w:vAlign w:val="center"/>
          </w:tcPr>
          <w:p>
            <w:pPr>
              <w:pStyle w:val="183"/>
              <w:numPr>
                <w:ilvl w:val="0"/>
                <w:numId w:val="9"/>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企业资质</w:t>
            </w:r>
          </w:p>
        </w:tc>
        <w:tc>
          <w:tcPr>
            <w:tcW w:w="2522" w:type="dxa"/>
            <w:gridSpan w:val="2"/>
            <w:vAlign w:val="center"/>
          </w:tcPr>
          <w:p>
            <w:pPr>
              <w:pStyle w:val="183"/>
              <w:numPr>
                <w:ilvl w:val="0"/>
                <w:numId w:val="9"/>
              </w:numPr>
              <w:spacing w:line="400" w:lineRule="exact"/>
              <w:ind w:firstLineChars="0"/>
              <w:rPr>
                <w:rFonts w:ascii="宋体" w:hAnsi="宋体" w:cs="宋体"/>
                <w:color w:val="auto"/>
                <w:sz w:val="24"/>
                <w:szCs w:val="24"/>
                <w:highlight w:val="none"/>
              </w:rPr>
            </w:pPr>
          </w:p>
        </w:tc>
        <w:tc>
          <w:tcPr>
            <w:tcW w:w="2307" w:type="dxa"/>
            <w:gridSpan w:val="2"/>
            <w:vAlign w:val="center"/>
          </w:tcPr>
          <w:p>
            <w:pPr>
              <w:pStyle w:val="183"/>
              <w:spacing w:line="400" w:lineRule="exact"/>
              <w:ind w:left="0" w:firstLine="0" w:firstLineChars="0"/>
              <w:rPr>
                <w:rFonts w:ascii="宋体" w:hAnsi="宋体" w:cs="宋体"/>
                <w:color w:val="auto"/>
                <w:sz w:val="24"/>
                <w:szCs w:val="24"/>
                <w:highlight w:val="none"/>
              </w:rPr>
            </w:pPr>
            <w:r>
              <w:rPr>
                <w:rFonts w:hint="eastAsia" w:ascii="宋体" w:hAnsi="宋体" w:cs="宋体"/>
                <w:color w:val="auto"/>
                <w:sz w:val="24"/>
                <w:szCs w:val="24"/>
                <w:highlight w:val="none"/>
              </w:rPr>
              <w:t>营业执照号</w:t>
            </w:r>
          </w:p>
        </w:tc>
        <w:tc>
          <w:tcPr>
            <w:tcW w:w="2165" w:type="dxa"/>
            <w:gridSpan w:val="2"/>
            <w:vAlign w:val="center"/>
          </w:tcPr>
          <w:p>
            <w:pPr>
              <w:pStyle w:val="183"/>
              <w:numPr>
                <w:ilvl w:val="0"/>
                <w:numId w:val="9"/>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7"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资信等级</w:t>
            </w:r>
          </w:p>
        </w:tc>
        <w:tc>
          <w:tcPr>
            <w:tcW w:w="6994" w:type="dxa"/>
            <w:gridSpan w:val="6"/>
            <w:vAlign w:val="center"/>
          </w:tcPr>
          <w:p>
            <w:pPr>
              <w:pStyle w:val="183"/>
              <w:numPr>
                <w:ilvl w:val="0"/>
                <w:numId w:val="9"/>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环境管理体系认证</w:t>
            </w:r>
          </w:p>
        </w:tc>
        <w:tc>
          <w:tcPr>
            <w:tcW w:w="2522" w:type="dxa"/>
            <w:gridSpan w:val="2"/>
            <w:vAlign w:val="center"/>
          </w:tcPr>
          <w:p>
            <w:pPr>
              <w:pStyle w:val="183"/>
              <w:numPr>
                <w:ilvl w:val="0"/>
                <w:numId w:val="9"/>
              </w:numPr>
              <w:spacing w:line="400" w:lineRule="exact"/>
              <w:ind w:firstLineChars="0"/>
              <w:rPr>
                <w:rFonts w:ascii="宋体" w:hAnsi="宋体" w:cs="宋体"/>
                <w:color w:val="auto"/>
                <w:sz w:val="24"/>
                <w:szCs w:val="24"/>
                <w:highlight w:val="none"/>
              </w:rPr>
            </w:pPr>
          </w:p>
        </w:tc>
        <w:tc>
          <w:tcPr>
            <w:tcW w:w="2307" w:type="dxa"/>
            <w:gridSpan w:val="2"/>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职业安全健康管理体系认证</w:t>
            </w:r>
          </w:p>
        </w:tc>
        <w:tc>
          <w:tcPr>
            <w:tcW w:w="2165" w:type="dxa"/>
            <w:gridSpan w:val="2"/>
            <w:vAlign w:val="center"/>
          </w:tcPr>
          <w:p>
            <w:pPr>
              <w:pStyle w:val="183"/>
              <w:numPr>
                <w:ilvl w:val="0"/>
                <w:numId w:val="9"/>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注册资金</w:t>
            </w:r>
          </w:p>
        </w:tc>
        <w:tc>
          <w:tcPr>
            <w:tcW w:w="2522" w:type="dxa"/>
            <w:gridSpan w:val="2"/>
            <w:vAlign w:val="center"/>
          </w:tcPr>
          <w:p>
            <w:pPr>
              <w:pStyle w:val="183"/>
              <w:numPr>
                <w:ilvl w:val="0"/>
                <w:numId w:val="9"/>
              </w:numPr>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万元</w:t>
            </w:r>
          </w:p>
        </w:tc>
        <w:tc>
          <w:tcPr>
            <w:tcW w:w="2307" w:type="dxa"/>
            <w:gridSpan w:val="2"/>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固定资产净值</w:t>
            </w:r>
          </w:p>
        </w:tc>
        <w:tc>
          <w:tcPr>
            <w:tcW w:w="2165" w:type="dxa"/>
            <w:gridSpan w:val="2"/>
            <w:vAlign w:val="center"/>
          </w:tcPr>
          <w:p>
            <w:pPr>
              <w:pStyle w:val="183"/>
              <w:numPr>
                <w:ilvl w:val="0"/>
                <w:numId w:val="9"/>
              </w:numPr>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流动资产</w:t>
            </w:r>
          </w:p>
        </w:tc>
        <w:tc>
          <w:tcPr>
            <w:tcW w:w="2522" w:type="dxa"/>
            <w:gridSpan w:val="2"/>
            <w:vAlign w:val="center"/>
          </w:tcPr>
          <w:p>
            <w:pPr>
              <w:pStyle w:val="183"/>
              <w:numPr>
                <w:ilvl w:val="0"/>
                <w:numId w:val="9"/>
              </w:numPr>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万元</w:t>
            </w:r>
          </w:p>
        </w:tc>
        <w:tc>
          <w:tcPr>
            <w:tcW w:w="2307" w:type="dxa"/>
            <w:gridSpan w:val="2"/>
            <w:vAlign w:val="center"/>
          </w:tcPr>
          <w:p>
            <w:pPr>
              <w:pStyle w:val="183"/>
              <w:numPr>
                <w:ilvl w:val="0"/>
                <w:numId w:val="9"/>
              </w:numPr>
              <w:spacing w:line="400" w:lineRule="exact"/>
              <w:ind w:firstLineChars="0"/>
              <w:rPr>
                <w:rFonts w:ascii="宋体" w:hAnsi="宋体" w:cs="宋体"/>
                <w:color w:val="auto"/>
                <w:sz w:val="24"/>
                <w:szCs w:val="24"/>
                <w:highlight w:val="none"/>
              </w:rPr>
            </w:pPr>
          </w:p>
        </w:tc>
        <w:tc>
          <w:tcPr>
            <w:tcW w:w="2165" w:type="dxa"/>
            <w:gridSpan w:val="2"/>
            <w:vAlign w:val="center"/>
          </w:tcPr>
          <w:p>
            <w:pPr>
              <w:pStyle w:val="183"/>
              <w:numPr>
                <w:ilvl w:val="0"/>
                <w:numId w:val="9"/>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开户银行</w:t>
            </w:r>
          </w:p>
        </w:tc>
        <w:tc>
          <w:tcPr>
            <w:tcW w:w="2522" w:type="dxa"/>
            <w:gridSpan w:val="2"/>
            <w:vAlign w:val="center"/>
          </w:tcPr>
          <w:p>
            <w:pPr>
              <w:pStyle w:val="183"/>
              <w:numPr>
                <w:ilvl w:val="0"/>
                <w:numId w:val="9"/>
              </w:numPr>
              <w:spacing w:line="400" w:lineRule="exact"/>
              <w:ind w:firstLineChars="0"/>
              <w:rPr>
                <w:rFonts w:ascii="宋体" w:hAnsi="宋体" w:cs="宋体"/>
                <w:color w:val="auto"/>
                <w:sz w:val="24"/>
                <w:szCs w:val="24"/>
                <w:highlight w:val="none"/>
              </w:rPr>
            </w:pPr>
          </w:p>
        </w:tc>
        <w:tc>
          <w:tcPr>
            <w:tcW w:w="2307" w:type="dxa"/>
            <w:gridSpan w:val="2"/>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帐号</w:t>
            </w:r>
          </w:p>
        </w:tc>
        <w:tc>
          <w:tcPr>
            <w:tcW w:w="2165" w:type="dxa"/>
            <w:gridSpan w:val="2"/>
            <w:vAlign w:val="center"/>
          </w:tcPr>
          <w:p>
            <w:pPr>
              <w:pStyle w:val="183"/>
              <w:numPr>
                <w:ilvl w:val="0"/>
                <w:numId w:val="9"/>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2" w:hRule="atLeast"/>
          <w:jc w:val="center"/>
        </w:trPr>
        <w:tc>
          <w:tcPr>
            <w:tcW w:w="8652" w:type="dxa"/>
            <w:gridSpan w:val="7"/>
            <w:vAlign w:val="center"/>
          </w:tcPr>
          <w:p>
            <w:pPr>
              <w:pStyle w:val="183"/>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总人数人，其中：具有高级职称的人，中级职称的人。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1" w:hRule="atLeast"/>
          <w:jc w:val="center"/>
        </w:trPr>
        <w:tc>
          <w:tcPr>
            <w:tcW w:w="1658" w:type="dxa"/>
            <w:vAlign w:val="center"/>
          </w:tcPr>
          <w:p>
            <w:pPr>
              <w:pStyle w:val="183"/>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经营范围</w:t>
            </w:r>
          </w:p>
        </w:tc>
        <w:tc>
          <w:tcPr>
            <w:tcW w:w="6994" w:type="dxa"/>
            <w:gridSpan w:val="6"/>
            <w:vAlign w:val="center"/>
          </w:tcPr>
          <w:p>
            <w:pPr>
              <w:pStyle w:val="183"/>
              <w:numPr>
                <w:ilvl w:val="0"/>
                <w:numId w:val="9"/>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jc w:val="center"/>
        </w:trPr>
        <w:tc>
          <w:tcPr>
            <w:tcW w:w="1658" w:type="dxa"/>
            <w:vAlign w:val="center"/>
          </w:tcPr>
          <w:p>
            <w:pPr>
              <w:pStyle w:val="183"/>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资质范围</w:t>
            </w:r>
          </w:p>
        </w:tc>
        <w:tc>
          <w:tcPr>
            <w:tcW w:w="6994" w:type="dxa"/>
            <w:gridSpan w:val="6"/>
            <w:vAlign w:val="center"/>
          </w:tcPr>
          <w:p>
            <w:pPr>
              <w:pStyle w:val="183"/>
              <w:numPr>
                <w:ilvl w:val="0"/>
                <w:numId w:val="9"/>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jc w:val="center"/>
        </w:trPr>
        <w:tc>
          <w:tcPr>
            <w:tcW w:w="1658" w:type="dxa"/>
            <w:vAlign w:val="center"/>
          </w:tcPr>
          <w:p>
            <w:pPr>
              <w:pStyle w:val="183"/>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备  注</w:t>
            </w:r>
          </w:p>
        </w:tc>
        <w:tc>
          <w:tcPr>
            <w:tcW w:w="6994" w:type="dxa"/>
            <w:gridSpan w:val="6"/>
            <w:vAlign w:val="center"/>
          </w:tcPr>
          <w:p>
            <w:pPr>
              <w:pStyle w:val="183"/>
              <w:numPr>
                <w:ilvl w:val="0"/>
                <w:numId w:val="9"/>
              </w:numPr>
              <w:spacing w:line="400" w:lineRule="exact"/>
              <w:ind w:firstLineChars="0"/>
              <w:rPr>
                <w:rFonts w:ascii="宋体" w:hAnsi="宋体" w:cs="宋体"/>
                <w:color w:val="auto"/>
                <w:sz w:val="24"/>
                <w:szCs w:val="24"/>
                <w:highlight w:val="none"/>
              </w:rPr>
            </w:pPr>
          </w:p>
        </w:tc>
      </w:tr>
    </w:tbl>
    <w:p>
      <w:pPr>
        <w:autoSpaceDE w:val="0"/>
        <w:autoSpaceDN w:val="0"/>
        <w:adjustRightInd w:val="0"/>
        <w:snapToGrid w:val="0"/>
        <w:spacing w:line="400" w:lineRule="exact"/>
        <w:ind w:firstLine="472" w:firstLineChars="196"/>
        <w:rPr>
          <w:rFonts w:ascii="宋体" w:hAnsi="宋体" w:cs="宋体"/>
          <w:b/>
          <w:color w:val="auto"/>
          <w:sz w:val="24"/>
          <w:szCs w:val="24"/>
          <w:highlight w:val="none"/>
        </w:rPr>
      </w:pPr>
    </w:p>
    <w:p>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投标人名称（盖章）：</w:t>
      </w:r>
    </w:p>
    <w:p>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法定代表人（负责人、自然人）或授权代表（签字）：</w:t>
      </w:r>
    </w:p>
    <w:p>
      <w:pPr>
        <w:adjustRightInd w:val="0"/>
        <w:snapToGrid w:val="0"/>
        <w:spacing w:line="400" w:lineRule="exact"/>
        <w:ind w:left="-2" w:leftChars="-1" w:right="-817" w:rightChars="-389" w:firstLine="2"/>
        <w:jc w:val="left"/>
        <w:rPr>
          <w:rFonts w:ascii="宋体" w:hAnsi="宋体" w:cs="宋体"/>
          <w:color w:val="auto"/>
          <w:sz w:val="24"/>
          <w:szCs w:val="24"/>
          <w:highlight w:val="none"/>
        </w:rPr>
      </w:pPr>
      <w:r>
        <w:rPr>
          <w:rFonts w:hint="eastAsia" w:ascii="宋体" w:hAnsi="宋体" w:cs="宋体"/>
          <w:color w:val="auto"/>
          <w:sz w:val="24"/>
          <w:szCs w:val="24"/>
          <w:highlight w:val="none"/>
        </w:rPr>
        <w:t>日期：    年   月   日</w:t>
      </w:r>
    </w:p>
    <w:p>
      <w:pPr>
        <w:adjustRightInd w:val="0"/>
        <w:snapToGrid w:val="0"/>
        <w:spacing w:line="400" w:lineRule="exact"/>
        <w:jc w:val="left"/>
        <w:rPr>
          <w:rFonts w:ascii="宋体" w:hAnsi="宋体" w:cs="宋体"/>
          <w:b/>
          <w:color w:val="auto"/>
          <w:sz w:val="24"/>
          <w:szCs w:val="24"/>
          <w:highlight w:val="none"/>
        </w:rPr>
      </w:pPr>
    </w:p>
    <w:p>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5、财务状况报告</w:t>
      </w: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应提供本单位2022、2023年度经会计师事务所出具的审计报告复印件（报告中须包括资产负债表、利润表、现金流量表及财务报表附注）。如供应商注册不满1年无需提供上述资料。</w:t>
      </w:r>
    </w:p>
    <w:p>
      <w:pPr>
        <w:adjustRightInd w:val="0"/>
        <w:snapToGrid w:val="0"/>
        <w:spacing w:line="400" w:lineRule="exact"/>
        <w:jc w:val="left"/>
        <w:rPr>
          <w:rFonts w:ascii="宋体" w:hAnsi="宋体" w:cs="宋体"/>
          <w:b/>
          <w:color w:val="auto"/>
          <w:sz w:val="24"/>
          <w:szCs w:val="24"/>
          <w:highlight w:val="none"/>
        </w:rPr>
      </w:pPr>
    </w:p>
    <w:p>
      <w:pPr>
        <w:adjustRightInd w:val="0"/>
        <w:snapToGrid w:val="0"/>
        <w:spacing w:line="400" w:lineRule="exact"/>
        <w:jc w:val="left"/>
        <w:rPr>
          <w:rFonts w:ascii="宋体" w:hAnsi="宋体" w:cs="宋体"/>
          <w:b/>
          <w:color w:val="auto"/>
          <w:sz w:val="24"/>
          <w:szCs w:val="24"/>
          <w:highlight w:val="none"/>
        </w:rPr>
      </w:pPr>
    </w:p>
    <w:p>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6、投标人须具有履行合同所必需的设备和专业技术能力，须附相关证明材料或声明：</w:t>
      </w:r>
    </w:p>
    <w:p>
      <w:pPr>
        <w:pStyle w:val="196"/>
        <w:autoSpaceDE w:val="0"/>
        <w:autoSpaceDN w:val="0"/>
        <w:adjustRightInd w:val="0"/>
        <w:snapToGrid w:val="0"/>
        <w:spacing w:line="400" w:lineRule="exact"/>
        <w:ind w:firstLine="115" w:firstLineChars="50"/>
        <w:jc w:val="left"/>
        <w:rPr>
          <w:rFonts w:ascii="宋体" w:hAnsi="宋体" w:cs="宋体"/>
          <w:color w:val="auto"/>
          <w:kern w:val="0"/>
          <w:sz w:val="23"/>
          <w:szCs w:val="23"/>
          <w:highlight w:val="none"/>
        </w:rPr>
      </w:pPr>
      <w:r>
        <w:rPr>
          <w:rFonts w:hint="eastAsia" w:ascii="宋体" w:hAnsi="宋体" w:cs="宋体"/>
          <w:color w:val="auto"/>
          <w:kern w:val="0"/>
          <w:sz w:val="23"/>
          <w:szCs w:val="23"/>
          <w:highlight w:val="none"/>
        </w:rPr>
        <w:t>格式：</w:t>
      </w:r>
    </w:p>
    <w:p>
      <w:pPr>
        <w:pStyle w:val="196"/>
        <w:autoSpaceDE w:val="0"/>
        <w:autoSpaceDN w:val="0"/>
        <w:adjustRightInd w:val="0"/>
        <w:snapToGrid w:val="0"/>
        <w:spacing w:line="400" w:lineRule="exact"/>
        <w:ind w:firstLine="115" w:firstLineChars="50"/>
        <w:jc w:val="center"/>
        <w:rPr>
          <w:rFonts w:ascii="宋体" w:hAnsi="宋体" w:cs="宋体"/>
          <w:color w:val="auto"/>
          <w:kern w:val="0"/>
          <w:sz w:val="23"/>
          <w:szCs w:val="23"/>
          <w:highlight w:val="none"/>
        </w:rPr>
      </w:pPr>
      <w:r>
        <w:rPr>
          <w:rFonts w:hint="eastAsia" w:ascii="宋体" w:hAnsi="宋体" w:cs="宋体"/>
          <w:color w:val="auto"/>
          <w:kern w:val="0"/>
          <w:sz w:val="23"/>
          <w:szCs w:val="23"/>
          <w:highlight w:val="none"/>
        </w:rPr>
        <w:t>本投标人郑重声明：</w:t>
      </w:r>
    </w:p>
    <w:p>
      <w:pPr>
        <w:pStyle w:val="196"/>
        <w:autoSpaceDE w:val="0"/>
        <w:autoSpaceDN w:val="0"/>
        <w:adjustRightInd w:val="0"/>
        <w:snapToGrid w:val="0"/>
        <w:spacing w:line="400" w:lineRule="exact"/>
        <w:ind w:firstLine="230" w:firstLineChars="100"/>
        <w:jc w:val="left"/>
        <w:rPr>
          <w:rFonts w:ascii="宋体" w:hAnsi="宋体" w:cs="宋体"/>
          <w:color w:val="auto"/>
          <w:kern w:val="0"/>
          <w:sz w:val="23"/>
          <w:szCs w:val="23"/>
          <w:highlight w:val="none"/>
        </w:rPr>
      </w:pPr>
      <w:r>
        <w:rPr>
          <w:rFonts w:hint="eastAsia" w:ascii="宋体" w:hAnsi="宋体" w:cs="宋体"/>
          <w:color w:val="auto"/>
          <w:kern w:val="0"/>
          <w:sz w:val="23"/>
          <w:szCs w:val="23"/>
          <w:highlight w:val="none"/>
        </w:rPr>
        <w:t xml:space="preserve">本公司（或单位）具备本项目履行合同所必需的设备和专业技术能力，特此承诺。 </w:t>
      </w:r>
    </w:p>
    <w:p>
      <w:pPr>
        <w:pStyle w:val="196"/>
        <w:autoSpaceDE w:val="0"/>
        <w:autoSpaceDN w:val="0"/>
        <w:adjustRightInd w:val="0"/>
        <w:snapToGrid w:val="0"/>
        <w:spacing w:line="400" w:lineRule="exact"/>
        <w:ind w:firstLine="115" w:firstLineChars="50"/>
        <w:jc w:val="left"/>
        <w:rPr>
          <w:rFonts w:ascii="宋体" w:hAnsi="宋体" w:cs="宋体"/>
          <w:color w:val="auto"/>
          <w:kern w:val="0"/>
          <w:sz w:val="23"/>
          <w:szCs w:val="23"/>
          <w:highlight w:val="none"/>
        </w:rPr>
      </w:pPr>
      <w:r>
        <w:rPr>
          <w:rFonts w:hint="eastAsia" w:ascii="宋体" w:hAnsi="宋体" w:cs="宋体"/>
          <w:color w:val="auto"/>
          <w:kern w:val="0"/>
          <w:sz w:val="23"/>
          <w:szCs w:val="23"/>
          <w:highlight w:val="none"/>
        </w:rPr>
        <w:t xml:space="preserve">被授权人签字： </w:t>
      </w:r>
    </w:p>
    <w:p>
      <w:pPr>
        <w:pStyle w:val="196"/>
        <w:autoSpaceDE w:val="0"/>
        <w:autoSpaceDN w:val="0"/>
        <w:adjustRightInd w:val="0"/>
        <w:snapToGrid w:val="0"/>
        <w:spacing w:line="400" w:lineRule="exact"/>
        <w:ind w:firstLine="115" w:firstLineChars="50"/>
        <w:jc w:val="left"/>
        <w:rPr>
          <w:rFonts w:ascii="宋体" w:hAnsi="宋体" w:cs="宋体"/>
          <w:color w:val="auto"/>
          <w:kern w:val="0"/>
          <w:sz w:val="23"/>
          <w:szCs w:val="23"/>
          <w:highlight w:val="none"/>
        </w:rPr>
      </w:pPr>
      <w:r>
        <w:rPr>
          <w:rFonts w:hint="eastAsia" w:ascii="宋体" w:hAnsi="宋体" w:cs="宋体"/>
          <w:color w:val="auto"/>
          <w:kern w:val="0"/>
          <w:sz w:val="23"/>
          <w:szCs w:val="23"/>
          <w:highlight w:val="none"/>
        </w:rPr>
        <w:t>投标人名称（加盖公章）：</w:t>
      </w:r>
    </w:p>
    <w:p>
      <w:pPr>
        <w:pStyle w:val="196"/>
        <w:autoSpaceDE w:val="0"/>
        <w:autoSpaceDN w:val="0"/>
        <w:adjustRightInd w:val="0"/>
        <w:snapToGrid w:val="0"/>
        <w:spacing w:line="400" w:lineRule="exact"/>
        <w:ind w:firstLine="115" w:firstLineChars="50"/>
        <w:rPr>
          <w:rFonts w:ascii="宋体" w:hAnsi="宋体" w:cs="宋体"/>
          <w:color w:val="auto"/>
          <w:kern w:val="0"/>
          <w:sz w:val="23"/>
          <w:szCs w:val="23"/>
          <w:highlight w:val="none"/>
        </w:rPr>
      </w:pPr>
      <w:r>
        <w:rPr>
          <w:rFonts w:hint="eastAsia" w:ascii="宋体" w:hAnsi="宋体" w:cs="宋体"/>
          <w:color w:val="auto"/>
          <w:kern w:val="0"/>
          <w:sz w:val="23"/>
          <w:szCs w:val="23"/>
          <w:highlight w:val="none"/>
        </w:rPr>
        <w:t xml:space="preserve">年 月 日 </w:t>
      </w:r>
    </w:p>
    <w:p>
      <w:pPr>
        <w:adjustRightInd w:val="0"/>
        <w:snapToGrid w:val="0"/>
        <w:spacing w:line="400" w:lineRule="exact"/>
        <w:jc w:val="left"/>
        <w:rPr>
          <w:rFonts w:ascii="宋体" w:hAnsi="宋体" w:cs="宋体"/>
          <w:b/>
          <w:color w:val="auto"/>
          <w:sz w:val="24"/>
          <w:szCs w:val="24"/>
          <w:highlight w:val="none"/>
        </w:rPr>
      </w:pPr>
    </w:p>
    <w:p>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7、依法缴纳税收和社会保障资金的良好记录</w:t>
      </w:r>
    </w:p>
    <w:p>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缴纳税收的证明材料，指投标人缴纳增值税和企业所得税两种缴纳凭据；本项目开标前6个月内（至少提供1个月）缴纳税收的凭据（完税证、缴款书、印花税票、银行代扣（代缴）转账凭证等均可）； </w:t>
      </w:r>
    </w:p>
    <w:p>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投标人依法缴纳社会保障资金的证明材料：本项目开标前 6个月内（至少提供1个月）缴纳社会保险的凭据（专用收据或社会保险交纳清单）； </w:t>
      </w:r>
    </w:p>
    <w:p>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投标人为其他组织或自然人的，也需要按此项规定提供缴纳税收的凭据和交纳社会保险的凭据。如投标人的社会保险为委托第三方代缴，还需同时提供投标人与第三方服务机构签署的服务合同（合同中应明确写明第三方为投标人代缴其社会保险）。</w:t>
      </w:r>
    </w:p>
    <w:p>
      <w:pPr>
        <w:pStyle w:val="2"/>
        <w:rPr>
          <w:rFonts w:ascii="宋体" w:hAnsi="宋体"/>
          <w:color w:val="auto"/>
          <w:highlight w:val="none"/>
        </w:rPr>
      </w:pPr>
    </w:p>
    <w:p>
      <w:pPr>
        <w:rPr>
          <w:rFonts w:ascii="宋体" w:hAnsi="宋体" w:cs="宋体"/>
          <w:b/>
          <w:color w:val="auto"/>
          <w:sz w:val="24"/>
          <w:szCs w:val="24"/>
          <w:highlight w:val="none"/>
        </w:rPr>
      </w:pPr>
      <w:r>
        <w:rPr>
          <w:rFonts w:hint="eastAsia" w:ascii="宋体" w:hAnsi="宋体" w:cs="宋体"/>
          <w:b/>
          <w:color w:val="auto"/>
          <w:sz w:val="24"/>
          <w:szCs w:val="24"/>
          <w:highlight w:val="none"/>
        </w:rPr>
        <w:br w:type="page"/>
      </w:r>
    </w:p>
    <w:p>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8、前三年内在经营活动中没有重大违法记录的书面声明：</w:t>
      </w:r>
    </w:p>
    <w:p>
      <w:pPr>
        <w:pStyle w:val="196"/>
        <w:adjustRightInd w:val="0"/>
        <w:snapToGrid w:val="0"/>
        <w:spacing w:line="400" w:lineRule="exac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格式：</w:t>
      </w:r>
    </w:p>
    <w:p>
      <w:pPr>
        <w:pStyle w:val="196"/>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（采购人）         </w:t>
      </w:r>
      <w:r>
        <w:rPr>
          <w:rFonts w:hint="eastAsia" w:ascii="宋体" w:hAnsi="宋体" w:cs="宋体"/>
          <w:color w:val="auto"/>
          <w:sz w:val="24"/>
          <w:szCs w:val="24"/>
          <w:highlight w:val="none"/>
        </w:rPr>
        <w:t>：</w:t>
      </w:r>
    </w:p>
    <w:p>
      <w:pPr>
        <w:pStyle w:val="196"/>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我单位参与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项目名称、编号）投标，并郑重声明，我方参加本项目政府采购活动前三年内无重大违法记录，符合《中华人民共和国政府采购法》规定的投标人条件。若贵方在本项目采购过程中发现我方政府采购活动前三年内有重大违法记录，我方将无条件退出本项目的投标，并承担因此引起的一切后果。我方对此声明负全部法律责任。</w:t>
      </w:r>
    </w:p>
    <w:p>
      <w:pPr>
        <w:pStyle w:val="196"/>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特此声明  </w:t>
      </w:r>
    </w:p>
    <w:p>
      <w:pPr>
        <w:pStyle w:val="196"/>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投标人（盖单位章）：</w:t>
      </w:r>
    </w:p>
    <w:p>
      <w:pPr>
        <w:pStyle w:val="196"/>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法定代表人（负责人、自然人）或其委托代理人签字：</w:t>
      </w:r>
    </w:p>
    <w:p>
      <w:pPr>
        <w:adjustRightInd w:val="0"/>
        <w:snapToGrid w:val="0"/>
        <w:spacing w:line="400" w:lineRule="exact"/>
        <w:jc w:val="left"/>
        <w:rPr>
          <w:rFonts w:ascii="宋体" w:hAnsi="宋体" w:cs="宋体"/>
          <w:b/>
          <w:color w:val="auto"/>
          <w:sz w:val="24"/>
          <w:szCs w:val="24"/>
          <w:highlight w:val="none"/>
        </w:rPr>
      </w:pPr>
    </w:p>
    <w:p>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9、拒绝列入失信被执行人、重大税收违法案件当事人名单、政府采购严重违法失信行为记录名单及及其他不符合规定条件的投标人；投标人未被列入“信用中国”网站(www.creditchina.gov.cn)“记录失信被执行人或重大 税收违法案件当事人名单或政府采购严重违法失信行为”记录名单；未处于中国政府采购 网(www.ccgp.gov.cn)“政府采购严重违法失信行为信息记录”中的禁止参加政府采购活动 期间（以采购代理机构于开标当天在“信用中国”网站（www.creditchina.gov.cn） 及中国政府采购网(www.ccgp.gov.cn)查询结果为准，如相关失信记录已失效，投标人需提供相关证明资料）。</w:t>
      </w:r>
    </w:p>
    <w:p>
      <w:pPr>
        <w:adjustRightInd w:val="0"/>
        <w:snapToGrid w:val="0"/>
        <w:spacing w:line="400" w:lineRule="exact"/>
        <w:jc w:val="left"/>
        <w:rPr>
          <w:rFonts w:ascii="宋体" w:hAnsi="宋体" w:cs="宋体"/>
          <w:b/>
          <w:color w:val="auto"/>
          <w:sz w:val="24"/>
          <w:szCs w:val="24"/>
          <w:highlight w:val="none"/>
        </w:rPr>
      </w:pPr>
    </w:p>
    <w:p>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10、投标人已取得的各种有效认证证书、政府部门（企业）或第三方权威鉴定机构出具的信用等级证书或证明复印件 (如有)。</w:t>
      </w:r>
    </w:p>
    <w:p>
      <w:pPr>
        <w:adjustRightInd w:val="0"/>
        <w:snapToGrid w:val="0"/>
        <w:spacing w:line="400" w:lineRule="exact"/>
        <w:jc w:val="left"/>
        <w:rPr>
          <w:rFonts w:ascii="宋体" w:hAnsi="宋体" w:cs="宋体"/>
          <w:b/>
          <w:color w:val="auto"/>
          <w:sz w:val="24"/>
          <w:szCs w:val="24"/>
          <w:highlight w:val="none"/>
        </w:rPr>
      </w:pPr>
    </w:p>
    <w:p>
      <w:pPr>
        <w:widowControl/>
        <w:snapToGrid w:val="0"/>
        <w:spacing w:line="400" w:lineRule="exact"/>
        <w:jc w:val="left"/>
        <w:rPr>
          <w:rFonts w:ascii="宋体" w:hAnsi="宋体" w:cs="宋体"/>
          <w:b/>
          <w:bCs/>
          <w:color w:val="auto"/>
          <w:sz w:val="24"/>
          <w:szCs w:val="24"/>
          <w:highlight w:val="none"/>
        </w:rPr>
      </w:pPr>
    </w:p>
    <w:p>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11、2021年1月1日以来同类成功业绩 (如有)</w:t>
      </w:r>
    </w:p>
    <w:p>
      <w:pPr>
        <w:adjustRightInd w:val="0"/>
        <w:snapToGrid w:val="0"/>
        <w:spacing w:line="400" w:lineRule="exact"/>
        <w:ind w:firstLine="470" w:firstLineChars="196"/>
        <w:jc w:val="left"/>
        <w:rPr>
          <w:rFonts w:ascii="宋体" w:hAnsi="宋体" w:cs="宋体"/>
          <w:color w:val="auto"/>
          <w:sz w:val="24"/>
          <w:szCs w:val="24"/>
          <w:highlight w:val="none"/>
        </w:rPr>
      </w:pPr>
      <w:r>
        <w:rPr>
          <w:rFonts w:hint="eastAsia" w:ascii="宋体" w:hAnsi="宋体" w:cs="宋体"/>
          <w:color w:val="auto"/>
          <w:sz w:val="24"/>
          <w:szCs w:val="24"/>
          <w:highlight w:val="none"/>
        </w:rPr>
        <w:t>以签订合同时间为准，需提供中标（成交）通知书、与最终用户合同复印件，复印件并加盖公章，如出现与事实不符等情况，将根据有关规定以“提供虚假材料谋取中标”予以处罚。</w:t>
      </w: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snapToGrid w:val="0"/>
        <w:spacing w:line="400" w:lineRule="exact"/>
        <w:rPr>
          <w:rFonts w:ascii="宋体" w:hAnsi="宋体" w:cs="宋体"/>
          <w:color w:val="auto"/>
          <w:sz w:val="24"/>
          <w:szCs w:val="24"/>
          <w:highlight w:val="none"/>
        </w:rPr>
      </w:pPr>
      <w:r>
        <w:rPr>
          <w:rFonts w:hint="eastAsia" w:ascii="宋体" w:hAnsi="宋体" w:cs="宋体"/>
          <w:b/>
          <w:color w:val="auto"/>
          <w:sz w:val="24"/>
          <w:szCs w:val="24"/>
          <w:highlight w:val="none"/>
        </w:rPr>
        <w:t>12、政府采购政策扶持证明材料</w:t>
      </w:r>
    </w:p>
    <w:p>
      <w:pPr>
        <w:widowControl/>
        <w:snapToGrid w:val="0"/>
        <w:spacing w:before="240" w:after="240" w:line="400" w:lineRule="exact"/>
        <w:jc w:val="center"/>
        <w:rPr>
          <w:rFonts w:ascii="宋体" w:hAnsi="宋体" w:cs="宋体"/>
          <w:b/>
          <w:color w:val="auto"/>
          <w:kern w:val="0"/>
          <w:sz w:val="32"/>
          <w:szCs w:val="32"/>
          <w:highlight w:val="none"/>
        </w:rPr>
      </w:pPr>
      <w:r>
        <w:rPr>
          <w:rFonts w:hint="eastAsia" w:ascii="宋体" w:hAnsi="宋体" w:cs="宋体"/>
          <w:b/>
          <w:color w:val="auto"/>
          <w:kern w:val="0"/>
          <w:sz w:val="32"/>
          <w:szCs w:val="32"/>
          <w:highlight w:val="none"/>
        </w:rPr>
        <w:t>中小企业声明函（货物）</w:t>
      </w:r>
    </w:p>
    <w:p>
      <w:pPr>
        <w:widowControl/>
        <w:snapToGrid w:val="0"/>
        <w:spacing w:before="75" w:after="75"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本公司（联合体）郑重声明，根据关于《政府采购促进中小企业发展管理办法》的通知（财库〔2020〕46号）的规定，本公司（联合体）参加</w:t>
      </w:r>
      <w:r>
        <w:rPr>
          <w:rFonts w:hint="eastAsia" w:ascii="宋体" w:hAnsi="宋体" w:cs="宋体"/>
          <w:color w:val="auto"/>
          <w:kern w:val="0"/>
          <w:sz w:val="24"/>
          <w:szCs w:val="24"/>
          <w:highlight w:val="none"/>
          <w:u w:val="single"/>
        </w:rPr>
        <w:t>（单位名称）</w:t>
      </w:r>
      <w:r>
        <w:rPr>
          <w:rFonts w:hint="eastAsia" w:ascii="宋体" w:hAnsi="宋体" w:cs="宋体"/>
          <w:color w:val="auto"/>
          <w:kern w:val="0"/>
          <w:sz w:val="24"/>
          <w:szCs w:val="24"/>
          <w:highlight w:val="none"/>
        </w:rPr>
        <w:t>的</w:t>
      </w:r>
      <w:r>
        <w:rPr>
          <w:rFonts w:hint="eastAsia" w:ascii="宋体" w:hAnsi="宋体" w:cs="宋体"/>
          <w:color w:val="auto"/>
          <w:kern w:val="0"/>
          <w:sz w:val="24"/>
          <w:szCs w:val="24"/>
          <w:highlight w:val="none"/>
          <w:u w:val="single"/>
        </w:rPr>
        <w:t>（项目名称）</w:t>
      </w:r>
      <w:r>
        <w:rPr>
          <w:rFonts w:hint="eastAsia" w:ascii="宋体" w:hAnsi="宋体" w:cs="宋体"/>
          <w:color w:val="auto"/>
          <w:kern w:val="0"/>
          <w:sz w:val="24"/>
          <w:szCs w:val="24"/>
          <w:highlight w:val="none"/>
        </w:rPr>
        <w:t>采购活动，提供的货物全部由符合政策要求的中小企业制造。相关企业（含联合体中的中小企业、签订分包意向协议的中小企业）的具体情况如下：</w:t>
      </w:r>
    </w:p>
    <w:p>
      <w:pPr>
        <w:widowControl/>
        <w:snapToGrid w:val="0"/>
        <w:spacing w:before="75" w:after="75"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1.</w:t>
      </w:r>
      <w:r>
        <w:rPr>
          <w:rFonts w:hint="eastAsia" w:ascii="宋体" w:hAnsi="宋体" w:cs="宋体"/>
          <w:color w:val="auto"/>
          <w:kern w:val="0"/>
          <w:sz w:val="24"/>
          <w:szCs w:val="24"/>
          <w:highlight w:val="none"/>
          <w:u w:val="single"/>
        </w:rPr>
        <w:t>（标的名称）</w:t>
      </w:r>
      <w:r>
        <w:rPr>
          <w:rFonts w:hint="eastAsia" w:ascii="宋体" w:hAnsi="宋体" w:cs="宋体"/>
          <w:color w:val="auto"/>
          <w:kern w:val="0"/>
          <w:sz w:val="24"/>
          <w:szCs w:val="24"/>
          <w:highlight w:val="none"/>
        </w:rPr>
        <w:t>，属于</w:t>
      </w:r>
      <w:r>
        <w:rPr>
          <w:rFonts w:hint="eastAsia" w:ascii="宋体" w:hAnsi="宋体" w:cs="宋体"/>
          <w:color w:val="auto"/>
          <w:kern w:val="0"/>
          <w:sz w:val="24"/>
          <w:szCs w:val="24"/>
          <w:highlight w:val="none"/>
          <w:u w:val="single"/>
        </w:rPr>
        <w:t>（招标文件中明确的所属行业）</w:t>
      </w:r>
      <w:r>
        <w:rPr>
          <w:rFonts w:hint="eastAsia" w:ascii="宋体" w:hAnsi="宋体" w:cs="宋体"/>
          <w:color w:val="auto"/>
          <w:kern w:val="0"/>
          <w:sz w:val="24"/>
          <w:szCs w:val="24"/>
          <w:highlight w:val="none"/>
        </w:rPr>
        <w:t>；制造商为</w:t>
      </w:r>
      <w:r>
        <w:rPr>
          <w:rFonts w:hint="eastAsia" w:ascii="宋体" w:hAnsi="宋体" w:cs="宋体"/>
          <w:color w:val="auto"/>
          <w:kern w:val="0"/>
          <w:sz w:val="24"/>
          <w:szCs w:val="24"/>
          <w:highlight w:val="none"/>
          <w:u w:val="single"/>
        </w:rPr>
        <w:t>（企业名称）</w:t>
      </w:r>
      <w:r>
        <w:rPr>
          <w:rFonts w:hint="eastAsia" w:ascii="宋体" w:hAnsi="宋体" w:cs="宋体"/>
          <w:color w:val="auto"/>
          <w:kern w:val="0"/>
          <w:sz w:val="24"/>
          <w:szCs w:val="24"/>
          <w:highlight w:val="none"/>
        </w:rPr>
        <w:t>，从业人员人，营业收入为万元，资产总额为万元，属于</w:t>
      </w:r>
      <w:r>
        <w:rPr>
          <w:rFonts w:hint="eastAsia" w:ascii="宋体" w:hAnsi="宋体" w:cs="宋体"/>
          <w:color w:val="auto"/>
          <w:kern w:val="0"/>
          <w:sz w:val="24"/>
          <w:szCs w:val="24"/>
          <w:highlight w:val="none"/>
          <w:u w:val="single"/>
        </w:rPr>
        <w:t>（中型企业、小型企业、微型企业）</w:t>
      </w:r>
      <w:r>
        <w:rPr>
          <w:rFonts w:hint="eastAsia" w:ascii="宋体" w:hAnsi="宋体" w:cs="宋体"/>
          <w:color w:val="auto"/>
          <w:kern w:val="0"/>
          <w:sz w:val="24"/>
          <w:szCs w:val="24"/>
          <w:highlight w:val="none"/>
        </w:rPr>
        <w:t>；</w:t>
      </w:r>
    </w:p>
    <w:p>
      <w:pPr>
        <w:widowControl/>
        <w:snapToGrid w:val="0"/>
        <w:spacing w:before="75" w:after="75"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r>
        <w:rPr>
          <w:rFonts w:hint="eastAsia" w:ascii="宋体" w:hAnsi="宋体" w:cs="宋体"/>
          <w:color w:val="auto"/>
          <w:kern w:val="0"/>
          <w:sz w:val="24"/>
          <w:szCs w:val="24"/>
          <w:highlight w:val="none"/>
          <w:u w:val="single"/>
        </w:rPr>
        <w:t>（标的名称）</w:t>
      </w:r>
      <w:r>
        <w:rPr>
          <w:rFonts w:hint="eastAsia" w:ascii="宋体" w:hAnsi="宋体" w:cs="宋体"/>
          <w:color w:val="auto"/>
          <w:kern w:val="0"/>
          <w:sz w:val="24"/>
          <w:szCs w:val="24"/>
          <w:highlight w:val="none"/>
        </w:rPr>
        <w:t>，属于</w:t>
      </w:r>
      <w:r>
        <w:rPr>
          <w:rFonts w:hint="eastAsia" w:ascii="宋体" w:hAnsi="宋体" w:cs="宋体"/>
          <w:color w:val="auto"/>
          <w:kern w:val="0"/>
          <w:sz w:val="24"/>
          <w:szCs w:val="24"/>
          <w:highlight w:val="none"/>
          <w:u w:val="single"/>
        </w:rPr>
        <w:t>（招标文件中明确的所属行业）</w:t>
      </w:r>
      <w:r>
        <w:rPr>
          <w:rFonts w:hint="eastAsia" w:ascii="宋体" w:hAnsi="宋体" w:cs="宋体"/>
          <w:color w:val="auto"/>
          <w:kern w:val="0"/>
          <w:sz w:val="24"/>
          <w:szCs w:val="24"/>
          <w:highlight w:val="none"/>
        </w:rPr>
        <w:t>；制造商为</w:t>
      </w:r>
      <w:r>
        <w:rPr>
          <w:rFonts w:hint="eastAsia" w:ascii="宋体" w:hAnsi="宋体" w:cs="宋体"/>
          <w:color w:val="auto"/>
          <w:kern w:val="0"/>
          <w:sz w:val="24"/>
          <w:szCs w:val="24"/>
          <w:highlight w:val="none"/>
          <w:u w:val="single"/>
        </w:rPr>
        <w:t>（企业名称）</w:t>
      </w:r>
      <w:r>
        <w:rPr>
          <w:rFonts w:hint="eastAsia" w:ascii="宋体" w:hAnsi="宋体" w:cs="宋体"/>
          <w:color w:val="auto"/>
          <w:kern w:val="0"/>
          <w:sz w:val="24"/>
          <w:szCs w:val="24"/>
          <w:highlight w:val="none"/>
        </w:rPr>
        <w:t>，从业人员人，营业收入为万元，资产总额为万元，属于</w:t>
      </w:r>
      <w:r>
        <w:rPr>
          <w:rFonts w:hint="eastAsia" w:ascii="宋体" w:hAnsi="宋体" w:cs="宋体"/>
          <w:color w:val="auto"/>
          <w:kern w:val="0"/>
          <w:sz w:val="24"/>
          <w:szCs w:val="24"/>
          <w:highlight w:val="none"/>
          <w:u w:val="single"/>
        </w:rPr>
        <w:t>（中型企业、小型企业、微型企业）</w:t>
      </w:r>
      <w:r>
        <w:rPr>
          <w:rFonts w:hint="eastAsia" w:ascii="宋体" w:hAnsi="宋体" w:cs="宋体"/>
          <w:color w:val="auto"/>
          <w:kern w:val="0"/>
          <w:sz w:val="24"/>
          <w:szCs w:val="24"/>
          <w:highlight w:val="none"/>
        </w:rPr>
        <w:t>；</w:t>
      </w:r>
    </w:p>
    <w:p>
      <w:pPr>
        <w:widowControl/>
        <w:snapToGrid w:val="0"/>
        <w:spacing w:before="75" w:after="75"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w:t>
      </w:r>
    </w:p>
    <w:p>
      <w:pPr>
        <w:widowControl/>
        <w:snapToGrid w:val="0"/>
        <w:spacing w:before="75" w:after="75"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以上企业，不属于大企业的分支机构，不存在控股股东为大企业的情形，也不存在与大企业的负责人为同一人的情形。</w:t>
      </w:r>
    </w:p>
    <w:p>
      <w:pPr>
        <w:widowControl/>
        <w:snapToGrid w:val="0"/>
        <w:spacing w:before="75" w:after="75"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本企业对上述声明内容的真实性负责。如有虚假，将依法承担相应责任。</w:t>
      </w:r>
    </w:p>
    <w:p>
      <w:pPr>
        <w:widowControl/>
        <w:snapToGrid w:val="0"/>
        <w:spacing w:before="75" w:after="75" w:line="400" w:lineRule="exact"/>
        <w:ind w:firstLine="480" w:firstLineChars="200"/>
        <w:rPr>
          <w:rFonts w:ascii="宋体" w:hAnsi="宋体" w:cs="宋体"/>
          <w:color w:val="auto"/>
          <w:kern w:val="0"/>
          <w:sz w:val="24"/>
          <w:szCs w:val="24"/>
          <w:highlight w:val="none"/>
        </w:rPr>
      </w:pPr>
    </w:p>
    <w:p>
      <w:pPr>
        <w:widowControl/>
        <w:snapToGrid w:val="0"/>
        <w:spacing w:before="75" w:after="75" w:line="400" w:lineRule="exact"/>
        <w:ind w:firstLine="480" w:firstLineChars="200"/>
        <w:rPr>
          <w:rFonts w:ascii="宋体" w:hAnsi="宋体" w:cs="宋体"/>
          <w:color w:val="auto"/>
          <w:kern w:val="0"/>
          <w:sz w:val="24"/>
          <w:szCs w:val="24"/>
          <w:highlight w:val="none"/>
        </w:rPr>
      </w:pPr>
    </w:p>
    <w:p>
      <w:pPr>
        <w:widowControl/>
        <w:snapToGrid w:val="0"/>
        <w:spacing w:before="75" w:after="75" w:line="400" w:lineRule="exact"/>
        <w:ind w:firstLine="4677" w:firstLineChars="1949"/>
        <w:rPr>
          <w:rFonts w:ascii="宋体" w:hAnsi="宋体" w:cs="宋体"/>
          <w:color w:val="auto"/>
          <w:kern w:val="0"/>
          <w:sz w:val="24"/>
          <w:szCs w:val="24"/>
          <w:highlight w:val="none"/>
        </w:rPr>
      </w:pPr>
      <w:r>
        <w:rPr>
          <w:rFonts w:hint="eastAsia" w:ascii="宋体" w:hAnsi="宋体" w:cs="宋体"/>
          <w:color w:val="auto"/>
          <w:kern w:val="0"/>
          <w:sz w:val="24"/>
          <w:szCs w:val="24"/>
          <w:highlight w:val="none"/>
        </w:rPr>
        <w:t>企业名称（盖章）：</w:t>
      </w:r>
    </w:p>
    <w:p>
      <w:pPr>
        <w:pStyle w:val="23"/>
        <w:rPr>
          <w:rFonts w:hAnsi="宋体"/>
          <w:color w:val="auto"/>
          <w:highlight w:val="none"/>
        </w:rPr>
      </w:pPr>
      <w:r>
        <w:rPr>
          <w:rFonts w:hint="eastAsia" w:hAnsi="宋体"/>
          <w:color w:val="auto"/>
          <w:kern w:val="0"/>
          <w:highlight w:val="none"/>
        </w:rPr>
        <w:t>日期：</w:t>
      </w:r>
    </w:p>
    <w:p>
      <w:pPr>
        <w:snapToGrid w:val="0"/>
        <w:spacing w:line="400" w:lineRule="exact"/>
        <w:ind w:firstLine="480" w:firstLineChars="200"/>
        <w:rPr>
          <w:rFonts w:ascii="宋体" w:hAnsi="宋体" w:cs="宋体"/>
          <w:color w:val="auto"/>
          <w:sz w:val="24"/>
          <w:highlight w:val="none"/>
        </w:rPr>
      </w:pPr>
    </w:p>
    <w:p>
      <w:pPr>
        <w:snapToGrid w:val="0"/>
        <w:spacing w:line="4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中小企业参加政府采购活动，应当出具本办法规定的《中小企业声明函》，须提供制造商属于小微企业的声明函,否则不得享受相关中小企业扶持政策。任何单位和个人不得要求供应商提供《中小企业声明函》之外的中小企业身份证明文件。</w:t>
      </w:r>
    </w:p>
    <w:p>
      <w:pPr>
        <w:tabs>
          <w:tab w:val="left" w:pos="3777"/>
          <w:tab w:val="center" w:pos="4819"/>
        </w:tabs>
        <w:snapToGrid w:val="0"/>
        <w:spacing w:line="400" w:lineRule="exact"/>
        <w:ind w:firstLine="3337" w:firstLineChars="1385"/>
        <w:rPr>
          <w:rFonts w:ascii="宋体" w:hAnsi="宋体" w:cs="宋体"/>
          <w:b/>
          <w:color w:val="auto"/>
          <w:sz w:val="24"/>
          <w:szCs w:val="24"/>
          <w:highlight w:val="none"/>
        </w:rPr>
      </w:pPr>
    </w:p>
    <w:p>
      <w:pPr>
        <w:tabs>
          <w:tab w:val="left" w:pos="3777"/>
          <w:tab w:val="center" w:pos="4819"/>
        </w:tabs>
        <w:snapToGrid w:val="0"/>
        <w:spacing w:line="400" w:lineRule="exact"/>
        <w:ind w:firstLine="3337" w:firstLineChars="1385"/>
        <w:rPr>
          <w:rFonts w:ascii="宋体" w:hAnsi="宋体" w:cs="宋体"/>
          <w:b/>
          <w:color w:val="auto"/>
          <w:sz w:val="24"/>
          <w:szCs w:val="24"/>
          <w:highlight w:val="none"/>
        </w:rPr>
      </w:pPr>
    </w:p>
    <w:p>
      <w:pPr>
        <w:tabs>
          <w:tab w:val="left" w:pos="3777"/>
          <w:tab w:val="center" w:pos="4819"/>
        </w:tabs>
        <w:snapToGrid w:val="0"/>
        <w:spacing w:line="400" w:lineRule="exact"/>
        <w:ind w:firstLine="3337" w:firstLineChars="1385"/>
        <w:rPr>
          <w:rFonts w:ascii="宋体" w:hAnsi="宋体" w:cs="宋体"/>
          <w:b/>
          <w:color w:val="auto"/>
          <w:sz w:val="24"/>
          <w:szCs w:val="24"/>
          <w:highlight w:val="none"/>
        </w:rPr>
      </w:pPr>
    </w:p>
    <w:p>
      <w:pPr>
        <w:tabs>
          <w:tab w:val="left" w:pos="3777"/>
          <w:tab w:val="center" w:pos="4819"/>
        </w:tabs>
        <w:snapToGrid w:val="0"/>
        <w:spacing w:line="400" w:lineRule="exact"/>
        <w:ind w:firstLine="3337" w:firstLineChars="1385"/>
        <w:rPr>
          <w:rFonts w:ascii="宋体" w:hAnsi="宋体" w:cs="宋体"/>
          <w:b/>
          <w:color w:val="auto"/>
          <w:sz w:val="24"/>
          <w:szCs w:val="24"/>
          <w:highlight w:val="none"/>
        </w:rPr>
      </w:pPr>
    </w:p>
    <w:p>
      <w:pPr>
        <w:tabs>
          <w:tab w:val="left" w:pos="3777"/>
          <w:tab w:val="center" w:pos="4819"/>
        </w:tabs>
        <w:snapToGrid w:val="0"/>
        <w:spacing w:line="400" w:lineRule="exact"/>
        <w:ind w:firstLine="3337" w:firstLineChars="1385"/>
        <w:rPr>
          <w:rFonts w:ascii="宋体" w:hAnsi="宋体" w:cs="宋体"/>
          <w:b/>
          <w:color w:val="auto"/>
          <w:sz w:val="24"/>
          <w:szCs w:val="24"/>
          <w:highlight w:val="none"/>
        </w:rPr>
      </w:pPr>
    </w:p>
    <w:p>
      <w:pPr>
        <w:rPr>
          <w:rFonts w:ascii="宋体" w:hAnsi="宋体" w:cs="宋体"/>
          <w:b/>
          <w:color w:val="auto"/>
          <w:sz w:val="24"/>
          <w:szCs w:val="24"/>
          <w:highlight w:val="none"/>
        </w:rPr>
      </w:pPr>
    </w:p>
    <w:p>
      <w:pPr>
        <w:tabs>
          <w:tab w:val="left" w:pos="3777"/>
          <w:tab w:val="center" w:pos="4819"/>
        </w:tabs>
        <w:snapToGrid w:val="0"/>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监狱企业声明函</w:t>
      </w:r>
    </w:p>
    <w:p>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（监狱企业适用）</w:t>
      </w:r>
    </w:p>
    <w:p>
      <w:pPr>
        <w:snapToGrid w:val="0"/>
        <w:spacing w:line="400" w:lineRule="exact"/>
        <w:ind w:firstLine="540" w:firstLineChars="225"/>
        <w:rPr>
          <w:rFonts w:ascii="宋体" w:hAnsi="宋体" w:cs="宋体"/>
          <w:color w:val="auto"/>
          <w:sz w:val="24"/>
          <w:highlight w:val="none"/>
        </w:rPr>
      </w:pPr>
      <w:r>
        <w:rPr>
          <w:rFonts w:hint="eastAsia" w:ascii="宋体" w:hAnsi="宋体" w:cs="宋体"/>
          <w:color w:val="auto"/>
          <w:sz w:val="24"/>
          <w:highlight w:val="none"/>
        </w:rPr>
        <w:t>本公司郑重声明，根据《财政部、司法部关于政府采购支持监狱企业发展有关问题的通知》（财库[2014]68号）的规定，本公司为监狱企业。</w:t>
      </w:r>
    </w:p>
    <w:p>
      <w:pPr>
        <w:snapToGrid w:val="0"/>
        <w:spacing w:line="400" w:lineRule="exact"/>
        <w:ind w:firstLine="540" w:firstLineChars="225"/>
        <w:rPr>
          <w:rFonts w:ascii="宋体" w:hAnsi="宋体" w:cs="宋体"/>
          <w:color w:val="auto"/>
          <w:sz w:val="24"/>
          <w:highlight w:val="none"/>
        </w:rPr>
      </w:pPr>
      <w:r>
        <w:rPr>
          <w:rFonts w:hint="eastAsia" w:ascii="宋体" w:hAnsi="宋体" w:cs="宋体"/>
          <w:color w:val="auto"/>
          <w:sz w:val="24"/>
          <w:highlight w:val="none"/>
        </w:rPr>
        <w:t>本公司参加______单位的______项目采购活动，采购活动提供本企业（填写制造的货物，由本企业承担工程、提供服务）。</w:t>
      </w:r>
    </w:p>
    <w:p>
      <w:pPr>
        <w:snapToGrid w:val="0"/>
        <w:spacing w:line="400" w:lineRule="exact"/>
        <w:ind w:firstLine="540" w:firstLineChars="225"/>
        <w:rPr>
          <w:rFonts w:ascii="宋体" w:hAnsi="宋体" w:cs="宋体"/>
          <w:color w:val="auto"/>
          <w:sz w:val="24"/>
          <w:highlight w:val="none"/>
        </w:rPr>
      </w:pPr>
      <w:r>
        <w:rPr>
          <w:rFonts w:hint="eastAsia" w:ascii="宋体" w:hAnsi="宋体" w:cs="宋体"/>
          <w:color w:val="auto"/>
          <w:sz w:val="24"/>
          <w:highlight w:val="none"/>
        </w:rPr>
        <w:t>本条所称货物不包括使用大型企业注册商标的货物和服务。</w:t>
      </w:r>
    </w:p>
    <w:p>
      <w:pPr>
        <w:snapToGrid w:val="0"/>
        <w:spacing w:line="400" w:lineRule="exact"/>
        <w:ind w:firstLine="540" w:firstLineChars="225"/>
        <w:rPr>
          <w:rFonts w:ascii="宋体" w:hAnsi="宋体" w:cs="宋体"/>
          <w:color w:val="auto"/>
          <w:sz w:val="24"/>
          <w:highlight w:val="none"/>
        </w:rPr>
      </w:pPr>
      <w:r>
        <w:rPr>
          <w:rFonts w:hint="eastAsia" w:ascii="宋体" w:hAnsi="宋体" w:cs="宋体"/>
          <w:color w:val="auto"/>
          <w:sz w:val="24"/>
          <w:highlight w:val="none"/>
        </w:rPr>
        <w:t>本公司对上述声明的真实性负责。如有虚假，将依法承担相应责任。</w:t>
      </w:r>
    </w:p>
    <w:p>
      <w:pPr>
        <w:snapToGrid w:val="0"/>
        <w:spacing w:line="400" w:lineRule="exact"/>
        <w:ind w:firstLine="4860" w:firstLineChars="2025"/>
        <w:rPr>
          <w:rFonts w:ascii="宋体" w:hAnsi="宋体" w:cs="宋体"/>
          <w:color w:val="auto"/>
          <w:sz w:val="24"/>
          <w:highlight w:val="none"/>
        </w:rPr>
      </w:pPr>
    </w:p>
    <w:p>
      <w:pPr>
        <w:pStyle w:val="23"/>
        <w:rPr>
          <w:rFonts w:hAnsi="宋体"/>
          <w:color w:val="auto"/>
          <w:highlight w:val="none"/>
        </w:rPr>
      </w:pPr>
      <w:r>
        <w:rPr>
          <w:rFonts w:hint="eastAsia" w:hAnsi="宋体"/>
          <w:color w:val="auto"/>
          <w:highlight w:val="none"/>
        </w:rPr>
        <w:t>供应商名称(公章)：____________</w:t>
      </w:r>
      <w:r>
        <w:rPr>
          <w:rFonts w:hint="eastAsia" w:hAnsi="宋体"/>
          <w:color w:val="auto"/>
          <w:highlight w:val="none"/>
        </w:rPr>
        <w:tab/>
      </w:r>
      <w:r>
        <w:rPr>
          <w:rFonts w:hint="eastAsia" w:hAnsi="宋体"/>
          <w:color w:val="auto"/>
          <w:highlight w:val="none"/>
        </w:rPr>
        <w:tab/>
      </w:r>
    </w:p>
    <w:p>
      <w:pPr>
        <w:pStyle w:val="23"/>
        <w:rPr>
          <w:rFonts w:hAnsi="宋体"/>
          <w:color w:val="auto"/>
          <w:highlight w:val="none"/>
          <w:lang w:val="zh-CN"/>
        </w:rPr>
      </w:pPr>
      <w:r>
        <w:rPr>
          <w:rFonts w:hint="eastAsia" w:hAnsi="宋体"/>
          <w:color w:val="auto"/>
          <w:highlight w:val="none"/>
        </w:rPr>
        <w:t>日期：________________________</w:t>
      </w:r>
    </w:p>
    <w:p>
      <w:pPr>
        <w:pStyle w:val="23"/>
        <w:rPr>
          <w:rFonts w:hAnsi="宋体"/>
          <w:color w:val="auto"/>
          <w:highlight w:val="none"/>
          <w:lang w:val="zh-CN"/>
        </w:rPr>
      </w:pPr>
    </w:p>
    <w:p>
      <w:pPr>
        <w:pStyle w:val="23"/>
        <w:rPr>
          <w:rFonts w:hAnsi="宋体"/>
          <w:color w:val="auto"/>
          <w:highlight w:val="none"/>
          <w:lang w:val="zh-CN"/>
        </w:rPr>
      </w:pPr>
      <w:r>
        <w:rPr>
          <w:rFonts w:hint="eastAsia" w:hAnsi="宋体"/>
          <w:color w:val="auto"/>
          <w:highlight w:val="none"/>
          <w:lang w:val="zh-CN"/>
        </w:rPr>
        <w:t>注：应当提供由省级以上监狱管理局、戒毒管理局（含新疆生产建设兵团）出具的属于监狱企业的证明文件。</w:t>
      </w:r>
    </w:p>
    <w:p>
      <w:pPr>
        <w:pStyle w:val="23"/>
        <w:rPr>
          <w:rFonts w:hAnsi="宋体"/>
          <w:color w:val="auto"/>
          <w:highlight w:val="none"/>
          <w:lang w:val="zh-CN"/>
        </w:rPr>
      </w:pPr>
    </w:p>
    <w:p>
      <w:pPr>
        <w:pStyle w:val="23"/>
        <w:rPr>
          <w:rFonts w:hAnsi="宋体"/>
          <w:color w:val="auto"/>
          <w:highlight w:val="none"/>
          <w:lang w:val="zh-CN"/>
        </w:rPr>
      </w:pPr>
    </w:p>
    <w:p>
      <w:pPr>
        <w:pStyle w:val="23"/>
        <w:rPr>
          <w:rFonts w:hAnsi="宋体"/>
          <w:color w:val="auto"/>
          <w:highlight w:val="none"/>
          <w:lang w:val="zh-CN"/>
        </w:rPr>
      </w:pPr>
    </w:p>
    <w:p>
      <w:pPr>
        <w:pStyle w:val="23"/>
        <w:rPr>
          <w:rFonts w:hAnsi="宋体"/>
          <w:color w:val="auto"/>
          <w:highlight w:val="none"/>
          <w:lang w:val="zh-CN"/>
        </w:rPr>
      </w:pPr>
    </w:p>
    <w:p>
      <w:pPr>
        <w:pStyle w:val="23"/>
        <w:rPr>
          <w:rFonts w:hAnsi="宋体"/>
          <w:color w:val="auto"/>
          <w:highlight w:val="none"/>
          <w:lang w:val="zh-CN"/>
        </w:rPr>
      </w:pPr>
    </w:p>
    <w:p>
      <w:pPr>
        <w:pStyle w:val="23"/>
        <w:rPr>
          <w:rFonts w:hAnsi="宋体"/>
          <w:color w:val="auto"/>
          <w:highlight w:val="none"/>
          <w:lang w:val="zh-CN"/>
        </w:rPr>
      </w:pPr>
    </w:p>
    <w:p>
      <w:pPr>
        <w:pStyle w:val="23"/>
        <w:rPr>
          <w:rFonts w:hAnsi="宋体"/>
          <w:color w:val="auto"/>
          <w:highlight w:val="none"/>
          <w:lang w:val="zh-CN"/>
        </w:rPr>
      </w:pPr>
    </w:p>
    <w:p>
      <w:pPr>
        <w:pStyle w:val="23"/>
        <w:rPr>
          <w:rFonts w:hAnsi="宋体"/>
          <w:color w:val="auto"/>
          <w:highlight w:val="none"/>
          <w:lang w:val="zh-CN"/>
        </w:rPr>
      </w:pPr>
    </w:p>
    <w:p>
      <w:pPr>
        <w:pStyle w:val="23"/>
        <w:rPr>
          <w:rFonts w:hAnsi="宋体"/>
          <w:color w:val="auto"/>
          <w:highlight w:val="none"/>
          <w:lang w:val="zh-CN"/>
        </w:rPr>
      </w:pPr>
    </w:p>
    <w:p>
      <w:pPr>
        <w:pStyle w:val="23"/>
        <w:rPr>
          <w:rFonts w:hAnsi="宋体"/>
          <w:color w:val="auto"/>
          <w:highlight w:val="none"/>
          <w:lang w:val="zh-CN"/>
        </w:rPr>
      </w:pPr>
    </w:p>
    <w:p>
      <w:pPr>
        <w:pStyle w:val="23"/>
        <w:rPr>
          <w:rFonts w:hAnsi="宋体"/>
          <w:color w:val="auto"/>
          <w:highlight w:val="none"/>
          <w:lang w:val="zh-CN"/>
        </w:rPr>
      </w:pPr>
    </w:p>
    <w:p>
      <w:pPr>
        <w:widowControl/>
        <w:snapToGrid w:val="0"/>
        <w:spacing w:line="400" w:lineRule="exact"/>
        <w:jc w:val="center"/>
        <w:rPr>
          <w:rFonts w:ascii="宋体" w:hAnsi="宋体" w:cs="宋体"/>
          <w:b/>
          <w:color w:val="auto"/>
          <w:spacing w:val="6"/>
          <w:sz w:val="32"/>
          <w:szCs w:val="32"/>
          <w:highlight w:val="none"/>
        </w:rPr>
      </w:pPr>
      <w:r>
        <w:rPr>
          <w:rFonts w:hint="eastAsia" w:ascii="宋体" w:hAnsi="宋体" w:cs="宋体"/>
          <w:b/>
          <w:color w:val="auto"/>
          <w:sz w:val="24"/>
          <w:szCs w:val="24"/>
          <w:highlight w:val="none"/>
        </w:rPr>
        <w:br w:type="page"/>
      </w:r>
      <w:r>
        <w:rPr>
          <w:rFonts w:hint="eastAsia" w:ascii="宋体" w:hAnsi="宋体" w:cs="宋体"/>
          <w:b/>
          <w:color w:val="auto"/>
          <w:sz w:val="24"/>
          <w:szCs w:val="24"/>
          <w:highlight w:val="none"/>
        </w:rPr>
        <w:t>残疾人</w:t>
      </w:r>
      <w:bookmarkStart w:id="114" w:name="OLE_LINK13"/>
      <w:bookmarkStart w:id="115" w:name="OLE_LINK14"/>
      <w:r>
        <w:rPr>
          <w:rFonts w:hint="eastAsia" w:ascii="宋体" w:hAnsi="宋体" w:cs="宋体"/>
          <w:b/>
          <w:color w:val="auto"/>
          <w:sz w:val="24"/>
          <w:szCs w:val="24"/>
          <w:highlight w:val="none"/>
        </w:rPr>
        <w:t>福利性单位声明函</w:t>
      </w:r>
    </w:p>
    <w:p>
      <w:pPr>
        <w:snapToGrid w:val="0"/>
        <w:spacing w:line="400" w:lineRule="exact"/>
        <w:ind w:firstLine="504" w:firstLineChars="200"/>
        <w:jc w:val="center"/>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w:t>
      </w:r>
      <w:r>
        <w:rPr>
          <w:rFonts w:hint="eastAsia" w:ascii="宋体" w:hAnsi="宋体" w:cs="宋体"/>
          <w:color w:val="auto"/>
          <w:sz w:val="24"/>
          <w:highlight w:val="none"/>
        </w:rPr>
        <w:t>残疾人福</w:t>
      </w:r>
      <w:bookmarkEnd w:id="114"/>
      <w:bookmarkEnd w:id="115"/>
      <w:r>
        <w:rPr>
          <w:rFonts w:hint="eastAsia" w:ascii="宋体" w:hAnsi="宋体" w:cs="宋体"/>
          <w:color w:val="auto"/>
          <w:sz w:val="24"/>
          <w:highlight w:val="none"/>
        </w:rPr>
        <w:t>利性单位适用</w:t>
      </w:r>
      <w:r>
        <w:rPr>
          <w:rFonts w:hint="eastAsia" w:ascii="宋体" w:hAnsi="宋体" w:cs="宋体"/>
          <w:color w:val="auto"/>
          <w:spacing w:val="6"/>
          <w:sz w:val="24"/>
          <w:szCs w:val="24"/>
          <w:highlight w:val="none"/>
        </w:rPr>
        <w:t>）</w:t>
      </w:r>
    </w:p>
    <w:p>
      <w:pPr>
        <w:snapToGrid w:val="0"/>
        <w:spacing w:line="400" w:lineRule="exact"/>
        <w:ind w:firstLine="504" w:firstLineChars="200"/>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本单位郑重声明，根据《关于促进残疾人就业政府采购政策的通知》（财库</w:t>
      </w:r>
      <w:r>
        <w:rPr>
          <w:rFonts w:hint="eastAsia" w:ascii="宋体" w:hAnsi="宋体" w:cs="宋体"/>
          <w:color w:val="auto"/>
          <w:sz w:val="24"/>
          <w:szCs w:val="24"/>
          <w:highlight w:val="none"/>
        </w:rPr>
        <w:t>〔2017〕 141</w:t>
      </w:r>
      <w:r>
        <w:rPr>
          <w:rFonts w:hint="eastAsia" w:ascii="宋体" w:hAnsi="宋体" w:cs="宋体"/>
          <w:color w:val="auto"/>
          <w:spacing w:val="6"/>
          <w:sz w:val="24"/>
          <w:szCs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pStyle w:val="23"/>
        <w:rPr>
          <w:rFonts w:hAnsi="宋体"/>
          <w:color w:val="auto"/>
          <w:highlight w:val="none"/>
        </w:rPr>
      </w:pPr>
      <w:r>
        <w:rPr>
          <w:rFonts w:hint="eastAsia" w:hAnsi="宋体"/>
          <w:color w:val="auto"/>
          <w:highlight w:val="none"/>
        </w:rPr>
        <w:t>本单位对上述声明的真实性负责。如有虚假，将依法承担相应责任。</w:t>
      </w:r>
    </w:p>
    <w:p>
      <w:pPr>
        <w:pStyle w:val="23"/>
        <w:rPr>
          <w:rFonts w:hAnsi="宋体"/>
          <w:color w:val="auto"/>
          <w:highlight w:val="none"/>
        </w:rPr>
      </w:pPr>
    </w:p>
    <w:p>
      <w:pPr>
        <w:pStyle w:val="23"/>
        <w:rPr>
          <w:rFonts w:hAnsi="宋体"/>
          <w:color w:val="auto"/>
          <w:highlight w:val="none"/>
        </w:rPr>
      </w:pPr>
      <w:r>
        <w:rPr>
          <w:rFonts w:hint="eastAsia" w:hAnsi="宋体"/>
          <w:color w:val="auto"/>
          <w:highlight w:val="none"/>
        </w:rPr>
        <w:t>供应商名称(公章)：____________</w:t>
      </w:r>
      <w:r>
        <w:rPr>
          <w:rFonts w:hint="eastAsia" w:hAnsi="宋体"/>
          <w:color w:val="auto"/>
          <w:highlight w:val="none"/>
        </w:rPr>
        <w:tab/>
      </w:r>
      <w:r>
        <w:rPr>
          <w:rFonts w:hint="eastAsia" w:hAnsi="宋体"/>
          <w:color w:val="auto"/>
          <w:highlight w:val="none"/>
        </w:rPr>
        <w:tab/>
      </w:r>
    </w:p>
    <w:p>
      <w:pPr>
        <w:pStyle w:val="23"/>
        <w:rPr>
          <w:rFonts w:hAnsi="宋体"/>
          <w:color w:val="auto"/>
          <w:highlight w:val="none"/>
        </w:rPr>
      </w:pPr>
      <w:r>
        <w:rPr>
          <w:rFonts w:hint="eastAsia" w:hAnsi="宋体"/>
          <w:color w:val="auto"/>
          <w:highlight w:val="none"/>
        </w:rPr>
        <w:t>日期：________________________</w:t>
      </w:r>
    </w:p>
    <w:p>
      <w:pPr>
        <w:pStyle w:val="198"/>
        <w:snapToGrid w:val="0"/>
        <w:spacing w:line="400" w:lineRule="exact"/>
        <w:ind w:right="17"/>
        <w:jc w:val="right"/>
        <w:rPr>
          <w:rFonts w:ascii="宋体" w:hAnsi="宋体" w:cs="宋体"/>
          <w:color w:val="auto"/>
          <w:sz w:val="24"/>
          <w:highlight w:val="none"/>
        </w:rPr>
      </w:pPr>
      <w:r>
        <w:rPr>
          <w:rFonts w:hint="eastAsia" w:hAnsi="宋体"/>
          <w:color w:val="auto"/>
          <w:highlight w:val="none"/>
        </w:rPr>
        <w:br w:type="page"/>
      </w:r>
    </w:p>
    <w:p>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13、其他证明文件或供应商认为应提交的商务文件</w:t>
      </w: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（1）其他生产经营该产品所必需的证明文件、制造商授权书等（如有）；</w:t>
      </w: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（2）其他</w:t>
      </w:r>
    </w:p>
    <w:p>
      <w:pPr>
        <w:widowControl/>
        <w:snapToGrid w:val="0"/>
        <w:spacing w:line="400" w:lineRule="exact"/>
        <w:jc w:val="left"/>
        <w:rPr>
          <w:rFonts w:ascii="宋体" w:hAnsi="宋体" w:cs="宋体"/>
          <w:b/>
          <w:bCs/>
          <w:color w:val="auto"/>
          <w:sz w:val="24"/>
          <w:szCs w:val="24"/>
          <w:highlight w:val="none"/>
        </w:rPr>
      </w:pPr>
    </w:p>
    <w:p>
      <w:pPr>
        <w:snapToGrid w:val="0"/>
        <w:spacing w:line="400" w:lineRule="exact"/>
        <w:rPr>
          <w:rFonts w:ascii="宋体" w:hAnsi="宋体" w:cs="宋体"/>
          <w:color w:val="auto"/>
          <w:sz w:val="24"/>
          <w:szCs w:val="24"/>
          <w:highlight w:val="none"/>
        </w:rPr>
      </w:pPr>
      <w:r>
        <w:rPr>
          <w:rFonts w:hint="eastAsia" w:ascii="宋体" w:hAnsi="宋体" w:cs="宋体"/>
          <w:b/>
          <w:color w:val="auto"/>
          <w:sz w:val="24"/>
          <w:szCs w:val="24"/>
          <w:highlight w:val="none"/>
        </w:rPr>
        <w:t>14、技术偏离表格式：</w:t>
      </w:r>
    </w:p>
    <w:p>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b/>
          <w:bCs/>
          <w:color w:val="auto"/>
          <w:sz w:val="24"/>
          <w:szCs w:val="24"/>
          <w:highlight w:val="none"/>
        </w:rPr>
        <w:t>技术偏离表</w:t>
      </w:r>
    </w:p>
    <w:p>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color w:val="auto"/>
          <w:sz w:val="24"/>
          <w:szCs w:val="24"/>
          <w:highlight w:val="none"/>
        </w:rPr>
        <w:t>项目名称：</w:t>
      </w:r>
    </w:p>
    <w:p>
      <w:pPr>
        <w:adjustRightInd w:val="0"/>
        <w:snapToGrid w:val="0"/>
        <w:spacing w:line="400" w:lineRule="exact"/>
        <w:jc w:val="left"/>
        <w:rPr>
          <w:rFonts w:ascii="宋体" w:hAnsi="宋体" w:cs="宋体"/>
          <w:color w:val="auto"/>
          <w:sz w:val="24"/>
          <w:szCs w:val="24"/>
          <w:highlight w:val="none"/>
          <w:u w:val="single"/>
        </w:rPr>
      </w:pPr>
      <w:r>
        <w:rPr>
          <w:rFonts w:hint="eastAsia" w:ascii="宋体" w:hAnsi="宋体" w:cs="宋体"/>
          <w:color w:val="auto"/>
          <w:sz w:val="24"/>
          <w:szCs w:val="24"/>
          <w:highlight w:val="none"/>
        </w:rPr>
        <w:t>项目编号：</w:t>
      </w:r>
    </w:p>
    <w:p>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标包编号及内容： </w:t>
      </w:r>
    </w:p>
    <w:tbl>
      <w:tblPr>
        <w:tblStyle w:val="38"/>
        <w:tblW w:w="861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492"/>
        <w:gridCol w:w="1836"/>
        <w:gridCol w:w="1994"/>
        <w:gridCol w:w="2030"/>
        <w:gridCol w:w="126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09" w:hRule="atLeast"/>
          <w:jc w:val="center"/>
        </w:trPr>
        <w:tc>
          <w:tcPr>
            <w:tcW w:w="3328"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招标文件要求</w:t>
            </w:r>
          </w:p>
        </w:tc>
        <w:tc>
          <w:tcPr>
            <w:tcW w:w="4024"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投标文件响应</w:t>
            </w:r>
          </w:p>
        </w:tc>
        <w:tc>
          <w:tcPr>
            <w:tcW w:w="1264" w:type="dxa"/>
            <w:vMerge w:val="restart"/>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偏离情况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96"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项目</w:t>
            </w:r>
          </w:p>
        </w:tc>
        <w:tc>
          <w:tcPr>
            <w:tcW w:w="18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要求</w:t>
            </w:r>
          </w:p>
        </w:tc>
        <w:tc>
          <w:tcPr>
            <w:tcW w:w="199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名称</w:t>
            </w:r>
          </w:p>
        </w:tc>
        <w:tc>
          <w:tcPr>
            <w:tcW w:w="20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性能及指标</w:t>
            </w:r>
          </w:p>
        </w:tc>
        <w:tc>
          <w:tcPr>
            <w:tcW w:w="1264" w:type="dxa"/>
            <w:vMerge w:val="continue"/>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400" w:lineRule="exact"/>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8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99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20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2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8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99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20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2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8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99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20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2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8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99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20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2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5"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8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99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20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2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r>
    </w:tbl>
    <w:p>
      <w:pPr>
        <w:adjustRightInd w:val="0"/>
        <w:snapToGrid w:val="0"/>
        <w:spacing w:line="40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注：1、投标人应根据投标设备的性能指标、对照招标文件要求在“偏离情况”栏注明“正偏离”、“负偏离”或“无偏离”。</w:t>
      </w:r>
    </w:p>
    <w:p>
      <w:pPr>
        <w:adjustRightInd w:val="0"/>
        <w:snapToGrid w:val="0"/>
        <w:spacing w:line="40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2、每项技术参数须针对项目需求提供相关佐证材料（包括但不限于检测报告、技术规格书等）。</w:t>
      </w:r>
    </w:p>
    <w:p>
      <w:pPr>
        <w:adjustRightInd w:val="0"/>
        <w:snapToGrid w:val="0"/>
        <w:spacing w:line="400" w:lineRule="exact"/>
        <w:rPr>
          <w:rFonts w:ascii="宋体" w:hAnsi="宋体" w:cs="宋体"/>
          <w:b/>
          <w:bCs/>
          <w:color w:val="auto"/>
          <w:spacing w:val="20"/>
          <w:sz w:val="24"/>
          <w:szCs w:val="24"/>
          <w:highlight w:val="none"/>
        </w:rPr>
      </w:pPr>
      <w:r>
        <w:rPr>
          <w:rFonts w:hint="eastAsia" w:ascii="宋体" w:hAnsi="宋体" w:cs="宋体"/>
          <w:b/>
          <w:bCs/>
          <w:color w:val="auto"/>
          <w:sz w:val="24"/>
          <w:szCs w:val="24"/>
          <w:highlight w:val="none"/>
        </w:rPr>
        <w:t>3、投标人提供投标设备的性能指标与实际不符的且产生偏离的，评标委员会有权认定该投标文件为无效响应。</w:t>
      </w:r>
    </w:p>
    <w:p>
      <w:pPr>
        <w:adjustRightInd w:val="0"/>
        <w:snapToGrid w:val="0"/>
        <w:spacing w:line="400" w:lineRule="exact"/>
        <w:ind w:right="-817" w:rightChars="-389"/>
        <w:rPr>
          <w:rFonts w:ascii="宋体" w:hAnsi="宋体" w:cs="宋体"/>
          <w:color w:val="auto"/>
          <w:sz w:val="24"/>
          <w:szCs w:val="24"/>
          <w:highlight w:val="none"/>
        </w:rPr>
      </w:pPr>
    </w:p>
    <w:p>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投标人名称（盖章）：</w:t>
      </w:r>
    </w:p>
    <w:p>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法定代表人（负责人、自然人）或授权代表（签字）：</w:t>
      </w:r>
    </w:p>
    <w:p>
      <w:pPr>
        <w:adjustRightInd w:val="0"/>
        <w:snapToGrid w:val="0"/>
        <w:spacing w:line="400" w:lineRule="exact"/>
        <w:ind w:left="-2" w:leftChars="-1" w:right="-817" w:rightChars="-389" w:firstLine="2"/>
        <w:jc w:val="left"/>
        <w:rPr>
          <w:rFonts w:ascii="宋体" w:hAnsi="宋体" w:cs="宋体"/>
          <w:color w:val="auto"/>
          <w:sz w:val="24"/>
          <w:szCs w:val="24"/>
          <w:highlight w:val="none"/>
        </w:rPr>
      </w:pPr>
      <w:r>
        <w:rPr>
          <w:rFonts w:hint="eastAsia" w:ascii="宋体" w:hAnsi="宋体" w:cs="宋体"/>
          <w:color w:val="auto"/>
          <w:sz w:val="24"/>
          <w:szCs w:val="24"/>
          <w:highlight w:val="none"/>
        </w:rPr>
        <w:t>日期：    年   月   日</w:t>
      </w:r>
    </w:p>
    <w:p>
      <w:pPr>
        <w:pStyle w:val="2"/>
        <w:rPr>
          <w:rFonts w:ascii="宋体" w:hAnsi="宋体"/>
          <w:color w:val="auto"/>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widowControl/>
        <w:snapToGrid w:val="0"/>
        <w:spacing w:line="400" w:lineRule="exact"/>
        <w:jc w:val="left"/>
        <w:rPr>
          <w:rFonts w:ascii="宋体" w:hAnsi="宋体" w:cs="宋体"/>
          <w:b/>
          <w:color w:val="auto"/>
          <w:sz w:val="24"/>
          <w:szCs w:val="24"/>
          <w:highlight w:val="none"/>
        </w:rPr>
      </w:pPr>
      <w:r>
        <w:rPr>
          <w:rFonts w:hint="eastAsia" w:ascii="宋体" w:hAnsi="宋体" w:cs="宋体"/>
          <w:b/>
          <w:bCs/>
          <w:color w:val="auto"/>
          <w:sz w:val="24"/>
          <w:szCs w:val="24"/>
          <w:highlight w:val="none"/>
        </w:rPr>
        <w:t>15、</w:t>
      </w:r>
      <w:r>
        <w:rPr>
          <w:rFonts w:hint="eastAsia" w:ascii="宋体" w:hAnsi="宋体" w:cs="宋体"/>
          <w:b/>
          <w:color w:val="auto"/>
          <w:sz w:val="24"/>
          <w:szCs w:val="24"/>
          <w:highlight w:val="none"/>
        </w:rPr>
        <w:t>产品详细技术规格书</w:t>
      </w:r>
    </w:p>
    <w:p>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货物说明包括：</w:t>
      </w:r>
    </w:p>
    <w:p>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(1)产品技术参数（指标）、功能等性能描述；（产品技术参数（指标）、功能等性能描述内容必须为可编辑Word版本）</w:t>
      </w:r>
    </w:p>
    <w:p>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(2)产品的规范资料、外观彩图及尺寸等描述（要求提供复印件）；</w:t>
      </w:r>
    </w:p>
    <w:p>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(3)配置先进合理，技术成熟，安全可靠；</w:t>
      </w:r>
    </w:p>
    <w:p>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(4)货物优势介绍；</w:t>
      </w:r>
    </w:p>
    <w:p>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(5)产品耐用性及使用功能安全性、采用新技术、新工艺或选用新材料情况；</w:t>
      </w:r>
    </w:p>
    <w:p>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(6)投标人认为有必要提供的其他说明材料。</w:t>
      </w:r>
    </w:p>
    <w:p>
      <w:pPr>
        <w:pStyle w:val="2"/>
        <w:rPr>
          <w:rFonts w:ascii="宋体" w:hAnsi="宋体" w:cs="宋体"/>
          <w:b/>
          <w:bCs/>
          <w:color w:val="auto"/>
          <w:sz w:val="24"/>
          <w:szCs w:val="24"/>
          <w:highlight w:val="none"/>
        </w:rPr>
      </w:pPr>
    </w:p>
    <w:p>
      <w:pPr>
        <w:widowControl/>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16、与产品相关的由国家认可的检测机构出具的检测报告（如有）。</w:t>
      </w: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widowControl/>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17、针对项目的详细组织实施方案：包括（但不限于）项目人员配备、项目供货方案、安装调试方案、验收方案（应说明验收方法和验收条件、安装验收需用的环境及配套条件）等内容；</w:t>
      </w:r>
    </w:p>
    <w:p>
      <w:pPr>
        <w:adjustRightInd w:val="0"/>
        <w:snapToGrid w:val="0"/>
        <w:spacing w:line="500" w:lineRule="exact"/>
        <w:ind w:firstLine="470" w:firstLineChars="196"/>
        <w:jc w:val="left"/>
        <w:rPr>
          <w:rFonts w:ascii="宋体" w:hAnsi="宋体" w:cstheme="majorEastAsia"/>
          <w:color w:val="auto"/>
          <w:sz w:val="24"/>
          <w:szCs w:val="24"/>
          <w:highlight w:val="none"/>
        </w:rPr>
      </w:pPr>
    </w:p>
    <w:p>
      <w:pPr>
        <w:widowControl/>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18、针对本项目的详细技术培训方案：包括（但不限于）</w:t>
      </w:r>
      <w:r>
        <w:rPr>
          <w:rFonts w:ascii="宋体" w:hAnsi="宋体" w:cs="宋体"/>
          <w:b/>
          <w:color w:val="auto"/>
          <w:sz w:val="24"/>
          <w:szCs w:val="24"/>
          <w:highlight w:val="none"/>
        </w:rPr>
        <w:t>培训内容</w:t>
      </w:r>
      <w:r>
        <w:rPr>
          <w:rFonts w:hint="eastAsia" w:ascii="宋体" w:hAnsi="宋体" w:cs="宋体"/>
          <w:b/>
          <w:color w:val="auto"/>
          <w:sz w:val="24"/>
          <w:szCs w:val="24"/>
          <w:highlight w:val="none"/>
        </w:rPr>
        <w:t>、</w:t>
      </w:r>
      <w:r>
        <w:rPr>
          <w:rFonts w:ascii="宋体" w:hAnsi="宋体" w:cs="宋体"/>
          <w:b/>
          <w:color w:val="auto"/>
          <w:sz w:val="24"/>
          <w:szCs w:val="24"/>
          <w:highlight w:val="none"/>
        </w:rPr>
        <w:t>培训方式</w:t>
      </w:r>
      <w:r>
        <w:rPr>
          <w:rFonts w:hint="eastAsia" w:ascii="宋体" w:hAnsi="宋体" w:cs="宋体"/>
          <w:b/>
          <w:color w:val="auto"/>
          <w:sz w:val="24"/>
          <w:szCs w:val="24"/>
          <w:highlight w:val="none"/>
        </w:rPr>
        <w:t>、</w:t>
      </w:r>
      <w:r>
        <w:rPr>
          <w:rFonts w:ascii="宋体" w:hAnsi="宋体" w:cs="宋体"/>
          <w:b/>
          <w:color w:val="auto"/>
          <w:sz w:val="24"/>
          <w:szCs w:val="24"/>
          <w:highlight w:val="none"/>
        </w:rPr>
        <w:t>培训计划</w:t>
      </w:r>
      <w:r>
        <w:rPr>
          <w:rFonts w:hint="eastAsia" w:ascii="宋体" w:hAnsi="宋体" w:cs="宋体"/>
          <w:b/>
          <w:color w:val="auto"/>
          <w:sz w:val="24"/>
          <w:szCs w:val="24"/>
          <w:highlight w:val="none"/>
        </w:rPr>
        <w:t>、</w:t>
      </w:r>
      <w:r>
        <w:rPr>
          <w:rFonts w:ascii="宋体" w:hAnsi="宋体" w:cs="宋体"/>
          <w:b/>
          <w:color w:val="auto"/>
          <w:sz w:val="24"/>
          <w:szCs w:val="24"/>
          <w:highlight w:val="none"/>
        </w:rPr>
        <w:t>培训团队人员配置等</w:t>
      </w:r>
      <w:r>
        <w:rPr>
          <w:rFonts w:hint="eastAsia" w:ascii="宋体" w:hAnsi="宋体" w:cs="宋体"/>
          <w:b/>
          <w:color w:val="auto"/>
          <w:sz w:val="24"/>
          <w:szCs w:val="24"/>
          <w:highlight w:val="none"/>
        </w:rPr>
        <w:t>内容。</w:t>
      </w:r>
    </w:p>
    <w:p>
      <w:pPr>
        <w:widowControl/>
        <w:snapToGrid w:val="0"/>
        <w:spacing w:line="400" w:lineRule="exact"/>
        <w:jc w:val="left"/>
        <w:rPr>
          <w:rFonts w:ascii="宋体" w:hAnsi="宋体" w:cs="宋体"/>
          <w:b/>
          <w:color w:val="auto"/>
          <w:sz w:val="24"/>
          <w:szCs w:val="24"/>
          <w:highlight w:val="none"/>
        </w:rPr>
      </w:pPr>
    </w:p>
    <w:p>
      <w:pPr>
        <w:widowControl/>
        <w:snapToGrid w:val="0"/>
        <w:spacing w:line="400" w:lineRule="exact"/>
        <w:jc w:val="left"/>
        <w:rPr>
          <w:rFonts w:ascii="宋体" w:hAnsi="宋体" w:cs="宋体"/>
          <w:b/>
          <w:color w:val="auto"/>
          <w:sz w:val="24"/>
          <w:szCs w:val="24"/>
          <w:highlight w:val="none"/>
        </w:rPr>
      </w:pPr>
    </w:p>
    <w:p>
      <w:pPr>
        <w:widowControl/>
        <w:snapToGrid w:val="0"/>
        <w:spacing w:line="400" w:lineRule="exact"/>
        <w:jc w:val="left"/>
        <w:rPr>
          <w:rFonts w:ascii="宋体" w:hAnsi="宋体" w:cs="宋体"/>
          <w:b/>
          <w:color w:val="auto"/>
          <w:sz w:val="24"/>
          <w:szCs w:val="24"/>
          <w:highlight w:val="none"/>
        </w:rPr>
      </w:pPr>
    </w:p>
    <w:p>
      <w:pPr>
        <w:widowControl/>
        <w:snapToGrid w:val="0"/>
        <w:spacing w:line="400" w:lineRule="exact"/>
        <w:jc w:val="left"/>
        <w:rPr>
          <w:rFonts w:ascii="宋体" w:hAnsi="宋体" w:cs="宋体"/>
          <w:b/>
          <w:color w:val="auto"/>
          <w:sz w:val="24"/>
          <w:szCs w:val="24"/>
          <w:highlight w:val="none"/>
        </w:rPr>
      </w:pPr>
    </w:p>
    <w:p>
      <w:pPr>
        <w:widowControl/>
        <w:snapToGrid w:val="0"/>
        <w:spacing w:line="400" w:lineRule="exact"/>
        <w:jc w:val="left"/>
        <w:rPr>
          <w:rFonts w:ascii="宋体" w:hAnsi="宋体" w:cs="宋体"/>
          <w:b/>
          <w:color w:val="auto"/>
          <w:sz w:val="24"/>
          <w:szCs w:val="24"/>
          <w:highlight w:val="none"/>
        </w:rPr>
      </w:pPr>
    </w:p>
    <w:p>
      <w:pPr>
        <w:widowControl/>
        <w:snapToGrid w:val="0"/>
        <w:spacing w:line="400" w:lineRule="exact"/>
        <w:jc w:val="left"/>
        <w:rPr>
          <w:rFonts w:ascii="宋体" w:hAnsi="宋体" w:cs="宋体"/>
          <w:b/>
          <w:color w:val="auto"/>
          <w:sz w:val="24"/>
          <w:szCs w:val="24"/>
          <w:highlight w:val="none"/>
        </w:rPr>
      </w:pPr>
    </w:p>
    <w:p>
      <w:pPr>
        <w:widowControl/>
        <w:snapToGrid w:val="0"/>
        <w:spacing w:line="400" w:lineRule="exact"/>
        <w:jc w:val="left"/>
        <w:rPr>
          <w:rFonts w:ascii="宋体" w:hAnsi="宋体" w:cs="宋体"/>
          <w:b/>
          <w:color w:val="auto"/>
          <w:sz w:val="24"/>
          <w:szCs w:val="24"/>
          <w:highlight w:val="none"/>
        </w:rPr>
      </w:pPr>
    </w:p>
    <w:p>
      <w:pPr>
        <w:widowControl/>
        <w:snapToGrid w:val="0"/>
        <w:spacing w:line="400" w:lineRule="exact"/>
        <w:jc w:val="left"/>
        <w:rPr>
          <w:rFonts w:ascii="宋体" w:hAnsi="宋体" w:cs="宋体"/>
          <w:b/>
          <w:color w:val="auto"/>
          <w:sz w:val="24"/>
          <w:szCs w:val="24"/>
          <w:highlight w:val="none"/>
        </w:rPr>
      </w:pPr>
    </w:p>
    <w:p>
      <w:pPr>
        <w:widowControl/>
        <w:snapToGrid w:val="0"/>
        <w:spacing w:line="400" w:lineRule="exact"/>
        <w:jc w:val="left"/>
        <w:rPr>
          <w:rFonts w:ascii="宋体" w:hAnsi="宋体" w:cs="宋体"/>
          <w:b/>
          <w:color w:val="auto"/>
          <w:sz w:val="24"/>
          <w:szCs w:val="24"/>
          <w:highlight w:val="none"/>
        </w:rPr>
      </w:pPr>
    </w:p>
    <w:p>
      <w:pPr>
        <w:widowControl/>
        <w:snapToGrid w:val="0"/>
        <w:spacing w:line="400" w:lineRule="exact"/>
        <w:jc w:val="left"/>
        <w:rPr>
          <w:rFonts w:ascii="宋体" w:hAnsi="宋体" w:cs="宋体"/>
          <w:b/>
          <w:color w:val="auto"/>
          <w:sz w:val="24"/>
          <w:szCs w:val="24"/>
          <w:highlight w:val="none"/>
        </w:rPr>
      </w:pPr>
    </w:p>
    <w:p>
      <w:pPr>
        <w:widowControl/>
        <w:snapToGrid w:val="0"/>
        <w:spacing w:line="400" w:lineRule="exact"/>
        <w:jc w:val="left"/>
        <w:rPr>
          <w:rFonts w:ascii="宋体" w:hAnsi="宋体" w:cs="宋体"/>
          <w:b/>
          <w:color w:val="auto"/>
          <w:sz w:val="24"/>
          <w:szCs w:val="24"/>
          <w:highlight w:val="none"/>
        </w:rPr>
      </w:pPr>
    </w:p>
    <w:p>
      <w:pPr>
        <w:widowControl/>
        <w:snapToGrid w:val="0"/>
        <w:spacing w:line="400" w:lineRule="exact"/>
        <w:jc w:val="left"/>
        <w:rPr>
          <w:rFonts w:ascii="宋体" w:hAnsi="宋体" w:cs="宋体"/>
          <w:b/>
          <w:color w:val="auto"/>
          <w:sz w:val="24"/>
          <w:szCs w:val="24"/>
          <w:highlight w:val="none"/>
        </w:rPr>
      </w:pPr>
    </w:p>
    <w:p>
      <w:pPr>
        <w:widowControl/>
        <w:snapToGrid w:val="0"/>
        <w:spacing w:line="400" w:lineRule="exact"/>
        <w:jc w:val="left"/>
        <w:rPr>
          <w:rFonts w:ascii="宋体" w:hAnsi="宋体" w:cs="宋体"/>
          <w:b/>
          <w:color w:val="auto"/>
          <w:sz w:val="24"/>
          <w:szCs w:val="24"/>
          <w:highlight w:val="none"/>
        </w:rPr>
      </w:pPr>
    </w:p>
    <w:p>
      <w:pPr>
        <w:widowControl/>
        <w:snapToGrid w:val="0"/>
        <w:spacing w:line="400" w:lineRule="exact"/>
        <w:jc w:val="left"/>
        <w:rPr>
          <w:rFonts w:ascii="宋体" w:hAnsi="宋体" w:cs="宋体"/>
          <w:b/>
          <w:color w:val="auto"/>
          <w:sz w:val="24"/>
          <w:szCs w:val="24"/>
          <w:highlight w:val="none"/>
        </w:rPr>
      </w:pPr>
    </w:p>
    <w:p>
      <w:pPr>
        <w:widowControl/>
        <w:snapToGrid w:val="0"/>
        <w:spacing w:line="400" w:lineRule="exact"/>
        <w:jc w:val="left"/>
        <w:rPr>
          <w:rFonts w:ascii="宋体" w:hAnsi="宋体" w:cs="宋体"/>
          <w:b/>
          <w:color w:val="auto"/>
          <w:sz w:val="24"/>
          <w:szCs w:val="24"/>
          <w:highlight w:val="none"/>
        </w:rPr>
      </w:pPr>
    </w:p>
    <w:p>
      <w:pPr>
        <w:widowControl/>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19、针对本项目的售后服务方案：包括（但不限于）售后</w:t>
      </w:r>
      <w:r>
        <w:rPr>
          <w:rFonts w:ascii="宋体" w:hAnsi="宋体" w:cs="宋体"/>
          <w:b/>
          <w:color w:val="auto"/>
          <w:sz w:val="24"/>
          <w:szCs w:val="24"/>
          <w:highlight w:val="none"/>
        </w:rPr>
        <w:t>服务承诺</w:t>
      </w:r>
      <w:r>
        <w:rPr>
          <w:rFonts w:hint="eastAsia" w:ascii="宋体" w:hAnsi="宋体" w:cs="宋体"/>
          <w:b/>
          <w:color w:val="auto"/>
          <w:sz w:val="24"/>
          <w:szCs w:val="24"/>
          <w:highlight w:val="none"/>
        </w:rPr>
        <w:t>、</w:t>
      </w:r>
      <w:r>
        <w:rPr>
          <w:rFonts w:ascii="宋体" w:hAnsi="宋体" w:cs="宋体"/>
          <w:b/>
          <w:color w:val="auto"/>
          <w:sz w:val="24"/>
          <w:szCs w:val="24"/>
          <w:highlight w:val="none"/>
        </w:rPr>
        <w:t>服务响应方案</w:t>
      </w:r>
      <w:r>
        <w:rPr>
          <w:rFonts w:hint="eastAsia" w:ascii="宋体" w:hAnsi="宋体" w:cs="宋体"/>
          <w:b/>
          <w:color w:val="auto"/>
          <w:sz w:val="24"/>
          <w:szCs w:val="24"/>
          <w:highlight w:val="none"/>
        </w:rPr>
        <w:t>、</w:t>
      </w:r>
      <w:r>
        <w:rPr>
          <w:rFonts w:ascii="宋体" w:hAnsi="宋体" w:cs="宋体"/>
          <w:b/>
          <w:color w:val="auto"/>
          <w:sz w:val="24"/>
          <w:szCs w:val="24"/>
          <w:highlight w:val="none"/>
        </w:rPr>
        <w:t>备件（易耗品）供应方案</w:t>
      </w:r>
      <w:r>
        <w:rPr>
          <w:rFonts w:hint="eastAsia" w:ascii="宋体" w:hAnsi="宋体" w:cs="宋体"/>
          <w:b/>
          <w:color w:val="auto"/>
          <w:sz w:val="24"/>
          <w:szCs w:val="24"/>
          <w:highlight w:val="none"/>
        </w:rPr>
        <w:t>（含备件价格）、</w:t>
      </w:r>
      <w:r>
        <w:rPr>
          <w:rFonts w:ascii="宋体" w:hAnsi="宋体" w:cs="宋体"/>
          <w:b/>
          <w:color w:val="auto"/>
          <w:sz w:val="24"/>
          <w:szCs w:val="24"/>
          <w:highlight w:val="none"/>
        </w:rPr>
        <w:t>服务人员配备</w:t>
      </w:r>
      <w:r>
        <w:rPr>
          <w:rFonts w:hint="eastAsia" w:ascii="宋体" w:hAnsi="宋体" w:cs="宋体"/>
          <w:b/>
          <w:color w:val="auto"/>
          <w:sz w:val="24"/>
          <w:szCs w:val="24"/>
          <w:highlight w:val="none"/>
        </w:rPr>
        <w:t>、</w:t>
      </w:r>
      <w:r>
        <w:rPr>
          <w:rFonts w:ascii="宋体" w:hAnsi="宋体" w:cs="宋体"/>
          <w:b/>
          <w:color w:val="auto"/>
          <w:sz w:val="24"/>
          <w:szCs w:val="24"/>
          <w:highlight w:val="none"/>
        </w:rPr>
        <w:t>故障响应</w:t>
      </w:r>
      <w:r>
        <w:rPr>
          <w:rFonts w:hint="eastAsia" w:ascii="宋体" w:hAnsi="宋体" w:cs="宋体"/>
          <w:b/>
          <w:color w:val="auto"/>
          <w:sz w:val="24"/>
          <w:szCs w:val="24"/>
          <w:highlight w:val="none"/>
        </w:rPr>
        <w:t>措施、</w:t>
      </w:r>
      <w:r>
        <w:rPr>
          <w:rFonts w:ascii="宋体" w:hAnsi="宋体" w:cs="宋体"/>
          <w:b/>
          <w:color w:val="auto"/>
          <w:sz w:val="24"/>
          <w:szCs w:val="24"/>
          <w:highlight w:val="none"/>
        </w:rPr>
        <w:t>质保外服务措施等</w:t>
      </w:r>
      <w:r>
        <w:rPr>
          <w:rFonts w:hint="eastAsia" w:ascii="宋体" w:hAnsi="宋体" w:cs="宋体"/>
          <w:b/>
          <w:color w:val="auto"/>
          <w:sz w:val="24"/>
          <w:szCs w:val="24"/>
          <w:highlight w:val="none"/>
        </w:rPr>
        <w:t>内容。</w:t>
      </w:r>
    </w:p>
    <w:p>
      <w:pPr>
        <w:widowControl/>
        <w:snapToGrid w:val="0"/>
        <w:spacing w:line="400" w:lineRule="exact"/>
        <w:jc w:val="center"/>
        <w:rPr>
          <w:rFonts w:ascii="宋体" w:hAnsi="宋体" w:cstheme="minorEastAsia"/>
          <w:b/>
          <w:bCs/>
          <w:color w:val="auto"/>
          <w:kern w:val="0"/>
          <w:sz w:val="24"/>
          <w:szCs w:val="24"/>
          <w:highlight w:val="none"/>
        </w:rPr>
      </w:pPr>
      <w:r>
        <w:rPr>
          <w:rFonts w:hint="eastAsia" w:ascii="宋体" w:hAnsi="宋体" w:cstheme="minorEastAsia"/>
          <w:b/>
          <w:bCs/>
          <w:color w:val="auto"/>
          <w:kern w:val="0"/>
          <w:sz w:val="24"/>
          <w:szCs w:val="24"/>
          <w:highlight w:val="none"/>
        </w:rPr>
        <w:t>售后服务附表</w:t>
      </w:r>
    </w:p>
    <w:p>
      <w:pPr>
        <w:snapToGrid w:val="0"/>
        <w:spacing w:line="400" w:lineRule="exact"/>
        <w:jc w:val="left"/>
        <w:rPr>
          <w:rFonts w:ascii="宋体" w:hAnsi="宋体" w:cstheme="minorEastAsia"/>
          <w:color w:val="auto"/>
          <w:spacing w:val="1"/>
          <w:kern w:val="0"/>
          <w:sz w:val="24"/>
          <w:szCs w:val="24"/>
          <w:highlight w:val="none"/>
          <w:u w:val="single"/>
        </w:rPr>
      </w:pPr>
      <w:r>
        <w:rPr>
          <w:rFonts w:hint="eastAsia" w:ascii="宋体" w:hAnsi="宋体" w:cstheme="minorEastAsia"/>
          <w:color w:val="auto"/>
          <w:spacing w:val="1"/>
          <w:kern w:val="0"/>
          <w:sz w:val="24"/>
          <w:szCs w:val="24"/>
          <w:highlight w:val="none"/>
        </w:rPr>
        <w:t>项目名称：</w:t>
      </w:r>
    </w:p>
    <w:p>
      <w:pPr>
        <w:snapToGrid w:val="0"/>
        <w:spacing w:line="400" w:lineRule="exact"/>
        <w:jc w:val="left"/>
        <w:rPr>
          <w:rFonts w:ascii="宋体" w:hAnsi="宋体" w:cstheme="minorEastAsia"/>
          <w:color w:val="auto"/>
          <w:spacing w:val="1"/>
          <w:kern w:val="0"/>
          <w:sz w:val="24"/>
          <w:szCs w:val="24"/>
          <w:highlight w:val="none"/>
          <w:u w:val="single"/>
        </w:rPr>
      </w:pPr>
      <w:r>
        <w:rPr>
          <w:rFonts w:hint="eastAsia" w:ascii="宋体" w:hAnsi="宋体" w:cstheme="minorEastAsia"/>
          <w:color w:val="auto"/>
          <w:spacing w:val="1"/>
          <w:kern w:val="0"/>
          <w:sz w:val="24"/>
          <w:szCs w:val="24"/>
          <w:highlight w:val="none"/>
        </w:rPr>
        <w:t>标包编号：</w:t>
      </w:r>
    </w:p>
    <w:p>
      <w:pPr>
        <w:snapToGrid w:val="0"/>
        <w:spacing w:line="400" w:lineRule="exact"/>
        <w:jc w:val="left"/>
        <w:rPr>
          <w:rFonts w:ascii="宋体" w:hAnsi="宋体" w:cstheme="minorEastAsia"/>
          <w:color w:val="auto"/>
          <w:kern w:val="0"/>
          <w:sz w:val="24"/>
          <w:szCs w:val="24"/>
          <w:highlight w:val="none"/>
        </w:rPr>
      </w:pPr>
      <w:r>
        <w:rPr>
          <w:rFonts w:hint="eastAsia" w:ascii="宋体" w:hAnsi="宋体" w:cstheme="minorEastAsia"/>
          <w:color w:val="auto"/>
          <w:kern w:val="0"/>
          <w:sz w:val="24"/>
          <w:szCs w:val="24"/>
          <w:highlight w:val="none"/>
        </w:rPr>
        <w:t xml:space="preserve">标包编号及内容： </w:t>
      </w:r>
    </w:p>
    <w:tbl>
      <w:tblPr>
        <w:tblStyle w:val="38"/>
        <w:tblW w:w="8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8"/>
        <w:gridCol w:w="1046"/>
        <w:gridCol w:w="2151"/>
        <w:gridCol w:w="1253"/>
        <w:gridCol w:w="22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pPr>
              <w:snapToGrid w:val="0"/>
              <w:spacing w:line="400" w:lineRule="exact"/>
              <w:jc w:val="left"/>
              <w:rPr>
                <w:rFonts w:ascii="宋体" w:hAnsi="宋体" w:cstheme="minorEastAsia"/>
                <w:color w:val="auto"/>
                <w:kern w:val="0"/>
                <w:sz w:val="24"/>
                <w:szCs w:val="24"/>
                <w:highlight w:val="none"/>
              </w:rPr>
            </w:pPr>
            <w:r>
              <w:rPr>
                <w:rFonts w:hint="eastAsia" w:ascii="宋体" w:hAnsi="宋体" w:cstheme="minorEastAsia"/>
                <w:color w:val="auto"/>
                <w:kern w:val="0"/>
                <w:sz w:val="24"/>
                <w:szCs w:val="24"/>
                <w:highlight w:val="none"/>
              </w:rPr>
              <w:t>服务网点名称</w:t>
            </w:r>
          </w:p>
        </w:tc>
        <w:tc>
          <w:tcPr>
            <w:tcW w:w="4450" w:type="dxa"/>
            <w:gridSpan w:val="3"/>
            <w:vAlign w:val="center"/>
          </w:tcPr>
          <w:p>
            <w:pPr>
              <w:snapToGrid w:val="0"/>
              <w:spacing w:line="400" w:lineRule="exact"/>
              <w:jc w:val="center"/>
              <w:rPr>
                <w:rFonts w:ascii="宋体" w:hAnsi="宋体" w:cstheme="minorEastAsia"/>
                <w:color w:val="auto"/>
                <w:kern w:val="0"/>
                <w:sz w:val="24"/>
                <w:szCs w:val="24"/>
                <w:highlight w:val="none"/>
              </w:rPr>
            </w:pPr>
          </w:p>
        </w:tc>
        <w:tc>
          <w:tcPr>
            <w:tcW w:w="2242" w:type="dxa"/>
            <w:vMerge w:val="restart"/>
            <w:vAlign w:val="center"/>
          </w:tcPr>
          <w:p>
            <w:pPr>
              <w:snapToGrid w:val="0"/>
              <w:spacing w:line="400" w:lineRule="exact"/>
              <w:jc w:val="center"/>
              <w:rPr>
                <w:rFonts w:ascii="宋体" w:hAnsi="宋体" w:cstheme="minorEastAsia"/>
                <w:color w:val="auto"/>
                <w:kern w:val="0"/>
                <w:sz w:val="24"/>
                <w:szCs w:val="24"/>
                <w:highlight w:val="none"/>
              </w:rPr>
            </w:pPr>
            <w:r>
              <w:rPr>
                <w:rFonts w:hint="eastAsia" w:ascii="宋体" w:hAnsi="宋体" w:cstheme="minorEastAsia"/>
                <w:color w:val="auto"/>
                <w:kern w:val="0"/>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pPr>
              <w:snapToGrid w:val="0"/>
              <w:spacing w:line="400" w:lineRule="exact"/>
              <w:jc w:val="left"/>
              <w:rPr>
                <w:rFonts w:ascii="宋体" w:hAnsi="宋体" w:cstheme="minorEastAsia"/>
                <w:color w:val="auto"/>
                <w:kern w:val="0"/>
                <w:sz w:val="24"/>
                <w:szCs w:val="24"/>
                <w:highlight w:val="none"/>
              </w:rPr>
            </w:pPr>
            <w:r>
              <w:rPr>
                <w:rFonts w:hint="eastAsia" w:ascii="宋体" w:hAnsi="宋体" w:cstheme="minorEastAsia"/>
                <w:color w:val="auto"/>
                <w:kern w:val="0"/>
                <w:sz w:val="24"/>
                <w:szCs w:val="24"/>
                <w:highlight w:val="none"/>
              </w:rPr>
              <w:t>地址</w:t>
            </w:r>
          </w:p>
        </w:tc>
        <w:tc>
          <w:tcPr>
            <w:tcW w:w="4450" w:type="dxa"/>
            <w:gridSpan w:val="3"/>
            <w:vAlign w:val="center"/>
          </w:tcPr>
          <w:p>
            <w:pPr>
              <w:snapToGrid w:val="0"/>
              <w:spacing w:line="400" w:lineRule="exact"/>
              <w:jc w:val="center"/>
              <w:rPr>
                <w:rFonts w:ascii="宋体" w:hAnsi="宋体" w:cstheme="minorEastAsia"/>
                <w:color w:val="auto"/>
                <w:kern w:val="0"/>
                <w:sz w:val="24"/>
                <w:szCs w:val="24"/>
                <w:highlight w:val="none"/>
              </w:rPr>
            </w:pPr>
          </w:p>
        </w:tc>
        <w:tc>
          <w:tcPr>
            <w:tcW w:w="2242" w:type="dxa"/>
            <w:vMerge w:val="continue"/>
            <w:vAlign w:val="center"/>
          </w:tcPr>
          <w:p>
            <w:pPr>
              <w:snapToGrid w:val="0"/>
              <w:spacing w:line="400" w:lineRule="exact"/>
              <w:jc w:val="center"/>
              <w:rPr>
                <w:rFonts w:ascii="宋体" w:hAnsi="宋体" w:cstheme="minorEastAsia"/>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1658" w:type="dxa"/>
            <w:vAlign w:val="center"/>
          </w:tcPr>
          <w:p>
            <w:pPr>
              <w:snapToGrid w:val="0"/>
              <w:spacing w:line="400" w:lineRule="exact"/>
              <w:jc w:val="left"/>
              <w:rPr>
                <w:rFonts w:ascii="宋体" w:hAnsi="宋体" w:cstheme="minorEastAsia"/>
                <w:color w:val="auto"/>
                <w:kern w:val="0"/>
                <w:sz w:val="24"/>
                <w:szCs w:val="24"/>
                <w:highlight w:val="none"/>
              </w:rPr>
            </w:pPr>
            <w:r>
              <w:rPr>
                <w:rFonts w:hint="eastAsia" w:ascii="宋体" w:hAnsi="宋体" w:cstheme="minorEastAsia"/>
                <w:color w:val="auto"/>
                <w:kern w:val="0"/>
                <w:sz w:val="24"/>
                <w:szCs w:val="24"/>
                <w:highlight w:val="none"/>
              </w:rPr>
              <w:t>注册资本金</w:t>
            </w:r>
          </w:p>
        </w:tc>
        <w:tc>
          <w:tcPr>
            <w:tcW w:w="1046" w:type="dxa"/>
            <w:vAlign w:val="center"/>
          </w:tcPr>
          <w:p>
            <w:pPr>
              <w:snapToGrid w:val="0"/>
              <w:spacing w:line="400" w:lineRule="exact"/>
              <w:jc w:val="center"/>
              <w:rPr>
                <w:rFonts w:ascii="宋体" w:hAnsi="宋体" w:cstheme="minorEastAsia"/>
                <w:color w:val="auto"/>
                <w:kern w:val="0"/>
                <w:sz w:val="24"/>
                <w:szCs w:val="24"/>
                <w:highlight w:val="none"/>
              </w:rPr>
            </w:pPr>
          </w:p>
        </w:tc>
        <w:tc>
          <w:tcPr>
            <w:tcW w:w="2151" w:type="dxa"/>
            <w:vAlign w:val="center"/>
          </w:tcPr>
          <w:p>
            <w:pPr>
              <w:snapToGrid w:val="0"/>
              <w:spacing w:line="400" w:lineRule="exact"/>
              <w:jc w:val="center"/>
              <w:rPr>
                <w:rFonts w:ascii="宋体" w:hAnsi="宋体" w:cstheme="minorEastAsia"/>
                <w:color w:val="auto"/>
                <w:kern w:val="0"/>
                <w:sz w:val="24"/>
                <w:szCs w:val="24"/>
                <w:highlight w:val="none"/>
              </w:rPr>
            </w:pPr>
            <w:r>
              <w:rPr>
                <w:rFonts w:hint="eastAsia" w:ascii="宋体" w:hAnsi="宋体" w:cstheme="minorEastAsia"/>
                <w:color w:val="auto"/>
                <w:kern w:val="0"/>
                <w:sz w:val="24"/>
                <w:szCs w:val="24"/>
                <w:highlight w:val="none"/>
              </w:rPr>
              <w:t>其中：投标人出资比例</w:t>
            </w:r>
          </w:p>
        </w:tc>
        <w:tc>
          <w:tcPr>
            <w:tcW w:w="1253" w:type="dxa"/>
            <w:vAlign w:val="center"/>
          </w:tcPr>
          <w:p>
            <w:pPr>
              <w:snapToGrid w:val="0"/>
              <w:spacing w:line="400" w:lineRule="exact"/>
              <w:jc w:val="center"/>
              <w:rPr>
                <w:rFonts w:ascii="宋体" w:hAnsi="宋体" w:cstheme="minorEastAsia"/>
                <w:color w:val="auto"/>
                <w:kern w:val="0"/>
                <w:sz w:val="24"/>
                <w:szCs w:val="24"/>
                <w:highlight w:val="none"/>
              </w:rPr>
            </w:pPr>
          </w:p>
        </w:tc>
        <w:tc>
          <w:tcPr>
            <w:tcW w:w="2242" w:type="dxa"/>
            <w:vMerge w:val="restart"/>
            <w:vAlign w:val="center"/>
          </w:tcPr>
          <w:p>
            <w:pPr>
              <w:snapToGrid w:val="0"/>
              <w:spacing w:line="400" w:lineRule="exact"/>
              <w:jc w:val="center"/>
              <w:rPr>
                <w:rFonts w:ascii="宋体" w:hAnsi="宋体" w:cstheme="minorEastAsia"/>
                <w:color w:val="auto"/>
                <w:kern w:val="0"/>
                <w:sz w:val="24"/>
                <w:szCs w:val="24"/>
                <w:highlight w:val="none"/>
              </w:rPr>
            </w:pPr>
            <w:r>
              <w:rPr>
                <w:rFonts w:hint="eastAsia" w:ascii="宋体" w:hAnsi="宋体" w:cstheme="minorEastAsia"/>
                <w:color w:val="auto"/>
                <w:kern w:val="0"/>
                <w:sz w:val="24"/>
                <w:szCs w:val="24"/>
                <w:highlight w:val="none"/>
              </w:rPr>
              <w:t>提供相关证明材料（如：营业执照或租房合同等）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pPr>
              <w:snapToGrid w:val="0"/>
              <w:spacing w:line="400" w:lineRule="exact"/>
              <w:jc w:val="left"/>
              <w:rPr>
                <w:rFonts w:ascii="宋体" w:hAnsi="宋体" w:cstheme="minorEastAsia"/>
                <w:color w:val="auto"/>
                <w:kern w:val="0"/>
                <w:sz w:val="24"/>
                <w:szCs w:val="24"/>
                <w:highlight w:val="none"/>
              </w:rPr>
            </w:pPr>
            <w:r>
              <w:rPr>
                <w:rFonts w:hint="eastAsia" w:ascii="宋体" w:hAnsi="宋体" w:cstheme="minorEastAsia"/>
                <w:color w:val="auto"/>
                <w:kern w:val="0"/>
                <w:sz w:val="24"/>
                <w:szCs w:val="24"/>
                <w:highlight w:val="none"/>
              </w:rPr>
              <w:t>员工总人数</w:t>
            </w:r>
          </w:p>
        </w:tc>
        <w:tc>
          <w:tcPr>
            <w:tcW w:w="1046" w:type="dxa"/>
            <w:vAlign w:val="center"/>
          </w:tcPr>
          <w:p>
            <w:pPr>
              <w:snapToGrid w:val="0"/>
              <w:spacing w:line="400" w:lineRule="exact"/>
              <w:jc w:val="center"/>
              <w:rPr>
                <w:rFonts w:ascii="宋体" w:hAnsi="宋体" w:cstheme="minorEastAsia"/>
                <w:color w:val="auto"/>
                <w:kern w:val="0"/>
                <w:sz w:val="24"/>
                <w:szCs w:val="24"/>
                <w:highlight w:val="none"/>
              </w:rPr>
            </w:pPr>
          </w:p>
        </w:tc>
        <w:tc>
          <w:tcPr>
            <w:tcW w:w="2151" w:type="dxa"/>
            <w:vAlign w:val="center"/>
          </w:tcPr>
          <w:p>
            <w:pPr>
              <w:snapToGrid w:val="0"/>
              <w:spacing w:line="400" w:lineRule="exact"/>
              <w:jc w:val="center"/>
              <w:rPr>
                <w:rFonts w:ascii="宋体" w:hAnsi="宋体" w:cstheme="minorEastAsia"/>
                <w:color w:val="auto"/>
                <w:kern w:val="0"/>
                <w:sz w:val="24"/>
                <w:szCs w:val="24"/>
                <w:highlight w:val="none"/>
              </w:rPr>
            </w:pPr>
            <w:r>
              <w:rPr>
                <w:rFonts w:hint="eastAsia" w:ascii="宋体" w:hAnsi="宋体" w:cstheme="minorEastAsia"/>
                <w:color w:val="auto"/>
                <w:kern w:val="0"/>
                <w:sz w:val="24"/>
                <w:szCs w:val="24"/>
                <w:highlight w:val="none"/>
              </w:rPr>
              <w:t>其中：技术人员数</w:t>
            </w:r>
          </w:p>
        </w:tc>
        <w:tc>
          <w:tcPr>
            <w:tcW w:w="1253" w:type="dxa"/>
            <w:vAlign w:val="center"/>
          </w:tcPr>
          <w:p>
            <w:pPr>
              <w:snapToGrid w:val="0"/>
              <w:spacing w:line="400" w:lineRule="exact"/>
              <w:jc w:val="center"/>
              <w:rPr>
                <w:rFonts w:ascii="宋体" w:hAnsi="宋体" w:cstheme="minorEastAsia"/>
                <w:color w:val="auto"/>
                <w:kern w:val="0"/>
                <w:sz w:val="24"/>
                <w:szCs w:val="24"/>
                <w:highlight w:val="none"/>
              </w:rPr>
            </w:pPr>
          </w:p>
        </w:tc>
        <w:tc>
          <w:tcPr>
            <w:tcW w:w="2242" w:type="dxa"/>
            <w:vMerge w:val="continue"/>
            <w:vAlign w:val="center"/>
          </w:tcPr>
          <w:p>
            <w:pPr>
              <w:snapToGrid w:val="0"/>
              <w:spacing w:line="400" w:lineRule="exact"/>
              <w:jc w:val="center"/>
              <w:rPr>
                <w:rFonts w:ascii="宋体" w:hAnsi="宋体" w:cstheme="minorEastAsia"/>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pPr>
              <w:snapToGrid w:val="0"/>
              <w:spacing w:line="400" w:lineRule="exact"/>
              <w:jc w:val="left"/>
              <w:rPr>
                <w:rFonts w:ascii="宋体" w:hAnsi="宋体" w:cstheme="minorEastAsia"/>
                <w:color w:val="auto"/>
                <w:kern w:val="0"/>
                <w:sz w:val="24"/>
                <w:szCs w:val="24"/>
                <w:highlight w:val="none"/>
              </w:rPr>
            </w:pPr>
            <w:r>
              <w:rPr>
                <w:rFonts w:hint="eastAsia" w:ascii="宋体" w:hAnsi="宋体" w:cstheme="minorEastAsia"/>
                <w:color w:val="auto"/>
                <w:kern w:val="0"/>
                <w:sz w:val="24"/>
                <w:szCs w:val="24"/>
                <w:highlight w:val="none"/>
              </w:rPr>
              <w:t>经营期限</w:t>
            </w:r>
          </w:p>
        </w:tc>
        <w:tc>
          <w:tcPr>
            <w:tcW w:w="4450" w:type="dxa"/>
            <w:gridSpan w:val="3"/>
            <w:vAlign w:val="center"/>
          </w:tcPr>
          <w:p>
            <w:pPr>
              <w:snapToGrid w:val="0"/>
              <w:spacing w:line="400" w:lineRule="exact"/>
              <w:jc w:val="center"/>
              <w:rPr>
                <w:rFonts w:ascii="宋体" w:hAnsi="宋体" w:cstheme="minorEastAsia"/>
                <w:color w:val="auto"/>
                <w:kern w:val="0"/>
                <w:sz w:val="24"/>
                <w:szCs w:val="24"/>
                <w:highlight w:val="none"/>
              </w:rPr>
            </w:pPr>
          </w:p>
        </w:tc>
        <w:tc>
          <w:tcPr>
            <w:tcW w:w="2242" w:type="dxa"/>
            <w:vMerge w:val="continue"/>
            <w:vAlign w:val="center"/>
          </w:tcPr>
          <w:p>
            <w:pPr>
              <w:snapToGrid w:val="0"/>
              <w:spacing w:line="400" w:lineRule="exact"/>
              <w:jc w:val="center"/>
              <w:rPr>
                <w:rFonts w:ascii="宋体" w:hAnsi="宋体" w:cstheme="minorEastAsia"/>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jc w:val="center"/>
        </w:trPr>
        <w:tc>
          <w:tcPr>
            <w:tcW w:w="1658" w:type="dxa"/>
            <w:vAlign w:val="center"/>
          </w:tcPr>
          <w:p>
            <w:pPr>
              <w:snapToGrid w:val="0"/>
              <w:spacing w:line="400" w:lineRule="exact"/>
              <w:jc w:val="left"/>
              <w:rPr>
                <w:rFonts w:ascii="宋体" w:hAnsi="宋体" w:cstheme="minorEastAsia"/>
                <w:color w:val="auto"/>
                <w:kern w:val="0"/>
                <w:sz w:val="24"/>
                <w:szCs w:val="24"/>
                <w:highlight w:val="none"/>
              </w:rPr>
            </w:pPr>
            <w:r>
              <w:rPr>
                <w:rFonts w:hint="eastAsia" w:ascii="宋体" w:hAnsi="宋体" w:cstheme="minorEastAsia"/>
                <w:color w:val="auto"/>
                <w:kern w:val="0"/>
                <w:sz w:val="24"/>
                <w:szCs w:val="24"/>
                <w:highlight w:val="none"/>
              </w:rPr>
              <w:t>售后服务协议</w:t>
            </w:r>
          </w:p>
        </w:tc>
        <w:tc>
          <w:tcPr>
            <w:tcW w:w="4450" w:type="dxa"/>
            <w:gridSpan w:val="3"/>
            <w:vAlign w:val="center"/>
          </w:tcPr>
          <w:p>
            <w:pPr>
              <w:snapToGrid w:val="0"/>
              <w:spacing w:line="400" w:lineRule="exact"/>
              <w:jc w:val="center"/>
              <w:rPr>
                <w:rFonts w:ascii="宋体" w:hAnsi="宋体" w:cstheme="minorEastAsia"/>
                <w:color w:val="auto"/>
                <w:kern w:val="0"/>
                <w:sz w:val="24"/>
                <w:szCs w:val="24"/>
                <w:highlight w:val="none"/>
              </w:rPr>
            </w:pPr>
          </w:p>
        </w:tc>
        <w:tc>
          <w:tcPr>
            <w:tcW w:w="2242" w:type="dxa"/>
            <w:vAlign w:val="center"/>
          </w:tcPr>
          <w:p>
            <w:pPr>
              <w:snapToGrid w:val="0"/>
              <w:spacing w:line="400" w:lineRule="exact"/>
              <w:jc w:val="center"/>
              <w:rPr>
                <w:rFonts w:ascii="宋体" w:hAnsi="宋体" w:cstheme="minorEastAsia"/>
                <w:color w:val="auto"/>
                <w:kern w:val="0"/>
                <w:sz w:val="24"/>
                <w:szCs w:val="24"/>
                <w:highlight w:val="none"/>
              </w:rPr>
            </w:pPr>
            <w:r>
              <w:rPr>
                <w:rFonts w:hint="eastAsia" w:ascii="宋体" w:hAnsi="宋体" w:cstheme="minorEastAsia"/>
                <w:color w:val="auto"/>
                <w:kern w:val="0"/>
                <w:sz w:val="24"/>
                <w:szCs w:val="24"/>
                <w:highlight w:val="none"/>
              </w:rPr>
              <w:t>提供相关</w:t>
            </w:r>
          </w:p>
          <w:p>
            <w:pPr>
              <w:snapToGrid w:val="0"/>
              <w:spacing w:line="400" w:lineRule="exact"/>
              <w:jc w:val="center"/>
              <w:rPr>
                <w:rFonts w:ascii="宋体" w:hAnsi="宋体" w:cstheme="minorEastAsia"/>
                <w:color w:val="auto"/>
                <w:kern w:val="0"/>
                <w:sz w:val="24"/>
                <w:szCs w:val="24"/>
                <w:highlight w:val="none"/>
              </w:rPr>
            </w:pPr>
            <w:r>
              <w:rPr>
                <w:rFonts w:hint="eastAsia" w:ascii="宋体" w:hAnsi="宋体" w:cstheme="minorEastAsia"/>
                <w:color w:val="auto"/>
                <w:kern w:val="0"/>
                <w:sz w:val="24"/>
                <w:szCs w:val="24"/>
                <w:highlight w:val="none"/>
              </w:rPr>
              <w:t>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pPr>
              <w:snapToGrid w:val="0"/>
              <w:spacing w:line="400" w:lineRule="exact"/>
              <w:jc w:val="left"/>
              <w:rPr>
                <w:rFonts w:ascii="宋体" w:hAnsi="宋体" w:cstheme="minorEastAsia"/>
                <w:color w:val="auto"/>
                <w:kern w:val="0"/>
                <w:sz w:val="24"/>
                <w:szCs w:val="24"/>
                <w:highlight w:val="none"/>
              </w:rPr>
            </w:pPr>
            <w:r>
              <w:rPr>
                <w:rFonts w:hint="eastAsia" w:ascii="宋体" w:hAnsi="宋体" w:cstheme="minorEastAsia"/>
                <w:color w:val="auto"/>
                <w:kern w:val="0"/>
                <w:sz w:val="24"/>
                <w:szCs w:val="24"/>
                <w:highlight w:val="none"/>
              </w:rPr>
              <w:t>售后服务内容</w:t>
            </w:r>
          </w:p>
        </w:tc>
        <w:tc>
          <w:tcPr>
            <w:tcW w:w="4450" w:type="dxa"/>
            <w:gridSpan w:val="3"/>
            <w:vAlign w:val="center"/>
          </w:tcPr>
          <w:p>
            <w:pPr>
              <w:snapToGrid w:val="0"/>
              <w:spacing w:line="400" w:lineRule="exact"/>
              <w:jc w:val="center"/>
              <w:rPr>
                <w:rFonts w:ascii="宋体" w:hAnsi="宋体" w:cstheme="minorEastAsia"/>
                <w:color w:val="auto"/>
                <w:kern w:val="0"/>
                <w:sz w:val="24"/>
                <w:szCs w:val="24"/>
                <w:highlight w:val="none"/>
              </w:rPr>
            </w:pPr>
          </w:p>
        </w:tc>
        <w:tc>
          <w:tcPr>
            <w:tcW w:w="2242" w:type="dxa"/>
            <w:vMerge w:val="restart"/>
            <w:vAlign w:val="center"/>
          </w:tcPr>
          <w:p>
            <w:pPr>
              <w:snapToGrid w:val="0"/>
              <w:spacing w:line="400" w:lineRule="exact"/>
              <w:jc w:val="center"/>
              <w:rPr>
                <w:rFonts w:ascii="宋体" w:hAnsi="宋体" w:cstheme="minorEastAsia"/>
                <w:color w:val="auto"/>
                <w:kern w:val="0"/>
                <w:sz w:val="24"/>
                <w:szCs w:val="24"/>
                <w:highlight w:val="none"/>
              </w:rPr>
            </w:pPr>
            <w:r>
              <w:rPr>
                <w:rFonts w:hint="eastAsia" w:ascii="宋体" w:hAnsi="宋体" w:cstheme="minorEastAsia"/>
                <w:color w:val="auto"/>
                <w:kern w:val="0"/>
                <w:sz w:val="24"/>
                <w:szCs w:val="24"/>
                <w:highlight w:val="none"/>
              </w:rPr>
              <w:t>此部分内容做附件进行详细说明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pPr>
              <w:snapToGrid w:val="0"/>
              <w:spacing w:line="400" w:lineRule="exact"/>
              <w:jc w:val="left"/>
              <w:rPr>
                <w:rFonts w:ascii="宋体" w:hAnsi="宋体" w:cstheme="minorEastAsia"/>
                <w:color w:val="auto"/>
                <w:kern w:val="0"/>
                <w:sz w:val="24"/>
                <w:szCs w:val="24"/>
                <w:highlight w:val="none"/>
              </w:rPr>
            </w:pPr>
            <w:r>
              <w:rPr>
                <w:rFonts w:hint="eastAsia" w:ascii="宋体" w:hAnsi="宋体" w:cstheme="minorEastAsia"/>
                <w:color w:val="auto"/>
                <w:kern w:val="0"/>
                <w:sz w:val="24"/>
                <w:szCs w:val="24"/>
                <w:highlight w:val="none"/>
              </w:rPr>
              <w:t>服务承诺</w:t>
            </w:r>
          </w:p>
        </w:tc>
        <w:tc>
          <w:tcPr>
            <w:tcW w:w="4450" w:type="dxa"/>
            <w:gridSpan w:val="3"/>
            <w:vAlign w:val="center"/>
          </w:tcPr>
          <w:p>
            <w:pPr>
              <w:snapToGrid w:val="0"/>
              <w:spacing w:line="400" w:lineRule="exact"/>
              <w:jc w:val="center"/>
              <w:rPr>
                <w:rFonts w:ascii="宋体" w:hAnsi="宋体" w:cstheme="minorEastAsia"/>
                <w:color w:val="auto"/>
                <w:kern w:val="0"/>
                <w:sz w:val="24"/>
                <w:szCs w:val="24"/>
                <w:highlight w:val="none"/>
              </w:rPr>
            </w:pPr>
          </w:p>
        </w:tc>
        <w:tc>
          <w:tcPr>
            <w:tcW w:w="2242" w:type="dxa"/>
            <w:vMerge w:val="continue"/>
            <w:vAlign w:val="center"/>
          </w:tcPr>
          <w:p>
            <w:pPr>
              <w:snapToGrid w:val="0"/>
              <w:spacing w:line="400" w:lineRule="exact"/>
              <w:jc w:val="center"/>
              <w:rPr>
                <w:rFonts w:ascii="宋体" w:hAnsi="宋体" w:cstheme="minorEastAsia"/>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pPr>
              <w:snapToGrid w:val="0"/>
              <w:spacing w:line="400" w:lineRule="exact"/>
              <w:jc w:val="left"/>
              <w:rPr>
                <w:rFonts w:ascii="宋体" w:hAnsi="宋体" w:cstheme="minorEastAsia"/>
                <w:color w:val="auto"/>
                <w:kern w:val="0"/>
                <w:sz w:val="24"/>
                <w:szCs w:val="24"/>
                <w:highlight w:val="none"/>
              </w:rPr>
            </w:pPr>
            <w:r>
              <w:rPr>
                <w:rFonts w:hint="eastAsia" w:ascii="宋体" w:hAnsi="宋体" w:cstheme="minorEastAsia"/>
                <w:color w:val="auto"/>
                <w:kern w:val="0"/>
                <w:sz w:val="24"/>
                <w:szCs w:val="24"/>
                <w:highlight w:val="none"/>
              </w:rPr>
              <w:t>业务咨询电话</w:t>
            </w:r>
          </w:p>
        </w:tc>
        <w:tc>
          <w:tcPr>
            <w:tcW w:w="1046" w:type="dxa"/>
            <w:vAlign w:val="center"/>
          </w:tcPr>
          <w:p>
            <w:pPr>
              <w:snapToGrid w:val="0"/>
              <w:spacing w:line="400" w:lineRule="exact"/>
              <w:jc w:val="center"/>
              <w:rPr>
                <w:rFonts w:ascii="宋体" w:hAnsi="宋体" w:cstheme="minorEastAsia"/>
                <w:color w:val="auto"/>
                <w:kern w:val="0"/>
                <w:sz w:val="24"/>
                <w:szCs w:val="24"/>
                <w:highlight w:val="none"/>
              </w:rPr>
            </w:pPr>
          </w:p>
        </w:tc>
        <w:tc>
          <w:tcPr>
            <w:tcW w:w="2151" w:type="dxa"/>
            <w:vAlign w:val="center"/>
          </w:tcPr>
          <w:p>
            <w:pPr>
              <w:snapToGrid w:val="0"/>
              <w:spacing w:line="400" w:lineRule="exact"/>
              <w:jc w:val="center"/>
              <w:rPr>
                <w:rFonts w:ascii="宋体" w:hAnsi="宋体" w:cstheme="minorEastAsia"/>
                <w:color w:val="auto"/>
                <w:kern w:val="0"/>
                <w:sz w:val="24"/>
                <w:szCs w:val="24"/>
                <w:highlight w:val="none"/>
              </w:rPr>
            </w:pPr>
            <w:r>
              <w:rPr>
                <w:rFonts w:hint="eastAsia" w:ascii="宋体" w:hAnsi="宋体" w:cstheme="minorEastAsia"/>
                <w:color w:val="auto"/>
                <w:kern w:val="0"/>
                <w:sz w:val="24"/>
                <w:szCs w:val="24"/>
                <w:highlight w:val="none"/>
              </w:rPr>
              <w:t>传真</w:t>
            </w:r>
          </w:p>
        </w:tc>
        <w:tc>
          <w:tcPr>
            <w:tcW w:w="1253" w:type="dxa"/>
            <w:vAlign w:val="center"/>
          </w:tcPr>
          <w:p>
            <w:pPr>
              <w:snapToGrid w:val="0"/>
              <w:spacing w:line="400" w:lineRule="exact"/>
              <w:jc w:val="center"/>
              <w:rPr>
                <w:rFonts w:ascii="宋体" w:hAnsi="宋体" w:cstheme="minorEastAsia"/>
                <w:color w:val="auto"/>
                <w:kern w:val="0"/>
                <w:sz w:val="24"/>
                <w:szCs w:val="24"/>
                <w:highlight w:val="none"/>
              </w:rPr>
            </w:pPr>
          </w:p>
        </w:tc>
        <w:tc>
          <w:tcPr>
            <w:tcW w:w="2242" w:type="dxa"/>
            <w:vMerge w:val="restart"/>
            <w:vAlign w:val="center"/>
          </w:tcPr>
          <w:p>
            <w:pPr>
              <w:snapToGrid w:val="0"/>
              <w:spacing w:line="400" w:lineRule="exact"/>
              <w:jc w:val="center"/>
              <w:rPr>
                <w:rFonts w:ascii="宋体" w:hAnsi="宋体" w:cstheme="minorEastAsia"/>
                <w:color w:val="auto"/>
                <w:kern w:val="0"/>
                <w:sz w:val="24"/>
                <w:szCs w:val="24"/>
                <w:highlight w:val="none"/>
              </w:rPr>
            </w:pPr>
            <w:r>
              <w:rPr>
                <w:rFonts w:hint="eastAsia" w:ascii="宋体" w:hAnsi="宋体" w:cstheme="minorEastAsia"/>
                <w:color w:val="auto"/>
                <w:kern w:val="0"/>
                <w:sz w:val="24"/>
                <w:szCs w:val="24"/>
                <w:highlight w:val="none"/>
              </w:rPr>
              <w:t>附人员身份证等相关证件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1658" w:type="dxa"/>
            <w:vAlign w:val="center"/>
          </w:tcPr>
          <w:p>
            <w:pPr>
              <w:snapToGrid w:val="0"/>
              <w:spacing w:line="400" w:lineRule="exact"/>
              <w:jc w:val="left"/>
              <w:rPr>
                <w:rFonts w:ascii="宋体" w:hAnsi="宋体" w:cstheme="minorEastAsia"/>
                <w:color w:val="auto"/>
                <w:kern w:val="0"/>
                <w:sz w:val="24"/>
                <w:szCs w:val="24"/>
                <w:highlight w:val="none"/>
              </w:rPr>
            </w:pPr>
            <w:r>
              <w:rPr>
                <w:rFonts w:hint="eastAsia" w:ascii="宋体" w:hAnsi="宋体" w:cstheme="minorEastAsia"/>
                <w:color w:val="auto"/>
                <w:kern w:val="0"/>
                <w:sz w:val="24"/>
                <w:szCs w:val="24"/>
                <w:highlight w:val="none"/>
              </w:rPr>
              <w:t>负责人</w:t>
            </w:r>
          </w:p>
        </w:tc>
        <w:tc>
          <w:tcPr>
            <w:tcW w:w="1046" w:type="dxa"/>
            <w:vAlign w:val="center"/>
          </w:tcPr>
          <w:p>
            <w:pPr>
              <w:snapToGrid w:val="0"/>
              <w:spacing w:line="400" w:lineRule="exact"/>
              <w:jc w:val="center"/>
              <w:rPr>
                <w:rFonts w:ascii="宋体" w:hAnsi="宋体" w:cstheme="minorEastAsia"/>
                <w:color w:val="auto"/>
                <w:kern w:val="0"/>
                <w:sz w:val="24"/>
                <w:szCs w:val="24"/>
                <w:highlight w:val="none"/>
              </w:rPr>
            </w:pPr>
          </w:p>
        </w:tc>
        <w:tc>
          <w:tcPr>
            <w:tcW w:w="2151" w:type="dxa"/>
            <w:vAlign w:val="center"/>
          </w:tcPr>
          <w:p>
            <w:pPr>
              <w:snapToGrid w:val="0"/>
              <w:spacing w:line="400" w:lineRule="exact"/>
              <w:jc w:val="center"/>
              <w:rPr>
                <w:rFonts w:ascii="宋体" w:hAnsi="宋体" w:cstheme="minorEastAsia"/>
                <w:color w:val="auto"/>
                <w:kern w:val="0"/>
                <w:sz w:val="24"/>
                <w:szCs w:val="24"/>
                <w:highlight w:val="none"/>
              </w:rPr>
            </w:pPr>
            <w:r>
              <w:rPr>
                <w:rFonts w:hint="eastAsia" w:ascii="宋体" w:hAnsi="宋体" w:cstheme="minorEastAsia"/>
                <w:color w:val="auto"/>
                <w:kern w:val="0"/>
                <w:sz w:val="24"/>
                <w:szCs w:val="24"/>
                <w:highlight w:val="none"/>
              </w:rPr>
              <w:t>联系电话</w:t>
            </w:r>
          </w:p>
        </w:tc>
        <w:tc>
          <w:tcPr>
            <w:tcW w:w="1253" w:type="dxa"/>
            <w:vAlign w:val="center"/>
          </w:tcPr>
          <w:p>
            <w:pPr>
              <w:snapToGrid w:val="0"/>
              <w:spacing w:line="400" w:lineRule="exact"/>
              <w:jc w:val="center"/>
              <w:rPr>
                <w:rFonts w:ascii="宋体" w:hAnsi="宋体" w:cstheme="minorEastAsia"/>
                <w:color w:val="auto"/>
                <w:kern w:val="0"/>
                <w:sz w:val="24"/>
                <w:szCs w:val="24"/>
                <w:highlight w:val="none"/>
              </w:rPr>
            </w:pPr>
          </w:p>
        </w:tc>
        <w:tc>
          <w:tcPr>
            <w:tcW w:w="2242" w:type="dxa"/>
            <w:vMerge w:val="continue"/>
            <w:vAlign w:val="center"/>
          </w:tcPr>
          <w:p>
            <w:pPr>
              <w:snapToGrid w:val="0"/>
              <w:spacing w:line="400" w:lineRule="exact"/>
              <w:jc w:val="center"/>
              <w:rPr>
                <w:rFonts w:ascii="宋体" w:hAnsi="宋体" w:cstheme="minorEastAsia"/>
                <w:color w:val="auto"/>
                <w:kern w:val="0"/>
                <w:sz w:val="24"/>
                <w:szCs w:val="24"/>
                <w:highlight w:val="none"/>
              </w:rPr>
            </w:pPr>
          </w:p>
        </w:tc>
      </w:tr>
    </w:tbl>
    <w:p>
      <w:pPr>
        <w:snapToGrid w:val="0"/>
        <w:spacing w:line="400" w:lineRule="exact"/>
        <w:jc w:val="left"/>
        <w:rPr>
          <w:rFonts w:ascii="宋体" w:hAnsi="宋体" w:cstheme="minorEastAsia"/>
          <w:color w:val="auto"/>
          <w:kern w:val="0"/>
          <w:sz w:val="24"/>
          <w:szCs w:val="24"/>
          <w:highlight w:val="none"/>
        </w:rPr>
      </w:pPr>
    </w:p>
    <w:p>
      <w:pPr>
        <w:pStyle w:val="196"/>
        <w:adjustRightInd w:val="0"/>
        <w:snapToGrid w:val="0"/>
        <w:spacing w:line="400" w:lineRule="exact"/>
        <w:ind w:left="1747" w:firstLine="470"/>
        <w:rPr>
          <w:rFonts w:ascii="宋体" w:hAnsi="宋体" w:cs="宋体"/>
          <w:color w:val="auto"/>
          <w:sz w:val="24"/>
          <w:szCs w:val="24"/>
          <w:highlight w:val="none"/>
        </w:rPr>
      </w:pPr>
      <w:r>
        <w:rPr>
          <w:rFonts w:hint="eastAsia" w:ascii="宋体" w:hAnsi="宋体" w:cs="宋体"/>
          <w:color w:val="auto"/>
          <w:sz w:val="24"/>
          <w:szCs w:val="24"/>
          <w:highlight w:val="none"/>
        </w:rPr>
        <w:t>投标人（盖单位章）：</w:t>
      </w:r>
    </w:p>
    <w:p>
      <w:pPr>
        <w:snapToGrid w:val="0"/>
        <w:spacing w:line="400" w:lineRule="exact"/>
        <w:jc w:val="left"/>
        <w:rPr>
          <w:rFonts w:ascii="宋体" w:hAnsi="宋体" w:cstheme="minorEastAsia"/>
          <w:color w:val="auto"/>
          <w:sz w:val="24"/>
          <w:szCs w:val="24"/>
          <w:highlight w:val="none"/>
        </w:rPr>
      </w:pPr>
      <w:r>
        <w:rPr>
          <w:rFonts w:hint="eastAsia" w:ascii="宋体" w:hAnsi="宋体" w:cs="宋体"/>
          <w:color w:val="auto"/>
          <w:sz w:val="24"/>
          <w:szCs w:val="24"/>
          <w:highlight w:val="none"/>
        </w:rPr>
        <w:t>法定代表人或其委托代理人（签字或盖章）：</w:t>
      </w:r>
    </w:p>
    <w:p>
      <w:pPr>
        <w:snapToGrid w:val="0"/>
        <w:spacing w:line="400" w:lineRule="exact"/>
        <w:jc w:val="left"/>
        <w:rPr>
          <w:rFonts w:ascii="宋体" w:hAnsi="宋体" w:cstheme="minorEastAsia"/>
          <w:color w:val="auto"/>
          <w:sz w:val="24"/>
          <w:szCs w:val="24"/>
          <w:highlight w:val="none"/>
        </w:rPr>
      </w:pPr>
      <w:r>
        <w:rPr>
          <w:rFonts w:hint="eastAsia" w:ascii="宋体" w:hAnsi="宋体" w:cstheme="minorEastAsia"/>
          <w:color w:val="auto"/>
          <w:sz w:val="24"/>
          <w:szCs w:val="24"/>
          <w:highlight w:val="none"/>
        </w:rPr>
        <w:t xml:space="preserve">   日期：        年    月    日</w:t>
      </w:r>
    </w:p>
    <w:p>
      <w:pPr>
        <w:widowControl/>
        <w:snapToGrid w:val="0"/>
        <w:spacing w:line="400" w:lineRule="exact"/>
        <w:jc w:val="left"/>
        <w:rPr>
          <w:rFonts w:ascii="宋体" w:hAnsi="宋体" w:cs="宋体"/>
          <w:b/>
          <w:color w:val="auto"/>
          <w:sz w:val="24"/>
          <w:szCs w:val="24"/>
          <w:highlight w:val="none"/>
        </w:rPr>
      </w:pPr>
    </w:p>
    <w:p>
      <w:pPr>
        <w:pStyle w:val="2"/>
        <w:rPr>
          <w:rFonts w:ascii="宋体" w:hAnsi="宋体" w:cs="宋体"/>
          <w:b/>
          <w:color w:val="auto"/>
          <w:sz w:val="24"/>
          <w:szCs w:val="24"/>
          <w:highlight w:val="none"/>
        </w:rPr>
      </w:pPr>
    </w:p>
    <w:p>
      <w:pPr>
        <w:pStyle w:val="2"/>
        <w:rPr>
          <w:rFonts w:ascii="宋体" w:hAnsi="宋体" w:cs="宋体"/>
          <w:b/>
          <w:color w:val="auto"/>
          <w:sz w:val="24"/>
          <w:szCs w:val="24"/>
          <w:highlight w:val="none"/>
        </w:rPr>
      </w:pPr>
    </w:p>
    <w:p>
      <w:pPr>
        <w:widowControl/>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20、其他优惠条件（如有）：投标人承诺给予采购人的各种优惠条件，包括备品备件、专用耗材等；</w:t>
      </w:r>
    </w:p>
    <w:p>
      <w:pPr>
        <w:widowControl/>
        <w:snapToGrid w:val="0"/>
        <w:spacing w:line="400" w:lineRule="exact"/>
        <w:jc w:val="left"/>
        <w:rPr>
          <w:rFonts w:ascii="宋体" w:hAnsi="宋体" w:cs="宋体"/>
          <w:b/>
          <w:color w:val="auto"/>
          <w:sz w:val="24"/>
          <w:szCs w:val="24"/>
          <w:highlight w:val="none"/>
        </w:rPr>
      </w:pPr>
    </w:p>
    <w:p>
      <w:pPr>
        <w:widowControl/>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21、投标人需要提供的其他文件或资料（如有）。</w:t>
      </w: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widowControl/>
        <w:snapToGrid w:val="0"/>
        <w:spacing w:line="400" w:lineRule="exact"/>
        <w:jc w:val="left"/>
        <w:rPr>
          <w:rFonts w:ascii="宋体" w:hAnsi="宋体" w:cs="宋体"/>
          <w:b/>
          <w:bCs/>
          <w:color w:val="auto"/>
          <w:sz w:val="24"/>
          <w:szCs w:val="24"/>
          <w:highlight w:val="none"/>
        </w:rPr>
      </w:pPr>
    </w:p>
    <w:p>
      <w:pPr>
        <w:adjustRightInd w:val="0"/>
        <w:snapToGrid w:val="0"/>
        <w:spacing w:line="400" w:lineRule="exact"/>
        <w:jc w:val="left"/>
        <w:rPr>
          <w:rFonts w:ascii="宋体" w:hAnsi="宋体" w:cs="宋体"/>
          <w:b/>
          <w:color w:val="auto"/>
          <w:sz w:val="24"/>
          <w:szCs w:val="24"/>
          <w:highlight w:val="none"/>
        </w:rPr>
      </w:pPr>
    </w:p>
    <w:p>
      <w:pPr>
        <w:pStyle w:val="18"/>
        <w:spacing w:line="480" w:lineRule="exact"/>
        <w:rPr>
          <w:rFonts w:ascii="宋体" w:hAnsi="宋体" w:eastAsia="宋体" w:cs="仿宋"/>
          <w:b/>
          <w:bCs/>
          <w:color w:val="auto"/>
          <w:kern w:val="0"/>
          <w:sz w:val="24"/>
          <w:szCs w:val="24"/>
          <w:highlight w:val="none"/>
        </w:rPr>
      </w:pPr>
    </w:p>
    <w:p>
      <w:pPr>
        <w:pStyle w:val="18"/>
        <w:spacing w:line="480" w:lineRule="exact"/>
        <w:jc w:val="center"/>
        <w:rPr>
          <w:rFonts w:ascii="宋体" w:hAnsi="宋体" w:eastAsia="宋体" w:cs="仿宋"/>
          <w:b/>
          <w:bCs/>
          <w:color w:val="auto"/>
          <w:kern w:val="0"/>
          <w:sz w:val="24"/>
          <w:szCs w:val="24"/>
          <w:highlight w:val="none"/>
        </w:rPr>
      </w:pPr>
    </w:p>
    <w:p>
      <w:pPr>
        <w:pStyle w:val="37"/>
        <w:ind w:firstLine="0" w:firstLineChars="0"/>
        <w:rPr>
          <w:color w:val="auto"/>
          <w:sz w:val="24"/>
          <w:szCs w:val="22"/>
          <w:highlight w:val="none"/>
        </w:rPr>
      </w:pPr>
    </w:p>
    <w:p>
      <w:pPr>
        <w:pStyle w:val="37"/>
        <w:ind w:firstLine="0" w:firstLineChars="0"/>
        <w:rPr>
          <w:color w:val="auto"/>
          <w:sz w:val="24"/>
          <w:szCs w:val="22"/>
          <w:highlight w:val="none"/>
        </w:rPr>
      </w:pPr>
    </w:p>
    <w:p>
      <w:pPr>
        <w:pStyle w:val="37"/>
        <w:ind w:firstLine="0" w:firstLineChars="0"/>
        <w:rPr>
          <w:color w:val="auto"/>
          <w:sz w:val="24"/>
          <w:szCs w:val="22"/>
          <w:highlight w:val="none"/>
        </w:rPr>
      </w:pPr>
    </w:p>
    <w:p>
      <w:pPr>
        <w:pStyle w:val="37"/>
        <w:ind w:firstLine="0" w:firstLineChars="0"/>
        <w:rPr>
          <w:color w:val="auto"/>
          <w:sz w:val="24"/>
          <w:szCs w:val="22"/>
          <w:highlight w:val="none"/>
        </w:rPr>
      </w:pPr>
    </w:p>
    <w:p>
      <w:pPr>
        <w:pStyle w:val="37"/>
        <w:ind w:firstLine="0" w:firstLineChars="0"/>
        <w:rPr>
          <w:color w:val="auto"/>
          <w:sz w:val="24"/>
          <w:szCs w:val="22"/>
          <w:highlight w:val="none"/>
        </w:rPr>
      </w:pPr>
      <w:r>
        <w:rPr>
          <w:rFonts w:hint="eastAsia"/>
          <w:color w:val="auto"/>
          <w:sz w:val="24"/>
          <w:szCs w:val="22"/>
          <w:highlight w:val="none"/>
        </w:rPr>
        <w:t>附：</w:t>
      </w:r>
    </w:p>
    <w:p>
      <w:pPr>
        <w:pStyle w:val="37"/>
        <w:ind w:firstLine="0" w:firstLineChars="0"/>
        <w:jc w:val="center"/>
        <w:rPr>
          <w:color w:val="auto"/>
          <w:sz w:val="24"/>
          <w:szCs w:val="22"/>
          <w:highlight w:val="none"/>
        </w:rPr>
      </w:pPr>
      <w:r>
        <w:rPr>
          <w:rFonts w:hint="eastAsia"/>
          <w:color w:val="auto"/>
          <w:sz w:val="24"/>
          <w:szCs w:val="22"/>
          <w:highlight w:val="none"/>
        </w:rPr>
        <w:t>质疑函范本</w:t>
      </w:r>
    </w:p>
    <w:p>
      <w:pPr>
        <w:pStyle w:val="37"/>
        <w:ind w:firstLine="480"/>
        <w:rPr>
          <w:color w:val="auto"/>
          <w:sz w:val="24"/>
          <w:szCs w:val="22"/>
          <w:highlight w:val="none"/>
        </w:rPr>
      </w:pPr>
      <w:r>
        <w:rPr>
          <w:rFonts w:hint="eastAsia"/>
          <w:color w:val="auto"/>
          <w:sz w:val="24"/>
          <w:szCs w:val="22"/>
          <w:highlight w:val="none"/>
        </w:rPr>
        <w:t>一、质疑供应商基本信息</w:t>
      </w:r>
    </w:p>
    <w:p>
      <w:pPr>
        <w:pStyle w:val="37"/>
        <w:ind w:firstLine="480"/>
        <w:rPr>
          <w:color w:val="auto"/>
          <w:sz w:val="24"/>
          <w:szCs w:val="22"/>
          <w:highlight w:val="none"/>
          <w:u w:val="single"/>
        </w:rPr>
      </w:pPr>
      <w:r>
        <w:rPr>
          <w:rFonts w:hint="eastAsia"/>
          <w:color w:val="auto"/>
          <w:sz w:val="24"/>
          <w:szCs w:val="22"/>
          <w:highlight w:val="none"/>
        </w:rPr>
        <w:t xml:space="preserve">质疑供应商：  </w:t>
      </w:r>
    </w:p>
    <w:p>
      <w:pPr>
        <w:pStyle w:val="37"/>
        <w:ind w:firstLine="480"/>
        <w:rPr>
          <w:color w:val="auto"/>
          <w:sz w:val="24"/>
          <w:szCs w:val="22"/>
          <w:highlight w:val="none"/>
        </w:rPr>
      </w:pPr>
      <w:r>
        <w:rPr>
          <w:rFonts w:hint="eastAsia"/>
          <w:color w:val="auto"/>
          <w:sz w:val="24"/>
          <w:szCs w:val="22"/>
          <w:highlight w:val="none"/>
        </w:rPr>
        <w:t xml:space="preserve">地址：                          邮编：                  </w:t>
      </w:r>
    </w:p>
    <w:p>
      <w:pPr>
        <w:pStyle w:val="37"/>
        <w:ind w:firstLine="480"/>
        <w:rPr>
          <w:color w:val="auto"/>
          <w:sz w:val="24"/>
          <w:szCs w:val="22"/>
          <w:highlight w:val="none"/>
        </w:rPr>
      </w:pPr>
      <w:r>
        <w:rPr>
          <w:rFonts w:hint="eastAsia"/>
          <w:color w:val="auto"/>
          <w:sz w:val="24"/>
          <w:szCs w:val="22"/>
          <w:highlight w:val="none"/>
        </w:rPr>
        <w:t xml:space="preserve">联系人：                      联系电话：                 </w:t>
      </w:r>
    </w:p>
    <w:p>
      <w:pPr>
        <w:pStyle w:val="37"/>
        <w:ind w:firstLine="480"/>
        <w:rPr>
          <w:color w:val="auto"/>
          <w:sz w:val="24"/>
          <w:szCs w:val="22"/>
          <w:highlight w:val="none"/>
        </w:rPr>
      </w:pPr>
      <w:r>
        <w:rPr>
          <w:rFonts w:hint="eastAsia"/>
          <w:color w:val="auto"/>
          <w:sz w:val="24"/>
          <w:szCs w:val="22"/>
          <w:highlight w:val="none"/>
        </w:rPr>
        <w:t xml:space="preserve">授权代表：                                          </w:t>
      </w:r>
    </w:p>
    <w:p>
      <w:pPr>
        <w:pStyle w:val="37"/>
        <w:ind w:firstLine="480"/>
        <w:rPr>
          <w:color w:val="auto"/>
          <w:sz w:val="24"/>
          <w:szCs w:val="22"/>
          <w:highlight w:val="none"/>
        </w:rPr>
      </w:pPr>
      <w:r>
        <w:rPr>
          <w:rFonts w:hint="eastAsia"/>
          <w:color w:val="auto"/>
          <w:sz w:val="24"/>
          <w:szCs w:val="22"/>
          <w:highlight w:val="none"/>
        </w:rPr>
        <w:t xml:space="preserve">联系电话：                                            </w:t>
      </w:r>
    </w:p>
    <w:p>
      <w:pPr>
        <w:pStyle w:val="37"/>
        <w:ind w:firstLine="480"/>
        <w:rPr>
          <w:color w:val="auto"/>
          <w:sz w:val="24"/>
          <w:szCs w:val="22"/>
          <w:highlight w:val="none"/>
        </w:rPr>
      </w:pPr>
      <w:r>
        <w:rPr>
          <w:rFonts w:hint="eastAsia"/>
          <w:color w:val="auto"/>
          <w:sz w:val="24"/>
          <w:szCs w:val="22"/>
          <w:highlight w:val="none"/>
        </w:rPr>
        <w:t xml:space="preserve">地址：                         邮编：                    </w:t>
      </w:r>
    </w:p>
    <w:p>
      <w:pPr>
        <w:pStyle w:val="37"/>
        <w:ind w:firstLine="480"/>
        <w:rPr>
          <w:color w:val="auto"/>
          <w:sz w:val="24"/>
          <w:szCs w:val="22"/>
          <w:highlight w:val="none"/>
        </w:rPr>
      </w:pPr>
      <w:r>
        <w:rPr>
          <w:rFonts w:hint="eastAsia"/>
          <w:color w:val="auto"/>
          <w:sz w:val="24"/>
          <w:szCs w:val="22"/>
          <w:highlight w:val="none"/>
        </w:rPr>
        <w:t>二、质疑项目基本情况</w:t>
      </w:r>
    </w:p>
    <w:p>
      <w:pPr>
        <w:pStyle w:val="37"/>
        <w:ind w:firstLine="480"/>
        <w:rPr>
          <w:color w:val="auto"/>
          <w:sz w:val="24"/>
          <w:szCs w:val="22"/>
          <w:highlight w:val="none"/>
        </w:rPr>
      </w:pPr>
      <w:r>
        <w:rPr>
          <w:rFonts w:hint="eastAsia"/>
          <w:color w:val="auto"/>
          <w:sz w:val="24"/>
          <w:szCs w:val="22"/>
          <w:highlight w:val="none"/>
        </w:rPr>
        <w:t xml:space="preserve">质疑项目的名称：                                      </w:t>
      </w:r>
    </w:p>
    <w:p>
      <w:pPr>
        <w:pStyle w:val="37"/>
        <w:ind w:firstLine="480"/>
        <w:rPr>
          <w:color w:val="auto"/>
          <w:sz w:val="24"/>
          <w:szCs w:val="22"/>
          <w:highlight w:val="none"/>
        </w:rPr>
      </w:pPr>
      <w:r>
        <w:rPr>
          <w:rFonts w:hint="eastAsia"/>
          <w:color w:val="auto"/>
          <w:sz w:val="24"/>
          <w:szCs w:val="22"/>
          <w:highlight w:val="none"/>
        </w:rPr>
        <w:t xml:space="preserve">质疑项目的编号：               包号：                 </w:t>
      </w:r>
    </w:p>
    <w:p>
      <w:pPr>
        <w:pStyle w:val="37"/>
        <w:ind w:firstLine="480"/>
        <w:rPr>
          <w:color w:val="auto"/>
          <w:sz w:val="24"/>
          <w:szCs w:val="22"/>
          <w:highlight w:val="none"/>
        </w:rPr>
      </w:pPr>
      <w:r>
        <w:rPr>
          <w:rFonts w:hint="eastAsia"/>
          <w:color w:val="auto"/>
          <w:sz w:val="24"/>
          <w:szCs w:val="22"/>
          <w:highlight w:val="none"/>
        </w:rPr>
        <w:t xml:space="preserve">采购人名称：                                         </w:t>
      </w:r>
    </w:p>
    <w:p>
      <w:pPr>
        <w:pStyle w:val="37"/>
        <w:ind w:firstLine="480"/>
        <w:rPr>
          <w:color w:val="auto"/>
          <w:sz w:val="24"/>
          <w:szCs w:val="22"/>
          <w:highlight w:val="none"/>
        </w:rPr>
      </w:pPr>
      <w:r>
        <w:rPr>
          <w:rFonts w:hint="eastAsia"/>
          <w:color w:val="auto"/>
          <w:sz w:val="24"/>
          <w:szCs w:val="22"/>
          <w:highlight w:val="none"/>
        </w:rPr>
        <w:t xml:space="preserve">招标文件获取日期：                                           </w:t>
      </w:r>
    </w:p>
    <w:p>
      <w:pPr>
        <w:pStyle w:val="37"/>
        <w:ind w:firstLine="480"/>
        <w:rPr>
          <w:color w:val="auto"/>
          <w:sz w:val="24"/>
          <w:szCs w:val="22"/>
          <w:highlight w:val="none"/>
        </w:rPr>
      </w:pPr>
      <w:r>
        <w:rPr>
          <w:rFonts w:hint="eastAsia"/>
          <w:color w:val="auto"/>
          <w:sz w:val="24"/>
          <w:szCs w:val="22"/>
          <w:highlight w:val="none"/>
        </w:rPr>
        <w:t>三、质疑事项具体内容</w:t>
      </w:r>
    </w:p>
    <w:p>
      <w:pPr>
        <w:pStyle w:val="37"/>
        <w:ind w:firstLine="480"/>
        <w:rPr>
          <w:color w:val="auto"/>
          <w:sz w:val="24"/>
          <w:szCs w:val="22"/>
          <w:highlight w:val="none"/>
        </w:rPr>
      </w:pPr>
      <w:r>
        <w:rPr>
          <w:rFonts w:hint="eastAsia"/>
          <w:color w:val="auto"/>
          <w:sz w:val="24"/>
          <w:szCs w:val="22"/>
          <w:highlight w:val="none"/>
        </w:rPr>
        <w:t xml:space="preserve">质疑事项1：                                         </w:t>
      </w:r>
    </w:p>
    <w:p>
      <w:pPr>
        <w:pStyle w:val="37"/>
        <w:ind w:firstLine="480"/>
        <w:rPr>
          <w:color w:val="auto"/>
          <w:sz w:val="24"/>
          <w:szCs w:val="22"/>
          <w:highlight w:val="none"/>
        </w:rPr>
      </w:pPr>
      <w:r>
        <w:rPr>
          <w:rFonts w:hint="eastAsia"/>
          <w:color w:val="auto"/>
          <w:sz w:val="24"/>
          <w:szCs w:val="22"/>
          <w:highlight w:val="none"/>
        </w:rPr>
        <w:t xml:space="preserve">事实依据：                                          </w:t>
      </w:r>
    </w:p>
    <w:p>
      <w:pPr>
        <w:pStyle w:val="37"/>
        <w:ind w:firstLine="480"/>
        <w:rPr>
          <w:color w:val="auto"/>
          <w:sz w:val="24"/>
          <w:szCs w:val="22"/>
          <w:highlight w:val="none"/>
        </w:rPr>
      </w:pPr>
    </w:p>
    <w:p>
      <w:pPr>
        <w:pStyle w:val="37"/>
        <w:ind w:firstLine="480"/>
        <w:rPr>
          <w:color w:val="auto"/>
          <w:sz w:val="24"/>
          <w:szCs w:val="22"/>
          <w:highlight w:val="none"/>
        </w:rPr>
      </w:pPr>
      <w:r>
        <w:rPr>
          <w:rFonts w:hint="eastAsia"/>
          <w:color w:val="auto"/>
          <w:sz w:val="24"/>
          <w:szCs w:val="22"/>
          <w:highlight w:val="none"/>
        </w:rPr>
        <w:t xml:space="preserve">法律依据：                                          </w:t>
      </w:r>
    </w:p>
    <w:p>
      <w:pPr>
        <w:pStyle w:val="37"/>
        <w:ind w:firstLine="480"/>
        <w:rPr>
          <w:color w:val="auto"/>
          <w:sz w:val="24"/>
          <w:szCs w:val="22"/>
          <w:highlight w:val="none"/>
        </w:rPr>
      </w:pPr>
    </w:p>
    <w:p>
      <w:pPr>
        <w:pStyle w:val="37"/>
        <w:ind w:firstLine="480"/>
        <w:rPr>
          <w:color w:val="auto"/>
          <w:sz w:val="24"/>
          <w:szCs w:val="22"/>
          <w:highlight w:val="none"/>
        </w:rPr>
      </w:pPr>
      <w:r>
        <w:rPr>
          <w:rFonts w:hint="eastAsia"/>
          <w:color w:val="auto"/>
          <w:sz w:val="24"/>
          <w:szCs w:val="22"/>
          <w:highlight w:val="none"/>
        </w:rPr>
        <w:t>质疑事项2</w:t>
      </w:r>
    </w:p>
    <w:p>
      <w:pPr>
        <w:pStyle w:val="37"/>
        <w:ind w:firstLine="480"/>
        <w:rPr>
          <w:color w:val="auto"/>
          <w:sz w:val="24"/>
          <w:szCs w:val="22"/>
          <w:highlight w:val="none"/>
        </w:rPr>
      </w:pPr>
      <w:r>
        <w:rPr>
          <w:rFonts w:hint="eastAsia"/>
          <w:color w:val="auto"/>
          <w:sz w:val="24"/>
          <w:szCs w:val="22"/>
          <w:highlight w:val="none"/>
        </w:rPr>
        <w:t>……</w:t>
      </w:r>
    </w:p>
    <w:p>
      <w:pPr>
        <w:pStyle w:val="37"/>
        <w:ind w:firstLine="480"/>
        <w:rPr>
          <w:color w:val="auto"/>
          <w:sz w:val="24"/>
          <w:szCs w:val="22"/>
          <w:highlight w:val="none"/>
        </w:rPr>
      </w:pPr>
      <w:r>
        <w:rPr>
          <w:rFonts w:hint="eastAsia"/>
          <w:color w:val="auto"/>
          <w:sz w:val="24"/>
          <w:szCs w:val="22"/>
          <w:highlight w:val="none"/>
        </w:rPr>
        <w:t>四、与质疑事项相关的质疑请求</w:t>
      </w:r>
    </w:p>
    <w:p>
      <w:pPr>
        <w:pStyle w:val="37"/>
        <w:ind w:firstLine="480"/>
        <w:rPr>
          <w:color w:val="auto"/>
          <w:sz w:val="24"/>
          <w:szCs w:val="22"/>
          <w:highlight w:val="none"/>
        </w:rPr>
      </w:pPr>
      <w:r>
        <w:rPr>
          <w:rFonts w:hint="eastAsia"/>
          <w:color w:val="auto"/>
          <w:sz w:val="24"/>
          <w:szCs w:val="22"/>
          <w:highlight w:val="none"/>
        </w:rPr>
        <w:t xml:space="preserve">请求：                                               </w:t>
      </w:r>
    </w:p>
    <w:p>
      <w:pPr>
        <w:pStyle w:val="37"/>
        <w:ind w:firstLine="480"/>
        <w:rPr>
          <w:color w:val="auto"/>
          <w:sz w:val="24"/>
          <w:szCs w:val="22"/>
          <w:highlight w:val="none"/>
        </w:rPr>
      </w:pPr>
      <w:r>
        <w:rPr>
          <w:rFonts w:hint="eastAsia"/>
          <w:color w:val="auto"/>
          <w:sz w:val="24"/>
          <w:szCs w:val="22"/>
          <w:highlight w:val="none"/>
        </w:rPr>
        <w:t xml:space="preserve">签字(签章)：                   公章：                      </w:t>
      </w:r>
    </w:p>
    <w:p>
      <w:pPr>
        <w:pStyle w:val="37"/>
        <w:ind w:firstLine="480"/>
        <w:rPr>
          <w:color w:val="auto"/>
          <w:sz w:val="24"/>
          <w:szCs w:val="22"/>
          <w:highlight w:val="none"/>
        </w:rPr>
      </w:pPr>
      <w:r>
        <w:rPr>
          <w:rFonts w:hint="eastAsia"/>
          <w:color w:val="auto"/>
          <w:sz w:val="24"/>
          <w:szCs w:val="22"/>
          <w:highlight w:val="none"/>
        </w:rPr>
        <w:t xml:space="preserve">日期：    </w:t>
      </w:r>
    </w:p>
    <w:p>
      <w:pPr>
        <w:rPr>
          <w:rFonts w:ascii="宋体" w:hAnsi="宋体"/>
          <w:color w:val="auto"/>
          <w:sz w:val="24"/>
          <w:szCs w:val="22"/>
          <w:highlight w:val="none"/>
        </w:rPr>
      </w:pPr>
      <w:r>
        <w:rPr>
          <w:rFonts w:hint="eastAsia" w:ascii="宋体" w:hAnsi="宋体"/>
          <w:color w:val="auto"/>
          <w:sz w:val="24"/>
          <w:szCs w:val="22"/>
          <w:highlight w:val="none"/>
        </w:rPr>
        <w:br w:type="page"/>
      </w:r>
    </w:p>
    <w:p>
      <w:pPr>
        <w:pStyle w:val="37"/>
        <w:ind w:firstLine="480"/>
        <w:rPr>
          <w:color w:val="auto"/>
          <w:sz w:val="24"/>
          <w:szCs w:val="22"/>
          <w:highlight w:val="none"/>
        </w:rPr>
      </w:pPr>
      <w:r>
        <w:rPr>
          <w:rFonts w:hint="eastAsia"/>
          <w:color w:val="auto"/>
          <w:sz w:val="24"/>
          <w:szCs w:val="22"/>
          <w:highlight w:val="none"/>
        </w:rPr>
        <w:t>质疑函制作说明：</w:t>
      </w:r>
    </w:p>
    <w:p>
      <w:pPr>
        <w:pStyle w:val="37"/>
        <w:ind w:firstLine="480"/>
        <w:rPr>
          <w:color w:val="auto"/>
          <w:sz w:val="24"/>
          <w:szCs w:val="22"/>
          <w:highlight w:val="none"/>
        </w:rPr>
      </w:pPr>
      <w:r>
        <w:rPr>
          <w:rFonts w:hint="eastAsia"/>
          <w:color w:val="auto"/>
          <w:sz w:val="24"/>
          <w:szCs w:val="22"/>
          <w:highlight w:val="none"/>
        </w:rPr>
        <w:t>1.供应商提出质疑时，应提交质疑函和必要的证明材料。</w:t>
      </w:r>
    </w:p>
    <w:p>
      <w:pPr>
        <w:pStyle w:val="37"/>
        <w:ind w:firstLine="480"/>
        <w:rPr>
          <w:color w:val="auto"/>
          <w:sz w:val="24"/>
          <w:szCs w:val="22"/>
          <w:highlight w:val="none"/>
        </w:rPr>
      </w:pPr>
      <w:r>
        <w:rPr>
          <w:rFonts w:hint="eastAsia"/>
          <w:color w:val="auto"/>
          <w:sz w:val="24"/>
          <w:szCs w:val="22"/>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pPr>
        <w:pStyle w:val="37"/>
        <w:ind w:firstLine="480"/>
        <w:rPr>
          <w:color w:val="auto"/>
          <w:sz w:val="24"/>
          <w:szCs w:val="22"/>
          <w:highlight w:val="none"/>
        </w:rPr>
      </w:pPr>
      <w:r>
        <w:rPr>
          <w:rFonts w:hint="eastAsia"/>
          <w:color w:val="auto"/>
          <w:sz w:val="24"/>
          <w:szCs w:val="22"/>
          <w:highlight w:val="none"/>
        </w:rPr>
        <w:t>3.质疑供应商若对项目的某一分包进行质疑，质疑函中应列明具体分包号。</w:t>
      </w:r>
    </w:p>
    <w:p>
      <w:pPr>
        <w:pStyle w:val="37"/>
        <w:ind w:firstLine="480"/>
        <w:rPr>
          <w:color w:val="auto"/>
          <w:sz w:val="24"/>
          <w:szCs w:val="22"/>
          <w:highlight w:val="none"/>
        </w:rPr>
      </w:pPr>
      <w:r>
        <w:rPr>
          <w:rFonts w:hint="eastAsia"/>
          <w:color w:val="auto"/>
          <w:sz w:val="24"/>
          <w:szCs w:val="22"/>
          <w:highlight w:val="none"/>
        </w:rPr>
        <w:t>4.质疑函的质疑事项应具体、明确，并有必要的事实依据和法律依据。</w:t>
      </w:r>
    </w:p>
    <w:p>
      <w:pPr>
        <w:pStyle w:val="37"/>
        <w:ind w:firstLine="480"/>
        <w:rPr>
          <w:color w:val="auto"/>
          <w:sz w:val="24"/>
          <w:szCs w:val="22"/>
          <w:highlight w:val="none"/>
        </w:rPr>
      </w:pPr>
      <w:r>
        <w:rPr>
          <w:rFonts w:hint="eastAsia"/>
          <w:color w:val="auto"/>
          <w:sz w:val="24"/>
          <w:szCs w:val="22"/>
          <w:highlight w:val="none"/>
        </w:rPr>
        <w:t>5.质疑函的质疑请求应与质疑事项相关。</w:t>
      </w:r>
    </w:p>
    <w:p>
      <w:pPr>
        <w:pStyle w:val="37"/>
        <w:ind w:firstLine="480"/>
        <w:rPr>
          <w:color w:val="auto"/>
          <w:sz w:val="24"/>
          <w:szCs w:val="22"/>
          <w:highlight w:val="none"/>
        </w:rPr>
      </w:pPr>
      <w:r>
        <w:rPr>
          <w:rFonts w:hint="eastAsia"/>
          <w:color w:val="auto"/>
          <w:sz w:val="24"/>
          <w:szCs w:val="22"/>
          <w:highlight w:val="none"/>
        </w:rPr>
        <w:t>6.质疑供应商为自然人的，质疑函应由本人签字；质疑供应商为法人或者其他组织的，质疑函应由法定代表人、主要负责人，或者其授权代表签字或者盖章，并加盖公章。</w:t>
      </w:r>
    </w:p>
    <w:p>
      <w:pPr>
        <w:rPr>
          <w:rFonts w:ascii="宋体" w:hAnsi="宋体"/>
          <w:color w:val="auto"/>
          <w:highlight w:val="none"/>
        </w:rPr>
        <w:sectPr>
          <w:footerReference r:id="rId11" w:type="default"/>
          <w:pgSz w:w="11906" w:h="16838"/>
          <w:pgMar w:top="1440" w:right="1800" w:bottom="1440" w:left="1800" w:header="851" w:footer="992" w:gutter="0"/>
          <w:pgNumType w:fmt="decimal" w:start="1"/>
          <w:cols w:space="720" w:num="1"/>
          <w:docGrid w:type="lines" w:linePitch="312" w:charSpace="0"/>
        </w:sectPr>
      </w:pPr>
      <w:bookmarkStart w:id="116" w:name="_Toc6920"/>
      <w:bookmarkStart w:id="117" w:name="_Toc95234398"/>
      <w:bookmarkStart w:id="118" w:name="_Toc105522757"/>
      <w:bookmarkStart w:id="119" w:name="_Toc99731325"/>
      <w:bookmarkStart w:id="120" w:name="_Toc30959"/>
      <w:bookmarkStart w:id="121" w:name="_Toc99731210"/>
      <w:r>
        <w:rPr>
          <w:rFonts w:hint="eastAsia" w:ascii="宋体" w:hAnsi="宋体"/>
          <w:color w:val="auto"/>
          <w:highlight w:val="none"/>
        </w:rPr>
        <w:t>晁</w:t>
      </w:r>
    </w:p>
    <w:bookmarkEnd w:id="116"/>
    <w:bookmarkEnd w:id="117"/>
    <w:bookmarkEnd w:id="118"/>
    <w:bookmarkEnd w:id="119"/>
    <w:bookmarkEnd w:id="120"/>
    <w:bookmarkEnd w:id="121"/>
    <w:p>
      <w:pPr>
        <w:pStyle w:val="3"/>
        <w:rPr>
          <w:rFonts w:ascii="宋体" w:hAnsi="宋体"/>
          <w:color w:val="auto"/>
          <w:highlight w:val="none"/>
        </w:rPr>
      </w:pPr>
      <w:bookmarkStart w:id="122" w:name="_Toc161525976"/>
      <w:r>
        <w:rPr>
          <w:rFonts w:hint="eastAsia" w:ascii="宋体" w:hAnsi="宋体"/>
          <w:color w:val="auto"/>
          <w:highlight w:val="none"/>
        </w:rPr>
        <w:t>第六章 项目需求</w:t>
      </w:r>
      <w:bookmarkEnd w:id="122"/>
    </w:p>
    <w:tbl>
      <w:tblPr>
        <w:tblStyle w:val="38"/>
        <w:tblW w:w="8645" w:type="dxa"/>
        <w:jc w:val="center"/>
        <w:tblLayout w:type="autofit"/>
        <w:tblCellMar>
          <w:top w:w="0" w:type="dxa"/>
          <w:left w:w="108" w:type="dxa"/>
          <w:bottom w:w="0" w:type="dxa"/>
          <w:right w:w="108" w:type="dxa"/>
        </w:tblCellMar>
      </w:tblPr>
      <w:tblGrid>
        <w:gridCol w:w="929"/>
        <w:gridCol w:w="1926"/>
        <w:gridCol w:w="892"/>
        <w:gridCol w:w="858"/>
        <w:gridCol w:w="1590"/>
        <w:gridCol w:w="1235"/>
        <w:gridCol w:w="1215"/>
      </w:tblGrid>
      <w:tr>
        <w:tblPrEx>
          <w:tblCellMar>
            <w:top w:w="0" w:type="dxa"/>
            <w:left w:w="108" w:type="dxa"/>
            <w:bottom w:w="0" w:type="dxa"/>
            <w:right w:w="108" w:type="dxa"/>
          </w:tblCellMar>
        </w:tblPrEx>
        <w:trPr>
          <w:trHeight w:val="864" w:hRule="atLeast"/>
          <w:jc w:val="center"/>
        </w:trPr>
        <w:tc>
          <w:tcPr>
            <w:tcW w:w="9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kern w:val="0"/>
                <w:highlight w:val="none"/>
              </w:rPr>
            </w:pPr>
            <w:r>
              <w:rPr>
                <w:rFonts w:hint="eastAsia" w:ascii="宋体" w:hAnsi="宋体" w:cs="宋体"/>
                <w:b/>
                <w:bCs/>
                <w:color w:val="auto"/>
                <w:kern w:val="0"/>
                <w:highlight w:val="none"/>
              </w:rPr>
              <w:t>包号</w:t>
            </w:r>
          </w:p>
        </w:tc>
        <w:tc>
          <w:tcPr>
            <w:tcW w:w="19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kern w:val="0"/>
                <w:highlight w:val="none"/>
              </w:rPr>
            </w:pPr>
            <w:r>
              <w:rPr>
                <w:rFonts w:hint="eastAsia" w:ascii="宋体" w:hAnsi="宋体" w:cs="宋体"/>
                <w:b/>
                <w:bCs/>
                <w:color w:val="auto"/>
                <w:kern w:val="0"/>
                <w:highlight w:val="none"/>
              </w:rPr>
              <w:t>装备名称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kern w:val="0"/>
                <w:highlight w:val="none"/>
              </w:rPr>
            </w:pPr>
            <w:r>
              <w:rPr>
                <w:rFonts w:hint="eastAsia" w:ascii="宋体" w:hAnsi="宋体" w:cs="宋体"/>
                <w:b/>
                <w:bCs/>
                <w:color w:val="auto"/>
                <w:kern w:val="0"/>
                <w:highlight w:val="none"/>
              </w:rPr>
              <w:t>单位</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kern w:val="0"/>
                <w:highlight w:val="none"/>
              </w:rPr>
            </w:pPr>
            <w:r>
              <w:rPr>
                <w:rFonts w:hint="eastAsia" w:ascii="宋体" w:hAnsi="宋体" w:cs="宋体"/>
                <w:b/>
                <w:bCs/>
                <w:color w:val="auto"/>
                <w:kern w:val="0"/>
                <w:highlight w:val="none"/>
              </w:rPr>
              <w:t>数量</w:t>
            </w:r>
          </w:p>
        </w:tc>
        <w:tc>
          <w:tcPr>
            <w:tcW w:w="1590" w:type="dxa"/>
            <w:tcBorders>
              <w:top w:val="single" w:color="000000" w:sz="4" w:space="0"/>
              <w:left w:val="single" w:color="000000" w:sz="4" w:space="0"/>
              <w:bottom w:val="single" w:color="auto" w:sz="4" w:space="0"/>
              <w:right w:val="single" w:color="000000" w:sz="4" w:space="0"/>
            </w:tcBorders>
            <w:vAlign w:val="center"/>
          </w:tcPr>
          <w:p>
            <w:pPr>
              <w:widowControl/>
              <w:jc w:val="center"/>
              <w:textAlignment w:val="center"/>
              <w:rPr>
                <w:rFonts w:ascii="宋体" w:hAnsi="宋体" w:cs="宋体"/>
                <w:b/>
                <w:bCs/>
                <w:color w:val="auto"/>
                <w:kern w:val="0"/>
                <w:highlight w:val="none"/>
              </w:rPr>
            </w:pPr>
            <w:r>
              <w:rPr>
                <w:rFonts w:hint="eastAsia" w:ascii="宋体" w:hAnsi="宋体" w:cs="宋体"/>
                <w:b/>
                <w:bCs/>
                <w:color w:val="auto"/>
                <w:kern w:val="0"/>
                <w:highlight w:val="none"/>
              </w:rPr>
              <w:t>预算单价    (万元)</w:t>
            </w:r>
          </w:p>
        </w:tc>
        <w:tc>
          <w:tcPr>
            <w:tcW w:w="12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kern w:val="0"/>
                <w:highlight w:val="none"/>
              </w:rPr>
            </w:pPr>
            <w:r>
              <w:rPr>
                <w:rFonts w:hint="eastAsia" w:ascii="宋体" w:hAnsi="宋体" w:cs="宋体"/>
                <w:b/>
                <w:bCs/>
                <w:color w:val="auto"/>
                <w:kern w:val="0"/>
                <w:highlight w:val="none"/>
              </w:rPr>
              <w:t>最高限价</w:t>
            </w:r>
          </w:p>
          <w:p>
            <w:pPr>
              <w:widowControl/>
              <w:jc w:val="center"/>
              <w:textAlignment w:val="center"/>
              <w:rPr>
                <w:rFonts w:ascii="宋体" w:hAnsi="宋体" w:cs="宋体"/>
                <w:b/>
                <w:bCs/>
                <w:color w:val="auto"/>
                <w:kern w:val="0"/>
                <w:highlight w:val="none"/>
              </w:rPr>
            </w:pPr>
            <w:r>
              <w:rPr>
                <w:rFonts w:hint="eastAsia" w:ascii="宋体" w:hAnsi="宋体" w:cs="宋体"/>
                <w:b/>
                <w:bCs/>
                <w:color w:val="auto"/>
                <w:kern w:val="0"/>
                <w:highlight w:val="none"/>
              </w:rPr>
              <w:t>(万元)</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kern w:val="0"/>
                <w:highlight w:val="none"/>
              </w:rPr>
            </w:pPr>
            <w:r>
              <w:rPr>
                <w:rFonts w:hint="eastAsia" w:ascii="宋体" w:hAnsi="宋体" w:cs="宋体"/>
                <w:b/>
                <w:bCs/>
                <w:color w:val="auto"/>
                <w:kern w:val="0"/>
                <w:highlight w:val="none"/>
              </w:rPr>
              <w:t>是否核心产品</w:t>
            </w:r>
          </w:p>
        </w:tc>
      </w:tr>
      <w:tr>
        <w:tblPrEx>
          <w:tblCellMar>
            <w:top w:w="0" w:type="dxa"/>
            <w:left w:w="108" w:type="dxa"/>
            <w:bottom w:w="0" w:type="dxa"/>
            <w:right w:w="108" w:type="dxa"/>
          </w:tblCellMar>
        </w:tblPrEx>
        <w:trPr>
          <w:trHeight w:val="540" w:hRule="atLeast"/>
          <w:jc w:val="center"/>
        </w:trPr>
        <w:tc>
          <w:tcPr>
            <w:tcW w:w="92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highlight w:val="none"/>
              </w:rPr>
            </w:pPr>
            <w:r>
              <w:rPr>
                <w:rFonts w:hint="eastAsia" w:ascii="宋体" w:hAnsi="宋体" w:cs="宋体"/>
                <w:color w:val="auto"/>
                <w:kern w:val="0"/>
                <w:highlight w:val="none"/>
              </w:rPr>
              <w:t>1</w:t>
            </w:r>
          </w:p>
        </w:tc>
        <w:tc>
          <w:tcPr>
            <w:tcW w:w="19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highlight w:val="none"/>
              </w:rPr>
            </w:pPr>
            <w:r>
              <w:rPr>
                <w:rFonts w:hint="eastAsia" w:ascii="宋体" w:hAnsi="宋体" w:cs="宋体"/>
                <w:color w:val="auto"/>
                <w:highlight w:val="none"/>
              </w:rPr>
              <w:t>破冰除雪车</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highlight w:val="none"/>
              </w:rPr>
            </w:pPr>
            <w:r>
              <w:rPr>
                <w:rFonts w:hint="eastAsia" w:ascii="宋体" w:hAnsi="宋体" w:cs="宋体"/>
                <w:color w:val="auto"/>
                <w:highlight w:val="none"/>
              </w:rPr>
              <w:t>辆</w:t>
            </w:r>
          </w:p>
        </w:tc>
        <w:tc>
          <w:tcPr>
            <w:tcW w:w="858" w:type="dxa"/>
            <w:tcBorders>
              <w:top w:val="single" w:color="000000" w:sz="4" w:space="0"/>
              <w:left w:val="single" w:color="000000" w:sz="4" w:space="0"/>
              <w:bottom w:val="single" w:color="000000" w:sz="4" w:space="0"/>
              <w:right w:val="single" w:color="auto" w:sz="4" w:space="0"/>
            </w:tcBorders>
            <w:shd w:val="clear" w:color="auto" w:fill="auto"/>
            <w:vAlign w:val="center"/>
          </w:tcPr>
          <w:p>
            <w:pPr>
              <w:widowControl/>
              <w:jc w:val="center"/>
              <w:textAlignment w:val="center"/>
              <w:rPr>
                <w:rFonts w:ascii="宋体" w:hAnsi="宋体" w:cs="宋体"/>
                <w:color w:val="auto"/>
                <w:highlight w:val="none"/>
              </w:rPr>
            </w:pPr>
            <w:r>
              <w:rPr>
                <w:rFonts w:hint="eastAsia" w:ascii="宋体" w:hAnsi="宋体" w:cs="宋体"/>
                <w:color w:val="auto"/>
                <w:highlight w:val="none"/>
              </w:rPr>
              <w:t>1</w:t>
            </w:r>
          </w:p>
        </w:tc>
        <w:tc>
          <w:tcPr>
            <w:tcW w:w="1590"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auto"/>
                <w:highlight w:val="none"/>
              </w:rPr>
            </w:pPr>
            <w:r>
              <w:rPr>
                <w:rFonts w:hint="eastAsia" w:ascii="宋体" w:hAnsi="宋体" w:cs="宋体"/>
                <w:color w:val="auto"/>
                <w:highlight w:val="none"/>
              </w:rPr>
              <w:t>170</w:t>
            </w:r>
          </w:p>
        </w:tc>
        <w:tc>
          <w:tcPr>
            <w:tcW w:w="1235" w:type="dxa"/>
            <w:vMerge w:val="restart"/>
            <w:tcBorders>
              <w:top w:val="single" w:color="000000" w:sz="4" w:space="0"/>
              <w:left w:val="single" w:color="auto"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highlight w:val="none"/>
              </w:rPr>
            </w:pPr>
            <w:r>
              <w:rPr>
                <w:rFonts w:hint="eastAsia" w:ascii="宋体" w:hAnsi="宋体" w:cs="宋体"/>
                <w:color w:val="auto"/>
                <w:highlight w:val="none"/>
              </w:rPr>
              <w:t>201</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highlight w:val="none"/>
              </w:rPr>
            </w:pPr>
            <w:r>
              <w:rPr>
                <w:rFonts w:hint="eastAsia" w:ascii="宋体" w:hAnsi="宋体" w:cs="宋体"/>
                <w:color w:val="auto"/>
                <w:highlight w:val="none"/>
              </w:rPr>
              <w:t>核心产品</w:t>
            </w:r>
          </w:p>
        </w:tc>
      </w:tr>
      <w:tr>
        <w:tblPrEx>
          <w:tblCellMar>
            <w:top w:w="0" w:type="dxa"/>
            <w:left w:w="108" w:type="dxa"/>
            <w:bottom w:w="0" w:type="dxa"/>
            <w:right w:w="108" w:type="dxa"/>
          </w:tblCellMar>
        </w:tblPrEx>
        <w:trPr>
          <w:trHeight w:val="540" w:hRule="atLeast"/>
          <w:jc w:val="center"/>
        </w:trPr>
        <w:tc>
          <w:tcPr>
            <w:tcW w:w="9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highlight w:val="none"/>
              </w:rPr>
            </w:pPr>
          </w:p>
        </w:tc>
        <w:tc>
          <w:tcPr>
            <w:tcW w:w="19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highlight w:val="none"/>
              </w:rPr>
            </w:pPr>
            <w:r>
              <w:rPr>
                <w:rFonts w:hint="eastAsia" w:ascii="宋体" w:hAnsi="宋体" w:cs="宋体"/>
                <w:color w:val="auto"/>
                <w:highlight w:val="none"/>
              </w:rPr>
              <w:t>装载车</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highlight w:val="none"/>
              </w:rPr>
            </w:pPr>
            <w:r>
              <w:rPr>
                <w:rFonts w:hint="eastAsia" w:ascii="宋体" w:hAnsi="宋体" w:cs="宋体"/>
                <w:color w:val="auto"/>
                <w:highlight w:val="none"/>
              </w:rPr>
              <w:t>辆</w:t>
            </w:r>
          </w:p>
        </w:tc>
        <w:tc>
          <w:tcPr>
            <w:tcW w:w="858" w:type="dxa"/>
            <w:tcBorders>
              <w:top w:val="single" w:color="000000" w:sz="4" w:space="0"/>
              <w:left w:val="single" w:color="000000" w:sz="4" w:space="0"/>
              <w:bottom w:val="single" w:color="000000" w:sz="4" w:space="0"/>
              <w:right w:val="single" w:color="auto" w:sz="4" w:space="0"/>
            </w:tcBorders>
            <w:shd w:val="clear" w:color="auto" w:fill="auto"/>
            <w:vAlign w:val="center"/>
          </w:tcPr>
          <w:p>
            <w:pPr>
              <w:widowControl/>
              <w:jc w:val="center"/>
              <w:textAlignment w:val="center"/>
              <w:rPr>
                <w:rFonts w:ascii="宋体" w:hAnsi="宋体" w:cs="宋体"/>
                <w:color w:val="auto"/>
                <w:highlight w:val="none"/>
              </w:rPr>
            </w:pPr>
            <w:r>
              <w:rPr>
                <w:rFonts w:hint="eastAsia" w:ascii="宋体" w:hAnsi="宋体" w:cs="宋体"/>
                <w:color w:val="auto"/>
                <w:highlight w:val="none"/>
              </w:rPr>
              <w:t>1</w:t>
            </w:r>
          </w:p>
        </w:tc>
        <w:tc>
          <w:tcPr>
            <w:tcW w:w="1590"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auto"/>
                <w:highlight w:val="none"/>
              </w:rPr>
            </w:pPr>
            <w:r>
              <w:rPr>
                <w:rFonts w:hint="eastAsia" w:ascii="宋体" w:hAnsi="宋体" w:cs="宋体"/>
                <w:color w:val="auto"/>
                <w:highlight w:val="none"/>
              </w:rPr>
              <w:t>31</w:t>
            </w:r>
          </w:p>
        </w:tc>
        <w:tc>
          <w:tcPr>
            <w:tcW w:w="1235" w:type="dxa"/>
            <w:vMerge w:val="continue"/>
            <w:tcBorders>
              <w:top w:val="single" w:color="000000" w:sz="4" w:space="0"/>
              <w:left w:val="single" w:color="auto"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highlight w:val="none"/>
              </w:rPr>
            </w:pP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highlight w:val="none"/>
              </w:rPr>
            </w:pPr>
          </w:p>
        </w:tc>
      </w:tr>
      <w:tr>
        <w:tblPrEx>
          <w:tblCellMar>
            <w:top w:w="0" w:type="dxa"/>
            <w:left w:w="108" w:type="dxa"/>
            <w:bottom w:w="0" w:type="dxa"/>
            <w:right w:w="108" w:type="dxa"/>
          </w:tblCellMar>
        </w:tblPrEx>
        <w:trPr>
          <w:trHeight w:val="540" w:hRule="atLeast"/>
          <w:jc w:val="center"/>
        </w:trPr>
        <w:tc>
          <w:tcPr>
            <w:tcW w:w="9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highlight w:val="none"/>
              </w:rPr>
            </w:pPr>
            <w:r>
              <w:rPr>
                <w:rFonts w:hint="eastAsia" w:ascii="宋体" w:hAnsi="宋体" w:cs="宋体"/>
                <w:color w:val="auto"/>
                <w:kern w:val="0"/>
                <w:highlight w:val="none"/>
              </w:rPr>
              <w:t>2</w:t>
            </w:r>
          </w:p>
        </w:tc>
        <w:tc>
          <w:tcPr>
            <w:tcW w:w="19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highlight w:val="none"/>
              </w:rPr>
            </w:pPr>
            <w:r>
              <w:rPr>
                <w:rFonts w:hint="eastAsia" w:ascii="宋体" w:hAnsi="宋体" w:cs="宋体"/>
                <w:color w:val="auto"/>
                <w:highlight w:val="none"/>
              </w:rPr>
              <w:t>前突皮卡车</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highlight w:val="none"/>
              </w:rPr>
            </w:pPr>
            <w:r>
              <w:rPr>
                <w:rFonts w:hint="eastAsia" w:ascii="宋体" w:hAnsi="宋体" w:cs="宋体"/>
                <w:color w:val="auto"/>
                <w:highlight w:val="none"/>
              </w:rPr>
              <w:t>辆</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highlight w:val="none"/>
              </w:rPr>
            </w:pPr>
            <w:r>
              <w:rPr>
                <w:rFonts w:hint="eastAsia" w:ascii="宋体" w:hAnsi="宋体" w:cs="宋体"/>
                <w:color w:val="auto"/>
                <w:highlight w:val="none"/>
              </w:rPr>
              <w:t>13</w:t>
            </w:r>
          </w:p>
        </w:tc>
        <w:tc>
          <w:tcPr>
            <w:tcW w:w="1590" w:type="dxa"/>
            <w:tcBorders>
              <w:top w:val="single" w:color="auto"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highlight w:val="none"/>
              </w:rPr>
            </w:pPr>
            <w:r>
              <w:rPr>
                <w:rFonts w:hint="eastAsia" w:ascii="宋体" w:hAnsi="宋体" w:cs="宋体"/>
                <w:color w:val="auto"/>
                <w:highlight w:val="none"/>
              </w:rPr>
              <w:t>30</w:t>
            </w:r>
          </w:p>
        </w:tc>
        <w:tc>
          <w:tcPr>
            <w:tcW w:w="12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highlight w:val="none"/>
              </w:rPr>
            </w:pPr>
            <w:r>
              <w:rPr>
                <w:rFonts w:hint="eastAsia" w:ascii="宋体" w:hAnsi="宋体" w:cs="宋体"/>
                <w:color w:val="auto"/>
                <w:highlight w:val="none"/>
              </w:rPr>
              <w:t>390</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highlight w:val="none"/>
              </w:rPr>
            </w:pPr>
          </w:p>
        </w:tc>
      </w:tr>
    </w:tbl>
    <w:p>
      <w:pPr>
        <w:pStyle w:val="23"/>
        <w:rPr>
          <w:rFonts w:hAnsi="宋体"/>
          <w:color w:val="auto"/>
          <w:highlight w:val="none"/>
        </w:rPr>
      </w:pPr>
    </w:p>
    <w:p>
      <w:pPr>
        <w:widowControl/>
        <w:jc w:val="left"/>
        <w:rPr>
          <w:rFonts w:ascii="宋体" w:hAnsi="宋体" w:cs="Courier New"/>
          <w:color w:val="auto"/>
          <w:highlight w:val="none"/>
        </w:rPr>
      </w:pPr>
      <w:r>
        <w:rPr>
          <w:rFonts w:ascii="宋体" w:hAnsi="宋体"/>
          <w:color w:val="auto"/>
          <w:highlight w:val="none"/>
        </w:rPr>
        <w:br w:type="page"/>
      </w:r>
    </w:p>
    <w:p>
      <w:pPr>
        <w:pStyle w:val="23"/>
        <w:rPr>
          <w:rFonts w:hAnsi="宋体"/>
          <w:color w:val="auto"/>
          <w:highlight w:val="none"/>
        </w:rPr>
      </w:pPr>
      <w:r>
        <w:rPr>
          <w:rFonts w:hAnsi="宋体"/>
          <w:color w:val="auto"/>
          <w:highlight w:val="none"/>
        </w:rPr>
        <w:t>第一包</w:t>
      </w:r>
    </w:p>
    <w:p>
      <w:pPr>
        <w:pStyle w:val="23"/>
        <w:rPr>
          <w:rFonts w:hAnsi="宋体"/>
          <w:color w:val="auto"/>
          <w:highlight w:val="none"/>
        </w:rPr>
      </w:pPr>
    </w:p>
    <w:tbl>
      <w:tblPr>
        <w:tblStyle w:val="38"/>
        <w:tblW w:w="9142" w:type="dxa"/>
        <w:jc w:val="center"/>
        <w:tblLayout w:type="autofit"/>
        <w:tblCellMar>
          <w:top w:w="0" w:type="dxa"/>
          <w:left w:w="108" w:type="dxa"/>
          <w:bottom w:w="0" w:type="dxa"/>
          <w:right w:w="108" w:type="dxa"/>
        </w:tblCellMar>
      </w:tblPr>
      <w:tblGrid>
        <w:gridCol w:w="1668"/>
        <w:gridCol w:w="3624"/>
        <w:gridCol w:w="3850"/>
      </w:tblGrid>
      <w:tr>
        <w:tblPrEx>
          <w:tblCellMar>
            <w:top w:w="0" w:type="dxa"/>
            <w:left w:w="108" w:type="dxa"/>
            <w:bottom w:w="0" w:type="dxa"/>
            <w:right w:w="108" w:type="dxa"/>
          </w:tblCellMar>
        </w:tblPrEx>
        <w:trPr>
          <w:tblHeader/>
          <w:jc w:val="center"/>
        </w:trPr>
        <w:tc>
          <w:tcPr>
            <w:tcW w:w="1668" w:type="dxa"/>
            <w:tcBorders>
              <w:top w:val="single" w:color="auto" w:sz="8" w:space="0"/>
              <w:left w:val="single" w:color="auto" w:sz="8" w:space="0"/>
              <w:bottom w:val="single" w:color="auto" w:sz="4" w:space="0"/>
              <w:right w:val="single" w:color="auto" w:sz="4" w:space="0"/>
            </w:tcBorders>
            <w:shd w:val="clear" w:color="auto" w:fill="auto"/>
            <w:vAlign w:val="center"/>
          </w:tcPr>
          <w:p>
            <w:pPr>
              <w:widowControl/>
              <w:spacing w:line="360" w:lineRule="auto"/>
              <w:jc w:val="center"/>
              <w:rPr>
                <w:rFonts w:cs="宋体" w:asciiTheme="minorEastAsia" w:hAnsiTheme="minorEastAsia" w:eastAsiaTheme="minorEastAsia"/>
                <w:b/>
                <w:color w:val="auto"/>
                <w:kern w:val="0"/>
                <w:highlight w:val="none"/>
              </w:rPr>
            </w:pPr>
            <w:r>
              <w:rPr>
                <w:rFonts w:hint="eastAsia" w:cs="宋体" w:asciiTheme="minorEastAsia" w:hAnsiTheme="minorEastAsia" w:eastAsiaTheme="minorEastAsia"/>
                <w:b/>
                <w:color w:val="auto"/>
                <w:kern w:val="0"/>
                <w:highlight w:val="none"/>
              </w:rPr>
              <w:t>标的名称</w:t>
            </w:r>
          </w:p>
        </w:tc>
        <w:tc>
          <w:tcPr>
            <w:tcW w:w="0" w:type="auto"/>
            <w:tcBorders>
              <w:top w:val="single" w:color="auto" w:sz="8" w:space="0"/>
              <w:left w:val="nil"/>
              <w:bottom w:val="single" w:color="auto" w:sz="4" w:space="0"/>
              <w:right w:val="single" w:color="auto" w:sz="4" w:space="0"/>
            </w:tcBorders>
            <w:shd w:val="clear" w:color="auto" w:fill="auto"/>
            <w:vAlign w:val="center"/>
          </w:tcPr>
          <w:p>
            <w:pPr>
              <w:widowControl/>
              <w:spacing w:line="360" w:lineRule="auto"/>
              <w:jc w:val="center"/>
              <w:rPr>
                <w:rFonts w:cs="宋体" w:asciiTheme="minorEastAsia" w:hAnsiTheme="minorEastAsia" w:eastAsiaTheme="minorEastAsia"/>
                <w:b/>
                <w:color w:val="auto"/>
                <w:kern w:val="0"/>
                <w:highlight w:val="none"/>
              </w:rPr>
            </w:pPr>
            <w:r>
              <w:rPr>
                <w:rFonts w:hint="eastAsia" w:cs="宋体" w:asciiTheme="minorEastAsia" w:hAnsiTheme="minorEastAsia" w:eastAsiaTheme="minorEastAsia"/>
                <w:b/>
                <w:color w:val="auto"/>
                <w:kern w:val="0"/>
                <w:highlight w:val="none"/>
              </w:rPr>
              <w:t>预算单价（万元）</w:t>
            </w:r>
          </w:p>
        </w:tc>
        <w:tc>
          <w:tcPr>
            <w:tcW w:w="2022" w:type="dxa"/>
            <w:tcBorders>
              <w:top w:val="single" w:color="auto" w:sz="8" w:space="0"/>
              <w:left w:val="nil"/>
              <w:bottom w:val="single" w:color="auto" w:sz="4" w:space="0"/>
              <w:right w:val="single" w:color="auto" w:sz="8" w:space="0"/>
            </w:tcBorders>
            <w:shd w:val="clear" w:color="auto" w:fill="auto"/>
            <w:vAlign w:val="center"/>
          </w:tcPr>
          <w:p>
            <w:pPr>
              <w:widowControl/>
              <w:spacing w:line="360" w:lineRule="auto"/>
              <w:jc w:val="center"/>
              <w:rPr>
                <w:rFonts w:cs="宋体" w:asciiTheme="minorEastAsia" w:hAnsiTheme="minorEastAsia" w:eastAsiaTheme="minorEastAsia"/>
                <w:b/>
                <w:color w:val="auto"/>
                <w:kern w:val="0"/>
                <w:highlight w:val="none"/>
              </w:rPr>
            </w:pPr>
            <w:r>
              <w:rPr>
                <w:rFonts w:hint="eastAsia" w:cs="宋体" w:asciiTheme="minorEastAsia" w:hAnsiTheme="minorEastAsia" w:eastAsiaTheme="minorEastAsia"/>
                <w:b/>
                <w:color w:val="auto"/>
                <w:kern w:val="0"/>
                <w:highlight w:val="none"/>
              </w:rPr>
              <w:t>数量</w:t>
            </w:r>
          </w:p>
        </w:tc>
      </w:tr>
      <w:tr>
        <w:tblPrEx>
          <w:tblCellMar>
            <w:top w:w="0" w:type="dxa"/>
            <w:left w:w="108" w:type="dxa"/>
            <w:bottom w:w="0" w:type="dxa"/>
            <w:right w:w="108" w:type="dxa"/>
          </w:tblCellMar>
        </w:tblPrEx>
        <w:trPr>
          <w:tblHeader/>
          <w:jc w:val="center"/>
        </w:trPr>
        <w:tc>
          <w:tcPr>
            <w:tcW w:w="1668" w:type="dxa"/>
            <w:tcBorders>
              <w:top w:val="nil"/>
              <w:left w:val="single" w:color="auto" w:sz="8" w:space="0"/>
              <w:bottom w:val="single" w:color="auto" w:sz="4" w:space="0"/>
              <w:right w:val="single" w:color="auto" w:sz="4" w:space="0"/>
            </w:tcBorders>
            <w:shd w:val="clear" w:color="auto" w:fill="auto"/>
            <w:vAlign w:val="center"/>
          </w:tcPr>
          <w:p>
            <w:pPr>
              <w:widowControl/>
              <w:spacing w:line="360" w:lineRule="auto"/>
              <w:jc w:val="center"/>
              <w:rPr>
                <w:rFonts w:cs="宋体" w:asciiTheme="minorEastAsia" w:hAnsiTheme="minorEastAsia" w:eastAsiaTheme="minorEastAsia"/>
                <w:b/>
                <w:color w:val="auto"/>
                <w:kern w:val="0"/>
                <w:highlight w:val="none"/>
              </w:rPr>
            </w:pPr>
            <w:r>
              <w:rPr>
                <w:rFonts w:hint="eastAsia" w:cs="宋体" w:asciiTheme="minorEastAsia" w:hAnsiTheme="minorEastAsia" w:eastAsiaTheme="minorEastAsia"/>
                <w:b/>
                <w:color w:val="auto"/>
                <w:kern w:val="0"/>
                <w:highlight w:val="none"/>
              </w:rPr>
              <w:t>破冰除雪车</w:t>
            </w:r>
          </w:p>
        </w:tc>
        <w:tc>
          <w:tcPr>
            <w:tcW w:w="0" w:type="auto"/>
            <w:tcBorders>
              <w:top w:val="nil"/>
              <w:left w:val="nil"/>
              <w:bottom w:val="single" w:color="auto" w:sz="4" w:space="0"/>
              <w:right w:val="single" w:color="auto" w:sz="4" w:space="0"/>
            </w:tcBorders>
            <w:shd w:val="clear" w:color="auto" w:fill="auto"/>
            <w:vAlign w:val="center"/>
          </w:tcPr>
          <w:p>
            <w:pPr>
              <w:widowControl/>
              <w:spacing w:line="360" w:lineRule="auto"/>
              <w:jc w:val="center"/>
              <w:rPr>
                <w:rFonts w:cs="宋体" w:asciiTheme="minorEastAsia" w:hAnsiTheme="minorEastAsia" w:eastAsiaTheme="minorEastAsia"/>
                <w:b/>
                <w:color w:val="auto"/>
                <w:kern w:val="0"/>
                <w:highlight w:val="none"/>
              </w:rPr>
            </w:pPr>
            <w:r>
              <w:rPr>
                <w:rFonts w:hint="eastAsia" w:cs="宋体" w:asciiTheme="minorEastAsia" w:hAnsiTheme="minorEastAsia" w:eastAsiaTheme="minorEastAsia"/>
                <w:b/>
                <w:color w:val="auto"/>
                <w:kern w:val="0"/>
                <w:highlight w:val="none"/>
              </w:rPr>
              <w:t>170</w:t>
            </w:r>
          </w:p>
        </w:tc>
        <w:tc>
          <w:tcPr>
            <w:tcW w:w="2022" w:type="dxa"/>
            <w:tcBorders>
              <w:top w:val="nil"/>
              <w:left w:val="nil"/>
              <w:bottom w:val="single" w:color="auto" w:sz="4" w:space="0"/>
              <w:right w:val="single" w:color="auto" w:sz="8" w:space="0"/>
            </w:tcBorders>
            <w:shd w:val="clear" w:color="auto" w:fill="auto"/>
            <w:vAlign w:val="center"/>
          </w:tcPr>
          <w:p>
            <w:pPr>
              <w:widowControl/>
              <w:spacing w:line="360" w:lineRule="auto"/>
              <w:jc w:val="center"/>
              <w:rPr>
                <w:rFonts w:cs="宋体" w:asciiTheme="minorEastAsia" w:hAnsiTheme="minorEastAsia" w:eastAsiaTheme="minorEastAsia"/>
                <w:b/>
                <w:color w:val="auto"/>
                <w:kern w:val="0"/>
                <w:highlight w:val="none"/>
              </w:rPr>
            </w:pPr>
            <w:r>
              <w:rPr>
                <w:rFonts w:hint="eastAsia" w:cs="宋体" w:asciiTheme="minorEastAsia" w:hAnsiTheme="minorEastAsia" w:eastAsiaTheme="minorEastAsia"/>
                <w:b/>
                <w:color w:val="auto"/>
                <w:kern w:val="0"/>
                <w:highlight w:val="none"/>
              </w:rPr>
              <w:t>1</w:t>
            </w:r>
          </w:p>
        </w:tc>
      </w:tr>
      <w:tr>
        <w:tblPrEx>
          <w:tblCellMar>
            <w:top w:w="0" w:type="dxa"/>
            <w:left w:w="108" w:type="dxa"/>
            <w:bottom w:w="0" w:type="dxa"/>
            <w:right w:w="108" w:type="dxa"/>
          </w:tblCellMar>
        </w:tblPrEx>
        <w:trPr>
          <w:tblHeader/>
          <w:jc w:val="center"/>
        </w:trPr>
        <w:tc>
          <w:tcPr>
            <w:tcW w:w="1668" w:type="dxa"/>
            <w:tcBorders>
              <w:top w:val="nil"/>
              <w:left w:val="single" w:color="auto" w:sz="8" w:space="0"/>
              <w:bottom w:val="single" w:color="auto" w:sz="8" w:space="0"/>
              <w:right w:val="single" w:color="auto" w:sz="4" w:space="0"/>
            </w:tcBorders>
            <w:shd w:val="clear" w:color="auto" w:fill="auto"/>
            <w:vAlign w:val="center"/>
          </w:tcPr>
          <w:p>
            <w:pPr>
              <w:widowControl/>
              <w:spacing w:line="360" w:lineRule="auto"/>
              <w:jc w:val="center"/>
              <w:rPr>
                <w:rFonts w:cs="宋体" w:asciiTheme="minorEastAsia" w:hAnsiTheme="minorEastAsia" w:eastAsiaTheme="minorEastAsia"/>
                <w:b/>
                <w:color w:val="auto"/>
                <w:kern w:val="0"/>
                <w:highlight w:val="none"/>
              </w:rPr>
            </w:pPr>
            <w:r>
              <w:rPr>
                <w:rFonts w:hint="eastAsia" w:cs="宋体" w:asciiTheme="minorEastAsia" w:hAnsiTheme="minorEastAsia" w:eastAsiaTheme="minorEastAsia"/>
                <w:b/>
                <w:color w:val="auto"/>
                <w:kern w:val="0"/>
                <w:highlight w:val="none"/>
              </w:rPr>
              <w:t>名称</w:t>
            </w:r>
          </w:p>
        </w:tc>
        <w:tc>
          <w:tcPr>
            <w:tcW w:w="7474" w:type="dxa"/>
            <w:gridSpan w:val="2"/>
            <w:tcBorders>
              <w:top w:val="single" w:color="auto" w:sz="4" w:space="0"/>
              <w:left w:val="nil"/>
              <w:bottom w:val="single" w:color="auto" w:sz="8" w:space="0"/>
              <w:right w:val="single" w:color="000000" w:sz="8" w:space="0"/>
            </w:tcBorders>
            <w:shd w:val="clear" w:color="auto" w:fill="auto"/>
            <w:vAlign w:val="center"/>
          </w:tcPr>
          <w:p>
            <w:pPr>
              <w:widowControl/>
              <w:spacing w:line="360" w:lineRule="auto"/>
              <w:jc w:val="center"/>
              <w:rPr>
                <w:rFonts w:cs="宋体" w:asciiTheme="minorEastAsia" w:hAnsiTheme="minorEastAsia" w:eastAsiaTheme="minorEastAsia"/>
                <w:b/>
                <w:color w:val="auto"/>
                <w:kern w:val="0"/>
                <w:highlight w:val="none"/>
              </w:rPr>
            </w:pPr>
            <w:r>
              <w:rPr>
                <w:rFonts w:hint="eastAsia" w:cs="宋体" w:asciiTheme="minorEastAsia" w:hAnsiTheme="minorEastAsia" w:eastAsiaTheme="minorEastAsia"/>
                <w:b/>
                <w:color w:val="auto"/>
                <w:kern w:val="0"/>
                <w:highlight w:val="none"/>
              </w:rPr>
              <w:t>技术参数及规格</w:t>
            </w:r>
          </w:p>
        </w:tc>
      </w:tr>
      <w:tr>
        <w:tblPrEx>
          <w:tblCellMar>
            <w:top w:w="0" w:type="dxa"/>
            <w:left w:w="108" w:type="dxa"/>
            <w:bottom w:w="0" w:type="dxa"/>
            <w:right w:w="108" w:type="dxa"/>
          </w:tblCellMar>
        </w:tblPrEx>
        <w:trPr>
          <w:trHeight w:val="2417" w:hRule="atLeast"/>
          <w:jc w:val="center"/>
        </w:trPr>
        <w:tc>
          <w:tcPr>
            <w:tcW w:w="1668" w:type="dxa"/>
            <w:tcBorders>
              <w:top w:val="nil"/>
              <w:left w:val="single" w:color="auto" w:sz="8" w:space="0"/>
              <w:bottom w:val="single" w:color="auto" w:sz="4" w:space="0"/>
              <w:right w:val="single" w:color="auto" w:sz="4" w:space="0"/>
            </w:tcBorders>
            <w:shd w:val="clear" w:color="auto" w:fill="auto"/>
            <w:vAlign w:val="center"/>
          </w:tcPr>
          <w:p>
            <w:pPr>
              <w:spacing w:line="360" w:lineRule="auto"/>
              <w:jc w:val="center"/>
              <w:rPr>
                <w:rFonts w:cs="宋体" w:asciiTheme="minorEastAsia" w:hAnsiTheme="minorEastAsia" w:eastAsiaTheme="minorEastAsia"/>
                <w:color w:val="auto"/>
                <w:highlight w:val="none"/>
              </w:rPr>
            </w:pPr>
            <w:r>
              <w:rPr>
                <w:rFonts w:hint="eastAsia" w:asciiTheme="minorEastAsia" w:hAnsiTheme="minorEastAsia" w:eastAsiaTheme="minorEastAsia"/>
                <w:color w:val="auto"/>
                <w:highlight w:val="none"/>
              </w:rPr>
              <w:t>底盘参数</w:t>
            </w:r>
          </w:p>
        </w:tc>
        <w:tc>
          <w:tcPr>
            <w:tcW w:w="7474" w:type="dxa"/>
            <w:gridSpan w:val="2"/>
            <w:tcBorders>
              <w:top w:val="single" w:color="auto" w:sz="8" w:space="0"/>
              <w:left w:val="nil"/>
              <w:bottom w:val="single" w:color="auto" w:sz="4" w:space="0"/>
              <w:right w:val="single" w:color="000000" w:sz="8" w:space="0"/>
            </w:tcBorders>
            <w:shd w:val="clear" w:color="auto" w:fill="auto"/>
            <w:vAlign w:val="center"/>
          </w:tcPr>
          <w:p>
            <w:pPr>
              <w:widowControl/>
              <w:numPr>
                <w:ilvl w:val="0"/>
                <w:numId w:val="10"/>
              </w:numPr>
              <w:spacing w:line="360" w:lineRule="auto"/>
              <w:jc w:val="left"/>
              <w:rPr>
                <w:rFonts w:hint="eastAsia" w:asciiTheme="minorEastAsia" w:hAnsiTheme="minorEastAsia" w:eastAsiaTheme="minorEastAsia"/>
                <w:color w:val="auto"/>
                <w:kern w:val="0"/>
                <w:highlight w:val="none"/>
                <w:lang w:val="en-US" w:eastAsia="zh-CN"/>
              </w:rPr>
            </w:pPr>
            <w:r>
              <w:rPr>
                <w:rFonts w:hint="eastAsia" w:asciiTheme="minorEastAsia" w:hAnsiTheme="minorEastAsia" w:eastAsiaTheme="minorEastAsia"/>
                <w:color w:val="auto"/>
                <w:kern w:val="0"/>
                <w:highlight w:val="none"/>
                <w:lang w:val="en-US" w:eastAsia="zh-CN"/>
              </w:rPr>
              <w:t>底盘品牌/型号：国产品牌；</w:t>
            </w:r>
          </w:p>
          <w:p>
            <w:pPr>
              <w:widowControl/>
              <w:numPr>
                <w:ilvl w:val="0"/>
                <w:numId w:val="10"/>
              </w:numPr>
              <w:spacing w:line="360" w:lineRule="auto"/>
              <w:jc w:val="left"/>
              <w:rPr>
                <w:rFonts w:hint="eastAsia" w:asciiTheme="minorEastAsia" w:hAnsiTheme="minorEastAsia" w:eastAsiaTheme="minorEastAsia"/>
                <w:color w:val="auto"/>
                <w:kern w:val="0"/>
                <w:highlight w:val="none"/>
              </w:rPr>
            </w:pPr>
            <w:r>
              <w:rPr>
                <w:rFonts w:hint="eastAsia" w:asciiTheme="minorEastAsia" w:hAnsiTheme="minorEastAsia" w:eastAsiaTheme="minorEastAsia"/>
                <w:color w:val="auto"/>
                <w:kern w:val="0"/>
                <w:highlight w:val="none"/>
              </w:rPr>
              <w:t>驱动形式：6X4（等同或优于）；</w:t>
            </w:r>
          </w:p>
          <w:p>
            <w:pPr>
              <w:widowControl/>
              <w:numPr>
                <w:ilvl w:val="0"/>
                <w:numId w:val="0"/>
              </w:numPr>
              <w:spacing w:line="360" w:lineRule="auto"/>
              <w:jc w:val="left"/>
              <w:rPr>
                <w:rFonts w:hint="eastAsia" w:asciiTheme="minorEastAsia" w:hAnsiTheme="minorEastAsia" w:eastAsiaTheme="minorEastAsia"/>
                <w:color w:val="auto"/>
                <w:kern w:val="0"/>
                <w:highlight w:val="none"/>
              </w:rPr>
            </w:pPr>
            <w:r>
              <w:rPr>
                <w:rFonts w:hint="eastAsia" w:asciiTheme="minorEastAsia" w:hAnsiTheme="minorEastAsia" w:eastAsiaTheme="minorEastAsia"/>
                <w:color w:val="auto"/>
                <w:kern w:val="0"/>
                <w:highlight w:val="none"/>
              </w:rPr>
              <w:t>▲</w:t>
            </w:r>
            <w:r>
              <w:rPr>
                <w:rFonts w:hint="eastAsia" w:asciiTheme="minorEastAsia" w:hAnsiTheme="minorEastAsia" w:eastAsiaTheme="minorEastAsia"/>
                <w:color w:val="auto"/>
                <w:kern w:val="0"/>
                <w:highlight w:val="none"/>
                <w:lang w:val="en-US" w:eastAsia="zh-CN"/>
              </w:rPr>
              <w:t>3、底盘发动机功率</w:t>
            </w:r>
            <w:r>
              <w:rPr>
                <w:rFonts w:hint="eastAsia" w:asciiTheme="minorEastAsia" w:hAnsiTheme="minorEastAsia" w:eastAsiaTheme="minorEastAsia"/>
                <w:color w:val="auto"/>
                <w:kern w:val="0"/>
                <w:highlight w:val="none"/>
              </w:rPr>
              <w:t>≥250kW；</w:t>
            </w:r>
          </w:p>
          <w:p>
            <w:pPr>
              <w:widowControl/>
              <w:spacing w:line="360" w:lineRule="auto"/>
              <w:jc w:val="left"/>
              <w:rPr>
                <w:rFonts w:asciiTheme="minorEastAsia" w:hAnsiTheme="minorEastAsia" w:eastAsiaTheme="minorEastAsia"/>
                <w:color w:val="auto"/>
                <w:kern w:val="0"/>
                <w:highlight w:val="none"/>
              </w:rPr>
            </w:pPr>
            <w:r>
              <w:rPr>
                <w:rFonts w:hint="eastAsia" w:asciiTheme="minorEastAsia" w:hAnsiTheme="minorEastAsia" w:eastAsiaTheme="minorEastAsia"/>
                <w:color w:val="auto"/>
                <w:kern w:val="0"/>
                <w:highlight w:val="none"/>
              </w:rPr>
              <w:t>▲</w:t>
            </w:r>
            <w:r>
              <w:rPr>
                <w:rFonts w:hint="eastAsia" w:asciiTheme="minorEastAsia" w:hAnsiTheme="minorEastAsia" w:eastAsiaTheme="minorEastAsia"/>
                <w:color w:val="auto"/>
                <w:kern w:val="0"/>
                <w:highlight w:val="none"/>
                <w:lang w:val="en-US" w:eastAsia="zh-CN"/>
              </w:rPr>
              <w:t>4</w:t>
            </w:r>
            <w:r>
              <w:rPr>
                <w:rFonts w:hint="eastAsia" w:asciiTheme="minorEastAsia" w:hAnsiTheme="minorEastAsia" w:eastAsiaTheme="minorEastAsia"/>
                <w:color w:val="auto"/>
                <w:kern w:val="0"/>
                <w:highlight w:val="none"/>
              </w:rPr>
              <w:t>、尾气排放满足国Ⅵb以上标准；轮胎均为钢丝胎，并配有原装、原尺寸备胎。</w:t>
            </w:r>
          </w:p>
        </w:tc>
      </w:tr>
      <w:tr>
        <w:tblPrEx>
          <w:tblCellMar>
            <w:top w:w="0" w:type="dxa"/>
            <w:left w:w="108" w:type="dxa"/>
            <w:bottom w:w="0" w:type="dxa"/>
            <w:right w:w="108" w:type="dxa"/>
          </w:tblCellMar>
        </w:tblPrEx>
        <w:trPr>
          <w:jc w:val="center"/>
        </w:trPr>
        <w:tc>
          <w:tcPr>
            <w:tcW w:w="1668" w:type="dxa"/>
            <w:tcBorders>
              <w:top w:val="nil"/>
              <w:left w:val="single" w:color="auto" w:sz="8" w:space="0"/>
              <w:bottom w:val="single" w:color="auto" w:sz="4" w:space="0"/>
              <w:right w:val="single" w:color="auto" w:sz="4" w:space="0"/>
            </w:tcBorders>
            <w:shd w:val="clear" w:color="auto" w:fill="auto"/>
            <w:vAlign w:val="center"/>
          </w:tcPr>
          <w:p>
            <w:pPr>
              <w:spacing w:line="360" w:lineRule="auto"/>
              <w:jc w:val="center"/>
              <w:rPr>
                <w:rFonts w:cs="宋体" w:asciiTheme="minorEastAsia" w:hAnsiTheme="minorEastAsia" w:eastAsiaTheme="minorEastAsia"/>
                <w:color w:val="auto"/>
                <w:highlight w:val="none"/>
              </w:rPr>
            </w:pPr>
            <w:r>
              <w:rPr>
                <w:rFonts w:hint="eastAsia" w:asciiTheme="minorEastAsia" w:hAnsiTheme="minorEastAsia" w:eastAsiaTheme="minorEastAsia"/>
                <w:color w:val="auto"/>
                <w:highlight w:val="none"/>
              </w:rPr>
              <w:t>驾驶室</w:t>
            </w:r>
          </w:p>
        </w:tc>
        <w:tc>
          <w:tcPr>
            <w:tcW w:w="7474" w:type="dxa"/>
            <w:gridSpan w:val="2"/>
            <w:tcBorders>
              <w:top w:val="single" w:color="auto" w:sz="4" w:space="0"/>
              <w:left w:val="nil"/>
              <w:bottom w:val="single" w:color="auto" w:sz="4" w:space="0"/>
              <w:right w:val="single" w:color="000000" w:sz="8" w:space="0"/>
            </w:tcBorders>
            <w:shd w:val="clear" w:color="auto" w:fill="auto"/>
            <w:vAlign w:val="center"/>
          </w:tcPr>
          <w:p>
            <w:pPr>
              <w:spacing w:line="360" w:lineRule="auto"/>
              <w:jc w:val="left"/>
              <w:rPr>
                <w:rFonts w:hint="eastAsia" w:asciiTheme="minorEastAsia" w:hAnsiTheme="minorEastAsia" w:eastAsiaTheme="minorEastAsia"/>
                <w:color w:val="auto"/>
                <w:highlight w:val="none"/>
                <w:lang w:eastAsia="zh-CN"/>
              </w:rPr>
            </w:pPr>
            <w:r>
              <w:rPr>
                <w:rFonts w:hint="eastAsia" w:asciiTheme="minorEastAsia" w:hAnsiTheme="minorEastAsia" w:eastAsiaTheme="minorEastAsia"/>
                <w:color w:val="auto"/>
                <w:highlight w:val="none"/>
              </w:rPr>
              <w:t>1、原装驾驶室为双门单排，座位：≥2人；                                                  2、电源总开关安装驾驶室，切换时有声音提示；预留北斗接口和功率≥1000W的逆变器（12V、24V、220V)；</w:t>
            </w:r>
          </w:p>
          <w:p>
            <w:pPr>
              <w:spacing w:line="360" w:lineRule="auto"/>
              <w:jc w:val="left"/>
              <w:rPr>
                <w:rFonts w:hint="eastAsia" w:asciiTheme="minorEastAsia" w:hAnsiTheme="minorEastAsia" w:eastAsiaTheme="minorEastAsia"/>
                <w:color w:val="auto"/>
                <w:highlight w:val="none"/>
                <w:lang w:eastAsia="zh-CN"/>
              </w:rPr>
            </w:pPr>
            <w:r>
              <w:rPr>
                <w:rFonts w:hint="eastAsia" w:asciiTheme="minorEastAsia" w:hAnsiTheme="minorEastAsia" w:eastAsiaTheme="minorEastAsia"/>
                <w:color w:val="auto"/>
                <w:highlight w:val="none"/>
              </w:rPr>
              <w:t>3、安装360度全景行车记录仪及辅助系统，全车倒车雷达探头≥4个，系统配备超清夜视摄像头和彩色显示屏，显示屏分辨率≥1080P，屏幕尺寸≥7寸，支持分屏、单屏等多种模式，存储卡容量≥128G，可自动分段录制、循环保存；</w:t>
            </w:r>
          </w:p>
          <w:p>
            <w:pPr>
              <w:spacing w:line="360" w:lineRule="auto"/>
              <w:jc w:val="left"/>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4、主副电动车窗，驾驶室翻转具有电动助力系统，采用双缸支撑机构。</w:t>
            </w:r>
          </w:p>
          <w:p>
            <w:pPr>
              <w:spacing w:line="360" w:lineRule="auto"/>
              <w:jc w:val="left"/>
              <w:rPr>
                <w:rFonts w:hint="eastAsia" w:eastAsiaTheme="minorEastAsia"/>
                <w:color w:val="auto"/>
                <w:lang w:val="en-US" w:eastAsia="zh-CN"/>
              </w:rPr>
            </w:pPr>
            <w:r>
              <w:rPr>
                <w:rFonts w:hint="eastAsia" w:asciiTheme="minorEastAsia" w:hAnsiTheme="minorEastAsia" w:eastAsiaTheme="minorEastAsia"/>
                <w:color w:val="auto"/>
                <w:highlight w:val="none"/>
                <w:lang w:val="en-US" w:eastAsia="zh-CN"/>
              </w:rPr>
              <w:t>5、配备车载台，与采购方通信指挥系统配套使用，并根据客户需求写入通信频段。</w:t>
            </w:r>
          </w:p>
        </w:tc>
      </w:tr>
      <w:tr>
        <w:tblPrEx>
          <w:tblCellMar>
            <w:top w:w="0" w:type="dxa"/>
            <w:left w:w="108" w:type="dxa"/>
            <w:bottom w:w="0" w:type="dxa"/>
            <w:right w:w="108" w:type="dxa"/>
          </w:tblCellMar>
        </w:tblPrEx>
        <w:trPr>
          <w:jc w:val="center"/>
        </w:trPr>
        <w:tc>
          <w:tcPr>
            <w:tcW w:w="1668" w:type="dxa"/>
            <w:tcBorders>
              <w:top w:val="nil"/>
              <w:left w:val="single" w:color="auto" w:sz="8" w:space="0"/>
              <w:bottom w:val="single" w:color="auto" w:sz="4" w:space="0"/>
              <w:right w:val="single" w:color="auto" w:sz="4" w:space="0"/>
            </w:tcBorders>
            <w:shd w:val="clear" w:color="auto" w:fill="auto"/>
            <w:vAlign w:val="center"/>
          </w:tcPr>
          <w:p>
            <w:pPr>
              <w:spacing w:line="360" w:lineRule="auto"/>
              <w:jc w:val="center"/>
              <w:rPr>
                <w:rFonts w:cs="宋体" w:asciiTheme="minorEastAsia" w:hAnsiTheme="minorEastAsia" w:eastAsiaTheme="minorEastAsia"/>
                <w:color w:val="auto"/>
                <w:highlight w:val="none"/>
              </w:rPr>
            </w:pPr>
            <w:r>
              <w:rPr>
                <w:rFonts w:hint="eastAsia" w:asciiTheme="minorEastAsia" w:hAnsiTheme="minorEastAsia" w:eastAsiaTheme="minorEastAsia"/>
                <w:color w:val="auto"/>
                <w:highlight w:val="none"/>
              </w:rPr>
              <w:t>融雪撒布机料箱</w:t>
            </w:r>
          </w:p>
        </w:tc>
        <w:tc>
          <w:tcPr>
            <w:tcW w:w="7474" w:type="dxa"/>
            <w:gridSpan w:val="2"/>
            <w:tcBorders>
              <w:top w:val="single" w:color="auto" w:sz="4" w:space="0"/>
              <w:left w:val="nil"/>
              <w:bottom w:val="single" w:color="auto" w:sz="4" w:space="0"/>
              <w:right w:val="single" w:color="000000" w:sz="8" w:space="0"/>
            </w:tcBorders>
            <w:shd w:val="clear" w:color="auto" w:fill="auto"/>
            <w:vAlign w:val="center"/>
          </w:tcPr>
          <w:p>
            <w:pPr>
              <w:widowControl/>
              <w:spacing w:line="360" w:lineRule="auto"/>
              <w:jc w:val="left"/>
              <w:rPr>
                <w:rFonts w:hint="eastAsia" w:asciiTheme="minorEastAsia" w:hAnsiTheme="minorEastAsia" w:eastAsiaTheme="minorEastAsia"/>
                <w:color w:val="auto"/>
                <w:highlight w:val="none"/>
                <w:lang w:eastAsia="zh-CN"/>
              </w:rPr>
            </w:pPr>
            <w:r>
              <w:rPr>
                <w:rFonts w:hint="eastAsia" w:asciiTheme="minorEastAsia" w:hAnsiTheme="minorEastAsia" w:eastAsiaTheme="minorEastAsia"/>
                <w:color w:val="auto"/>
                <w:highlight w:val="none"/>
              </w:rPr>
              <w:t>★1、容积≥10m³；</w:t>
            </w:r>
          </w:p>
          <w:p>
            <w:pPr>
              <w:widowControl/>
              <w:spacing w:line="360" w:lineRule="auto"/>
              <w:jc w:val="left"/>
              <w:rPr>
                <w:rFonts w:hint="eastAsia" w:asciiTheme="minorEastAsia" w:hAnsiTheme="minorEastAsia" w:eastAsiaTheme="minorEastAsia"/>
                <w:color w:val="auto"/>
                <w:highlight w:val="none"/>
                <w:lang w:eastAsia="zh-CN"/>
              </w:rPr>
            </w:pPr>
            <w:r>
              <w:rPr>
                <w:rFonts w:hint="eastAsia" w:asciiTheme="minorEastAsia" w:hAnsiTheme="minorEastAsia" w:eastAsiaTheme="minorEastAsia"/>
                <w:color w:val="auto"/>
                <w:highlight w:val="none"/>
              </w:rPr>
              <w:t>2、撒布宽度范围：2500-12000mm；</w:t>
            </w:r>
          </w:p>
          <w:p>
            <w:pPr>
              <w:widowControl/>
              <w:spacing w:line="360" w:lineRule="auto"/>
              <w:jc w:val="left"/>
              <w:rPr>
                <w:rFonts w:asciiTheme="minorEastAsia" w:hAnsiTheme="minorEastAsia" w:eastAsiaTheme="minorEastAsia"/>
                <w:color w:val="auto"/>
                <w:kern w:val="0"/>
                <w:highlight w:val="none"/>
              </w:rPr>
            </w:pPr>
            <w:r>
              <w:rPr>
                <w:rFonts w:hint="eastAsia" w:asciiTheme="minorEastAsia" w:hAnsiTheme="minorEastAsia" w:eastAsiaTheme="minorEastAsia"/>
                <w:color w:val="auto"/>
                <w:highlight w:val="none"/>
              </w:rPr>
              <w:t>3、撒布量：5-350g/m2。</w:t>
            </w:r>
          </w:p>
        </w:tc>
      </w:tr>
      <w:tr>
        <w:tblPrEx>
          <w:tblCellMar>
            <w:top w:w="0" w:type="dxa"/>
            <w:left w:w="108" w:type="dxa"/>
            <w:bottom w:w="0" w:type="dxa"/>
            <w:right w:w="108" w:type="dxa"/>
          </w:tblCellMar>
        </w:tblPrEx>
        <w:trPr>
          <w:jc w:val="center"/>
        </w:trPr>
        <w:tc>
          <w:tcPr>
            <w:tcW w:w="1668" w:type="dxa"/>
            <w:tcBorders>
              <w:top w:val="nil"/>
              <w:left w:val="single" w:color="auto" w:sz="8" w:space="0"/>
              <w:bottom w:val="single" w:color="auto" w:sz="4" w:space="0"/>
              <w:right w:val="single" w:color="auto" w:sz="4" w:space="0"/>
            </w:tcBorders>
            <w:shd w:val="clear" w:color="auto" w:fill="auto"/>
            <w:vAlign w:val="center"/>
          </w:tcPr>
          <w:p>
            <w:pPr>
              <w:spacing w:line="360" w:lineRule="auto"/>
              <w:jc w:val="center"/>
              <w:rPr>
                <w:rFonts w:cs="宋体" w:asciiTheme="minorEastAsia" w:hAnsiTheme="minorEastAsia" w:eastAsiaTheme="minorEastAsia"/>
                <w:color w:val="auto"/>
                <w:highlight w:val="none"/>
              </w:rPr>
            </w:pPr>
            <w:r>
              <w:rPr>
                <w:rFonts w:hint="eastAsia" w:asciiTheme="minorEastAsia" w:hAnsiTheme="minorEastAsia" w:eastAsiaTheme="minorEastAsia"/>
                <w:color w:val="auto"/>
                <w:highlight w:val="none"/>
              </w:rPr>
              <w:t>热熔水箱</w:t>
            </w:r>
          </w:p>
        </w:tc>
        <w:tc>
          <w:tcPr>
            <w:tcW w:w="7474" w:type="dxa"/>
            <w:gridSpan w:val="2"/>
            <w:tcBorders>
              <w:top w:val="single" w:color="auto" w:sz="4" w:space="0"/>
              <w:left w:val="nil"/>
              <w:bottom w:val="single" w:color="auto" w:sz="4" w:space="0"/>
              <w:right w:val="single" w:color="000000" w:sz="8" w:space="0"/>
            </w:tcBorders>
            <w:shd w:val="clear" w:color="auto" w:fill="auto"/>
            <w:vAlign w:val="center"/>
          </w:tcPr>
          <w:p>
            <w:pPr>
              <w:spacing w:line="360" w:lineRule="auto"/>
              <w:jc w:val="left"/>
              <w:rPr>
                <w:rFonts w:hint="eastAsia" w:asciiTheme="minorEastAsia" w:hAnsiTheme="minorEastAsia" w:eastAsiaTheme="minorEastAsia"/>
                <w:color w:val="auto"/>
                <w:highlight w:val="none"/>
                <w:lang w:eastAsia="zh-CN"/>
              </w:rPr>
            </w:pPr>
            <w:r>
              <w:rPr>
                <w:rFonts w:hint="eastAsia" w:asciiTheme="minorEastAsia" w:hAnsiTheme="minorEastAsia" w:eastAsiaTheme="minorEastAsia"/>
                <w:color w:val="auto"/>
                <w:highlight w:val="none"/>
              </w:rPr>
              <w:t>★1、容积≥6000L；</w:t>
            </w:r>
          </w:p>
          <w:p>
            <w:pPr>
              <w:spacing w:line="360" w:lineRule="auto"/>
              <w:jc w:val="left"/>
              <w:rPr>
                <w:rFonts w:hint="eastAsia" w:asciiTheme="minorEastAsia" w:hAnsiTheme="minorEastAsia" w:eastAsiaTheme="minorEastAsia"/>
                <w:color w:val="auto"/>
                <w:highlight w:val="none"/>
                <w:lang w:eastAsia="zh-CN"/>
              </w:rPr>
            </w:pPr>
            <w:r>
              <w:rPr>
                <w:rFonts w:hint="eastAsia" w:asciiTheme="minorEastAsia" w:hAnsiTheme="minorEastAsia" w:eastAsiaTheme="minorEastAsia"/>
                <w:color w:val="auto"/>
                <w:highlight w:val="none"/>
              </w:rPr>
              <w:t>2、加热形式：燃油燃烧器；</w:t>
            </w:r>
          </w:p>
          <w:p>
            <w:pPr>
              <w:spacing w:line="360" w:lineRule="auto"/>
              <w:jc w:val="lef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3、液态融雪液生产能力≥5000kg/h。</w:t>
            </w:r>
          </w:p>
        </w:tc>
      </w:tr>
      <w:tr>
        <w:tblPrEx>
          <w:tblCellMar>
            <w:top w:w="0" w:type="dxa"/>
            <w:left w:w="108" w:type="dxa"/>
            <w:bottom w:w="0" w:type="dxa"/>
            <w:right w:w="108" w:type="dxa"/>
          </w:tblCellMar>
        </w:tblPrEx>
        <w:trPr>
          <w:jc w:val="center"/>
        </w:trPr>
        <w:tc>
          <w:tcPr>
            <w:tcW w:w="1668" w:type="dxa"/>
            <w:tcBorders>
              <w:top w:val="nil"/>
              <w:left w:val="single" w:color="auto" w:sz="8" w:space="0"/>
              <w:bottom w:val="single" w:color="auto" w:sz="4" w:space="0"/>
              <w:right w:val="single" w:color="auto" w:sz="4" w:space="0"/>
            </w:tcBorders>
            <w:shd w:val="clear" w:color="auto" w:fill="auto"/>
            <w:vAlign w:val="center"/>
          </w:tcPr>
          <w:p>
            <w:pPr>
              <w:spacing w:line="360" w:lineRule="auto"/>
              <w:jc w:val="center"/>
              <w:rPr>
                <w:rFonts w:cs="宋体" w:asciiTheme="minorEastAsia" w:hAnsiTheme="minorEastAsia" w:eastAsiaTheme="minorEastAsia"/>
                <w:color w:val="auto"/>
                <w:highlight w:val="none"/>
              </w:rPr>
            </w:pPr>
            <w:r>
              <w:rPr>
                <w:rFonts w:hint="eastAsia" w:asciiTheme="minorEastAsia" w:hAnsiTheme="minorEastAsia" w:eastAsiaTheme="minorEastAsia"/>
                <w:color w:val="auto"/>
                <w:highlight w:val="none"/>
              </w:rPr>
              <w:t>预湿系统水泵</w:t>
            </w:r>
          </w:p>
        </w:tc>
        <w:tc>
          <w:tcPr>
            <w:tcW w:w="7474" w:type="dxa"/>
            <w:gridSpan w:val="2"/>
            <w:tcBorders>
              <w:top w:val="single" w:color="auto" w:sz="4" w:space="0"/>
              <w:left w:val="nil"/>
              <w:bottom w:val="single" w:color="auto" w:sz="4" w:space="0"/>
              <w:right w:val="single" w:color="000000" w:sz="8" w:space="0"/>
            </w:tcBorders>
            <w:shd w:val="clear" w:color="auto" w:fill="auto"/>
            <w:vAlign w:val="center"/>
          </w:tcPr>
          <w:p>
            <w:pPr>
              <w:spacing w:line="360" w:lineRule="auto"/>
              <w:jc w:val="left"/>
              <w:rPr>
                <w:rFonts w:hint="eastAsia" w:asciiTheme="minorEastAsia" w:hAnsiTheme="minorEastAsia" w:eastAsiaTheme="minorEastAsia"/>
                <w:color w:val="auto"/>
                <w:highlight w:val="none"/>
                <w:lang w:eastAsia="zh-CN"/>
              </w:rPr>
            </w:pPr>
            <w:r>
              <w:rPr>
                <w:rFonts w:hint="eastAsia" w:asciiTheme="minorEastAsia" w:hAnsiTheme="minorEastAsia" w:eastAsiaTheme="minorEastAsia"/>
                <w:color w:val="auto"/>
                <w:highlight w:val="none"/>
              </w:rPr>
              <w:t>1、水泵形式：厂家原装；</w:t>
            </w:r>
          </w:p>
          <w:p>
            <w:pPr>
              <w:spacing w:line="360" w:lineRule="auto"/>
              <w:jc w:val="lef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2、水泵排量≥40L/min。</w:t>
            </w:r>
          </w:p>
        </w:tc>
      </w:tr>
      <w:tr>
        <w:tblPrEx>
          <w:tblCellMar>
            <w:top w:w="0" w:type="dxa"/>
            <w:left w:w="108" w:type="dxa"/>
            <w:bottom w:w="0" w:type="dxa"/>
            <w:right w:w="108" w:type="dxa"/>
          </w:tblCellMar>
        </w:tblPrEx>
        <w:trPr>
          <w:jc w:val="center"/>
        </w:trPr>
        <w:tc>
          <w:tcPr>
            <w:tcW w:w="1668" w:type="dxa"/>
            <w:tcBorders>
              <w:top w:val="nil"/>
              <w:left w:val="single" w:color="auto" w:sz="8" w:space="0"/>
              <w:bottom w:val="single" w:color="auto" w:sz="4" w:space="0"/>
              <w:right w:val="single" w:color="auto" w:sz="4" w:space="0"/>
            </w:tcBorders>
            <w:shd w:val="clear" w:color="auto" w:fill="auto"/>
            <w:vAlign w:val="center"/>
          </w:tcPr>
          <w:p>
            <w:pPr>
              <w:spacing w:line="360" w:lineRule="auto"/>
              <w:jc w:val="center"/>
              <w:rPr>
                <w:rFonts w:cs="宋体" w:asciiTheme="minorEastAsia" w:hAnsiTheme="minorEastAsia" w:eastAsiaTheme="minorEastAsia"/>
                <w:color w:val="auto"/>
                <w:highlight w:val="none"/>
              </w:rPr>
            </w:pPr>
            <w:r>
              <w:rPr>
                <w:rFonts w:hint="eastAsia" w:asciiTheme="minorEastAsia" w:hAnsiTheme="minorEastAsia" w:eastAsiaTheme="minorEastAsia"/>
                <w:color w:val="auto"/>
                <w:highlight w:val="none"/>
              </w:rPr>
              <w:t>除雪铲</w:t>
            </w:r>
          </w:p>
        </w:tc>
        <w:tc>
          <w:tcPr>
            <w:tcW w:w="7474" w:type="dxa"/>
            <w:gridSpan w:val="2"/>
            <w:tcBorders>
              <w:top w:val="single" w:color="auto" w:sz="4" w:space="0"/>
              <w:left w:val="nil"/>
              <w:bottom w:val="single" w:color="auto" w:sz="4" w:space="0"/>
              <w:right w:val="single" w:color="000000" w:sz="8" w:space="0"/>
            </w:tcBorders>
            <w:shd w:val="clear" w:color="FFFFFF" w:fill="FFFFFF"/>
            <w:vAlign w:val="center"/>
          </w:tcPr>
          <w:p>
            <w:pPr>
              <w:widowControl/>
              <w:numPr>
                <w:ilvl w:val="0"/>
                <w:numId w:val="11"/>
              </w:numPr>
              <w:spacing w:line="360" w:lineRule="auto"/>
              <w:jc w:val="left"/>
              <w:rPr>
                <w:rFonts w:hint="eastAsia" w:asciiTheme="minorEastAsia" w:hAnsiTheme="minorEastAsia" w:eastAsiaTheme="minorEastAsia"/>
                <w:color w:val="auto"/>
                <w:kern w:val="0"/>
                <w:highlight w:val="none"/>
              </w:rPr>
            </w:pPr>
            <w:r>
              <w:rPr>
                <w:rFonts w:hint="eastAsia" w:asciiTheme="minorEastAsia" w:hAnsiTheme="minorEastAsia" w:eastAsiaTheme="minorEastAsia"/>
                <w:color w:val="auto"/>
                <w:kern w:val="0"/>
                <w:highlight w:val="none"/>
              </w:rPr>
              <w:t>除雪铲宽度≥</w:t>
            </w:r>
            <w:r>
              <w:rPr>
                <w:rFonts w:hint="eastAsia" w:asciiTheme="minorEastAsia" w:hAnsiTheme="minorEastAsia" w:eastAsiaTheme="minorEastAsia"/>
                <w:color w:val="auto"/>
                <w:kern w:val="0"/>
                <w:highlight w:val="none"/>
                <w:lang w:val="en-US" w:eastAsia="zh-CN"/>
              </w:rPr>
              <w:t>24</w:t>
            </w:r>
            <w:r>
              <w:rPr>
                <w:rFonts w:hint="eastAsia" w:asciiTheme="minorEastAsia" w:hAnsiTheme="minorEastAsia" w:eastAsiaTheme="minorEastAsia"/>
                <w:color w:val="auto"/>
                <w:kern w:val="0"/>
                <w:highlight w:val="none"/>
              </w:rPr>
              <w:t>00mm；</w:t>
            </w:r>
          </w:p>
          <w:p>
            <w:pPr>
              <w:widowControl/>
              <w:numPr>
                <w:ilvl w:val="0"/>
                <w:numId w:val="0"/>
              </w:numPr>
              <w:spacing w:line="360" w:lineRule="auto"/>
              <w:jc w:val="left"/>
              <w:rPr>
                <w:rFonts w:asciiTheme="minorEastAsia" w:hAnsiTheme="minorEastAsia" w:eastAsiaTheme="minorEastAsia"/>
                <w:color w:val="auto"/>
                <w:kern w:val="0"/>
                <w:highlight w:val="none"/>
              </w:rPr>
            </w:pPr>
            <w:r>
              <w:rPr>
                <w:rFonts w:hint="eastAsia" w:asciiTheme="minorEastAsia" w:hAnsiTheme="minorEastAsia" w:eastAsiaTheme="minorEastAsia"/>
                <w:color w:val="auto"/>
                <w:kern w:val="0"/>
                <w:highlight w:val="none"/>
              </w:rPr>
              <w:t>2、雪铲左右抛雪旋转≥30°</w:t>
            </w:r>
          </w:p>
        </w:tc>
      </w:tr>
      <w:tr>
        <w:tblPrEx>
          <w:tblCellMar>
            <w:top w:w="0" w:type="dxa"/>
            <w:left w:w="108" w:type="dxa"/>
            <w:bottom w:w="0" w:type="dxa"/>
            <w:right w:w="108" w:type="dxa"/>
          </w:tblCellMar>
        </w:tblPrEx>
        <w:trPr>
          <w:jc w:val="center"/>
        </w:trPr>
        <w:tc>
          <w:tcPr>
            <w:tcW w:w="1668" w:type="dxa"/>
            <w:tcBorders>
              <w:top w:val="nil"/>
              <w:left w:val="single" w:color="auto" w:sz="8" w:space="0"/>
              <w:bottom w:val="single" w:color="auto" w:sz="4" w:space="0"/>
              <w:right w:val="single" w:color="auto" w:sz="4" w:space="0"/>
            </w:tcBorders>
            <w:shd w:val="clear" w:color="auto" w:fill="auto"/>
            <w:noWrap/>
            <w:vAlign w:val="center"/>
          </w:tcPr>
          <w:p>
            <w:pPr>
              <w:spacing w:line="360" w:lineRule="auto"/>
              <w:jc w:val="center"/>
              <w:rPr>
                <w:rFonts w:cs="宋体" w:asciiTheme="minorEastAsia" w:hAnsiTheme="minorEastAsia" w:eastAsiaTheme="minorEastAsia"/>
                <w:color w:val="auto"/>
                <w:highlight w:val="none"/>
              </w:rPr>
            </w:pPr>
            <w:r>
              <w:rPr>
                <w:rFonts w:hint="eastAsia" w:asciiTheme="minorEastAsia" w:hAnsiTheme="minorEastAsia" w:eastAsiaTheme="minorEastAsia"/>
                <w:color w:val="auto"/>
                <w:highlight w:val="none"/>
              </w:rPr>
              <w:t>除雪刷</w:t>
            </w:r>
          </w:p>
        </w:tc>
        <w:tc>
          <w:tcPr>
            <w:tcW w:w="7474" w:type="dxa"/>
            <w:gridSpan w:val="2"/>
            <w:tcBorders>
              <w:top w:val="single" w:color="auto" w:sz="4" w:space="0"/>
              <w:left w:val="nil"/>
              <w:bottom w:val="single" w:color="auto" w:sz="4" w:space="0"/>
              <w:right w:val="single" w:color="000000" w:sz="8" w:space="0"/>
            </w:tcBorders>
            <w:shd w:val="clear" w:color="auto" w:fill="auto"/>
            <w:vAlign w:val="center"/>
          </w:tcPr>
          <w:p>
            <w:pPr>
              <w:numPr>
                <w:ilvl w:val="0"/>
                <w:numId w:val="12"/>
              </w:numPr>
              <w:spacing w:line="360"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除雪刷清扫宽度≥</w:t>
            </w:r>
            <w:r>
              <w:rPr>
                <w:rFonts w:hint="eastAsia" w:asciiTheme="minorEastAsia" w:hAnsiTheme="minorEastAsia" w:eastAsiaTheme="minorEastAsia"/>
                <w:color w:val="auto"/>
                <w:highlight w:val="none"/>
                <w:lang w:val="en-US" w:eastAsia="zh-CN"/>
              </w:rPr>
              <w:t>24</w:t>
            </w:r>
            <w:r>
              <w:rPr>
                <w:rFonts w:hint="eastAsia" w:asciiTheme="minorEastAsia" w:hAnsiTheme="minorEastAsia" w:eastAsiaTheme="minorEastAsia"/>
                <w:color w:val="auto"/>
                <w:highlight w:val="none"/>
              </w:rPr>
              <w:t>00mm；</w:t>
            </w:r>
          </w:p>
          <w:p>
            <w:pPr>
              <w:numPr>
                <w:ilvl w:val="0"/>
                <w:numId w:val="0"/>
              </w:numPr>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2、除雪刷驱动形式：液压驱动。</w:t>
            </w:r>
          </w:p>
        </w:tc>
      </w:tr>
      <w:tr>
        <w:tblPrEx>
          <w:tblCellMar>
            <w:top w:w="0" w:type="dxa"/>
            <w:left w:w="108" w:type="dxa"/>
            <w:bottom w:w="0" w:type="dxa"/>
            <w:right w:w="108" w:type="dxa"/>
          </w:tblCellMar>
        </w:tblPrEx>
        <w:trPr>
          <w:jc w:val="center"/>
        </w:trPr>
        <w:tc>
          <w:tcPr>
            <w:tcW w:w="1668" w:type="dxa"/>
            <w:tcBorders>
              <w:top w:val="nil"/>
              <w:left w:val="single" w:color="auto" w:sz="8" w:space="0"/>
              <w:bottom w:val="single" w:color="auto" w:sz="4" w:space="0"/>
              <w:right w:val="single" w:color="auto" w:sz="4" w:space="0"/>
            </w:tcBorders>
            <w:shd w:val="clear" w:color="auto" w:fill="auto"/>
            <w:noWrap/>
            <w:vAlign w:val="center"/>
          </w:tcPr>
          <w:p>
            <w:pPr>
              <w:spacing w:line="360" w:lineRule="auto"/>
              <w:jc w:val="center"/>
              <w:rPr>
                <w:rFonts w:cs="宋体" w:asciiTheme="minorEastAsia" w:hAnsiTheme="minorEastAsia" w:eastAsiaTheme="minorEastAsia"/>
                <w:color w:val="auto"/>
                <w:highlight w:val="none"/>
              </w:rPr>
            </w:pPr>
            <w:r>
              <w:rPr>
                <w:rFonts w:hint="eastAsia" w:asciiTheme="minorEastAsia" w:hAnsiTheme="minorEastAsia" w:eastAsiaTheme="minorEastAsia"/>
                <w:color w:val="auto"/>
                <w:highlight w:val="none"/>
              </w:rPr>
              <w:t>破冰机</w:t>
            </w:r>
          </w:p>
        </w:tc>
        <w:tc>
          <w:tcPr>
            <w:tcW w:w="7474" w:type="dxa"/>
            <w:gridSpan w:val="2"/>
            <w:tcBorders>
              <w:top w:val="single" w:color="auto" w:sz="4" w:space="0"/>
              <w:left w:val="nil"/>
              <w:bottom w:val="single" w:color="auto" w:sz="4" w:space="0"/>
              <w:right w:val="single" w:color="000000" w:sz="8" w:space="0"/>
            </w:tcBorders>
            <w:shd w:val="clear" w:color="auto" w:fill="auto"/>
            <w:vAlign w:val="center"/>
          </w:tcPr>
          <w:p>
            <w:pPr>
              <w:spacing w:line="360" w:lineRule="auto"/>
              <w:rPr>
                <w:rFonts w:hint="eastAsia" w:asciiTheme="minorEastAsia" w:hAnsiTheme="minorEastAsia" w:eastAsiaTheme="minorEastAsia"/>
                <w:color w:val="auto"/>
                <w:highlight w:val="none"/>
                <w:lang w:eastAsia="zh-CN"/>
              </w:rPr>
            </w:pPr>
            <w:r>
              <w:rPr>
                <w:rFonts w:hint="eastAsia" w:asciiTheme="minorEastAsia" w:hAnsiTheme="minorEastAsia" w:eastAsiaTheme="minorEastAsia"/>
                <w:color w:val="auto"/>
                <w:highlight w:val="none"/>
              </w:rPr>
              <w:t>★1、破冰宽度≥2</w:t>
            </w:r>
            <w:r>
              <w:rPr>
                <w:rFonts w:hint="eastAsia" w:asciiTheme="minorEastAsia" w:hAnsiTheme="minorEastAsia" w:eastAsiaTheme="minorEastAsia"/>
                <w:color w:val="auto"/>
                <w:highlight w:val="none"/>
                <w:lang w:val="en-US" w:eastAsia="zh-CN"/>
              </w:rPr>
              <w:t>4</w:t>
            </w:r>
            <w:r>
              <w:rPr>
                <w:rFonts w:hint="eastAsia" w:asciiTheme="minorEastAsia" w:hAnsiTheme="minorEastAsia" w:eastAsiaTheme="minorEastAsia"/>
                <w:color w:val="auto"/>
                <w:highlight w:val="none"/>
              </w:rPr>
              <w:t>00mm</w:t>
            </w:r>
            <w:r>
              <w:rPr>
                <w:rFonts w:hint="eastAsia" w:asciiTheme="minorEastAsia" w:hAnsiTheme="minorEastAsia" w:eastAsiaTheme="minorEastAsia"/>
                <w:color w:val="auto"/>
                <w:highlight w:val="none"/>
                <w:lang w:eastAsia="zh-CN"/>
              </w:rPr>
              <w:t>；</w:t>
            </w:r>
          </w:p>
          <w:p>
            <w:pPr>
              <w:spacing w:line="360" w:lineRule="auto"/>
              <w:rPr>
                <w:rFonts w:hint="eastAsia" w:asciiTheme="minorEastAsia" w:hAnsiTheme="minorEastAsia" w:eastAsiaTheme="minorEastAsia"/>
                <w:color w:val="auto"/>
                <w:highlight w:val="none"/>
                <w:lang w:eastAsia="zh-CN"/>
              </w:rPr>
            </w:pPr>
            <w:r>
              <w:rPr>
                <w:rFonts w:hint="eastAsia" w:asciiTheme="minorEastAsia" w:hAnsiTheme="minorEastAsia" w:eastAsiaTheme="minorEastAsia"/>
                <w:color w:val="auto"/>
                <w:highlight w:val="none"/>
              </w:rPr>
              <w:t>2、破冰厚度：80/30mm</w:t>
            </w:r>
            <w:r>
              <w:rPr>
                <w:rFonts w:hint="eastAsia" w:asciiTheme="minorEastAsia" w:hAnsiTheme="minorEastAsia" w:eastAsiaTheme="minorEastAsia"/>
                <w:color w:val="auto"/>
                <w:highlight w:val="none"/>
                <w:lang w:eastAsia="zh-CN"/>
              </w:rPr>
              <w:t>。</w:t>
            </w:r>
          </w:p>
        </w:tc>
      </w:tr>
      <w:tr>
        <w:tblPrEx>
          <w:tblCellMar>
            <w:top w:w="0" w:type="dxa"/>
            <w:left w:w="108" w:type="dxa"/>
            <w:bottom w:w="0" w:type="dxa"/>
            <w:right w:w="108" w:type="dxa"/>
          </w:tblCellMar>
        </w:tblPrEx>
        <w:trPr>
          <w:jc w:val="center"/>
        </w:trPr>
        <w:tc>
          <w:tcPr>
            <w:tcW w:w="1668" w:type="dxa"/>
            <w:tcBorders>
              <w:top w:val="nil"/>
              <w:left w:val="single" w:color="auto" w:sz="8" w:space="0"/>
              <w:bottom w:val="single" w:color="auto" w:sz="4" w:space="0"/>
              <w:right w:val="single" w:color="auto" w:sz="4" w:space="0"/>
            </w:tcBorders>
            <w:shd w:val="clear" w:color="auto" w:fill="auto"/>
            <w:vAlign w:val="center"/>
          </w:tcPr>
          <w:p>
            <w:pPr>
              <w:spacing w:line="360" w:lineRule="auto"/>
              <w:jc w:val="center"/>
              <w:rPr>
                <w:rFonts w:cs="宋体" w:asciiTheme="minorEastAsia" w:hAnsiTheme="minorEastAsia" w:eastAsiaTheme="minorEastAsia"/>
                <w:color w:val="auto"/>
                <w:highlight w:val="none"/>
              </w:rPr>
            </w:pPr>
            <w:r>
              <w:rPr>
                <w:rFonts w:hint="eastAsia" w:asciiTheme="minorEastAsia" w:hAnsiTheme="minorEastAsia" w:eastAsiaTheme="minorEastAsia"/>
                <w:color w:val="auto"/>
                <w:highlight w:val="none"/>
              </w:rPr>
              <w:t>后吹扫装置</w:t>
            </w:r>
          </w:p>
        </w:tc>
        <w:tc>
          <w:tcPr>
            <w:tcW w:w="7474" w:type="dxa"/>
            <w:gridSpan w:val="2"/>
            <w:tcBorders>
              <w:top w:val="single" w:color="auto" w:sz="4" w:space="0"/>
              <w:left w:val="nil"/>
              <w:bottom w:val="single" w:color="auto" w:sz="4" w:space="0"/>
              <w:right w:val="single" w:color="000000" w:sz="8" w:space="0"/>
            </w:tcBorders>
            <w:shd w:val="clear" w:color="FFFFFF" w:fill="FFFFFF"/>
            <w:vAlign w:val="center"/>
          </w:tcPr>
          <w:p>
            <w:pPr>
              <w:spacing w:line="360" w:lineRule="auto"/>
              <w:rPr>
                <w:rFonts w:hint="eastAsia" w:asciiTheme="minorEastAsia" w:hAnsiTheme="minorEastAsia" w:eastAsiaTheme="minorEastAsia"/>
                <w:color w:val="auto"/>
                <w:highlight w:val="none"/>
                <w:lang w:eastAsia="zh-CN"/>
              </w:rPr>
            </w:pPr>
            <w:r>
              <w:rPr>
                <w:rFonts w:hint="eastAsia" w:asciiTheme="minorEastAsia" w:hAnsiTheme="minorEastAsia" w:eastAsiaTheme="minorEastAsia"/>
                <w:color w:val="auto"/>
                <w:highlight w:val="none"/>
              </w:rPr>
              <w:t>1、雪刷直径≥500mm</w:t>
            </w:r>
          </w:p>
          <w:p>
            <w:pPr>
              <w:spacing w:line="360" w:lineRule="auto"/>
              <w:rPr>
                <w:rFonts w:hint="eastAsia" w:asciiTheme="minorEastAsia" w:hAnsiTheme="minorEastAsia" w:eastAsiaTheme="minorEastAsia"/>
                <w:color w:val="auto"/>
                <w:highlight w:val="none"/>
                <w:lang w:eastAsia="zh-CN"/>
              </w:rPr>
            </w:pPr>
            <w:r>
              <w:rPr>
                <w:rFonts w:hint="eastAsia" w:asciiTheme="minorEastAsia" w:hAnsiTheme="minorEastAsia" w:eastAsiaTheme="minorEastAsia"/>
                <w:color w:val="auto"/>
                <w:highlight w:val="none"/>
              </w:rPr>
              <w:t>2、雪刷清扫宽度≥2400mm</w:t>
            </w:r>
          </w:p>
          <w:p>
            <w:pPr>
              <w:spacing w:line="360" w:lineRule="auto"/>
              <w:rPr>
                <w:rFonts w:hint="eastAsia" w:asciiTheme="minorEastAsia" w:hAnsiTheme="minorEastAsia" w:eastAsiaTheme="minorEastAsia"/>
                <w:color w:val="auto"/>
                <w:highlight w:val="none"/>
                <w:lang w:eastAsia="zh-CN"/>
              </w:rPr>
            </w:pPr>
            <w:r>
              <w:rPr>
                <w:rFonts w:hint="eastAsia" w:asciiTheme="minorEastAsia" w:hAnsiTheme="minorEastAsia" w:eastAsiaTheme="minorEastAsia"/>
                <w:color w:val="auto"/>
                <w:highlight w:val="none"/>
              </w:rPr>
              <w:t>3、风压≥7000Pa</w:t>
            </w:r>
          </w:p>
          <w:p>
            <w:pPr>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4、风机转数≥3000min</w:t>
            </w:r>
          </w:p>
        </w:tc>
      </w:tr>
      <w:tr>
        <w:tblPrEx>
          <w:tblCellMar>
            <w:top w:w="0" w:type="dxa"/>
            <w:left w:w="108" w:type="dxa"/>
            <w:bottom w:w="0" w:type="dxa"/>
            <w:right w:w="108" w:type="dxa"/>
          </w:tblCellMar>
        </w:tblPrEx>
        <w:trPr>
          <w:jc w:val="center"/>
        </w:trPr>
        <w:tc>
          <w:tcPr>
            <w:tcW w:w="1668" w:type="dxa"/>
            <w:tcBorders>
              <w:top w:val="nil"/>
              <w:left w:val="single" w:color="auto" w:sz="8" w:space="0"/>
              <w:bottom w:val="single" w:color="auto" w:sz="4" w:space="0"/>
              <w:right w:val="single" w:color="auto" w:sz="4" w:space="0"/>
            </w:tcBorders>
            <w:shd w:val="clear" w:color="auto" w:fill="auto"/>
            <w:vAlign w:val="center"/>
          </w:tcPr>
          <w:p>
            <w:pPr>
              <w:spacing w:line="360" w:lineRule="auto"/>
              <w:jc w:val="center"/>
              <w:rPr>
                <w:rFonts w:cs="宋体" w:asciiTheme="minorEastAsia" w:hAnsiTheme="minorEastAsia" w:eastAsiaTheme="minorEastAsia"/>
                <w:color w:val="auto"/>
                <w:highlight w:val="none"/>
              </w:rPr>
            </w:pPr>
            <w:r>
              <w:rPr>
                <w:rFonts w:hint="eastAsia" w:asciiTheme="minorEastAsia" w:hAnsiTheme="minorEastAsia" w:eastAsiaTheme="minorEastAsia"/>
                <w:color w:val="auto"/>
                <w:highlight w:val="none"/>
              </w:rPr>
              <w:t>电气控制系统</w:t>
            </w:r>
          </w:p>
        </w:tc>
        <w:tc>
          <w:tcPr>
            <w:tcW w:w="7474" w:type="dxa"/>
            <w:gridSpan w:val="2"/>
            <w:tcBorders>
              <w:top w:val="single" w:color="auto" w:sz="4" w:space="0"/>
              <w:left w:val="nil"/>
              <w:bottom w:val="single" w:color="auto" w:sz="4" w:space="0"/>
              <w:right w:val="single" w:color="000000" w:sz="8" w:space="0"/>
            </w:tcBorders>
            <w:shd w:val="clear" w:color="auto" w:fill="auto"/>
            <w:vAlign w:val="center"/>
          </w:tcPr>
          <w:p>
            <w:pPr>
              <w:widowControl/>
              <w:spacing w:line="360" w:lineRule="auto"/>
              <w:jc w:val="left"/>
              <w:rPr>
                <w:rFonts w:hint="eastAsia" w:asciiTheme="minorEastAsia" w:hAnsiTheme="minorEastAsia" w:eastAsiaTheme="minorEastAsia"/>
                <w:color w:val="auto"/>
                <w:highlight w:val="none"/>
                <w:lang w:eastAsia="zh-CN"/>
              </w:rPr>
            </w:pPr>
            <w:r>
              <w:rPr>
                <w:rFonts w:hint="eastAsia" w:asciiTheme="minorEastAsia" w:hAnsiTheme="minorEastAsia" w:eastAsiaTheme="minorEastAsia"/>
                <w:color w:val="auto"/>
                <w:highlight w:val="none"/>
              </w:rPr>
              <w:t>1、安装360度全景行车记录仪及辅助系统，全车倒车雷达探头≥4个，系统配备超清夜视摄像头和彩色显示屏，显示屏分辨率≥1080P，屏幕尺寸≥7寸，支持分屏、单屏等多种模式，存储卡容量≥128G，可自动分段录制、循环保存。</w:t>
            </w:r>
          </w:p>
          <w:p>
            <w:pPr>
              <w:widowControl/>
              <w:spacing w:line="360" w:lineRule="auto"/>
              <w:jc w:val="left"/>
              <w:rPr>
                <w:rFonts w:asciiTheme="minorEastAsia" w:hAnsiTheme="minorEastAsia" w:eastAsiaTheme="minorEastAsia"/>
                <w:color w:val="auto"/>
                <w:kern w:val="0"/>
                <w:highlight w:val="none"/>
              </w:rPr>
            </w:pPr>
            <w:r>
              <w:rPr>
                <w:rFonts w:hint="eastAsia" w:asciiTheme="minorEastAsia" w:hAnsiTheme="minorEastAsia" w:eastAsiaTheme="minorEastAsia"/>
                <w:color w:val="auto"/>
                <w:highlight w:val="none"/>
              </w:rPr>
              <w:t>2、驾驶室顶部前端装配有红色长排LED警灯；车顶两侧装配红色频闪警灯；车辆后方加装LED照明灯，照明功率≥200W，所有控制开关设在驾驶室内，两侧警灯及照明灯安装防护网。</w:t>
            </w:r>
          </w:p>
        </w:tc>
      </w:tr>
      <w:tr>
        <w:tblPrEx>
          <w:tblCellMar>
            <w:top w:w="0" w:type="dxa"/>
            <w:left w:w="108" w:type="dxa"/>
            <w:bottom w:w="0" w:type="dxa"/>
            <w:right w:w="108" w:type="dxa"/>
          </w:tblCellMar>
        </w:tblPrEx>
        <w:trPr>
          <w:jc w:val="center"/>
        </w:trPr>
        <w:tc>
          <w:tcPr>
            <w:tcW w:w="1668" w:type="dxa"/>
            <w:tcBorders>
              <w:top w:val="nil"/>
              <w:left w:val="single" w:color="auto" w:sz="8" w:space="0"/>
              <w:bottom w:val="single" w:color="auto" w:sz="4" w:space="0"/>
              <w:right w:val="single" w:color="auto" w:sz="4" w:space="0"/>
            </w:tcBorders>
            <w:shd w:val="clear" w:color="auto" w:fill="auto"/>
            <w:noWrap/>
            <w:vAlign w:val="center"/>
          </w:tcPr>
          <w:p>
            <w:pPr>
              <w:spacing w:line="360" w:lineRule="auto"/>
              <w:jc w:val="center"/>
              <w:rPr>
                <w:rFonts w:cs="宋体" w:asciiTheme="minorEastAsia" w:hAnsiTheme="minorEastAsia" w:eastAsiaTheme="minorEastAsia"/>
                <w:color w:val="auto"/>
                <w:highlight w:val="none"/>
              </w:rPr>
            </w:pPr>
            <w:r>
              <w:rPr>
                <w:rFonts w:hint="eastAsia" w:asciiTheme="minorEastAsia" w:hAnsiTheme="minorEastAsia" w:eastAsiaTheme="minorEastAsia"/>
                <w:color w:val="auto"/>
                <w:highlight w:val="none"/>
              </w:rPr>
              <w:t>随车资料</w:t>
            </w:r>
          </w:p>
        </w:tc>
        <w:tc>
          <w:tcPr>
            <w:tcW w:w="7474" w:type="dxa"/>
            <w:gridSpan w:val="2"/>
            <w:tcBorders>
              <w:top w:val="single" w:color="auto" w:sz="4" w:space="0"/>
              <w:left w:val="nil"/>
              <w:bottom w:val="single" w:color="auto" w:sz="4" w:space="0"/>
              <w:right w:val="single" w:color="000000" w:sz="8" w:space="0"/>
            </w:tcBorders>
            <w:shd w:val="clear" w:color="auto" w:fill="auto"/>
            <w:vAlign w:val="center"/>
          </w:tcPr>
          <w:p>
            <w:pPr>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国家工信部认证证书、整车使用说明书、维修保养手册、整车合格证、随车工具和随车器材及易损件清单；操作培训视频。</w:t>
            </w:r>
          </w:p>
        </w:tc>
      </w:tr>
      <w:tr>
        <w:tblPrEx>
          <w:tblCellMar>
            <w:top w:w="0" w:type="dxa"/>
            <w:left w:w="108" w:type="dxa"/>
            <w:bottom w:w="0" w:type="dxa"/>
            <w:right w:w="108" w:type="dxa"/>
          </w:tblCellMar>
        </w:tblPrEx>
        <w:trPr>
          <w:jc w:val="center"/>
        </w:trPr>
        <w:tc>
          <w:tcPr>
            <w:tcW w:w="1668" w:type="dxa"/>
            <w:tcBorders>
              <w:top w:val="nil"/>
              <w:left w:val="single" w:color="auto" w:sz="8" w:space="0"/>
              <w:bottom w:val="single" w:color="auto" w:sz="8" w:space="0"/>
              <w:right w:val="single" w:color="auto" w:sz="4" w:space="0"/>
            </w:tcBorders>
            <w:shd w:val="clear" w:color="auto" w:fill="auto"/>
            <w:noWrap/>
            <w:vAlign w:val="center"/>
          </w:tcPr>
          <w:p>
            <w:pPr>
              <w:spacing w:line="360" w:lineRule="auto"/>
              <w:jc w:val="center"/>
              <w:rPr>
                <w:rFonts w:cs="宋体" w:asciiTheme="minorEastAsia" w:hAnsiTheme="minorEastAsia" w:eastAsiaTheme="minorEastAsia"/>
                <w:color w:val="auto"/>
                <w:highlight w:val="none"/>
              </w:rPr>
            </w:pPr>
            <w:r>
              <w:rPr>
                <w:rFonts w:hint="eastAsia" w:asciiTheme="minorEastAsia" w:hAnsiTheme="minorEastAsia" w:eastAsiaTheme="minorEastAsia"/>
                <w:color w:val="auto"/>
                <w:highlight w:val="none"/>
              </w:rPr>
              <w:t>总体要求</w:t>
            </w:r>
          </w:p>
        </w:tc>
        <w:tc>
          <w:tcPr>
            <w:tcW w:w="7474" w:type="dxa"/>
            <w:gridSpan w:val="2"/>
            <w:tcBorders>
              <w:top w:val="single" w:color="auto" w:sz="4" w:space="0"/>
              <w:left w:val="nil"/>
              <w:bottom w:val="single" w:color="auto" w:sz="8" w:space="0"/>
              <w:right w:val="single" w:color="000000" w:sz="8" w:space="0"/>
            </w:tcBorders>
            <w:shd w:val="clear" w:color="auto" w:fill="auto"/>
            <w:vAlign w:val="center"/>
          </w:tcPr>
          <w:p>
            <w:pPr>
              <w:spacing w:line="360" w:lineRule="auto"/>
              <w:rPr>
                <w:rFonts w:hint="eastAsia" w:asciiTheme="minorEastAsia" w:hAnsiTheme="minorEastAsia" w:eastAsiaTheme="minorEastAsia"/>
                <w:color w:val="auto"/>
                <w:highlight w:val="none"/>
                <w:lang w:eastAsia="zh-CN"/>
              </w:rPr>
            </w:pPr>
            <w:r>
              <w:rPr>
                <w:rFonts w:hint="eastAsia" w:asciiTheme="minorEastAsia" w:hAnsiTheme="minorEastAsia" w:eastAsiaTheme="minorEastAsia"/>
                <w:color w:val="auto"/>
                <w:highlight w:val="none"/>
              </w:rPr>
              <w:t>1、整车性能符合GB/T 25977-20</w:t>
            </w:r>
            <w:r>
              <w:rPr>
                <w:rFonts w:hint="eastAsia" w:asciiTheme="minorEastAsia" w:hAnsiTheme="minorEastAsia" w:eastAsiaTheme="minorEastAsia"/>
                <w:color w:val="auto"/>
                <w:highlight w:val="none"/>
                <w:lang w:val="en-US" w:eastAsia="zh-CN"/>
              </w:rPr>
              <w:t>22</w:t>
            </w:r>
            <w:r>
              <w:rPr>
                <w:rFonts w:hint="eastAsia" w:asciiTheme="minorEastAsia" w:hAnsiTheme="minorEastAsia" w:eastAsiaTheme="minorEastAsia"/>
                <w:color w:val="auto"/>
                <w:highlight w:val="none"/>
              </w:rPr>
              <w:t>的规定。</w:t>
            </w:r>
          </w:p>
          <w:p>
            <w:pPr>
              <w:spacing w:line="360" w:lineRule="auto"/>
              <w:rPr>
                <w:rFonts w:hint="eastAsia" w:asciiTheme="minorEastAsia" w:hAnsiTheme="minorEastAsia" w:eastAsiaTheme="minorEastAsia"/>
                <w:color w:val="auto"/>
                <w:highlight w:val="none"/>
                <w:lang w:eastAsia="zh-CN"/>
              </w:rPr>
            </w:pPr>
            <w:r>
              <w:rPr>
                <w:rFonts w:hint="eastAsia" w:asciiTheme="minorEastAsia" w:hAnsiTheme="minorEastAsia" w:eastAsiaTheme="minorEastAsia"/>
                <w:color w:val="auto"/>
                <w:highlight w:val="none"/>
              </w:rPr>
              <w:t>2、车用易损件按照1:2随车配备，交车时燃油量处于满载状态。</w:t>
            </w:r>
          </w:p>
          <w:p>
            <w:pPr>
              <w:spacing w:line="360"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★3、所投型号车辆，符合市场准入要求和</w:t>
            </w:r>
            <w:r>
              <w:rPr>
                <w:rFonts w:hint="eastAsia" w:asciiTheme="minorEastAsia" w:hAnsiTheme="minorEastAsia" w:eastAsiaTheme="minorEastAsia"/>
                <w:color w:val="auto"/>
                <w:highlight w:val="none"/>
                <w:lang w:eastAsia="zh-CN"/>
              </w:rPr>
              <w:t>《</w:t>
            </w:r>
            <w:r>
              <w:rPr>
                <w:rFonts w:hint="eastAsia" w:asciiTheme="minorEastAsia" w:hAnsiTheme="minorEastAsia" w:eastAsiaTheme="minorEastAsia"/>
                <w:color w:val="auto"/>
                <w:highlight w:val="none"/>
                <w:lang w:val="en-US" w:eastAsia="zh-CN"/>
              </w:rPr>
              <w:t>除雪车</w:t>
            </w:r>
            <w:r>
              <w:rPr>
                <w:rFonts w:hint="eastAsia" w:asciiTheme="minorEastAsia" w:hAnsiTheme="minorEastAsia" w:eastAsiaTheme="minorEastAsia"/>
                <w:color w:val="auto"/>
                <w:highlight w:val="none"/>
                <w:lang w:eastAsia="zh-CN"/>
              </w:rPr>
              <w:t>》</w:t>
            </w:r>
            <w:r>
              <w:rPr>
                <w:rFonts w:hint="eastAsia" w:asciiTheme="minorEastAsia" w:hAnsiTheme="minorEastAsia" w:eastAsiaTheme="minorEastAsia"/>
                <w:color w:val="auto"/>
                <w:highlight w:val="none"/>
                <w:lang w:val="en-US" w:eastAsia="zh-CN"/>
              </w:rPr>
              <w:t>GB/T 25977-2022标准</w:t>
            </w:r>
            <w:r>
              <w:rPr>
                <w:rFonts w:hint="eastAsia" w:asciiTheme="minorEastAsia" w:hAnsiTheme="minorEastAsia" w:eastAsiaTheme="minorEastAsia"/>
                <w:color w:val="auto"/>
                <w:highlight w:val="none"/>
              </w:rPr>
              <w:t>，提供整车设计效果图，包括整车结构图、三维效果图等。</w:t>
            </w:r>
          </w:p>
          <w:p>
            <w:pPr>
              <w:spacing w:line="360" w:lineRule="auto"/>
              <w:rPr>
                <w:rFonts w:hint="eastAsia" w:asciiTheme="minorEastAsia" w:hAnsiTheme="minorEastAsia" w:eastAsiaTheme="minorEastAsia"/>
                <w:color w:val="auto"/>
                <w:highlight w:val="none"/>
                <w:lang w:eastAsia="zh-CN"/>
              </w:rPr>
            </w:pPr>
            <w:r>
              <w:rPr>
                <w:rFonts w:hint="eastAsia" w:asciiTheme="minorEastAsia" w:hAnsiTheme="minorEastAsia" w:eastAsiaTheme="minorEastAsia"/>
                <w:color w:val="auto"/>
                <w:highlight w:val="none"/>
              </w:rPr>
              <w:t>4、整车质保期5年，底盘出厂日期不早于2024年1月1日。</w:t>
            </w:r>
          </w:p>
          <w:p>
            <w:pPr>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5、外观标识符合《消防救援局关于做好消防救援车辆外观制式涂装工作的通知》应急消〔2019〕76号文件要求。</w:t>
            </w:r>
          </w:p>
        </w:tc>
      </w:tr>
    </w:tbl>
    <w:p>
      <w:pPr>
        <w:pStyle w:val="23"/>
        <w:rPr>
          <w:rFonts w:hAnsi="宋体"/>
          <w:color w:val="auto"/>
          <w:highlight w:val="none"/>
        </w:rPr>
      </w:pPr>
    </w:p>
    <w:p>
      <w:pPr>
        <w:pStyle w:val="23"/>
        <w:rPr>
          <w:rFonts w:hAnsi="宋体"/>
          <w:color w:val="auto"/>
          <w:highlight w:val="none"/>
        </w:rPr>
        <w:sectPr>
          <w:headerReference r:id="rId12" w:type="default"/>
          <w:footerReference r:id="rId13" w:type="default"/>
          <w:pgSz w:w="11906" w:h="16838"/>
          <w:pgMar w:top="1440" w:right="1803" w:bottom="1440" w:left="1803" w:header="851" w:footer="992" w:gutter="0"/>
          <w:pgNumType w:fmt="decimal"/>
          <w:cols w:space="0" w:num="1"/>
          <w:docGrid w:type="linesAndChars" w:linePitch="319" w:charSpace="0"/>
        </w:sectPr>
      </w:pPr>
    </w:p>
    <w:tbl>
      <w:tblPr>
        <w:tblStyle w:val="38"/>
        <w:tblW w:w="9078" w:type="dxa"/>
        <w:jc w:val="center"/>
        <w:tblLayout w:type="autofit"/>
        <w:tblCellMar>
          <w:top w:w="0" w:type="dxa"/>
          <w:left w:w="108" w:type="dxa"/>
          <w:bottom w:w="0" w:type="dxa"/>
          <w:right w:w="108" w:type="dxa"/>
        </w:tblCellMar>
      </w:tblPr>
      <w:tblGrid>
        <w:gridCol w:w="1540"/>
        <w:gridCol w:w="2637"/>
        <w:gridCol w:w="2452"/>
        <w:gridCol w:w="2449"/>
      </w:tblGrid>
      <w:tr>
        <w:tblPrEx>
          <w:tblCellMar>
            <w:top w:w="0" w:type="dxa"/>
            <w:left w:w="108" w:type="dxa"/>
            <w:bottom w:w="0" w:type="dxa"/>
            <w:right w:w="108" w:type="dxa"/>
          </w:tblCellMar>
        </w:tblPrEx>
        <w:trPr>
          <w:trHeight w:val="548" w:hRule="atLeast"/>
          <w:tblHeader/>
          <w:jc w:val="center"/>
        </w:trPr>
        <w:tc>
          <w:tcPr>
            <w:tcW w:w="4177" w:type="dxa"/>
            <w:gridSpan w:val="2"/>
            <w:tcBorders>
              <w:top w:val="single" w:color="auto" w:sz="8" w:space="0"/>
              <w:left w:val="single" w:color="auto" w:sz="8" w:space="0"/>
              <w:bottom w:val="single" w:color="auto" w:sz="4" w:space="0"/>
              <w:right w:val="single" w:color="auto" w:sz="4" w:space="0"/>
            </w:tcBorders>
            <w:shd w:val="clear" w:color="auto" w:fill="auto"/>
            <w:vAlign w:val="center"/>
          </w:tcPr>
          <w:p>
            <w:pPr>
              <w:widowControl/>
              <w:spacing w:line="360" w:lineRule="auto"/>
              <w:jc w:val="center"/>
              <w:rPr>
                <w:rFonts w:cs="宋体" w:asciiTheme="minorEastAsia" w:hAnsiTheme="minorEastAsia" w:eastAsiaTheme="minorEastAsia"/>
                <w:b/>
                <w:color w:val="auto"/>
                <w:kern w:val="0"/>
                <w:highlight w:val="none"/>
              </w:rPr>
            </w:pPr>
            <w:r>
              <w:rPr>
                <w:rFonts w:hint="eastAsia" w:cs="宋体" w:asciiTheme="minorEastAsia" w:hAnsiTheme="minorEastAsia" w:eastAsiaTheme="minorEastAsia"/>
                <w:b/>
                <w:color w:val="auto"/>
                <w:kern w:val="0"/>
                <w:highlight w:val="none"/>
              </w:rPr>
              <w:t>标的名称</w:t>
            </w:r>
          </w:p>
        </w:tc>
        <w:tc>
          <w:tcPr>
            <w:tcW w:w="2452" w:type="dxa"/>
            <w:tcBorders>
              <w:top w:val="single" w:color="auto" w:sz="8" w:space="0"/>
              <w:left w:val="nil"/>
              <w:bottom w:val="single" w:color="auto" w:sz="4" w:space="0"/>
              <w:right w:val="single" w:color="auto" w:sz="4" w:space="0"/>
            </w:tcBorders>
            <w:shd w:val="clear" w:color="auto" w:fill="auto"/>
            <w:vAlign w:val="center"/>
          </w:tcPr>
          <w:p>
            <w:pPr>
              <w:widowControl/>
              <w:spacing w:line="360" w:lineRule="auto"/>
              <w:jc w:val="center"/>
              <w:rPr>
                <w:rFonts w:cs="宋体" w:asciiTheme="minorEastAsia" w:hAnsiTheme="minorEastAsia" w:eastAsiaTheme="minorEastAsia"/>
                <w:b/>
                <w:color w:val="auto"/>
                <w:kern w:val="0"/>
                <w:highlight w:val="none"/>
              </w:rPr>
            </w:pPr>
            <w:r>
              <w:rPr>
                <w:rFonts w:hint="eastAsia" w:cs="宋体" w:asciiTheme="minorEastAsia" w:hAnsiTheme="minorEastAsia" w:eastAsiaTheme="minorEastAsia"/>
                <w:b/>
                <w:color w:val="auto"/>
                <w:kern w:val="0"/>
                <w:highlight w:val="none"/>
              </w:rPr>
              <w:t>预算单价（万元）</w:t>
            </w:r>
          </w:p>
        </w:tc>
        <w:tc>
          <w:tcPr>
            <w:tcW w:w="2449" w:type="dxa"/>
            <w:tcBorders>
              <w:top w:val="single" w:color="auto" w:sz="8" w:space="0"/>
              <w:left w:val="nil"/>
              <w:bottom w:val="single" w:color="auto" w:sz="4" w:space="0"/>
              <w:right w:val="single" w:color="auto" w:sz="8" w:space="0"/>
            </w:tcBorders>
            <w:shd w:val="clear" w:color="auto" w:fill="auto"/>
            <w:vAlign w:val="center"/>
          </w:tcPr>
          <w:p>
            <w:pPr>
              <w:widowControl/>
              <w:spacing w:line="360" w:lineRule="auto"/>
              <w:jc w:val="center"/>
              <w:rPr>
                <w:rFonts w:cs="宋体" w:asciiTheme="minorEastAsia" w:hAnsiTheme="minorEastAsia" w:eastAsiaTheme="minorEastAsia"/>
                <w:b/>
                <w:color w:val="auto"/>
                <w:kern w:val="0"/>
                <w:highlight w:val="none"/>
              </w:rPr>
            </w:pPr>
            <w:r>
              <w:rPr>
                <w:rFonts w:hint="eastAsia" w:cs="宋体" w:asciiTheme="minorEastAsia" w:hAnsiTheme="minorEastAsia" w:eastAsiaTheme="minorEastAsia"/>
                <w:b/>
                <w:color w:val="auto"/>
                <w:kern w:val="0"/>
                <w:highlight w:val="none"/>
              </w:rPr>
              <w:t>数量</w:t>
            </w:r>
          </w:p>
        </w:tc>
      </w:tr>
      <w:tr>
        <w:tblPrEx>
          <w:tblCellMar>
            <w:top w:w="0" w:type="dxa"/>
            <w:left w:w="108" w:type="dxa"/>
            <w:bottom w:w="0" w:type="dxa"/>
            <w:right w:w="108" w:type="dxa"/>
          </w:tblCellMar>
        </w:tblPrEx>
        <w:trPr>
          <w:trHeight w:val="566" w:hRule="atLeast"/>
          <w:tblHeader/>
          <w:jc w:val="center"/>
        </w:trPr>
        <w:tc>
          <w:tcPr>
            <w:tcW w:w="4177" w:type="dxa"/>
            <w:gridSpan w:val="2"/>
            <w:tcBorders>
              <w:top w:val="nil"/>
              <w:left w:val="single" w:color="auto" w:sz="8" w:space="0"/>
              <w:bottom w:val="single" w:color="auto" w:sz="4" w:space="0"/>
              <w:right w:val="single" w:color="auto" w:sz="4" w:space="0"/>
            </w:tcBorders>
            <w:shd w:val="clear" w:color="auto" w:fill="auto"/>
            <w:noWrap/>
            <w:vAlign w:val="center"/>
          </w:tcPr>
          <w:p>
            <w:pPr>
              <w:widowControl/>
              <w:spacing w:line="360" w:lineRule="auto"/>
              <w:jc w:val="center"/>
              <w:rPr>
                <w:rFonts w:cs="宋体" w:asciiTheme="minorEastAsia" w:hAnsiTheme="minorEastAsia" w:eastAsiaTheme="minorEastAsia"/>
                <w:b/>
                <w:color w:val="auto"/>
                <w:kern w:val="0"/>
                <w:highlight w:val="none"/>
              </w:rPr>
            </w:pPr>
            <w:r>
              <w:rPr>
                <w:rFonts w:hint="eastAsia" w:cs="宋体" w:asciiTheme="minorEastAsia" w:hAnsiTheme="minorEastAsia" w:eastAsiaTheme="minorEastAsia"/>
                <w:b/>
                <w:color w:val="auto"/>
                <w:kern w:val="0"/>
                <w:highlight w:val="none"/>
              </w:rPr>
              <w:t>装载机</w:t>
            </w:r>
          </w:p>
        </w:tc>
        <w:tc>
          <w:tcPr>
            <w:tcW w:w="2452" w:type="dxa"/>
            <w:tcBorders>
              <w:top w:val="nil"/>
              <w:left w:val="nil"/>
              <w:bottom w:val="single" w:color="auto" w:sz="4" w:space="0"/>
              <w:right w:val="single" w:color="auto" w:sz="4" w:space="0"/>
            </w:tcBorders>
            <w:shd w:val="clear" w:color="auto" w:fill="auto"/>
            <w:vAlign w:val="center"/>
          </w:tcPr>
          <w:p>
            <w:pPr>
              <w:widowControl/>
              <w:spacing w:line="360" w:lineRule="auto"/>
              <w:jc w:val="center"/>
              <w:rPr>
                <w:rFonts w:cs="宋体" w:asciiTheme="minorEastAsia" w:hAnsiTheme="minorEastAsia" w:eastAsiaTheme="minorEastAsia"/>
                <w:b/>
                <w:color w:val="auto"/>
                <w:kern w:val="0"/>
                <w:highlight w:val="none"/>
              </w:rPr>
            </w:pPr>
            <w:r>
              <w:rPr>
                <w:rFonts w:hint="eastAsia" w:cs="宋体" w:asciiTheme="minorEastAsia" w:hAnsiTheme="minorEastAsia" w:eastAsiaTheme="minorEastAsia"/>
                <w:b/>
                <w:color w:val="auto"/>
                <w:kern w:val="0"/>
                <w:highlight w:val="none"/>
              </w:rPr>
              <w:t>31</w:t>
            </w:r>
          </w:p>
        </w:tc>
        <w:tc>
          <w:tcPr>
            <w:tcW w:w="2449" w:type="dxa"/>
            <w:tcBorders>
              <w:top w:val="nil"/>
              <w:left w:val="nil"/>
              <w:bottom w:val="single" w:color="auto" w:sz="4" w:space="0"/>
              <w:right w:val="single" w:color="auto" w:sz="8" w:space="0"/>
            </w:tcBorders>
            <w:shd w:val="clear" w:color="auto" w:fill="auto"/>
            <w:vAlign w:val="center"/>
          </w:tcPr>
          <w:p>
            <w:pPr>
              <w:widowControl/>
              <w:spacing w:line="360" w:lineRule="auto"/>
              <w:jc w:val="center"/>
              <w:rPr>
                <w:rFonts w:cs="宋体" w:asciiTheme="minorEastAsia" w:hAnsiTheme="minorEastAsia" w:eastAsiaTheme="minorEastAsia"/>
                <w:b/>
                <w:color w:val="auto"/>
                <w:kern w:val="0"/>
                <w:highlight w:val="none"/>
              </w:rPr>
            </w:pPr>
            <w:r>
              <w:rPr>
                <w:rFonts w:hint="eastAsia" w:cs="宋体" w:asciiTheme="minorEastAsia" w:hAnsiTheme="minorEastAsia" w:eastAsiaTheme="minorEastAsia"/>
                <w:b/>
                <w:color w:val="auto"/>
                <w:kern w:val="0"/>
                <w:highlight w:val="none"/>
              </w:rPr>
              <w:t>1</w:t>
            </w:r>
          </w:p>
        </w:tc>
      </w:tr>
      <w:tr>
        <w:tblPrEx>
          <w:tblCellMar>
            <w:top w:w="0" w:type="dxa"/>
            <w:left w:w="108" w:type="dxa"/>
            <w:bottom w:w="0" w:type="dxa"/>
            <w:right w:w="108" w:type="dxa"/>
          </w:tblCellMar>
        </w:tblPrEx>
        <w:trPr>
          <w:trHeight w:val="559" w:hRule="atLeast"/>
          <w:tblHeader/>
          <w:jc w:val="center"/>
        </w:trPr>
        <w:tc>
          <w:tcPr>
            <w:tcW w:w="1540" w:type="dxa"/>
            <w:tcBorders>
              <w:top w:val="nil"/>
              <w:left w:val="single" w:color="auto" w:sz="8" w:space="0"/>
              <w:bottom w:val="single" w:color="auto" w:sz="8" w:space="0"/>
              <w:right w:val="single" w:color="auto" w:sz="4" w:space="0"/>
            </w:tcBorders>
            <w:shd w:val="clear" w:color="auto" w:fill="auto"/>
            <w:vAlign w:val="center"/>
          </w:tcPr>
          <w:p>
            <w:pPr>
              <w:widowControl/>
              <w:spacing w:line="360" w:lineRule="auto"/>
              <w:jc w:val="center"/>
              <w:rPr>
                <w:rFonts w:cs="宋体" w:asciiTheme="minorEastAsia" w:hAnsiTheme="minorEastAsia" w:eastAsiaTheme="minorEastAsia"/>
                <w:b/>
                <w:color w:val="auto"/>
                <w:kern w:val="0"/>
                <w:highlight w:val="none"/>
              </w:rPr>
            </w:pPr>
            <w:r>
              <w:rPr>
                <w:rFonts w:hint="eastAsia" w:cs="宋体" w:asciiTheme="minorEastAsia" w:hAnsiTheme="minorEastAsia" w:eastAsiaTheme="minorEastAsia"/>
                <w:b/>
                <w:color w:val="auto"/>
                <w:kern w:val="0"/>
                <w:highlight w:val="none"/>
              </w:rPr>
              <w:t>名称</w:t>
            </w:r>
          </w:p>
        </w:tc>
        <w:tc>
          <w:tcPr>
            <w:tcW w:w="7538" w:type="dxa"/>
            <w:gridSpan w:val="3"/>
            <w:tcBorders>
              <w:top w:val="single" w:color="auto" w:sz="4" w:space="0"/>
              <w:left w:val="nil"/>
              <w:bottom w:val="single" w:color="auto" w:sz="8" w:space="0"/>
              <w:right w:val="single" w:color="000000" w:sz="8" w:space="0"/>
            </w:tcBorders>
            <w:shd w:val="clear" w:color="auto" w:fill="auto"/>
            <w:vAlign w:val="center"/>
          </w:tcPr>
          <w:p>
            <w:pPr>
              <w:widowControl/>
              <w:spacing w:line="360" w:lineRule="auto"/>
              <w:jc w:val="center"/>
              <w:rPr>
                <w:rFonts w:cs="宋体" w:asciiTheme="minorEastAsia" w:hAnsiTheme="minorEastAsia" w:eastAsiaTheme="minorEastAsia"/>
                <w:b/>
                <w:color w:val="auto"/>
                <w:kern w:val="0"/>
                <w:highlight w:val="none"/>
              </w:rPr>
            </w:pPr>
            <w:r>
              <w:rPr>
                <w:rFonts w:hint="eastAsia" w:cs="宋体" w:asciiTheme="minorEastAsia" w:hAnsiTheme="minorEastAsia" w:eastAsiaTheme="minorEastAsia"/>
                <w:b/>
                <w:color w:val="auto"/>
                <w:kern w:val="0"/>
                <w:highlight w:val="none"/>
              </w:rPr>
              <w:t>技术参数及规格</w:t>
            </w:r>
          </w:p>
        </w:tc>
      </w:tr>
      <w:tr>
        <w:tblPrEx>
          <w:tblCellMar>
            <w:top w:w="0" w:type="dxa"/>
            <w:left w:w="108" w:type="dxa"/>
            <w:bottom w:w="0" w:type="dxa"/>
            <w:right w:w="108" w:type="dxa"/>
          </w:tblCellMar>
        </w:tblPrEx>
        <w:trPr>
          <w:trHeight w:val="255" w:hRule="atLeast"/>
          <w:jc w:val="center"/>
        </w:trPr>
        <w:tc>
          <w:tcPr>
            <w:tcW w:w="1540" w:type="dxa"/>
            <w:vMerge w:val="restart"/>
            <w:tcBorders>
              <w:top w:val="nil"/>
              <w:left w:val="single" w:color="auto" w:sz="8" w:space="0"/>
              <w:bottom w:val="single" w:color="auto" w:sz="4" w:space="0"/>
              <w:right w:val="single" w:color="auto" w:sz="4" w:space="0"/>
            </w:tcBorders>
            <w:shd w:val="clear" w:color="auto" w:fill="auto"/>
            <w:noWrap/>
            <w:vAlign w:val="center"/>
          </w:tcPr>
          <w:p>
            <w:pPr>
              <w:widowControl/>
              <w:spacing w:line="360" w:lineRule="auto"/>
              <w:jc w:val="center"/>
              <w:rPr>
                <w:rFonts w:cs="宋体" w:asciiTheme="minorEastAsia" w:hAnsiTheme="minorEastAsia" w:eastAsiaTheme="minorEastAsia"/>
                <w:color w:val="auto"/>
                <w:kern w:val="0"/>
                <w:highlight w:val="none"/>
              </w:rPr>
            </w:pPr>
            <w:r>
              <w:rPr>
                <w:rFonts w:hint="eastAsia" w:cs="宋体" w:asciiTheme="minorEastAsia" w:hAnsiTheme="minorEastAsia" w:eastAsiaTheme="minorEastAsia"/>
                <w:color w:val="auto"/>
                <w:kern w:val="0"/>
                <w:highlight w:val="none"/>
              </w:rPr>
              <w:t>整机参数</w:t>
            </w:r>
          </w:p>
        </w:tc>
        <w:tc>
          <w:tcPr>
            <w:tcW w:w="7538" w:type="dxa"/>
            <w:gridSpan w:val="3"/>
            <w:tcBorders>
              <w:top w:val="single" w:color="auto" w:sz="8" w:space="0"/>
              <w:left w:val="nil"/>
              <w:bottom w:val="single" w:color="auto" w:sz="4" w:space="0"/>
              <w:right w:val="single" w:color="000000" w:sz="8" w:space="0"/>
            </w:tcBorders>
            <w:shd w:val="clear" w:color="auto" w:fill="auto"/>
            <w:vAlign w:val="center"/>
          </w:tcPr>
          <w:p>
            <w:pPr>
              <w:widowControl/>
              <w:spacing w:line="360" w:lineRule="auto"/>
              <w:jc w:val="left"/>
              <w:rPr>
                <w:rFonts w:asciiTheme="minorEastAsia" w:hAnsiTheme="minorEastAsia" w:eastAsiaTheme="minorEastAsia"/>
                <w:color w:val="auto"/>
                <w:kern w:val="0"/>
                <w:highlight w:val="none"/>
              </w:rPr>
            </w:pPr>
            <w:r>
              <w:rPr>
                <w:rFonts w:asciiTheme="minorEastAsia" w:hAnsiTheme="minorEastAsia" w:eastAsiaTheme="minorEastAsia"/>
                <w:color w:val="auto"/>
                <w:highlight w:val="none"/>
              </w:rPr>
              <w:t>1</w:t>
            </w:r>
            <w:r>
              <w:rPr>
                <w:rFonts w:hint="eastAsia" w:asciiTheme="minorEastAsia" w:hAnsiTheme="minorEastAsia" w:eastAsiaTheme="minorEastAsia"/>
                <w:color w:val="auto"/>
                <w:highlight w:val="none"/>
              </w:rPr>
              <w:t>、驱动形式：轮式。</w:t>
            </w:r>
          </w:p>
        </w:tc>
      </w:tr>
      <w:tr>
        <w:tblPrEx>
          <w:tblCellMar>
            <w:top w:w="0" w:type="dxa"/>
            <w:left w:w="108" w:type="dxa"/>
            <w:bottom w:w="0" w:type="dxa"/>
            <w:right w:w="108" w:type="dxa"/>
          </w:tblCellMar>
        </w:tblPrEx>
        <w:trPr>
          <w:trHeight w:val="360" w:hRule="atLeast"/>
          <w:jc w:val="center"/>
        </w:trPr>
        <w:tc>
          <w:tcPr>
            <w:tcW w:w="1540" w:type="dxa"/>
            <w:vMerge w:val="continue"/>
            <w:tcBorders>
              <w:top w:val="nil"/>
              <w:left w:val="single" w:color="auto" w:sz="8" w:space="0"/>
              <w:bottom w:val="single" w:color="auto" w:sz="4" w:space="0"/>
              <w:right w:val="single" w:color="auto" w:sz="4" w:space="0"/>
            </w:tcBorders>
            <w:vAlign w:val="center"/>
          </w:tcPr>
          <w:p>
            <w:pPr>
              <w:widowControl/>
              <w:spacing w:line="360" w:lineRule="auto"/>
              <w:jc w:val="left"/>
              <w:rPr>
                <w:rFonts w:cs="宋体" w:asciiTheme="minorEastAsia" w:hAnsiTheme="minorEastAsia" w:eastAsiaTheme="minorEastAsia"/>
                <w:color w:val="auto"/>
                <w:kern w:val="0"/>
                <w:highlight w:val="none"/>
              </w:rPr>
            </w:pPr>
          </w:p>
        </w:tc>
        <w:tc>
          <w:tcPr>
            <w:tcW w:w="7538" w:type="dxa"/>
            <w:gridSpan w:val="3"/>
            <w:tcBorders>
              <w:top w:val="single" w:color="auto" w:sz="4" w:space="0"/>
              <w:left w:val="nil"/>
              <w:bottom w:val="single" w:color="auto" w:sz="4" w:space="0"/>
              <w:right w:val="single" w:color="000000" w:sz="8" w:space="0"/>
            </w:tcBorders>
            <w:shd w:val="clear" w:color="auto" w:fill="auto"/>
            <w:vAlign w:val="center"/>
          </w:tcPr>
          <w:p>
            <w:pP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t>2</w:t>
            </w:r>
            <w:r>
              <w:rPr>
                <w:rFonts w:hint="eastAsia" w:asciiTheme="minorEastAsia" w:hAnsiTheme="minorEastAsia" w:eastAsiaTheme="minorEastAsia"/>
                <w:color w:val="auto"/>
                <w:highlight w:val="none"/>
              </w:rPr>
              <w:t>、柴油发动机：六缸、四冲程、水冷、直喷、增压型满足国家有关排放标准。</w:t>
            </w:r>
          </w:p>
        </w:tc>
      </w:tr>
      <w:tr>
        <w:tblPrEx>
          <w:tblCellMar>
            <w:top w:w="0" w:type="dxa"/>
            <w:left w:w="108" w:type="dxa"/>
            <w:bottom w:w="0" w:type="dxa"/>
            <w:right w:w="108" w:type="dxa"/>
          </w:tblCellMar>
        </w:tblPrEx>
        <w:trPr>
          <w:trHeight w:val="255" w:hRule="atLeast"/>
          <w:jc w:val="center"/>
        </w:trPr>
        <w:tc>
          <w:tcPr>
            <w:tcW w:w="1540" w:type="dxa"/>
            <w:vMerge w:val="continue"/>
            <w:tcBorders>
              <w:top w:val="nil"/>
              <w:left w:val="single" w:color="auto" w:sz="8" w:space="0"/>
              <w:bottom w:val="single" w:color="auto" w:sz="4" w:space="0"/>
              <w:right w:val="single" w:color="auto" w:sz="4" w:space="0"/>
            </w:tcBorders>
            <w:vAlign w:val="center"/>
          </w:tcPr>
          <w:p>
            <w:pPr>
              <w:widowControl/>
              <w:spacing w:line="360" w:lineRule="auto"/>
              <w:jc w:val="left"/>
              <w:rPr>
                <w:rFonts w:cs="宋体" w:asciiTheme="minorEastAsia" w:hAnsiTheme="minorEastAsia" w:eastAsiaTheme="minorEastAsia"/>
                <w:color w:val="auto"/>
                <w:kern w:val="0"/>
                <w:highlight w:val="none"/>
              </w:rPr>
            </w:pPr>
          </w:p>
        </w:tc>
        <w:tc>
          <w:tcPr>
            <w:tcW w:w="7538" w:type="dxa"/>
            <w:gridSpan w:val="3"/>
            <w:tcBorders>
              <w:top w:val="single" w:color="auto" w:sz="4" w:space="0"/>
              <w:left w:val="nil"/>
              <w:bottom w:val="single" w:color="auto" w:sz="4" w:space="0"/>
              <w:right w:val="single" w:color="000000" w:sz="8" w:space="0"/>
            </w:tcBorders>
            <w:shd w:val="clear" w:color="auto" w:fill="auto"/>
            <w:vAlign w:val="center"/>
          </w:tcPr>
          <w:p>
            <w:pP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t>3</w:t>
            </w:r>
            <w:r>
              <w:rPr>
                <w:rFonts w:hint="eastAsia" w:asciiTheme="minorEastAsia" w:hAnsiTheme="minorEastAsia" w:eastAsiaTheme="minorEastAsia"/>
                <w:color w:val="auto"/>
                <w:highlight w:val="none"/>
              </w:rPr>
              <w:t>、整机重量：</w:t>
            </w:r>
            <w:r>
              <w:rPr>
                <w:rFonts w:asciiTheme="minorEastAsia" w:hAnsiTheme="minorEastAsia" w:eastAsiaTheme="minorEastAsia"/>
                <w:color w:val="auto"/>
                <w:highlight w:val="none"/>
              </w:rPr>
              <w:t>≥7000 kg</w:t>
            </w:r>
            <w:r>
              <w:rPr>
                <w:rFonts w:hint="eastAsia" w:asciiTheme="minorEastAsia" w:hAnsiTheme="minorEastAsia" w:eastAsiaTheme="minorEastAsia"/>
                <w:color w:val="auto"/>
                <w:highlight w:val="none"/>
              </w:rPr>
              <w:t>。</w:t>
            </w:r>
          </w:p>
        </w:tc>
      </w:tr>
      <w:tr>
        <w:tblPrEx>
          <w:tblCellMar>
            <w:top w:w="0" w:type="dxa"/>
            <w:left w:w="108" w:type="dxa"/>
            <w:bottom w:w="0" w:type="dxa"/>
            <w:right w:w="108" w:type="dxa"/>
          </w:tblCellMar>
        </w:tblPrEx>
        <w:trPr>
          <w:trHeight w:val="255" w:hRule="atLeast"/>
          <w:jc w:val="center"/>
        </w:trPr>
        <w:tc>
          <w:tcPr>
            <w:tcW w:w="1540" w:type="dxa"/>
            <w:vMerge w:val="continue"/>
            <w:tcBorders>
              <w:top w:val="nil"/>
              <w:left w:val="single" w:color="auto" w:sz="8" w:space="0"/>
              <w:bottom w:val="single" w:color="auto" w:sz="4" w:space="0"/>
              <w:right w:val="single" w:color="auto" w:sz="4" w:space="0"/>
            </w:tcBorders>
            <w:vAlign w:val="center"/>
          </w:tcPr>
          <w:p>
            <w:pPr>
              <w:widowControl/>
              <w:spacing w:line="360" w:lineRule="auto"/>
              <w:jc w:val="left"/>
              <w:rPr>
                <w:rFonts w:cs="宋体" w:asciiTheme="minorEastAsia" w:hAnsiTheme="minorEastAsia" w:eastAsiaTheme="minorEastAsia"/>
                <w:color w:val="auto"/>
                <w:kern w:val="0"/>
                <w:highlight w:val="none"/>
              </w:rPr>
            </w:pPr>
          </w:p>
        </w:tc>
        <w:tc>
          <w:tcPr>
            <w:tcW w:w="7538" w:type="dxa"/>
            <w:gridSpan w:val="3"/>
            <w:tcBorders>
              <w:top w:val="single" w:color="auto" w:sz="4" w:space="0"/>
              <w:left w:val="nil"/>
              <w:bottom w:val="single" w:color="auto" w:sz="4" w:space="0"/>
              <w:right w:val="single" w:color="000000" w:sz="8" w:space="0"/>
            </w:tcBorders>
            <w:shd w:val="clear" w:color="auto" w:fill="auto"/>
            <w:vAlign w:val="center"/>
          </w:tcPr>
          <w:p>
            <w:pP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t>▲4</w:t>
            </w:r>
            <w:r>
              <w:rPr>
                <w:rFonts w:hint="eastAsia" w:asciiTheme="minorEastAsia" w:hAnsiTheme="minorEastAsia" w:eastAsiaTheme="minorEastAsia"/>
                <w:color w:val="auto"/>
                <w:highlight w:val="none"/>
              </w:rPr>
              <w:t>、额定功率：</w:t>
            </w:r>
            <w:r>
              <w:rPr>
                <w:rFonts w:asciiTheme="minorEastAsia" w:hAnsiTheme="minorEastAsia" w:eastAsiaTheme="minorEastAsia"/>
                <w:color w:val="auto"/>
                <w:highlight w:val="none"/>
              </w:rPr>
              <w:t>≥170kW</w:t>
            </w:r>
            <w:r>
              <w:rPr>
                <w:rFonts w:hint="eastAsia" w:asciiTheme="minorEastAsia" w:hAnsiTheme="minorEastAsia" w:eastAsiaTheme="minorEastAsia"/>
                <w:color w:val="auto"/>
                <w:highlight w:val="none"/>
              </w:rPr>
              <w:t>；额定转速：</w:t>
            </w:r>
            <w:r>
              <w:rPr>
                <w:rFonts w:asciiTheme="minorEastAsia" w:hAnsiTheme="minorEastAsia" w:eastAsiaTheme="minorEastAsia"/>
                <w:color w:val="auto"/>
                <w:highlight w:val="none"/>
              </w:rPr>
              <w:t>≥2200rpm</w:t>
            </w:r>
            <w:r>
              <w:rPr>
                <w:rFonts w:hint="eastAsia" w:asciiTheme="minorEastAsia" w:hAnsiTheme="minorEastAsia" w:eastAsiaTheme="minorEastAsia"/>
                <w:color w:val="auto"/>
                <w:highlight w:val="none"/>
              </w:rPr>
              <w:t>。</w:t>
            </w:r>
          </w:p>
        </w:tc>
      </w:tr>
      <w:tr>
        <w:tblPrEx>
          <w:tblCellMar>
            <w:top w:w="0" w:type="dxa"/>
            <w:left w:w="108" w:type="dxa"/>
            <w:bottom w:w="0" w:type="dxa"/>
            <w:right w:w="108" w:type="dxa"/>
          </w:tblCellMar>
        </w:tblPrEx>
        <w:trPr>
          <w:trHeight w:val="255" w:hRule="atLeast"/>
          <w:jc w:val="center"/>
        </w:trPr>
        <w:tc>
          <w:tcPr>
            <w:tcW w:w="1540" w:type="dxa"/>
            <w:vMerge w:val="continue"/>
            <w:tcBorders>
              <w:top w:val="nil"/>
              <w:left w:val="single" w:color="auto" w:sz="8" w:space="0"/>
              <w:bottom w:val="single" w:color="auto" w:sz="4" w:space="0"/>
              <w:right w:val="single" w:color="auto" w:sz="4" w:space="0"/>
            </w:tcBorders>
            <w:vAlign w:val="center"/>
          </w:tcPr>
          <w:p>
            <w:pPr>
              <w:widowControl/>
              <w:spacing w:line="360" w:lineRule="auto"/>
              <w:jc w:val="left"/>
              <w:rPr>
                <w:rFonts w:cs="宋体" w:asciiTheme="minorEastAsia" w:hAnsiTheme="minorEastAsia" w:eastAsiaTheme="minorEastAsia"/>
                <w:color w:val="auto"/>
                <w:kern w:val="0"/>
                <w:highlight w:val="none"/>
              </w:rPr>
            </w:pPr>
          </w:p>
        </w:tc>
        <w:tc>
          <w:tcPr>
            <w:tcW w:w="7538" w:type="dxa"/>
            <w:gridSpan w:val="3"/>
            <w:tcBorders>
              <w:top w:val="single" w:color="auto" w:sz="4" w:space="0"/>
              <w:left w:val="nil"/>
              <w:bottom w:val="single" w:color="auto" w:sz="4" w:space="0"/>
              <w:right w:val="single" w:color="000000" w:sz="8" w:space="0"/>
            </w:tcBorders>
            <w:shd w:val="clear" w:color="auto" w:fill="auto"/>
            <w:vAlign w:val="center"/>
          </w:tcPr>
          <w:p>
            <w:pP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t>5</w:t>
            </w:r>
            <w:r>
              <w:rPr>
                <w:rFonts w:hint="eastAsia" w:asciiTheme="minorEastAsia" w:hAnsiTheme="minorEastAsia" w:eastAsiaTheme="minorEastAsia"/>
                <w:color w:val="auto"/>
                <w:highlight w:val="none"/>
              </w:rPr>
              <w:t>、最大扭矩：</w:t>
            </w:r>
            <w:r>
              <w:rPr>
                <w:rFonts w:asciiTheme="minorEastAsia" w:hAnsiTheme="minorEastAsia" w:eastAsiaTheme="minorEastAsia"/>
                <w:color w:val="auto"/>
                <w:highlight w:val="none"/>
              </w:rPr>
              <w:t>≥840N.m</w:t>
            </w:r>
            <w:r>
              <w:rPr>
                <w:rFonts w:hint="eastAsia" w:asciiTheme="minorEastAsia" w:hAnsiTheme="minorEastAsia" w:eastAsiaTheme="minorEastAsia"/>
                <w:color w:val="auto"/>
                <w:highlight w:val="none"/>
              </w:rPr>
              <w:t>。</w:t>
            </w:r>
          </w:p>
        </w:tc>
      </w:tr>
      <w:tr>
        <w:tblPrEx>
          <w:tblCellMar>
            <w:top w:w="0" w:type="dxa"/>
            <w:left w:w="108" w:type="dxa"/>
            <w:bottom w:w="0" w:type="dxa"/>
            <w:right w:w="108" w:type="dxa"/>
          </w:tblCellMar>
        </w:tblPrEx>
        <w:trPr>
          <w:trHeight w:val="342" w:hRule="atLeast"/>
          <w:jc w:val="center"/>
        </w:trPr>
        <w:tc>
          <w:tcPr>
            <w:tcW w:w="1540" w:type="dxa"/>
            <w:vMerge w:val="continue"/>
            <w:tcBorders>
              <w:top w:val="nil"/>
              <w:left w:val="single" w:color="auto" w:sz="8" w:space="0"/>
              <w:bottom w:val="single" w:color="auto" w:sz="4" w:space="0"/>
              <w:right w:val="single" w:color="auto" w:sz="4" w:space="0"/>
            </w:tcBorders>
            <w:vAlign w:val="center"/>
          </w:tcPr>
          <w:p>
            <w:pPr>
              <w:widowControl/>
              <w:spacing w:line="360" w:lineRule="auto"/>
              <w:jc w:val="left"/>
              <w:rPr>
                <w:rFonts w:cs="宋体" w:asciiTheme="minorEastAsia" w:hAnsiTheme="minorEastAsia" w:eastAsiaTheme="minorEastAsia"/>
                <w:color w:val="auto"/>
                <w:kern w:val="0"/>
                <w:highlight w:val="none"/>
              </w:rPr>
            </w:pPr>
          </w:p>
        </w:tc>
        <w:tc>
          <w:tcPr>
            <w:tcW w:w="7538" w:type="dxa"/>
            <w:gridSpan w:val="3"/>
            <w:tcBorders>
              <w:top w:val="single" w:color="auto" w:sz="4" w:space="0"/>
              <w:left w:val="nil"/>
              <w:bottom w:val="single" w:color="auto" w:sz="4" w:space="0"/>
              <w:right w:val="single" w:color="000000" w:sz="8" w:space="0"/>
            </w:tcBorders>
            <w:shd w:val="clear" w:color="auto" w:fill="auto"/>
            <w:vAlign w:val="center"/>
          </w:tcPr>
          <w:p>
            <w:pP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t>6</w:t>
            </w:r>
            <w:r>
              <w:rPr>
                <w:rFonts w:hint="eastAsia" w:asciiTheme="minorEastAsia" w:hAnsiTheme="minorEastAsia" w:eastAsiaTheme="minorEastAsia"/>
                <w:color w:val="auto"/>
                <w:highlight w:val="none"/>
              </w:rPr>
              <w:t>、整机尺寸：总长</w:t>
            </w:r>
            <w:r>
              <w:rPr>
                <w:rFonts w:asciiTheme="minorEastAsia" w:hAnsiTheme="minorEastAsia" w:eastAsiaTheme="minorEastAsia"/>
                <w:color w:val="auto"/>
                <w:highlight w:val="none"/>
              </w:rPr>
              <w:t>(</w:t>
            </w:r>
            <w:r>
              <w:rPr>
                <w:rFonts w:hint="eastAsia" w:asciiTheme="minorEastAsia" w:hAnsiTheme="minorEastAsia" w:eastAsiaTheme="minorEastAsia"/>
                <w:color w:val="auto"/>
                <w:highlight w:val="none"/>
              </w:rPr>
              <w:t>运输时</w:t>
            </w:r>
            <w:r>
              <w:rPr>
                <w:rFonts w:asciiTheme="minorEastAsia" w:hAnsiTheme="minorEastAsia" w:eastAsiaTheme="minorEastAsia"/>
                <w:color w:val="auto"/>
                <w:highlight w:val="none"/>
              </w:rPr>
              <w:t xml:space="preserve">)≤8460mm  </w:t>
            </w:r>
            <w:r>
              <w:rPr>
                <w:rFonts w:hint="eastAsia" w:asciiTheme="minorEastAsia" w:hAnsiTheme="minorEastAsia" w:eastAsiaTheme="minorEastAsia"/>
                <w:color w:val="auto"/>
                <w:highlight w:val="none"/>
              </w:rPr>
              <w:t>总宽</w:t>
            </w:r>
            <w:r>
              <w:rPr>
                <w:rFonts w:asciiTheme="minorEastAsia" w:hAnsiTheme="minorEastAsia" w:eastAsiaTheme="minorEastAsia"/>
                <w:color w:val="auto"/>
                <w:highlight w:val="none"/>
              </w:rPr>
              <w:t xml:space="preserve">≥2996mm  </w:t>
            </w:r>
            <w:r>
              <w:rPr>
                <w:rFonts w:hint="eastAsia" w:asciiTheme="minorEastAsia" w:hAnsiTheme="minorEastAsia" w:eastAsiaTheme="minorEastAsia"/>
                <w:color w:val="auto"/>
                <w:highlight w:val="none"/>
              </w:rPr>
              <w:t>总高</w:t>
            </w:r>
            <w:r>
              <w:rPr>
                <w:rFonts w:asciiTheme="minorEastAsia" w:hAnsiTheme="minorEastAsia" w:eastAsiaTheme="minorEastAsia"/>
                <w:color w:val="auto"/>
                <w:highlight w:val="none"/>
              </w:rPr>
              <w:t>(</w:t>
            </w:r>
            <w:r>
              <w:rPr>
                <w:rFonts w:hint="eastAsia" w:asciiTheme="minorEastAsia" w:hAnsiTheme="minorEastAsia" w:eastAsiaTheme="minorEastAsia"/>
                <w:color w:val="auto"/>
                <w:highlight w:val="none"/>
              </w:rPr>
              <w:t>运输时</w:t>
            </w:r>
            <w:r>
              <w:rPr>
                <w:rFonts w:asciiTheme="minorEastAsia" w:hAnsiTheme="minorEastAsia" w:eastAsiaTheme="minorEastAsia"/>
                <w:color w:val="auto"/>
                <w:highlight w:val="none"/>
              </w:rPr>
              <w:t>) ≤3515mm</w:t>
            </w:r>
            <w:r>
              <w:rPr>
                <w:rFonts w:hint="eastAsia" w:asciiTheme="minorEastAsia" w:hAnsiTheme="minorEastAsia" w:eastAsiaTheme="minorEastAsia"/>
                <w:color w:val="auto"/>
                <w:highlight w:val="none"/>
              </w:rPr>
              <w:t>。</w:t>
            </w:r>
          </w:p>
        </w:tc>
      </w:tr>
      <w:tr>
        <w:tblPrEx>
          <w:tblCellMar>
            <w:top w:w="0" w:type="dxa"/>
            <w:left w:w="108" w:type="dxa"/>
            <w:bottom w:w="0" w:type="dxa"/>
            <w:right w:w="108" w:type="dxa"/>
          </w:tblCellMar>
        </w:tblPrEx>
        <w:trPr>
          <w:trHeight w:val="255" w:hRule="atLeast"/>
          <w:jc w:val="center"/>
        </w:trPr>
        <w:tc>
          <w:tcPr>
            <w:tcW w:w="1540" w:type="dxa"/>
            <w:vMerge w:val="restart"/>
            <w:tcBorders>
              <w:top w:val="nil"/>
              <w:left w:val="single" w:color="auto" w:sz="8" w:space="0"/>
              <w:bottom w:val="single" w:color="auto" w:sz="4" w:space="0"/>
              <w:right w:val="single" w:color="auto" w:sz="4" w:space="0"/>
            </w:tcBorders>
            <w:shd w:val="clear" w:color="auto" w:fill="auto"/>
            <w:noWrap/>
            <w:vAlign w:val="center"/>
          </w:tcPr>
          <w:p>
            <w:pPr>
              <w:widowControl/>
              <w:spacing w:line="360" w:lineRule="auto"/>
              <w:jc w:val="center"/>
              <w:rPr>
                <w:rFonts w:cs="宋体" w:asciiTheme="minorEastAsia" w:hAnsiTheme="minorEastAsia" w:eastAsiaTheme="minorEastAsia"/>
                <w:color w:val="auto"/>
                <w:kern w:val="0"/>
                <w:highlight w:val="none"/>
              </w:rPr>
            </w:pPr>
            <w:r>
              <w:rPr>
                <w:rFonts w:hint="eastAsia" w:cs="宋体" w:asciiTheme="minorEastAsia" w:hAnsiTheme="minorEastAsia" w:eastAsiaTheme="minorEastAsia"/>
                <w:color w:val="auto"/>
                <w:kern w:val="0"/>
                <w:highlight w:val="none"/>
              </w:rPr>
              <w:t>驾驶室</w:t>
            </w:r>
          </w:p>
        </w:tc>
        <w:tc>
          <w:tcPr>
            <w:tcW w:w="7538" w:type="dxa"/>
            <w:gridSpan w:val="3"/>
            <w:tcBorders>
              <w:top w:val="single" w:color="auto" w:sz="4" w:space="0"/>
              <w:left w:val="nil"/>
              <w:bottom w:val="single" w:color="auto" w:sz="4" w:space="0"/>
              <w:right w:val="single" w:color="000000" w:sz="8" w:space="0"/>
            </w:tcBorders>
            <w:shd w:val="clear" w:color="auto" w:fill="auto"/>
            <w:vAlign w:val="center"/>
          </w:tcPr>
          <w:p>
            <w:pPr>
              <w:widowControl/>
              <w:spacing w:line="360" w:lineRule="auto"/>
              <w:jc w:val="left"/>
              <w:rPr>
                <w:rFonts w:asciiTheme="minorEastAsia" w:hAnsiTheme="minorEastAsia" w:eastAsiaTheme="minorEastAsia"/>
                <w:color w:val="auto"/>
                <w:kern w:val="0"/>
                <w:highlight w:val="none"/>
              </w:rPr>
            </w:pPr>
            <w:r>
              <w:rPr>
                <w:rFonts w:asciiTheme="minorEastAsia" w:hAnsiTheme="minorEastAsia" w:eastAsiaTheme="minorEastAsia"/>
                <w:color w:val="auto"/>
                <w:highlight w:val="none"/>
              </w:rPr>
              <w:t>1</w:t>
            </w:r>
            <w:r>
              <w:rPr>
                <w:rFonts w:hint="eastAsia" w:asciiTheme="minorEastAsia" w:hAnsiTheme="minorEastAsia" w:eastAsiaTheme="minorEastAsia"/>
                <w:color w:val="auto"/>
                <w:highlight w:val="none"/>
              </w:rPr>
              <w:t>、驾驶座椅：减震座椅，座椅装置三点式汽车安全带。</w:t>
            </w:r>
          </w:p>
        </w:tc>
      </w:tr>
      <w:tr>
        <w:tblPrEx>
          <w:tblCellMar>
            <w:top w:w="0" w:type="dxa"/>
            <w:left w:w="108" w:type="dxa"/>
            <w:bottom w:w="0" w:type="dxa"/>
            <w:right w:w="108" w:type="dxa"/>
          </w:tblCellMar>
        </w:tblPrEx>
        <w:trPr>
          <w:trHeight w:val="255" w:hRule="atLeast"/>
          <w:jc w:val="center"/>
        </w:trPr>
        <w:tc>
          <w:tcPr>
            <w:tcW w:w="1540" w:type="dxa"/>
            <w:vMerge w:val="continue"/>
            <w:tcBorders>
              <w:top w:val="nil"/>
              <w:left w:val="single" w:color="auto" w:sz="8" w:space="0"/>
              <w:bottom w:val="single" w:color="auto" w:sz="4" w:space="0"/>
              <w:right w:val="single" w:color="auto" w:sz="4" w:space="0"/>
            </w:tcBorders>
            <w:vAlign w:val="center"/>
          </w:tcPr>
          <w:p>
            <w:pPr>
              <w:widowControl/>
              <w:spacing w:line="360" w:lineRule="auto"/>
              <w:jc w:val="left"/>
              <w:rPr>
                <w:rFonts w:cs="宋体" w:asciiTheme="minorEastAsia" w:hAnsiTheme="minorEastAsia" w:eastAsiaTheme="minorEastAsia"/>
                <w:color w:val="auto"/>
                <w:kern w:val="0"/>
                <w:highlight w:val="none"/>
              </w:rPr>
            </w:pPr>
          </w:p>
        </w:tc>
        <w:tc>
          <w:tcPr>
            <w:tcW w:w="7538" w:type="dxa"/>
            <w:gridSpan w:val="3"/>
            <w:tcBorders>
              <w:top w:val="single" w:color="auto" w:sz="4" w:space="0"/>
              <w:left w:val="nil"/>
              <w:bottom w:val="single" w:color="auto" w:sz="4" w:space="0"/>
              <w:right w:val="single" w:color="000000" w:sz="8" w:space="0"/>
            </w:tcBorders>
            <w:shd w:val="clear" w:color="auto" w:fill="auto"/>
            <w:vAlign w:val="center"/>
          </w:tcPr>
          <w:p>
            <w:pP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t>2</w:t>
            </w:r>
            <w:r>
              <w:rPr>
                <w:rFonts w:hint="eastAsia" w:asciiTheme="minorEastAsia" w:hAnsiTheme="minorEastAsia" w:eastAsiaTheme="minorEastAsia"/>
                <w:color w:val="auto"/>
                <w:highlight w:val="none"/>
              </w:rPr>
              <w:t>、内饰隔音保暖材料，标配冷暖空调、并加装柴油暖风机、前后监控系统。</w:t>
            </w:r>
          </w:p>
        </w:tc>
      </w:tr>
      <w:tr>
        <w:tblPrEx>
          <w:tblCellMar>
            <w:top w:w="0" w:type="dxa"/>
            <w:left w:w="108" w:type="dxa"/>
            <w:bottom w:w="0" w:type="dxa"/>
            <w:right w:w="108" w:type="dxa"/>
          </w:tblCellMar>
        </w:tblPrEx>
        <w:trPr>
          <w:trHeight w:val="255" w:hRule="atLeast"/>
          <w:jc w:val="center"/>
        </w:trPr>
        <w:tc>
          <w:tcPr>
            <w:tcW w:w="1540" w:type="dxa"/>
            <w:vMerge w:val="continue"/>
            <w:tcBorders>
              <w:top w:val="nil"/>
              <w:left w:val="single" w:color="auto" w:sz="8" w:space="0"/>
              <w:bottom w:val="single" w:color="auto" w:sz="4" w:space="0"/>
              <w:right w:val="single" w:color="auto" w:sz="4" w:space="0"/>
            </w:tcBorders>
            <w:vAlign w:val="center"/>
          </w:tcPr>
          <w:p>
            <w:pPr>
              <w:widowControl/>
              <w:spacing w:line="360" w:lineRule="auto"/>
              <w:jc w:val="left"/>
              <w:rPr>
                <w:rFonts w:cs="宋体" w:asciiTheme="minorEastAsia" w:hAnsiTheme="minorEastAsia" w:eastAsiaTheme="minorEastAsia"/>
                <w:color w:val="auto"/>
                <w:kern w:val="0"/>
                <w:highlight w:val="none"/>
              </w:rPr>
            </w:pPr>
          </w:p>
        </w:tc>
        <w:tc>
          <w:tcPr>
            <w:tcW w:w="7538" w:type="dxa"/>
            <w:gridSpan w:val="3"/>
            <w:tcBorders>
              <w:top w:val="single" w:color="auto" w:sz="4" w:space="0"/>
              <w:left w:val="nil"/>
              <w:bottom w:val="single" w:color="auto" w:sz="4" w:space="0"/>
              <w:right w:val="single" w:color="000000" w:sz="8" w:space="0"/>
            </w:tcBorders>
            <w:shd w:val="clear" w:color="auto" w:fill="auto"/>
            <w:vAlign w:val="center"/>
          </w:tcPr>
          <w:p>
            <w:pP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t>3</w:t>
            </w:r>
            <w:r>
              <w:rPr>
                <w:rFonts w:hint="eastAsia" w:asciiTheme="minorEastAsia" w:hAnsiTheme="minorEastAsia" w:eastAsiaTheme="minorEastAsia"/>
                <w:color w:val="auto"/>
                <w:highlight w:val="none"/>
              </w:rPr>
              <w:t>、全封闭、防落物、翻滚驾驶室、配备破碎锤。</w:t>
            </w:r>
          </w:p>
        </w:tc>
      </w:tr>
      <w:tr>
        <w:tblPrEx>
          <w:tblCellMar>
            <w:top w:w="0" w:type="dxa"/>
            <w:left w:w="108" w:type="dxa"/>
            <w:bottom w:w="0" w:type="dxa"/>
            <w:right w:w="108" w:type="dxa"/>
          </w:tblCellMar>
        </w:tblPrEx>
        <w:trPr>
          <w:trHeight w:val="255" w:hRule="atLeast"/>
          <w:jc w:val="center"/>
        </w:trPr>
        <w:tc>
          <w:tcPr>
            <w:tcW w:w="1540" w:type="dxa"/>
            <w:vMerge w:val="continue"/>
            <w:tcBorders>
              <w:top w:val="nil"/>
              <w:left w:val="single" w:color="auto" w:sz="8" w:space="0"/>
              <w:bottom w:val="single" w:color="auto" w:sz="4" w:space="0"/>
              <w:right w:val="single" w:color="auto" w:sz="4" w:space="0"/>
            </w:tcBorders>
            <w:vAlign w:val="center"/>
          </w:tcPr>
          <w:p>
            <w:pPr>
              <w:widowControl/>
              <w:spacing w:line="360" w:lineRule="auto"/>
              <w:jc w:val="left"/>
              <w:rPr>
                <w:rFonts w:cs="宋体" w:asciiTheme="minorEastAsia" w:hAnsiTheme="minorEastAsia" w:eastAsiaTheme="minorEastAsia"/>
                <w:color w:val="auto"/>
                <w:kern w:val="0"/>
                <w:highlight w:val="none"/>
              </w:rPr>
            </w:pPr>
          </w:p>
        </w:tc>
        <w:tc>
          <w:tcPr>
            <w:tcW w:w="7538" w:type="dxa"/>
            <w:gridSpan w:val="3"/>
            <w:tcBorders>
              <w:top w:val="single" w:color="auto" w:sz="4" w:space="0"/>
              <w:left w:val="nil"/>
              <w:bottom w:val="single" w:color="auto" w:sz="4" w:space="0"/>
              <w:right w:val="single" w:color="000000" w:sz="8" w:space="0"/>
            </w:tcBorders>
            <w:shd w:val="clear" w:color="auto" w:fill="auto"/>
            <w:vAlign w:val="center"/>
          </w:tcPr>
          <w:p>
            <w:pP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t>4</w:t>
            </w:r>
            <w:r>
              <w:rPr>
                <w:rFonts w:hint="eastAsia" w:asciiTheme="minorEastAsia" w:hAnsiTheme="minorEastAsia" w:eastAsiaTheme="minorEastAsia"/>
                <w:color w:val="auto"/>
                <w:highlight w:val="none"/>
              </w:rPr>
              <w:t>、驾驶室前端安装</w:t>
            </w:r>
            <w:r>
              <w:rPr>
                <w:rFonts w:asciiTheme="minorEastAsia" w:hAnsiTheme="minorEastAsia" w:eastAsiaTheme="minorEastAsia"/>
                <w:color w:val="auto"/>
                <w:highlight w:val="none"/>
              </w:rPr>
              <w:t>2</w:t>
            </w:r>
            <w:r>
              <w:rPr>
                <w:rFonts w:hint="eastAsia" w:asciiTheme="minorEastAsia" w:hAnsiTheme="minorEastAsia" w:eastAsiaTheme="minorEastAsia"/>
                <w:color w:val="auto"/>
                <w:highlight w:val="none"/>
              </w:rPr>
              <w:t>个</w:t>
            </w:r>
            <w:r>
              <w:rPr>
                <w:rFonts w:asciiTheme="minorEastAsia" w:hAnsiTheme="minorEastAsia" w:eastAsiaTheme="minorEastAsia"/>
                <w:color w:val="auto"/>
                <w:highlight w:val="none"/>
              </w:rPr>
              <w:t>LED</w:t>
            </w:r>
            <w:r>
              <w:rPr>
                <w:rFonts w:hint="eastAsia" w:asciiTheme="minorEastAsia" w:hAnsiTheme="minorEastAsia" w:eastAsiaTheme="minorEastAsia"/>
                <w:color w:val="auto"/>
                <w:highlight w:val="none"/>
              </w:rPr>
              <w:t>照明灯；工作照明灯带金属网格防护。</w:t>
            </w:r>
            <w:r>
              <w:rPr>
                <w:rFonts w:asciiTheme="minorEastAsia" w:hAnsiTheme="minorEastAsia" w:eastAsiaTheme="minorEastAsia"/>
                <w:color w:val="auto"/>
                <w:highlight w:val="none"/>
              </w:rPr>
              <w:t xml:space="preserve">                                                                 </w:t>
            </w:r>
          </w:p>
        </w:tc>
      </w:tr>
      <w:tr>
        <w:tblPrEx>
          <w:tblCellMar>
            <w:top w:w="0" w:type="dxa"/>
            <w:left w:w="108" w:type="dxa"/>
            <w:bottom w:w="0" w:type="dxa"/>
            <w:right w:w="108" w:type="dxa"/>
          </w:tblCellMar>
        </w:tblPrEx>
        <w:trPr>
          <w:trHeight w:val="300" w:hRule="atLeast"/>
          <w:jc w:val="center"/>
        </w:trPr>
        <w:tc>
          <w:tcPr>
            <w:tcW w:w="1540" w:type="dxa"/>
            <w:vMerge w:val="continue"/>
            <w:tcBorders>
              <w:top w:val="nil"/>
              <w:left w:val="single" w:color="auto" w:sz="8" w:space="0"/>
              <w:bottom w:val="single" w:color="auto" w:sz="4" w:space="0"/>
              <w:right w:val="single" w:color="auto" w:sz="4" w:space="0"/>
            </w:tcBorders>
            <w:vAlign w:val="center"/>
          </w:tcPr>
          <w:p>
            <w:pPr>
              <w:widowControl/>
              <w:spacing w:line="360" w:lineRule="auto"/>
              <w:jc w:val="left"/>
              <w:rPr>
                <w:rFonts w:cs="宋体" w:asciiTheme="minorEastAsia" w:hAnsiTheme="minorEastAsia" w:eastAsiaTheme="minorEastAsia"/>
                <w:color w:val="auto"/>
                <w:kern w:val="0"/>
                <w:highlight w:val="none"/>
              </w:rPr>
            </w:pPr>
          </w:p>
        </w:tc>
        <w:tc>
          <w:tcPr>
            <w:tcW w:w="7538" w:type="dxa"/>
            <w:gridSpan w:val="3"/>
            <w:tcBorders>
              <w:top w:val="single" w:color="auto" w:sz="4" w:space="0"/>
              <w:left w:val="nil"/>
              <w:bottom w:val="single" w:color="auto" w:sz="4" w:space="0"/>
              <w:right w:val="single" w:color="000000" w:sz="8" w:space="0"/>
            </w:tcBorders>
            <w:shd w:val="clear" w:color="auto" w:fill="auto"/>
            <w:vAlign w:val="center"/>
          </w:tcPr>
          <w:p>
            <w:pP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t>5</w:t>
            </w:r>
            <w:r>
              <w:rPr>
                <w:rFonts w:hint="eastAsia" w:asciiTheme="minorEastAsia" w:hAnsiTheme="minorEastAsia" w:eastAsiaTheme="minorEastAsia"/>
                <w:color w:val="auto"/>
                <w:highlight w:val="none"/>
              </w:rPr>
              <w:t>、车辆后方装有照明灯，所有控制开关设在驾驶室内，照明灯安装防护网。</w:t>
            </w:r>
          </w:p>
        </w:tc>
      </w:tr>
      <w:tr>
        <w:tblPrEx>
          <w:tblCellMar>
            <w:top w:w="0" w:type="dxa"/>
            <w:left w:w="108" w:type="dxa"/>
            <w:bottom w:w="0" w:type="dxa"/>
            <w:right w:w="108" w:type="dxa"/>
          </w:tblCellMar>
        </w:tblPrEx>
        <w:trPr>
          <w:trHeight w:val="255" w:hRule="atLeast"/>
          <w:jc w:val="center"/>
        </w:trPr>
        <w:tc>
          <w:tcPr>
            <w:tcW w:w="1540" w:type="dxa"/>
            <w:vMerge w:val="restart"/>
            <w:tcBorders>
              <w:top w:val="nil"/>
              <w:left w:val="single" w:color="auto" w:sz="8" w:space="0"/>
              <w:bottom w:val="single" w:color="auto" w:sz="4" w:space="0"/>
              <w:right w:val="single" w:color="auto" w:sz="4" w:space="0"/>
            </w:tcBorders>
            <w:shd w:val="clear" w:color="auto" w:fill="auto"/>
            <w:vAlign w:val="center"/>
          </w:tcPr>
          <w:p>
            <w:pPr>
              <w:widowControl/>
              <w:spacing w:line="360" w:lineRule="auto"/>
              <w:jc w:val="center"/>
              <w:rPr>
                <w:rFonts w:cs="宋体" w:asciiTheme="minorEastAsia" w:hAnsiTheme="minorEastAsia" w:eastAsiaTheme="minorEastAsia"/>
                <w:color w:val="auto"/>
                <w:kern w:val="0"/>
                <w:highlight w:val="none"/>
              </w:rPr>
            </w:pPr>
            <w:r>
              <w:rPr>
                <w:rFonts w:hint="eastAsia" w:cs="宋体" w:asciiTheme="minorEastAsia" w:hAnsiTheme="minorEastAsia" w:eastAsiaTheme="minorEastAsia"/>
                <w:color w:val="auto"/>
                <w:kern w:val="0"/>
                <w:highlight w:val="none"/>
              </w:rPr>
              <w:t>装载能力</w:t>
            </w:r>
          </w:p>
        </w:tc>
        <w:tc>
          <w:tcPr>
            <w:tcW w:w="7538" w:type="dxa"/>
            <w:gridSpan w:val="3"/>
            <w:tcBorders>
              <w:top w:val="single" w:color="auto" w:sz="4" w:space="0"/>
              <w:left w:val="nil"/>
              <w:bottom w:val="single" w:color="auto" w:sz="4" w:space="0"/>
              <w:right w:val="single" w:color="000000" w:sz="8" w:space="0"/>
            </w:tcBorders>
            <w:shd w:val="clear" w:color="auto" w:fill="auto"/>
            <w:vAlign w:val="center"/>
          </w:tcPr>
          <w:p>
            <w:pP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t>▲1</w:t>
            </w:r>
            <w:r>
              <w:rPr>
                <w:rFonts w:hint="eastAsia" w:asciiTheme="minorEastAsia" w:hAnsiTheme="minorEastAsia" w:eastAsiaTheme="minorEastAsia"/>
                <w:color w:val="auto"/>
                <w:highlight w:val="none"/>
              </w:rPr>
              <w:t>、额定斗容</w:t>
            </w:r>
            <w:r>
              <w:rPr>
                <w:rFonts w:asciiTheme="minorEastAsia" w:hAnsiTheme="minorEastAsia" w:eastAsiaTheme="minorEastAsia"/>
                <w:color w:val="auto"/>
                <w:highlight w:val="none"/>
              </w:rPr>
              <w:t>≥2.8m³</w:t>
            </w:r>
            <w:r>
              <w:rPr>
                <w:rFonts w:hint="eastAsia" w:asciiTheme="minorEastAsia" w:hAnsiTheme="minorEastAsia" w:eastAsiaTheme="minorEastAsia"/>
                <w:color w:val="auto"/>
                <w:highlight w:val="none"/>
              </w:rPr>
              <w:t>。</w:t>
            </w:r>
          </w:p>
        </w:tc>
      </w:tr>
      <w:tr>
        <w:tblPrEx>
          <w:tblCellMar>
            <w:top w:w="0" w:type="dxa"/>
            <w:left w:w="108" w:type="dxa"/>
            <w:bottom w:w="0" w:type="dxa"/>
            <w:right w:w="108" w:type="dxa"/>
          </w:tblCellMar>
        </w:tblPrEx>
        <w:trPr>
          <w:trHeight w:val="255" w:hRule="atLeast"/>
          <w:jc w:val="center"/>
        </w:trPr>
        <w:tc>
          <w:tcPr>
            <w:tcW w:w="1540" w:type="dxa"/>
            <w:vMerge w:val="continue"/>
            <w:tcBorders>
              <w:top w:val="nil"/>
              <w:left w:val="single" w:color="auto" w:sz="8" w:space="0"/>
              <w:bottom w:val="single" w:color="auto" w:sz="4" w:space="0"/>
              <w:right w:val="single" w:color="auto" w:sz="4" w:space="0"/>
            </w:tcBorders>
            <w:vAlign w:val="center"/>
          </w:tcPr>
          <w:p>
            <w:pPr>
              <w:widowControl/>
              <w:spacing w:line="360" w:lineRule="auto"/>
              <w:jc w:val="left"/>
              <w:rPr>
                <w:rFonts w:cs="宋体" w:asciiTheme="minorEastAsia" w:hAnsiTheme="minorEastAsia" w:eastAsiaTheme="minorEastAsia"/>
                <w:color w:val="auto"/>
                <w:kern w:val="0"/>
                <w:highlight w:val="none"/>
              </w:rPr>
            </w:pPr>
          </w:p>
        </w:tc>
        <w:tc>
          <w:tcPr>
            <w:tcW w:w="7538" w:type="dxa"/>
            <w:gridSpan w:val="3"/>
            <w:tcBorders>
              <w:top w:val="single" w:color="auto" w:sz="4" w:space="0"/>
              <w:left w:val="nil"/>
              <w:bottom w:val="single" w:color="auto" w:sz="4" w:space="0"/>
              <w:right w:val="single" w:color="000000" w:sz="8" w:space="0"/>
            </w:tcBorders>
            <w:shd w:val="clear" w:color="auto" w:fill="auto"/>
            <w:vAlign w:val="center"/>
          </w:tcPr>
          <w:p>
            <w:pP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t>2</w:t>
            </w:r>
            <w:r>
              <w:rPr>
                <w:rFonts w:hint="eastAsia" w:asciiTheme="minorEastAsia" w:hAnsiTheme="minorEastAsia" w:eastAsiaTheme="minorEastAsia"/>
                <w:color w:val="auto"/>
                <w:highlight w:val="none"/>
              </w:rPr>
              <w:t>、卸载高度</w:t>
            </w:r>
            <w:r>
              <w:rPr>
                <w:rFonts w:asciiTheme="minorEastAsia" w:hAnsiTheme="minorEastAsia" w:eastAsiaTheme="minorEastAsia"/>
                <w:color w:val="auto"/>
                <w:highlight w:val="none"/>
              </w:rPr>
              <w:t>≥3460mm</w:t>
            </w:r>
            <w:r>
              <w:rPr>
                <w:rFonts w:hint="eastAsia" w:asciiTheme="minorEastAsia" w:hAnsiTheme="minorEastAsia" w:eastAsiaTheme="minorEastAsia"/>
                <w:color w:val="auto"/>
                <w:highlight w:val="none"/>
              </w:rPr>
              <w:t>。</w:t>
            </w:r>
          </w:p>
        </w:tc>
      </w:tr>
      <w:tr>
        <w:tblPrEx>
          <w:tblCellMar>
            <w:top w:w="0" w:type="dxa"/>
            <w:left w:w="108" w:type="dxa"/>
            <w:bottom w:w="0" w:type="dxa"/>
            <w:right w:w="108" w:type="dxa"/>
          </w:tblCellMar>
        </w:tblPrEx>
        <w:trPr>
          <w:trHeight w:val="255" w:hRule="atLeast"/>
          <w:jc w:val="center"/>
        </w:trPr>
        <w:tc>
          <w:tcPr>
            <w:tcW w:w="1540" w:type="dxa"/>
            <w:vMerge w:val="continue"/>
            <w:tcBorders>
              <w:top w:val="nil"/>
              <w:left w:val="single" w:color="auto" w:sz="8" w:space="0"/>
              <w:bottom w:val="single" w:color="auto" w:sz="4" w:space="0"/>
              <w:right w:val="single" w:color="auto" w:sz="4" w:space="0"/>
            </w:tcBorders>
            <w:vAlign w:val="center"/>
          </w:tcPr>
          <w:p>
            <w:pPr>
              <w:widowControl/>
              <w:spacing w:line="360" w:lineRule="auto"/>
              <w:jc w:val="left"/>
              <w:rPr>
                <w:rFonts w:cs="宋体" w:asciiTheme="minorEastAsia" w:hAnsiTheme="minorEastAsia" w:eastAsiaTheme="minorEastAsia"/>
                <w:color w:val="auto"/>
                <w:kern w:val="0"/>
                <w:highlight w:val="none"/>
              </w:rPr>
            </w:pPr>
          </w:p>
        </w:tc>
        <w:tc>
          <w:tcPr>
            <w:tcW w:w="7538" w:type="dxa"/>
            <w:gridSpan w:val="3"/>
            <w:tcBorders>
              <w:top w:val="single" w:color="auto" w:sz="4" w:space="0"/>
              <w:left w:val="nil"/>
              <w:bottom w:val="single" w:color="auto" w:sz="4" w:space="0"/>
              <w:right w:val="single" w:color="000000" w:sz="8" w:space="0"/>
            </w:tcBorders>
            <w:shd w:val="clear" w:color="auto" w:fill="auto"/>
            <w:vAlign w:val="center"/>
          </w:tcPr>
          <w:p>
            <w:pP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t>3</w:t>
            </w:r>
            <w:r>
              <w:rPr>
                <w:rFonts w:hint="eastAsia" w:asciiTheme="minorEastAsia" w:hAnsiTheme="minorEastAsia" w:eastAsiaTheme="minorEastAsia"/>
                <w:color w:val="auto"/>
                <w:highlight w:val="none"/>
              </w:rPr>
              <w:t>、最大挖掘高度</w:t>
            </w:r>
            <w:r>
              <w:rPr>
                <w:rFonts w:asciiTheme="minorEastAsia" w:hAnsiTheme="minorEastAsia" w:eastAsiaTheme="minorEastAsia"/>
                <w:color w:val="auto"/>
                <w:highlight w:val="none"/>
              </w:rPr>
              <w:t xml:space="preserve">≥5500mm </w:t>
            </w:r>
            <w:r>
              <w:rPr>
                <w:rFonts w:hint="eastAsia" w:asciiTheme="minorEastAsia" w:hAnsiTheme="minorEastAsia" w:eastAsiaTheme="minorEastAsia"/>
                <w:color w:val="auto"/>
                <w:highlight w:val="none"/>
              </w:rPr>
              <w:t>。</w:t>
            </w:r>
            <w:r>
              <w:rPr>
                <w:rFonts w:asciiTheme="minorEastAsia" w:hAnsiTheme="minorEastAsia" w:eastAsiaTheme="minorEastAsia"/>
                <w:color w:val="auto"/>
                <w:highlight w:val="none"/>
              </w:rPr>
              <w:t xml:space="preserve"> </w:t>
            </w:r>
          </w:p>
        </w:tc>
      </w:tr>
      <w:tr>
        <w:tblPrEx>
          <w:tblCellMar>
            <w:top w:w="0" w:type="dxa"/>
            <w:left w:w="108" w:type="dxa"/>
            <w:bottom w:w="0" w:type="dxa"/>
            <w:right w:w="108" w:type="dxa"/>
          </w:tblCellMar>
        </w:tblPrEx>
        <w:trPr>
          <w:trHeight w:val="255" w:hRule="atLeast"/>
          <w:jc w:val="center"/>
        </w:trPr>
        <w:tc>
          <w:tcPr>
            <w:tcW w:w="1540" w:type="dxa"/>
            <w:vMerge w:val="continue"/>
            <w:tcBorders>
              <w:top w:val="nil"/>
              <w:left w:val="single" w:color="auto" w:sz="8" w:space="0"/>
              <w:bottom w:val="single" w:color="auto" w:sz="4" w:space="0"/>
              <w:right w:val="single" w:color="auto" w:sz="4" w:space="0"/>
            </w:tcBorders>
            <w:vAlign w:val="center"/>
          </w:tcPr>
          <w:p>
            <w:pPr>
              <w:widowControl/>
              <w:spacing w:line="360" w:lineRule="auto"/>
              <w:jc w:val="left"/>
              <w:rPr>
                <w:rFonts w:cs="宋体" w:asciiTheme="minorEastAsia" w:hAnsiTheme="minorEastAsia" w:eastAsiaTheme="minorEastAsia"/>
                <w:color w:val="auto"/>
                <w:kern w:val="0"/>
                <w:highlight w:val="none"/>
              </w:rPr>
            </w:pPr>
          </w:p>
        </w:tc>
        <w:tc>
          <w:tcPr>
            <w:tcW w:w="7538" w:type="dxa"/>
            <w:gridSpan w:val="3"/>
            <w:tcBorders>
              <w:top w:val="single" w:color="auto" w:sz="4" w:space="0"/>
              <w:left w:val="nil"/>
              <w:bottom w:val="single" w:color="auto" w:sz="4" w:space="0"/>
              <w:right w:val="single" w:color="000000" w:sz="8" w:space="0"/>
            </w:tcBorders>
            <w:shd w:val="clear" w:color="auto" w:fill="auto"/>
            <w:vAlign w:val="center"/>
          </w:tcPr>
          <w:p>
            <w:pP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t>4</w:t>
            </w:r>
            <w:r>
              <w:rPr>
                <w:rFonts w:hint="eastAsia" w:asciiTheme="minorEastAsia" w:hAnsiTheme="minorEastAsia" w:eastAsiaTheme="minorEastAsia"/>
                <w:color w:val="auto"/>
                <w:highlight w:val="none"/>
              </w:rPr>
              <w:t>、卸载距离</w:t>
            </w:r>
            <w:r>
              <w:rPr>
                <w:rFonts w:asciiTheme="minorEastAsia" w:hAnsiTheme="minorEastAsia" w:eastAsiaTheme="minorEastAsia"/>
                <w:color w:val="auto"/>
                <w:highlight w:val="none"/>
              </w:rPr>
              <w:t>≥1200mm</w:t>
            </w:r>
            <w:r>
              <w:rPr>
                <w:rFonts w:hint="eastAsia" w:asciiTheme="minorEastAsia" w:hAnsiTheme="minorEastAsia" w:eastAsiaTheme="minorEastAsia"/>
                <w:color w:val="auto"/>
                <w:highlight w:val="none"/>
              </w:rPr>
              <w:t>。</w:t>
            </w:r>
          </w:p>
        </w:tc>
      </w:tr>
      <w:tr>
        <w:tblPrEx>
          <w:tblCellMar>
            <w:top w:w="0" w:type="dxa"/>
            <w:left w:w="108" w:type="dxa"/>
            <w:bottom w:w="0" w:type="dxa"/>
            <w:right w:w="108" w:type="dxa"/>
          </w:tblCellMar>
        </w:tblPrEx>
        <w:trPr>
          <w:trHeight w:val="255" w:hRule="atLeast"/>
          <w:jc w:val="center"/>
        </w:trPr>
        <w:tc>
          <w:tcPr>
            <w:tcW w:w="1540" w:type="dxa"/>
            <w:vMerge w:val="continue"/>
            <w:tcBorders>
              <w:top w:val="nil"/>
              <w:left w:val="single" w:color="auto" w:sz="8" w:space="0"/>
              <w:bottom w:val="single" w:color="auto" w:sz="4" w:space="0"/>
              <w:right w:val="single" w:color="auto" w:sz="4" w:space="0"/>
            </w:tcBorders>
            <w:vAlign w:val="center"/>
          </w:tcPr>
          <w:p>
            <w:pPr>
              <w:widowControl/>
              <w:spacing w:line="360" w:lineRule="auto"/>
              <w:jc w:val="left"/>
              <w:rPr>
                <w:rFonts w:cs="宋体" w:asciiTheme="minorEastAsia" w:hAnsiTheme="minorEastAsia" w:eastAsiaTheme="minorEastAsia"/>
                <w:color w:val="auto"/>
                <w:kern w:val="0"/>
                <w:highlight w:val="none"/>
              </w:rPr>
            </w:pPr>
          </w:p>
        </w:tc>
        <w:tc>
          <w:tcPr>
            <w:tcW w:w="7538" w:type="dxa"/>
            <w:gridSpan w:val="3"/>
            <w:tcBorders>
              <w:top w:val="single" w:color="auto" w:sz="4" w:space="0"/>
              <w:left w:val="nil"/>
              <w:bottom w:val="single" w:color="auto" w:sz="4" w:space="0"/>
              <w:right w:val="single" w:color="000000" w:sz="8" w:space="0"/>
            </w:tcBorders>
            <w:shd w:val="clear" w:color="auto" w:fill="auto"/>
            <w:vAlign w:val="center"/>
          </w:tcPr>
          <w:p>
            <w:pP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t>5</w:t>
            </w:r>
            <w:r>
              <w:rPr>
                <w:rFonts w:hint="eastAsia" w:asciiTheme="minorEastAsia" w:hAnsiTheme="minorEastAsia" w:eastAsiaTheme="minorEastAsia"/>
                <w:color w:val="auto"/>
                <w:highlight w:val="none"/>
              </w:rPr>
              <w:t>、最大牵引力</w:t>
            </w:r>
            <w:r>
              <w:rPr>
                <w:rFonts w:asciiTheme="minorEastAsia" w:hAnsiTheme="minorEastAsia" w:eastAsiaTheme="minorEastAsia"/>
                <w:color w:val="auto"/>
                <w:highlight w:val="none"/>
              </w:rPr>
              <w:t xml:space="preserve">≥165kN </w:t>
            </w:r>
            <w:r>
              <w:rPr>
                <w:rFonts w:hint="eastAsia" w:asciiTheme="minorEastAsia" w:hAnsiTheme="minorEastAsia" w:eastAsiaTheme="minorEastAsia"/>
                <w:color w:val="auto"/>
                <w:highlight w:val="none"/>
              </w:rPr>
              <w:t>。</w:t>
            </w:r>
            <w:r>
              <w:rPr>
                <w:rFonts w:asciiTheme="minorEastAsia" w:hAnsiTheme="minorEastAsia" w:eastAsiaTheme="minorEastAsia"/>
                <w:color w:val="auto"/>
                <w:highlight w:val="none"/>
              </w:rPr>
              <w:t xml:space="preserve">  </w:t>
            </w:r>
          </w:p>
        </w:tc>
      </w:tr>
      <w:tr>
        <w:tblPrEx>
          <w:tblCellMar>
            <w:top w:w="0" w:type="dxa"/>
            <w:left w:w="108" w:type="dxa"/>
            <w:bottom w:w="0" w:type="dxa"/>
            <w:right w:w="108" w:type="dxa"/>
          </w:tblCellMar>
        </w:tblPrEx>
        <w:trPr>
          <w:trHeight w:val="255" w:hRule="atLeast"/>
          <w:jc w:val="center"/>
        </w:trPr>
        <w:tc>
          <w:tcPr>
            <w:tcW w:w="1540" w:type="dxa"/>
            <w:vMerge w:val="continue"/>
            <w:tcBorders>
              <w:top w:val="nil"/>
              <w:left w:val="single" w:color="auto" w:sz="8" w:space="0"/>
              <w:bottom w:val="single" w:color="auto" w:sz="4" w:space="0"/>
              <w:right w:val="single" w:color="auto" w:sz="4" w:space="0"/>
            </w:tcBorders>
            <w:vAlign w:val="center"/>
          </w:tcPr>
          <w:p>
            <w:pPr>
              <w:widowControl/>
              <w:spacing w:line="360" w:lineRule="auto"/>
              <w:jc w:val="left"/>
              <w:rPr>
                <w:rFonts w:cs="宋体" w:asciiTheme="minorEastAsia" w:hAnsiTheme="minorEastAsia" w:eastAsiaTheme="minorEastAsia"/>
                <w:color w:val="auto"/>
                <w:kern w:val="0"/>
                <w:highlight w:val="none"/>
              </w:rPr>
            </w:pPr>
          </w:p>
        </w:tc>
        <w:tc>
          <w:tcPr>
            <w:tcW w:w="7538" w:type="dxa"/>
            <w:gridSpan w:val="3"/>
            <w:tcBorders>
              <w:top w:val="single" w:color="auto" w:sz="4" w:space="0"/>
              <w:left w:val="nil"/>
              <w:bottom w:val="single" w:color="auto" w:sz="4" w:space="0"/>
              <w:right w:val="single" w:color="000000" w:sz="8" w:space="0"/>
            </w:tcBorders>
            <w:shd w:val="clear" w:color="auto" w:fill="auto"/>
            <w:vAlign w:val="center"/>
          </w:tcPr>
          <w:p>
            <w:pP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t>6</w:t>
            </w:r>
            <w:r>
              <w:rPr>
                <w:rFonts w:hint="eastAsia" w:asciiTheme="minorEastAsia" w:hAnsiTheme="minorEastAsia" w:eastAsiaTheme="minorEastAsia"/>
                <w:color w:val="auto"/>
                <w:highlight w:val="none"/>
              </w:rPr>
              <w:t>、最大掘起力</w:t>
            </w:r>
            <w:r>
              <w:rPr>
                <w:rFonts w:asciiTheme="minorEastAsia" w:hAnsiTheme="minorEastAsia" w:eastAsiaTheme="minorEastAsia"/>
                <w:color w:val="auto"/>
                <w:highlight w:val="none"/>
              </w:rPr>
              <w:t>≥165kN</w:t>
            </w:r>
            <w:r>
              <w:rPr>
                <w:rFonts w:hint="eastAsia" w:asciiTheme="minorEastAsia" w:hAnsiTheme="minorEastAsia" w:eastAsiaTheme="minorEastAsia"/>
                <w:color w:val="auto"/>
                <w:highlight w:val="none"/>
              </w:rPr>
              <w:t>。</w:t>
            </w:r>
            <w:r>
              <w:rPr>
                <w:rFonts w:asciiTheme="minorEastAsia" w:hAnsiTheme="minorEastAsia" w:eastAsiaTheme="minorEastAsia"/>
                <w:color w:val="auto"/>
                <w:highlight w:val="none"/>
              </w:rPr>
              <w:t xml:space="preserve">                                                                                                                                                                                                                                                                                                                                                </w:t>
            </w:r>
          </w:p>
        </w:tc>
      </w:tr>
      <w:tr>
        <w:tblPrEx>
          <w:tblCellMar>
            <w:top w:w="0" w:type="dxa"/>
            <w:left w:w="108" w:type="dxa"/>
            <w:bottom w:w="0" w:type="dxa"/>
            <w:right w:w="108" w:type="dxa"/>
          </w:tblCellMar>
        </w:tblPrEx>
        <w:trPr>
          <w:trHeight w:val="255" w:hRule="atLeast"/>
          <w:jc w:val="center"/>
        </w:trPr>
        <w:tc>
          <w:tcPr>
            <w:tcW w:w="1540" w:type="dxa"/>
            <w:vMerge w:val="restart"/>
            <w:tcBorders>
              <w:top w:val="nil"/>
              <w:left w:val="single" w:color="auto" w:sz="8" w:space="0"/>
              <w:bottom w:val="single" w:color="auto" w:sz="4" w:space="0"/>
              <w:right w:val="single" w:color="auto" w:sz="4" w:space="0"/>
            </w:tcBorders>
            <w:shd w:val="clear" w:color="auto" w:fill="auto"/>
            <w:vAlign w:val="center"/>
          </w:tcPr>
          <w:p>
            <w:pPr>
              <w:widowControl/>
              <w:spacing w:line="360" w:lineRule="auto"/>
              <w:jc w:val="center"/>
              <w:rPr>
                <w:rFonts w:cs="宋体" w:asciiTheme="minorEastAsia" w:hAnsiTheme="minorEastAsia" w:eastAsiaTheme="minorEastAsia"/>
                <w:color w:val="auto"/>
                <w:kern w:val="0"/>
                <w:highlight w:val="none"/>
              </w:rPr>
            </w:pPr>
            <w:r>
              <w:rPr>
                <w:rFonts w:hint="eastAsia" w:cs="宋体" w:asciiTheme="minorEastAsia" w:hAnsiTheme="minorEastAsia" w:eastAsiaTheme="minorEastAsia"/>
                <w:color w:val="auto"/>
                <w:kern w:val="0"/>
                <w:highlight w:val="none"/>
              </w:rPr>
              <w:t>液压系统</w:t>
            </w:r>
          </w:p>
        </w:tc>
        <w:tc>
          <w:tcPr>
            <w:tcW w:w="7538" w:type="dxa"/>
            <w:gridSpan w:val="3"/>
            <w:tcBorders>
              <w:top w:val="single" w:color="auto" w:sz="4" w:space="0"/>
              <w:left w:val="nil"/>
              <w:bottom w:val="single" w:color="auto" w:sz="4" w:space="0"/>
              <w:right w:val="single" w:color="000000" w:sz="8" w:space="0"/>
            </w:tcBorders>
            <w:shd w:val="clear" w:color="auto" w:fill="auto"/>
            <w:vAlign w:val="center"/>
          </w:tcPr>
          <w:p>
            <w:pP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t>1</w:t>
            </w:r>
            <w:r>
              <w:rPr>
                <w:rFonts w:hint="eastAsia" w:asciiTheme="minorEastAsia" w:hAnsiTheme="minorEastAsia" w:eastAsiaTheme="minorEastAsia"/>
                <w:color w:val="auto"/>
                <w:highlight w:val="none"/>
              </w:rPr>
              <w:t>、采用全流过滤；</w:t>
            </w:r>
          </w:p>
        </w:tc>
      </w:tr>
      <w:tr>
        <w:tblPrEx>
          <w:tblCellMar>
            <w:top w:w="0" w:type="dxa"/>
            <w:left w:w="108" w:type="dxa"/>
            <w:bottom w:w="0" w:type="dxa"/>
            <w:right w:w="108" w:type="dxa"/>
          </w:tblCellMar>
        </w:tblPrEx>
        <w:trPr>
          <w:trHeight w:val="255" w:hRule="atLeast"/>
          <w:jc w:val="center"/>
        </w:trPr>
        <w:tc>
          <w:tcPr>
            <w:tcW w:w="1540" w:type="dxa"/>
            <w:vMerge w:val="continue"/>
            <w:tcBorders>
              <w:top w:val="nil"/>
              <w:left w:val="single" w:color="auto" w:sz="8" w:space="0"/>
              <w:bottom w:val="single" w:color="auto" w:sz="4" w:space="0"/>
              <w:right w:val="single" w:color="auto" w:sz="4" w:space="0"/>
            </w:tcBorders>
            <w:vAlign w:val="center"/>
          </w:tcPr>
          <w:p>
            <w:pPr>
              <w:widowControl/>
              <w:spacing w:line="360" w:lineRule="auto"/>
              <w:jc w:val="left"/>
              <w:rPr>
                <w:rFonts w:cs="宋体" w:asciiTheme="minorEastAsia" w:hAnsiTheme="minorEastAsia" w:eastAsiaTheme="minorEastAsia"/>
                <w:color w:val="auto"/>
                <w:kern w:val="0"/>
                <w:highlight w:val="none"/>
              </w:rPr>
            </w:pPr>
          </w:p>
        </w:tc>
        <w:tc>
          <w:tcPr>
            <w:tcW w:w="7538" w:type="dxa"/>
            <w:gridSpan w:val="3"/>
            <w:tcBorders>
              <w:top w:val="single" w:color="auto" w:sz="4" w:space="0"/>
              <w:left w:val="nil"/>
              <w:bottom w:val="single" w:color="auto" w:sz="4" w:space="0"/>
              <w:right w:val="single" w:color="000000" w:sz="8" w:space="0"/>
            </w:tcBorders>
            <w:shd w:val="clear" w:color="auto" w:fill="auto"/>
            <w:vAlign w:val="center"/>
          </w:tcPr>
          <w:p>
            <w:pP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t>2</w:t>
            </w:r>
            <w:r>
              <w:rPr>
                <w:rFonts w:hint="eastAsia" w:asciiTheme="minorEastAsia" w:hAnsiTheme="minorEastAsia" w:eastAsiaTheme="minorEastAsia"/>
                <w:color w:val="auto"/>
                <w:highlight w:val="none"/>
              </w:rPr>
              <w:t>、配备电控斗放平及动臂举升限位装置；</w:t>
            </w:r>
          </w:p>
        </w:tc>
      </w:tr>
      <w:tr>
        <w:tblPrEx>
          <w:tblCellMar>
            <w:top w:w="0" w:type="dxa"/>
            <w:left w:w="108" w:type="dxa"/>
            <w:bottom w:w="0" w:type="dxa"/>
            <w:right w:w="108" w:type="dxa"/>
          </w:tblCellMar>
        </w:tblPrEx>
        <w:trPr>
          <w:trHeight w:val="255" w:hRule="atLeast"/>
          <w:jc w:val="center"/>
        </w:trPr>
        <w:tc>
          <w:tcPr>
            <w:tcW w:w="1540" w:type="dxa"/>
            <w:vMerge w:val="continue"/>
            <w:tcBorders>
              <w:top w:val="nil"/>
              <w:left w:val="single" w:color="auto" w:sz="8" w:space="0"/>
              <w:bottom w:val="single" w:color="auto" w:sz="4" w:space="0"/>
              <w:right w:val="single" w:color="auto" w:sz="4" w:space="0"/>
            </w:tcBorders>
            <w:vAlign w:val="center"/>
          </w:tcPr>
          <w:p>
            <w:pPr>
              <w:widowControl/>
              <w:spacing w:line="360" w:lineRule="auto"/>
              <w:jc w:val="left"/>
              <w:rPr>
                <w:rFonts w:cs="宋体" w:asciiTheme="minorEastAsia" w:hAnsiTheme="minorEastAsia" w:eastAsiaTheme="minorEastAsia"/>
                <w:color w:val="auto"/>
                <w:kern w:val="0"/>
                <w:highlight w:val="none"/>
              </w:rPr>
            </w:pPr>
          </w:p>
        </w:tc>
        <w:tc>
          <w:tcPr>
            <w:tcW w:w="7538" w:type="dxa"/>
            <w:gridSpan w:val="3"/>
            <w:tcBorders>
              <w:top w:val="single" w:color="auto" w:sz="4" w:space="0"/>
              <w:left w:val="nil"/>
              <w:bottom w:val="single" w:color="auto" w:sz="4" w:space="0"/>
              <w:right w:val="single" w:color="000000" w:sz="8" w:space="0"/>
            </w:tcBorders>
            <w:shd w:val="clear" w:color="auto" w:fill="auto"/>
            <w:vAlign w:val="center"/>
          </w:tcPr>
          <w:p>
            <w:pPr>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3</w:t>
            </w:r>
            <w:r>
              <w:rPr>
                <w:rFonts w:hint="eastAsia" w:asciiTheme="minorEastAsia" w:hAnsiTheme="minorEastAsia" w:eastAsiaTheme="minorEastAsia"/>
                <w:color w:val="auto"/>
                <w:highlight w:val="none"/>
              </w:rPr>
              <w:t>、动臂转斗配备先导控制；</w:t>
            </w:r>
          </w:p>
          <w:p>
            <w:pPr>
              <w:spacing w:line="360" w:lineRule="auto"/>
              <w:rPr>
                <w:rFonts w:hint="eastAsia" w:asciiTheme="minorEastAsia" w:hAnsiTheme="minorEastAsia" w:eastAsiaTheme="minorEastAsia"/>
                <w:color w:val="auto"/>
                <w:highlight w:val="none"/>
                <w:lang w:eastAsia="zh-CN"/>
              </w:rPr>
            </w:pPr>
            <w:r>
              <w:rPr>
                <w:rFonts w:asciiTheme="minorEastAsia" w:hAnsiTheme="minorEastAsia" w:eastAsiaTheme="minorEastAsia"/>
                <w:color w:val="auto"/>
                <w:highlight w:val="none"/>
              </w:rPr>
              <w:t>4</w:t>
            </w:r>
            <w:r>
              <w:rPr>
                <w:rFonts w:hint="eastAsia" w:asciiTheme="minorEastAsia" w:hAnsiTheme="minorEastAsia" w:eastAsiaTheme="minorEastAsia"/>
                <w:color w:val="auto"/>
                <w:highlight w:val="none"/>
              </w:rPr>
              <w:t>、配备扫雪功能和抓取功能</w:t>
            </w:r>
            <w:r>
              <w:rPr>
                <w:rFonts w:hint="eastAsia" w:asciiTheme="minorEastAsia" w:hAnsiTheme="minorEastAsia" w:eastAsiaTheme="minorEastAsia"/>
                <w:color w:val="auto"/>
                <w:highlight w:val="none"/>
                <w:lang w:eastAsia="zh-CN"/>
              </w:rPr>
              <w:t>；</w:t>
            </w:r>
          </w:p>
          <w:p>
            <w:pPr>
              <w:spacing w:line="360" w:lineRule="auto"/>
              <w:rPr>
                <w:rFonts w:hint="eastAsia" w:asciiTheme="minorEastAsia" w:hAnsiTheme="minorEastAsia" w:eastAsiaTheme="minorEastAsia"/>
                <w:color w:val="auto"/>
                <w:highlight w:val="none"/>
                <w:lang w:eastAsia="zh-CN"/>
              </w:rPr>
            </w:pPr>
            <w:r>
              <w:rPr>
                <w:rFonts w:asciiTheme="minorEastAsia" w:hAnsiTheme="minorEastAsia" w:eastAsiaTheme="minorEastAsia"/>
                <w:color w:val="auto"/>
                <w:highlight w:val="none"/>
              </w:rPr>
              <w:t>5</w:t>
            </w:r>
            <w:r>
              <w:rPr>
                <w:rFonts w:hint="eastAsia" w:asciiTheme="minorEastAsia" w:hAnsiTheme="minorEastAsia" w:eastAsiaTheme="minorEastAsia"/>
                <w:color w:val="auto"/>
                <w:highlight w:val="none"/>
              </w:rPr>
              <w:t>、配备相应的轮胎防滑链</w:t>
            </w:r>
            <w:r>
              <w:rPr>
                <w:rFonts w:hint="eastAsia" w:asciiTheme="minorEastAsia" w:hAnsiTheme="minorEastAsia" w:eastAsiaTheme="minorEastAsia"/>
                <w:color w:val="auto"/>
                <w:highlight w:val="none"/>
                <w:lang w:eastAsia="zh-CN"/>
              </w:rPr>
              <w:t>。</w:t>
            </w:r>
          </w:p>
        </w:tc>
      </w:tr>
      <w:tr>
        <w:tblPrEx>
          <w:tblCellMar>
            <w:top w:w="0" w:type="dxa"/>
            <w:left w:w="108" w:type="dxa"/>
            <w:bottom w:w="0" w:type="dxa"/>
            <w:right w:w="108" w:type="dxa"/>
          </w:tblCellMar>
        </w:tblPrEx>
        <w:trPr>
          <w:trHeight w:val="360" w:hRule="atLeast"/>
          <w:jc w:val="center"/>
        </w:trPr>
        <w:tc>
          <w:tcPr>
            <w:tcW w:w="1540" w:type="dxa"/>
            <w:tcBorders>
              <w:top w:val="nil"/>
              <w:left w:val="single" w:color="auto" w:sz="8" w:space="0"/>
              <w:bottom w:val="single" w:color="auto" w:sz="4" w:space="0"/>
              <w:right w:val="single" w:color="auto" w:sz="4" w:space="0"/>
            </w:tcBorders>
            <w:shd w:val="clear" w:color="auto" w:fill="auto"/>
            <w:noWrap/>
            <w:vAlign w:val="center"/>
          </w:tcPr>
          <w:p>
            <w:pPr>
              <w:widowControl/>
              <w:spacing w:line="360" w:lineRule="auto"/>
              <w:jc w:val="center"/>
              <w:rPr>
                <w:rFonts w:cs="宋体" w:asciiTheme="minorEastAsia" w:hAnsiTheme="minorEastAsia" w:eastAsiaTheme="minorEastAsia"/>
                <w:color w:val="auto"/>
                <w:kern w:val="0"/>
                <w:highlight w:val="none"/>
              </w:rPr>
            </w:pPr>
            <w:r>
              <w:rPr>
                <w:rFonts w:hint="eastAsia" w:cs="宋体" w:asciiTheme="minorEastAsia" w:hAnsiTheme="minorEastAsia" w:eastAsiaTheme="minorEastAsia"/>
                <w:color w:val="auto"/>
                <w:kern w:val="0"/>
                <w:highlight w:val="none"/>
              </w:rPr>
              <w:t>油箱</w:t>
            </w:r>
          </w:p>
        </w:tc>
        <w:tc>
          <w:tcPr>
            <w:tcW w:w="7538" w:type="dxa"/>
            <w:gridSpan w:val="3"/>
            <w:tcBorders>
              <w:top w:val="single" w:color="auto" w:sz="4" w:space="0"/>
              <w:left w:val="nil"/>
              <w:bottom w:val="single" w:color="auto" w:sz="4" w:space="0"/>
              <w:right w:val="single" w:color="000000" w:sz="8" w:space="0"/>
            </w:tcBorders>
            <w:shd w:val="clear" w:color="auto" w:fill="auto"/>
            <w:vAlign w:val="center"/>
          </w:tcPr>
          <w:p>
            <w:pPr>
              <w:spacing w:line="360" w:lineRule="auto"/>
              <w:rPr>
                <w:rFonts w:cs="宋体" w:asciiTheme="minorEastAsia" w:hAnsiTheme="minorEastAsia" w:eastAsiaTheme="minorEastAsia"/>
                <w:color w:val="auto"/>
                <w:highlight w:val="none"/>
              </w:rPr>
            </w:pPr>
            <w:r>
              <w:rPr>
                <w:rFonts w:hint="eastAsia" w:asciiTheme="minorEastAsia" w:hAnsiTheme="minorEastAsia" w:eastAsiaTheme="minorEastAsia"/>
                <w:color w:val="auto"/>
                <w:highlight w:val="none"/>
              </w:rPr>
              <w:t>配有针对严寒地区的燃油油箱及管路加热保温系统，容量：</w:t>
            </w:r>
            <w:r>
              <w:rPr>
                <w:rFonts w:asciiTheme="minorEastAsia" w:hAnsiTheme="minorEastAsia" w:eastAsiaTheme="minorEastAsia"/>
                <w:color w:val="auto"/>
                <w:highlight w:val="none"/>
              </w:rPr>
              <w:t>≥</w:t>
            </w:r>
            <w:r>
              <w:rPr>
                <w:rFonts w:hint="eastAsia" w:asciiTheme="minorEastAsia" w:hAnsiTheme="minorEastAsia" w:eastAsiaTheme="minorEastAsia"/>
                <w:color w:val="auto"/>
                <w:highlight w:val="none"/>
              </w:rPr>
              <w:t>30</w:t>
            </w:r>
            <w:r>
              <w:rPr>
                <w:rFonts w:asciiTheme="minorEastAsia" w:hAnsiTheme="minorEastAsia" w:eastAsiaTheme="minorEastAsia"/>
                <w:color w:val="auto"/>
                <w:highlight w:val="none"/>
              </w:rPr>
              <w:t>0L</w:t>
            </w:r>
            <w:r>
              <w:rPr>
                <w:rFonts w:hint="eastAsia" w:asciiTheme="minorEastAsia" w:hAnsiTheme="minorEastAsia" w:eastAsiaTheme="minorEastAsia"/>
                <w:color w:val="auto"/>
                <w:highlight w:val="none"/>
              </w:rPr>
              <w:t>。</w:t>
            </w:r>
          </w:p>
        </w:tc>
      </w:tr>
      <w:tr>
        <w:tblPrEx>
          <w:tblCellMar>
            <w:top w:w="0" w:type="dxa"/>
            <w:left w:w="108" w:type="dxa"/>
            <w:bottom w:w="0" w:type="dxa"/>
            <w:right w:w="108" w:type="dxa"/>
          </w:tblCellMar>
        </w:tblPrEx>
        <w:trPr>
          <w:trHeight w:val="822" w:hRule="atLeast"/>
          <w:jc w:val="center"/>
        </w:trPr>
        <w:tc>
          <w:tcPr>
            <w:tcW w:w="1540" w:type="dxa"/>
            <w:tcBorders>
              <w:top w:val="nil"/>
              <w:left w:val="single" w:color="auto" w:sz="8" w:space="0"/>
              <w:bottom w:val="single" w:color="auto" w:sz="4" w:space="0"/>
              <w:right w:val="single" w:color="auto" w:sz="4" w:space="0"/>
            </w:tcBorders>
            <w:shd w:val="clear" w:color="auto" w:fill="auto"/>
            <w:noWrap/>
            <w:vAlign w:val="center"/>
          </w:tcPr>
          <w:p>
            <w:pPr>
              <w:widowControl/>
              <w:spacing w:line="360" w:lineRule="auto"/>
              <w:jc w:val="center"/>
              <w:rPr>
                <w:rFonts w:cs="宋体" w:asciiTheme="minorEastAsia" w:hAnsiTheme="minorEastAsia" w:eastAsiaTheme="minorEastAsia"/>
                <w:color w:val="auto"/>
                <w:kern w:val="0"/>
                <w:highlight w:val="none"/>
              </w:rPr>
            </w:pPr>
            <w:r>
              <w:rPr>
                <w:rFonts w:hint="eastAsia" w:cs="宋体" w:asciiTheme="minorEastAsia" w:hAnsiTheme="minorEastAsia" w:eastAsiaTheme="minorEastAsia"/>
                <w:color w:val="auto"/>
                <w:kern w:val="0"/>
                <w:highlight w:val="none"/>
              </w:rPr>
              <w:t>随车资料</w:t>
            </w:r>
          </w:p>
        </w:tc>
        <w:tc>
          <w:tcPr>
            <w:tcW w:w="7538" w:type="dxa"/>
            <w:gridSpan w:val="3"/>
            <w:tcBorders>
              <w:top w:val="single" w:color="auto" w:sz="4" w:space="0"/>
              <w:left w:val="nil"/>
              <w:bottom w:val="single" w:color="auto" w:sz="4" w:space="0"/>
              <w:right w:val="single" w:color="000000" w:sz="8" w:space="0"/>
            </w:tcBorders>
            <w:shd w:val="clear" w:color="auto" w:fill="auto"/>
            <w:vAlign w:val="center"/>
          </w:tcPr>
          <w:p>
            <w:pPr>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国家工信部认证证书、整车使用说明书、推土机使用说明书及电子版光盘、维修保养手册、整车合格证、底盘随车工具和随车器材及易损件清单；操作培训视频。</w:t>
            </w:r>
          </w:p>
        </w:tc>
      </w:tr>
      <w:tr>
        <w:tblPrEx>
          <w:tblCellMar>
            <w:top w:w="0" w:type="dxa"/>
            <w:left w:w="108" w:type="dxa"/>
            <w:bottom w:w="0" w:type="dxa"/>
            <w:right w:w="108" w:type="dxa"/>
          </w:tblCellMar>
        </w:tblPrEx>
        <w:trPr>
          <w:trHeight w:val="360" w:hRule="atLeast"/>
          <w:jc w:val="center"/>
        </w:trPr>
        <w:tc>
          <w:tcPr>
            <w:tcW w:w="1540" w:type="dxa"/>
            <w:vMerge w:val="restart"/>
            <w:tcBorders>
              <w:top w:val="nil"/>
              <w:left w:val="single" w:color="auto" w:sz="8" w:space="0"/>
              <w:bottom w:val="single" w:color="000000" w:sz="8" w:space="0"/>
              <w:right w:val="single" w:color="auto" w:sz="4" w:space="0"/>
            </w:tcBorders>
            <w:shd w:val="clear" w:color="auto" w:fill="auto"/>
            <w:noWrap/>
            <w:vAlign w:val="center"/>
          </w:tcPr>
          <w:p>
            <w:pPr>
              <w:widowControl/>
              <w:spacing w:line="360" w:lineRule="auto"/>
              <w:jc w:val="center"/>
              <w:rPr>
                <w:rFonts w:cs="宋体" w:asciiTheme="minorEastAsia" w:hAnsiTheme="minorEastAsia" w:eastAsiaTheme="minorEastAsia"/>
                <w:color w:val="auto"/>
                <w:kern w:val="0"/>
                <w:highlight w:val="none"/>
              </w:rPr>
            </w:pPr>
            <w:r>
              <w:rPr>
                <w:rFonts w:hint="eastAsia" w:cs="宋体" w:asciiTheme="minorEastAsia" w:hAnsiTheme="minorEastAsia" w:eastAsiaTheme="minorEastAsia"/>
                <w:color w:val="auto"/>
                <w:kern w:val="0"/>
                <w:highlight w:val="none"/>
              </w:rPr>
              <w:t>总体要求</w:t>
            </w:r>
          </w:p>
        </w:tc>
        <w:tc>
          <w:tcPr>
            <w:tcW w:w="7538" w:type="dxa"/>
            <w:gridSpan w:val="3"/>
            <w:tcBorders>
              <w:top w:val="single" w:color="auto" w:sz="4" w:space="0"/>
              <w:left w:val="nil"/>
              <w:bottom w:val="single" w:color="auto" w:sz="4" w:space="0"/>
              <w:right w:val="single" w:color="000000" w:sz="8" w:space="0"/>
            </w:tcBorders>
            <w:shd w:val="clear" w:color="auto" w:fill="auto"/>
            <w:vAlign w:val="center"/>
          </w:tcPr>
          <w:p>
            <w:pPr>
              <w:widowControl/>
              <w:spacing w:line="360" w:lineRule="auto"/>
              <w:jc w:val="left"/>
              <w:rPr>
                <w:rFonts w:asciiTheme="minorEastAsia" w:hAnsiTheme="minorEastAsia" w:eastAsiaTheme="minorEastAsia"/>
                <w:color w:val="auto"/>
                <w:kern w:val="0"/>
                <w:highlight w:val="none"/>
              </w:rPr>
            </w:pPr>
            <w:r>
              <w:rPr>
                <w:rFonts w:asciiTheme="minorEastAsia" w:hAnsiTheme="minorEastAsia" w:eastAsiaTheme="minorEastAsia"/>
                <w:color w:val="auto"/>
                <w:highlight w:val="none"/>
              </w:rPr>
              <w:t>1</w:t>
            </w:r>
            <w:r>
              <w:rPr>
                <w:rFonts w:hint="eastAsia" w:asciiTheme="minorEastAsia" w:hAnsiTheme="minorEastAsia" w:eastAsiaTheme="minorEastAsia"/>
                <w:color w:val="auto"/>
                <w:highlight w:val="none"/>
              </w:rPr>
              <w:t>、所有操作开关、仪表均有符合规范的中文防水标识铭牌；</w:t>
            </w:r>
          </w:p>
        </w:tc>
      </w:tr>
      <w:tr>
        <w:tblPrEx>
          <w:tblCellMar>
            <w:top w:w="0" w:type="dxa"/>
            <w:left w:w="108" w:type="dxa"/>
            <w:bottom w:w="0" w:type="dxa"/>
            <w:right w:w="108" w:type="dxa"/>
          </w:tblCellMar>
        </w:tblPrEx>
        <w:trPr>
          <w:trHeight w:val="255" w:hRule="atLeast"/>
          <w:jc w:val="center"/>
        </w:trPr>
        <w:tc>
          <w:tcPr>
            <w:tcW w:w="1540" w:type="dxa"/>
            <w:vMerge w:val="continue"/>
            <w:tcBorders>
              <w:top w:val="nil"/>
              <w:left w:val="single" w:color="auto" w:sz="8" w:space="0"/>
              <w:bottom w:val="single" w:color="000000" w:sz="8" w:space="0"/>
              <w:right w:val="single" w:color="auto" w:sz="4" w:space="0"/>
            </w:tcBorders>
            <w:vAlign w:val="center"/>
          </w:tcPr>
          <w:p>
            <w:pPr>
              <w:widowControl/>
              <w:spacing w:line="360" w:lineRule="auto"/>
              <w:jc w:val="left"/>
              <w:rPr>
                <w:rFonts w:cs="宋体" w:asciiTheme="minorEastAsia" w:hAnsiTheme="minorEastAsia" w:eastAsiaTheme="minorEastAsia"/>
                <w:color w:val="auto"/>
                <w:kern w:val="0"/>
                <w:highlight w:val="none"/>
              </w:rPr>
            </w:pPr>
          </w:p>
        </w:tc>
        <w:tc>
          <w:tcPr>
            <w:tcW w:w="7538" w:type="dxa"/>
            <w:gridSpan w:val="3"/>
            <w:tcBorders>
              <w:top w:val="single" w:color="auto" w:sz="4" w:space="0"/>
              <w:left w:val="nil"/>
              <w:bottom w:val="single" w:color="auto" w:sz="4" w:space="0"/>
              <w:right w:val="single" w:color="000000" w:sz="8" w:space="0"/>
            </w:tcBorders>
            <w:shd w:val="clear" w:color="auto" w:fill="auto"/>
            <w:vAlign w:val="center"/>
          </w:tcPr>
          <w:p>
            <w:pPr>
              <w:spacing w:line="360" w:lineRule="auto"/>
              <w:rPr>
                <w:rFonts w:cs="宋体" w:asciiTheme="minorEastAsia" w:hAnsiTheme="minorEastAsia" w:eastAsiaTheme="minorEastAsia"/>
                <w:color w:val="auto"/>
                <w:highlight w:val="none"/>
              </w:rPr>
            </w:pPr>
            <w:r>
              <w:rPr>
                <w:rFonts w:hint="eastAsia" w:asciiTheme="minorEastAsia" w:hAnsiTheme="minorEastAsia" w:eastAsiaTheme="minorEastAsia"/>
                <w:color w:val="auto"/>
                <w:highlight w:val="none"/>
              </w:rPr>
              <w:t>2、车用易损件按照</w:t>
            </w:r>
            <w:r>
              <w:rPr>
                <w:rFonts w:asciiTheme="minorEastAsia" w:hAnsiTheme="minorEastAsia" w:eastAsiaTheme="minorEastAsia"/>
                <w:color w:val="auto"/>
                <w:highlight w:val="none"/>
              </w:rPr>
              <w:t>1:2</w:t>
            </w:r>
            <w:r>
              <w:rPr>
                <w:rFonts w:hint="eastAsia" w:asciiTheme="minorEastAsia" w:hAnsiTheme="minorEastAsia" w:eastAsiaTheme="minorEastAsia"/>
                <w:color w:val="auto"/>
                <w:highlight w:val="none"/>
              </w:rPr>
              <w:t>随车配备，交车时燃油量处于满载状态；</w:t>
            </w:r>
          </w:p>
        </w:tc>
      </w:tr>
      <w:tr>
        <w:tblPrEx>
          <w:tblCellMar>
            <w:top w:w="0" w:type="dxa"/>
            <w:left w:w="108" w:type="dxa"/>
            <w:bottom w:w="0" w:type="dxa"/>
            <w:right w:w="108" w:type="dxa"/>
          </w:tblCellMar>
        </w:tblPrEx>
        <w:trPr>
          <w:trHeight w:val="1819" w:hRule="atLeast"/>
          <w:jc w:val="center"/>
        </w:trPr>
        <w:tc>
          <w:tcPr>
            <w:tcW w:w="1540" w:type="dxa"/>
            <w:vMerge w:val="continue"/>
            <w:tcBorders>
              <w:top w:val="nil"/>
              <w:left w:val="single" w:color="auto" w:sz="8" w:space="0"/>
              <w:bottom w:val="single" w:color="000000" w:sz="8" w:space="0"/>
              <w:right w:val="single" w:color="auto" w:sz="4" w:space="0"/>
            </w:tcBorders>
            <w:vAlign w:val="center"/>
          </w:tcPr>
          <w:p>
            <w:pPr>
              <w:widowControl/>
              <w:spacing w:line="360" w:lineRule="auto"/>
              <w:jc w:val="left"/>
              <w:rPr>
                <w:rFonts w:cs="宋体" w:asciiTheme="minorEastAsia" w:hAnsiTheme="minorEastAsia" w:eastAsiaTheme="minorEastAsia"/>
                <w:color w:val="auto"/>
                <w:kern w:val="0"/>
                <w:highlight w:val="none"/>
              </w:rPr>
            </w:pPr>
          </w:p>
        </w:tc>
        <w:tc>
          <w:tcPr>
            <w:tcW w:w="7538" w:type="dxa"/>
            <w:gridSpan w:val="3"/>
            <w:tcBorders>
              <w:top w:val="single" w:color="auto" w:sz="4" w:space="0"/>
              <w:left w:val="nil"/>
              <w:bottom w:val="single" w:color="auto" w:sz="8" w:space="0"/>
              <w:right w:val="single" w:color="000000" w:sz="8" w:space="0"/>
            </w:tcBorders>
            <w:shd w:val="clear" w:color="auto" w:fill="auto"/>
            <w:vAlign w:val="center"/>
          </w:tcPr>
          <w:p>
            <w:pPr>
              <w:spacing w:line="360" w:lineRule="auto"/>
              <w:rPr>
                <w:rFonts w:hint="eastAsia" w:asciiTheme="minorEastAsia" w:hAnsiTheme="minorEastAsia" w:eastAsiaTheme="minorEastAsia"/>
                <w:color w:val="auto"/>
                <w:highlight w:val="none"/>
                <w:lang w:eastAsia="zh-CN"/>
              </w:rPr>
            </w:pPr>
            <w:r>
              <w:rPr>
                <w:rFonts w:hint="eastAsia" w:asciiTheme="minorEastAsia" w:hAnsiTheme="minorEastAsia" w:eastAsiaTheme="minorEastAsia"/>
                <w:color w:val="auto"/>
                <w:highlight w:val="none"/>
              </w:rPr>
              <w:t>★</w:t>
            </w:r>
            <w:r>
              <w:rPr>
                <w:rFonts w:hint="eastAsia" w:asciiTheme="minorEastAsia" w:hAnsiTheme="minorEastAsia" w:eastAsiaTheme="minorEastAsia"/>
                <w:color w:val="auto"/>
                <w:highlight w:val="none"/>
                <w:lang w:val="en-US" w:eastAsia="zh-CN"/>
              </w:rPr>
              <w:t>3、</w:t>
            </w:r>
            <w:r>
              <w:rPr>
                <w:rFonts w:hint="eastAsia" w:ascii="宋体" w:hAnsi="宋体"/>
                <w:color w:val="auto"/>
                <w:highlight w:val="none"/>
              </w:rPr>
              <w:t>所投型号车辆，符合市场准入要求和国家相关标准(规范)要求，提供整车设计效果图，包括整车结构图、三维效果图等。</w:t>
            </w:r>
          </w:p>
          <w:p>
            <w:pPr>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lang w:val="en-US" w:eastAsia="zh-CN"/>
              </w:rPr>
              <w:t>4</w:t>
            </w:r>
            <w:r>
              <w:rPr>
                <w:rFonts w:hint="eastAsia" w:asciiTheme="minorEastAsia" w:hAnsiTheme="minorEastAsia" w:eastAsiaTheme="minorEastAsia"/>
                <w:color w:val="auto"/>
                <w:highlight w:val="none"/>
              </w:rPr>
              <w:t>、外观标识符合《消防救援局关于做好消防救援车辆外观制式涂装工作的通知》应急消〔2019〕76号文件要求。</w:t>
            </w:r>
          </w:p>
        </w:tc>
      </w:tr>
    </w:tbl>
    <w:p>
      <w:pPr>
        <w:pStyle w:val="23"/>
        <w:rPr>
          <w:rFonts w:hAnsi="宋体"/>
          <w:color w:val="auto"/>
          <w:highlight w:val="none"/>
        </w:rPr>
      </w:pPr>
    </w:p>
    <w:p>
      <w:pPr>
        <w:widowControl/>
        <w:jc w:val="left"/>
        <w:rPr>
          <w:rFonts w:ascii="宋体" w:hAnsi="宋体" w:cs="Courier New"/>
          <w:b/>
          <w:color w:val="auto"/>
          <w:sz w:val="24"/>
          <w:szCs w:val="24"/>
          <w:highlight w:val="none"/>
        </w:rPr>
      </w:pPr>
      <w:r>
        <w:rPr>
          <w:rFonts w:hAnsi="宋体"/>
          <w:color w:val="auto"/>
          <w:highlight w:val="none"/>
        </w:rPr>
        <w:br w:type="page"/>
      </w:r>
    </w:p>
    <w:p>
      <w:pPr>
        <w:pStyle w:val="23"/>
        <w:rPr>
          <w:rFonts w:hAnsi="宋体"/>
          <w:color w:val="auto"/>
          <w:highlight w:val="none"/>
        </w:rPr>
      </w:pPr>
      <w:r>
        <w:rPr>
          <w:rFonts w:hAnsi="宋体"/>
          <w:color w:val="auto"/>
          <w:highlight w:val="none"/>
        </w:rPr>
        <w:t>第二包</w:t>
      </w:r>
    </w:p>
    <w:p>
      <w:pPr>
        <w:pStyle w:val="23"/>
        <w:rPr>
          <w:rFonts w:hAnsi="宋体"/>
          <w:color w:val="auto"/>
          <w:highlight w:val="none"/>
        </w:rPr>
      </w:pPr>
    </w:p>
    <w:tbl>
      <w:tblPr>
        <w:tblStyle w:val="38"/>
        <w:tblW w:w="8820" w:type="dxa"/>
        <w:jc w:val="center"/>
        <w:tblLayout w:type="autofit"/>
        <w:tblCellMar>
          <w:top w:w="0" w:type="dxa"/>
          <w:left w:w="108" w:type="dxa"/>
          <w:bottom w:w="0" w:type="dxa"/>
          <w:right w:w="108" w:type="dxa"/>
        </w:tblCellMar>
      </w:tblPr>
      <w:tblGrid>
        <w:gridCol w:w="1640"/>
        <w:gridCol w:w="3160"/>
        <w:gridCol w:w="1940"/>
        <w:gridCol w:w="2080"/>
      </w:tblGrid>
      <w:tr>
        <w:tblPrEx>
          <w:tblCellMar>
            <w:top w:w="0" w:type="dxa"/>
            <w:left w:w="108" w:type="dxa"/>
            <w:bottom w:w="0" w:type="dxa"/>
            <w:right w:w="108" w:type="dxa"/>
          </w:tblCellMar>
        </w:tblPrEx>
        <w:trPr>
          <w:trHeight w:val="559" w:hRule="atLeast"/>
          <w:tblHeader/>
          <w:jc w:val="center"/>
        </w:trPr>
        <w:tc>
          <w:tcPr>
            <w:tcW w:w="4800" w:type="dxa"/>
            <w:gridSpan w:val="2"/>
            <w:tcBorders>
              <w:top w:val="single" w:color="auto" w:sz="8" w:space="0"/>
              <w:left w:val="single" w:color="auto" w:sz="8" w:space="0"/>
              <w:bottom w:val="single" w:color="auto" w:sz="4" w:space="0"/>
              <w:right w:val="single" w:color="auto" w:sz="4" w:space="0"/>
            </w:tcBorders>
            <w:shd w:val="clear" w:color="auto" w:fill="auto"/>
            <w:vAlign w:val="center"/>
          </w:tcPr>
          <w:p>
            <w:pPr>
              <w:widowControl/>
              <w:spacing w:line="280" w:lineRule="exact"/>
              <w:jc w:val="center"/>
              <w:rPr>
                <w:rFonts w:ascii="宋体" w:hAnsi="宋体" w:cs="宋体"/>
                <w:b/>
                <w:color w:val="auto"/>
                <w:kern w:val="0"/>
                <w:highlight w:val="none"/>
              </w:rPr>
            </w:pPr>
            <w:r>
              <w:rPr>
                <w:rFonts w:hint="eastAsia" w:ascii="宋体" w:hAnsi="宋体" w:cs="宋体"/>
                <w:b/>
                <w:color w:val="auto"/>
                <w:kern w:val="0"/>
                <w:highlight w:val="none"/>
              </w:rPr>
              <w:t>标的名称</w:t>
            </w:r>
          </w:p>
        </w:tc>
        <w:tc>
          <w:tcPr>
            <w:tcW w:w="1940" w:type="dxa"/>
            <w:tcBorders>
              <w:top w:val="single" w:color="auto" w:sz="8" w:space="0"/>
              <w:left w:val="nil"/>
              <w:bottom w:val="single" w:color="auto" w:sz="4" w:space="0"/>
              <w:right w:val="single" w:color="auto" w:sz="4" w:space="0"/>
            </w:tcBorders>
            <w:shd w:val="clear" w:color="auto" w:fill="auto"/>
            <w:vAlign w:val="center"/>
          </w:tcPr>
          <w:p>
            <w:pPr>
              <w:widowControl/>
              <w:spacing w:line="280" w:lineRule="exact"/>
              <w:jc w:val="center"/>
              <w:rPr>
                <w:rFonts w:ascii="宋体" w:hAnsi="宋体" w:cs="宋体"/>
                <w:b/>
                <w:color w:val="auto"/>
                <w:kern w:val="0"/>
                <w:highlight w:val="none"/>
              </w:rPr>
            </w:pPr>
            <w:r>
              <w:rPr>
                <w:rFonts w:hint="eastAsia" w:ascii="宋体" w:hAnsi="宋体" w:cs="宋体"/>
                <w:b/>
                <w:color w:val="auto"/>
                <w:kern w:val="0"/>
                <w:highlight w:val="none"/>
              </w:rPr>
              <w:t>预算单价（万元）</w:t>
            </w:r>
          </w:p>
        </w:tc>
        <w:tc>
          <w:tcPr>
            <w:tcW w:w="2080" w:type="dxa"/>
            <w:tcBorders>
              <w:top w:val="single" w:color="auto" w:sz="8" w:space="0"/>
              <w:left w:val="nil"/>
              <w:bottom w:val="single" w:color="auto" w:sz="4" w:space="0"/>
              <w:right w:val="single" w:color="auto" w:sz="8" w:space="0"/>
            </w:tcBorders>
            <w:shd w:val="clear" w:color="auto" w:fill="auto"/>
            <w:vAlign w:val="center"/>
          </w:tcPr>
          <w:p>
            <w:pPr>
              <w:widowControl/>
              <w:spacing w:line="280" w:lineRule="exact"/>
              <w:jc w:val="center"/>
              <w:rPr>
                <w:rFonts w:ascii="宋体" w:hAnsi="宋体" w:cs="宋体"/>
                <w:b/>
                <w:color w:val="auto"/>
                <w:kern w:val="0"/>
                <w:highlight w:val="none"/>
              </w:rPr>
            </w:pPr>
            <w:r>
              <w:rPr>
                <w:rFonts w:hint="eastAsia" w:ascii="宋体" w:hAnsi="宋体" w:cs="宋体"/>
                <w:b/>
                <w:color w:val="auto"/>
                <w:kern w:val="0"/>
                <w:highlight w:val="none"/>
              </w:rPr>
              <w:t>数量</w:t>
            </w:r>
          </w:p>
        </w:tc>
      </w:tr>
      <w:tr>
        <w:tblPrEx>
          <w:tblCellMar>
            <w:top w:w="0" w:type="dxa"/>
            <w:left w:w="108" w:type="dxa"/>
            <w:bottom w:w="0" w:type="dxa"/>
            <w:right w:w="108" w:type="dxa"/>
          </w:tblCellMar>
        </w:tblPrEx>
        <w:trPr>
          <w:trHeight w:val="480" w:hRule="atLeast"/>
          <w:tblHeader/>
          <w:jc w:val="center"/>
        </w:trPr>
        <w:tc>
          <w:tcPr>
            <w:tcW w:w="4800" w:type="dxa"/>
            <w:gridSpan w:val="2"/>
            <w:tcBorders>
              <w:top w:val="nil"/>
              <w:left w:val="single" w:color="auto" w:sz="8" w:space="0"/>
              <w:bottom w:val="single" w:color="auto" w:sz="4" w:space="0"/>
              <w:right w:val="single" w:color="auto" w:sz="4" w:space="0"/>
            </w:tcBorders>
            <w:shd w:val="clear" w:color="auto" w:fill="auto"/>
            <w:vAlign w:val="center"/>
          </w:tcPr>
          <w:p>
            <w:pPr>
              <w:widowControl/>
              <w:spacing w:line="280" w:lineRule="exact"/>
              <w:jc w:val="center"/>
              <w:rPr>
                <w:rFonts w:ascii="宋体" w:hAnsi="宋体" w:cs="宋体"/>
                <w:b/>
                <w:color w:val="auto"/>
                <w:kern w:val="0"/>
                <w:highlight w:val="none"/>
              </w:rPr>
            </w:pPr>
            <w:r>
              <w:rPr>
                <w:rFonts w:hint="eastAsia" w:ascii="宋体" w:hAnsi="宋体" w:cs="宋体"/>
                <w:b/>
                <w:color w:val="auto"/>
                <w:kern w:val="0"/>
                <w:highlight w:val="none"/>
              </w:rPr>
              <w:t>前突皮卡车</w:t>
            </w:r>
          </w:p>
        </w:tc>
        <w:tc>
          <w:tcPr>
            <w:tcW w:w="1940" w:type="dxa"/>
            <w:tcBorders>
              <w:top w:val="nil"/>
              <w:left w:val="nil"/>
              <w:bottom w:val="single" w:color="auto" w:sz="4" w:space="0"/>
              <w:right w:val="single" w:color="auto" w:sz="4" w:space="0"/>
            </w:tcBorders>
            <w:shd w:val="clear" w:color="auto" w:fill="auto"/>
            <w:vAlign w:val="center"/>
          </w:tcPr>
          <w:p>
            <w:pPr>
              <w:widowControl/>
              <w:spacing w:line="280" w:lineRule="exact"/>
              <w:jc w:val="center"/>
              <w:rPr>
                <w:rFonts w:ascii="宋体" w:hAnsi="宋体" w:cs="宋体"/>
                <w:b/>
                <w:color w:val="auto"/>
                <w:kern w:val="0"/>
                <w:highlight w:val="none"/>
              </w:rPr>
            </w:pPr>
            <w:r>
              <w:rPr>
                <w:rFonts w:hint="eastAsia" w:ascii="宋体" w:hAnsi="宋体" w:cs="宋体"/>
                <w:b/>
                <w:color w:val="auto"/>
                <w:kern w:val="0"/>
                <w:highlight w:val="none"/>
              </w:rPr>
              <w:t>30</w:t>
            </w:r>
          </w:p>
        </w:tc>
        <w:tc>
          <w:tcPr>
            <w:tcW w:w="2080" w:type="dxa"/>
            <w:tcBorders>
              <w:top w:val="nil"/>
              <w:left w:val="nil"/>
              <w:bottom w:val="single" w:color="auto" w:sz="4" w:space="0"/>
              <w:right w:val="single" w:color="auto" w:sz="8" w:space="0"/>
            </w:tcBorders>
            <w:shd w:val="clear" w:color="auto" w:fill="auto"/>
            <w:vAlign w:val="center"/>
          </w:tcPr>
          <w:p>
            <w:pPr>
              <w:widowControl/>
              <w:spacing w:line="280" w:lineRule="exact"/>
              <w:jc w:val="center"/>
              <w:rPr>
                <w:rFonts w:hint="default" w:ascii="宋体" w:hAnsi="宋体" w:eastAsia="宋体" w:cs="宋体"/>
                <w:b/>
                <w:color w:val="auto"/>
                <w:kern w:val="0"/>
                <w:highlight w:val="none"/>
                <w:lang w:val="en-US" w:eastAsia="zh-CN"/>
              </w:rPr>
            </w:pPr>
            <w:r>
              <w:rPr>
                <w:rFonts w:hint="eastAsia" w:ascii="宋体" w:hAnsi="宋体" w:cs="宋体"/>
                <w:b/>
                <w:color w:val="auto"/>
                <w:kern w:val="0"/>
                <w:highlight w:val="none"/>
                <w:lang w:val="en-US" w:eastAsia="zh-CN"/>
              </w:rPr>
              <w:t>13</w:t>
            </w:r>
          </w:p>
        </w:tc>
      </w:tr>
      <w:tr>
        <w:tblPrEx>
          <w:tblCellMar>
            <w:top w:w="0" w:type="dxa"/>
            <w:left w:w="108" w:type="dxa"/>
            <w:bottom w:w="0" w:type="dxa"/>
            <w:right w:w="108" w:type="dxa"/>
          </w:tblCellMar>
        </w:tblPrEx>
        <w:trPr>
          <w:trHeight w:val="360" w:hRule="atLeast"/>
          <w:tblHeader/>
          <w:jc w:val="center"/>
        </w:trPr>
        <w:tc>
          <w:tcPr>
            <w:tcW w:w="1640" w:type="dxa"/>
            <w:tcBorders>
              <w:top w:val="nil"/>
              <w:left w:val="single" w:color="auto" w:sz="8" w:space="0"/>
              <w:bottom w:val="single" w:color="auto" w:sz="8" w:space="0"/>
              <w:right w:val="single" w:color="auto" w:sz="4" w:space="0"/>
            </w:tcBorders>
            <w:shd w:val="clear" w:color="auto" w:fill="auto"/>
            <w:vAlign w:val="center"/>
          </w:tcPr>
          <w:p>
            <w:pPr>
              <w:widowControl/>
              <w:spacing w:line="280" w:lineRule="exact"/>
              <w:jc w:val="center"/>
              <w:rPr>
                <w:rFonts w:ascii="宋体" w:hAnsi="宋体" w:cs="宋体"/>
                <w:b/>
                <w:color w:val="auto"/>
                <w:kern w:val="0"/>
                <w:highlight w:val="none"/>
              </w:rPr>
            </w:pPr>
            <w:r>
              <w:rPr>
                <w:rFonts w:hint="eastAsia" w:ascii="宋体" w:hAnsi="宋体" w:cs="宋体"/>
                <w:b/>
                <w:color w:val="auto"/>
                <w:kern w:val="0"/>
                <w:highlight w:val="none"/>
              </w:rPr>
              <w:t>名称</w:t>
            </w:r>
          </w:p>
        </w:tc>
        <w:tc>
          <w:tcPr>
            <w:tcW w:w="7180" w:type="dxa"/>
            <w:gridSpan w:val="3"/>
            <w:tcBorders>
              <w:top w:val="nil"/>
              <w:left w:val="nil"/>
              <w:bottom w:val="single" w:color="auto" w:sz="8" w:space="0"/>
              <w:right w:val="single" w:color="000000" w:sz="8" w:space="0"/>
            </w:tcBorders>
            <w:shd w:val="clear" w:color="auto" w:fill="auto"/>
            <w:vAlign w:val="center"/>
          </w:tcPr>
          <w:p>
            <w:pPr>
              <w:widowControl/>
              <w:spacing w:line="280" w:lineRule="exact"/>
              <w:jc w:val="center"/>
              <w:rPr>
                <w:rFonts w:ascii="宋体" w:hAnsi="宋体" w:cs="宋体"/>
                <w:b/>
                <w:color w:val="auto"/>
                <w:kern w:val="0"/>
                <w:highlight w:val="none"/>
              </w:rPr>
            </w:pPr>
            <w:r>
              <w:rPr>
                <w:rFonts w:hint="eastAsia" w:ascii="宋体" w:hAnsi="宋体" w:cs="宋体"/>
                <w:b/>
                <w:color w:val="auto"/>
                <w:kern w:val="0"/>
                <w:highlight w:val="none"/>
              </w:rPr>
              <w:t>技术参数及规格</w:t>
            </w:r>
          </w:p>
        </w:tc>
      </w:tr>
      <w:tr>
        <w:tblPrEx>
          <w:tblCellMar>
            <w:top w:w="0" w:type="dxa"/>
            <w:left w:w="108" w:type="dxa"/>
            <w:bottom w:w="0" w:type="dxa"/>
            <w:right w:w="108" w:type="dxa"/>
          </w:tblCellMar>
        </w:tblPrEx>
        <w:trPr>
          <w:trHeight w:val="1441" w:hRule="atLeast"/>
          <w:jc w:val="center"/>
        </w:trPr>
        <w:tc>
          <w:tcPr>
            <w:tcW w:w="1640" w:type="dxa"/>
            <w:vMerge w:val="restart"/>
            <w:tcBorders>
              <w:top w:val="nil"/>
              <w:left w:val="single" w:color="auto" w:sz="8" w:space="0"/>
              <w:bottom w:val="single" w:color="auto" w:sz="4" w:space="0"/>
              <w:right w:val="single" w:color="auto" w:sz="4" w:space="0"/>
            </w:tcBorders>
            <w:shd w:val="clear" w:color="auto" w:fill="auto"/>
            <w:vAlign w:val="center"/>
          </w:tcPr>
          <w:p>
            <w:pPr>
              <w:widowControl/>
              <w:spacing w:line="280" w:lineRule="exact"/>
              <w:jc w:val="center"/>
              <w:rPr>
                <w:rFonts w:ascii="宋体" w:hAnsi="宋体" w:cs="宋体"/>
                <w:color w:val="auto"/>
                <w:kern w:val="0"/>
                <w:highlight w:val="none"/>
              </w:rPr>
            </w:pPr>
            <w:r>
              <w:rPr>
                <w:rFonts w:hint="eastAsia" w:ascii="宋体" w:hAnsi="宋体" w:cs="宋体"/>
                <w:color w:val="auto"/>
                <w:kern w:val="0"/>
                <w:highlight w:val="none"/>
              </w:rPr>
              <w:t>底盘</w:t>
            </w:r>
          </w:p>
        </w:tc>
        <w:tc>
          <w:tcPr>
            <w:tcW w:w="7180" w:type="dxa"/>
            <w:gridSpan w:val="3"/>
            <w:tcBorders>
              <w:top w:val="single" w:color="auto" w:sz="8" w:space="0"/>
              <w:left w:val="nil"/>
              <w:bottom w:val="single" w:color="auto" w:sz="4" w:space="0"/>
              <w:right w:val="single" w:color="000000" w:sz="8" w:space="0"/>
            </w:tcBorders>
            <w:shd w:val="clear" w:color="auto" w:fill="auto"/>
            <w:vAlign w:val="center"/>
          </w:tcPr>
          <w:p>
            <w:pPr>
              <w:spacing w:line="280" w:lineRule="exact"/>
              <w:rPr>
                <w:rFonts w:hint="eastAsia" w:ascii="宋体" w:hAnsi="宋体" w:eastAsia="宋体"/>
                <w:color w:val="auto"/>
                <w:highlight w:val="none"/>
                <w:lang w:eastAsia="zh-CN"/>
              </w:rPr>
            </w:pPr>
            <w:r>
              <w:rPr>
                <w:rFonts w:hint="eastAsia" w:ascii="宋体" w:hAnsi="宋体"/>
                <w:color w:val="auto"/>
                <w:highlight w:val="none"/>
              </w:rPr>
              <w:t>1、</w:t>
            </w:r>
            <w:r>
              <w:rPr>
                <w:rFonts w:hint="eastAsia" w:ascii="宋体" w:hAnsi="宋体"/>
                <w:color w:val="auto"/>
                <w:highlight w:val="none"/>
                <w:lang w:val="en-US" w:eastAsia="zh-CN"/>
              </w:rPr>
              <w:t>国产非承载式底盘，驱动方式：4×4，分时四驱或适时四驱，配备后差速锁或优于配置；</w:t>
            </w:r>
          </w:p>
          <w:p>
            <w:pPr>
              <w:spacing w:line="280" w:lineRule="exact"/>
              <w:rPr>
                <w:rFonts w:hint="eastAsia" w:ascii="宋体" w:hAnsi="宋体" w:eastAsia="宋体"/>
                <w:color w:val="auto"/>
                <w:highlight w:val="none"/>
                <w:lang w:eastAsia="zh-CN"/>
              </w:rPr>
            </w:pPr>
            <w:r>
              <w:rPr>
                <w:rFonts w:hint="eastAsia" w:ascii="宋体" w:hAnsi="宋体"/>
                <w:color w:val="auto"/>
                <w:highlight w:val="none"/>
              </w:rPr>
              <w:t>2、</w:t>
            </w:r>
            <w:r>
              <w:rPr>
                <w:rFonts w:hint="eastAsia" w:ascii="宋体" w:hAnsi="宋体"/>
                <w:color w:val="auto"/>
                <w:highlight w:val="none"/>
                <w:lang w:val="en-US" w:eastAsia="zh-CN"/>
              </w:rPr>
              <w:t>外形尺寸（长×宽×高）mm≥5200*1800*1800；</w:t>
            </w:r>
          </w:p>
          <w:p>
            <w:pPr>
              <w:spacing w:line="280" w:lineRule="exact"/>
              <w:rPr>
                <w:rFonts w:ascii="宋体" w:hAnsi="宋体" w:cs="宋体"/>
                <w:color w:val="auto"/>
                <w:highlight w:val="none"/>
              </w:rPr>
            </w:pPr>
            <w:r>
              <w:rPr>
                <w:rFonts w:hint="eastAsia" w:ascii="宋体" w:hAnsi="宋体"/>
                <w:color w:val="auto"/>
                <w:highlight w:val="none"/>
              </w:rPr>
              <w:t>3、接近角/离去角≥23/25°。</w:t>
            </w:r>
          </w:p>
        </w:tc>
      </w:tr>
      <w:tr>
        <w:tblPrEx>
          <w:tblCellMar>
            <w:top w:w="0" w:type="dxa"/>
            <w:left w:w="108" w:type="dxa"/>
            <w:bottom w:w="0" w:type="dxa"/>
            <w:right w:w="108" w:type="dxa"/>
          </w:tblCellMar>
        </w:tblPrEx>
        <w:trPr>
          <w:trHeight w:val="360" w:hRule="atLeast"/>
          <w:jc w:val="center"/>
        </w:trPr>
        <w:tc>
          <w:tcPr>
            <w:tcW w:w="1640" w:type="dxa"/>
            <w:vMerge w:val="continue"/>
            <w:tcBorders>
              <w:top w:val="nil"/>
              <w:left w:val="single" w:color="auto" w:sz="8" w:space="0"/>
              <w:bottom w:val="single" w:color="auto" w:sz="4" w:space="0"/>
              <w:right w:val="single" w:color="auto" w:sz="4" w:space="0"/>
            </w:tcBorders>
            <w:vAlign w:val="center"/>
          </w:tcPr>
          <w:p>
            <w:pPr>
              <w:widowControl/>
              <w:spacing w:line="280" w:lineRule="exact"/>
              <w:jc w:val="left"/>
              <w:rPr>
                <w:rFonts w:ascii="宋体" w:hAnsi="宋体" w:cs="宋体"/>
                <w:color w:val="auto"/>
                <w:kern w:val="0"/>
                <w:highlight w:val="none"/>
              </w:rPr>
            </w:pPr>
          </w:p>
        </w:tc>
        <w:tc>
          <w:tcPr>
            <w:tcW w:w="7180" w:type="dxa"/>
            <w:gridSpan w:val="3"/>
            <w:tcBorders>
              <w:top w:val="single" w:color="auto" w:sz="4" w:space="0"/>
              <w:left w:val="nil"/>
              <w:bottom w:val="single" w:color="auto" w:sz="4" w:space="0"/>
              <w:right w:val="single" w:color="000000" w:sz="8" w:space="0"/>
            </w:tcBorders>
            <w:shd w:val="clear" w:color="auto" w:fill="auto"/>
            <w:vAlign w:val="center"/>
          </w:tcPr>
          <w:p>
            <w:pPr>
              <w:spacing w:line="280" w:lineRule="exact"/>
              <w:rPr>
                <w:rFonts w:ascii="宋体" w:hAnsi="宋体" w:cs="宋体"/>
                <w:color w:val="auto"/>
                <w:highlight w:val="none"/>
              </w:rPr>
            </w:pPr>
            <w:r>
              <w:rPr>
                <w:rFonts w:hint="eastAsia" w:ascii="宋体" w:hAnsi="宋体"/>
                <w:color w:val="auto"/>
                <w:highlight w:val="none"/>
              </w:rPr>
              <w:t>4、汽油发动机，排量≥2.0T，功率：≥135kW，变速箱：自动挡。</w:t>
            </w:r>
          </w:p>
        </w:tc>
      </w:tr>
      <w:tr>
        <w:tblPrEx>
          <w:tblCellMar>
            <w:top w:w="0" w:type="dxa"/>
            <w:left w:w="108" w:type="dxa"/>
            <w:bottom w:w="0" w:type="dxa"/>
            <w:right w:w="108" w:type="dxa"/>
          </w:tblCellMar>
        </w:tblPrEx>
        <w:trPr>
          <w:trHeight w:val="762" w:hRule="atLeast"/>
          <w:jc w:val="center"/>
        </w:trPr>
        <w:tc>
          <w:tcPr>
            <w:tcW w:w="1640" w:type="dxa"/>
            <w:vMerge w:val="continue"/>
            <w:tcBorders>
              <w:top w:val="nil"/>
              <w:left w:val="single" w:color="auto" w:sz="8" w:space="0"/>
              <w:bottom w:val="single" w:color="auto" w:sz="4" w:space="0"/>
              <w:right w:val="single" w:color="auto" w:sz="4" w:space="0"/>
            </w:tcBorders>
            <w:vAlign w:val="center"/>
          </w:tcPr>
          <w:p>
            <w:pPr>
              <w:widowControl/>
              <w:spacing w:line="280" w:lineRule="exact"/>
              <w:jc w:val="left"/>
              <w:rPr>
                <w:rFonts w:ascii="宋体" w:hAnsi="宋体" w:cs="宋体"/>
                <w:color w:val="auto"/>
                <w:kern w:val="0"/>
                <w:highlight w:val="none"/>
              </w:rPr>
            </w:pPr>
          </w:p>
        </w:tc>
        <w:tc>
          <w:tcPr>
            <w:tcW w:w="7180" w:type="dxa"/>
            <w:gridSpan w:val="3"/>
            <w:tcBorders>
              <w:top w:val="single" w:color="auto" w:sz="4" w:space="0"/>
              <w:left w:val="nil"/>
              <w:bottom w:val="single" w:color="auto" w:sz="4" w:space="0"/>
              <w:right w:val="single" w:color="000000" w:sz="8" w:space="0"/>
            </w:tcBorders>
            <w:shd w:val="clear" w:color="auto" w:fill="auto"/>
            <w:vAlign w:val="center"/>
          </w:tcPr>
          <w:p>
            <w:pPr>
              <w:widowControl/>
              <w:spacing w:line="280" w:lineRule="exact"/>
              <w:jc w:val="left"/>
              <w:rPr>
                <w:rFonts w:ascii="宋体" w:hAnsi="宋体" w:cs="宋体"/>
                <w:color w:val="auto"/>
                <w:kern w:val="0"/>
                <w:highlight w:val="none"/>
              </w:rPr>
            </w:pPr>
            <w:r>
              <w:rPr>
                <w:rFonts w:hint="eastAsia" w:ascii="宋体" w:hAnsi="宋体" w:cs="宋体"/>
                <w:color w:val="auto"/>
                <w:kern w:val="0"/>
                <w:highlight w:val="none"/>
              </w:rPr>
              <w:t>5、尾气排放满足汽油国VIb标准；配有原装、原尺寸备胎拖车钩。</w:t>
            </w:r>
          </w:p>
        </w:tc>
      </w:tr>
      <w:tr>
        <w:tblPrEx>
          <w:tblCellMar>
            <w:top w:w="0" w:type="dxa"/>
            <w:left w:w="108" w:type="dxa"/>
            <w:bottom w:w="0" w:type="dxa"/>
            <w:right w:w="108" w:type="dxa"/>
          </w:tblCellMar>
        </w:tblPrEx>
        <w:trPr>
          <w:trHeight w:val="439" w:hRule="atLeast"/>
          <w:jc w:val="center"/>
        </w:trPr>
        <w:tc>
          <w:tcPr>
            <w:tcW w:w="1640" w:type="dxa"/>
            <w:vMerge w:val="restart"/>
            <w:tcBorders>
              <w:top w:val="nil"/>
              <w:left w:val="single" w:color="auto" w:sz="8" w:space="0"/>
              <w:bottom w:val="single" w:color="000000" w:sz="4" w:space="0"/>
              <w:right w:val="single" w:color="auto" w:sz="4" w:space="0"/>
            </w:tcBorders>
            <w:shd w:val="clear" w:color="auto" w:fill="auto"/>
            <w:vAlign w:val="center"/>
          </w:tcPr>
          <w:p>
            <w:pPr>
              <w:widowControl/>
              <w:spacing w:line="280" w:lineRule="exact"/>
              <w:jc w:val="center"/>
              <w:rPr>
                <w:rFonts w:ascii="宋体" w:hAnsi="宋体" w:cs="宋体"/>
                <w:color w:val="auto"/>
                <w:kern w:val="0"/>
                <w:highlight w:val="none"/>
              </w:rPr>
            </w:pPr>
            <w:r>
              <w:rPr>
                <w:rFonts w:hint="eastAsia" w:ascii="宋体" w:hAnsi="宋体" w:cs="宋体"/>
                <w:color w:val="auto"/>
                <w:kern w:val="0"/>
                <w:highlight w:val="none"/>
              </w:rPr>
              <w:t>驾驶室</w:t>
            </w:r>
          </w:p>
        </w:tc>
        <w:tc>
          <w:tcPr>
            <w:tcW w:w="7180" w:type="dxa"/>
            <w:gridSpan w:val="3"/>
            <w:tcBorders>
              <w:top w:val="single" w:color="auto" w:sz="4" w:space="0"/>
              <w:left w:val="nil"/>
              <w:bottom w:val="single" w:color="auto" w:sz="4" w:space="0"/>
              <w:right w:val="single" w:color="000000" w:sz="8" w:space="0"/>
            </w:tcBorders>
            <w:shd w:val="clear" w:color="auto" w:fill="auto"/>
            <w:vAlign w:val="center"/>
          </w:tcPr>
          <w:p>
            <w:pPr>
              <w:widowControl/>
              <w:spacing w:line="280" w:lineRule="exact"/>
              <w:jc w:val="left"/>
              <w:rPr>
                <w:rFonts w:ascii="宋体" w:hAnsi="宋体"/>
                <w:color w:val="auto"/>
                <w:kern w:val="0"/>
                <w:highlight w:val="none"/>
              </w:rPr>
            </w:pPr>
            <w:r>
              <w:rPr>
                <w:rFonts w:hint="eastAsia" w:ascii="宋体" w:hAnsi="宋体"/>
                <w:color w:val="auto"/>
                <w:highlight w:val="none"/>
              </w:rPr>
              <w:t>1、原车驾驶室，配备空调，中控锁、ABS；座位数≥5。</w:t>
            </w:r>
          </w:p>
        </w:tc>
      </w:tr>
      <w:tr>
        <w:tblPrEx>
          <w:tblCellMar>
            <w:top w:w="0" w:type="dxa"/>
            <w:left w:w="108" w:type="dxa"/>
            <w:bottom w:w="0" w:type="dxa"/>
            <w:right w:w="108" w:type="dxa"/>
          </w:tblCellMar>
        </w:tblPrEx>
        <w:trPr>
          <w:trHeight w:val="582" w:hRule="atLeast"/>
          <w:jc w:val="center"/>
        </w:trPr>
        <w:tc>
          <w:tcPr>
            <w:tcW w:w="1640" w:type="dxa"/>
            <w:vMerge w:val="continue"/>
            <w:tcBorders>
              <w:top w:val="nil"/>
              <w:left w:val="single" w:color="auto" w:sz="8" w:space="0"/>
              <w:bottom w:val="single" w:color="000000" w:sz="4" w:space="0"/>
              <w:right w:val="single" w:color="auto" w:sz="4" w:space="0"/>
            </w:tcBorders>
            <w:vAlign w:val="center"/>
          </w:tcPr>
          <w:p>
            <w:pPr>
              <w:widowControl/>
              <w:spacing w:line="280" w:lineRule="exact"/>
              <w:jc w:val="left"/>
              <w:rPr>
                <w:rFonts w:ascii="宋体" w:hAnsi="宋体" w:cs="宋体"/>
                <w:color w:val="auto"/>
                <w:kern w:val="0"/>
                <w:highlight w:val="none"/>
              </w:rPr>
            </w:pPr>
          </w:p>
        </w:tc>
        <w:tc>
          <w:tcPr>
            <w:tcW w:w="7180" w:type="dxa"/>
            <w:gridSpan w:val="3"/>
            <w:tcBorders>
              <w:top w:val="single" w:color="auto" w:sz="4" w:space="0"/>
              <w:left w:val="nil"/>
              <w:bottom w:val="single" w:color="auto" w:sz="4" w:space="0"/>
              <w:right w:val="single" w:color="000000" w:sz="8" w:space="0"/>
            </w:tcBorders>
            <w:shd w:val="clear" w:color="auto" w:fill="auto"/>
            <w:vAlign w:val="center"/>
          </w:tcPr>
          <w:p>
            <w:pPr>
              <w:spacing w:line="280" w:lineRule="exact"/>
              <w:rPr>
                <w:rFonts w:ascii="宋体" w:hAnsi="宋体"/>
                <w:color w:val="auto"/>
                <w:highlight w:val="none"/>
              </w:rPr>
            </w:pPr>
            <w:r>
              <w:rPr>
                <w:rFonts w:hint="eastAsia" w:ascii="宋体" w:hAnsi="宋体"/>
                <w:color w:val="auto"/>
                <w:highlight w:val="none"/>
              </w:rPr>
              <w:t>2、预留北斗单独接口和功率≥5000W液晶屏显示的逆变器（12V、24V、220V)电源接口。</w:t>
            </w:r>
          </w:p>
        </w:tc>
      </w:tr>
      <w:tr>
        <w:tblPrEx>
          <w:tblCellMar>
            <w:top w:w="0" w:type="dxa"/>
            <w:left w:w="108" w:type="dxa"/>
            <w:bottom w:w="0" w:type="dxa"/>
            <w:right w:w="108" w:type="dxa"/>
          </w:tblCellMar>
        </w:tblPrEx>
        <w:trPr>
          <w:trHeight w:val="1062" w:hRule="atLeast"/>
          <w:jc w:val="center"/>
        </w:trPr>
        <w:tc>
          <w:tcPr>
            <w:tcW w:w="1640" w:type="dxa"/>
            <w:vMerge w:val="continue"/>
            <w:tcBorders>
              <w:top w:val="nil"/>
              <w:left w:val="single" w:color="auto" w:sz="8" w:space="0"/>
              <w:bottom w:val="single" w:color="000000" w:sz="4" w:space="0"/>
              <w:right w:val="single" w:color="auto" w:sz="4" w:space="0"/>
            </w:tcBorders>
            <w:vAlign w:val="center"/>
          </w:tcPr>
          <w:p>
            <w:pPr>
              <w:widowControl/>
              <w:spacing w:line="280" w:lineRule="exact"/>
              <w:jc w:val="left"/>
              <w:rPr>
                <w:rFonts w:ascii="宋体" w:hAnsi="宋体" w:cs="宋体"/>
                <w:color w:val="auto"/>
                <w:kern w:val="0"/>
                <w:highlight w:val="none"/>
              </w:rPr>
            </w:pPr>
          </w:p>
        </w:tc>
        <w:tc>
          <w:tcPr>
            <w:tcW w:w="7180" w:type="dxa"/>
            <w:gridSpan w:val="3"/>
            <w:tcBorders>
              <w:top w:val="single" w:color="auto" w:sz="4" w:space="0"/>
              <w:left w:val="nil"/>
              <w:bottom w:val="single" w:color="auto" w:sz="4" w:space="0"/>
              <w:right w:val="single" w:color="000000" w:sz="8" w:space="0"/>
            </w:tcBorders>
            <w:shd w:val="clear" w:color="auto" w:fill="auto"/>
            <w:vAlign w:val="center"/>
          </w:tcPr>
          <w:p>
            <w:pPr>
              <w:spacing w:line="280" w:lineRule="exact"/>
              <w:rPr>
                <w:rFonts w:ascii="宋体" w:hAnsi="宋体"/>
                <w:color w:val="auto"/>
                <w:highlight w:val="none"/>
              </w:rPr>
            </w:pPr>
            <w:r>
              <w:rPr>
                <w:rFonts w:hint="eastAsia" w:ascii="宋体" w:hAnsi="宋体"/>
                <w:color w:val="auto"/>
                <w:highlight w:val="none"/>
              </w:rPr>
              <w:t>3、配备车载台，与采购方通信指挥系统配套使用，并根据客户需求写入通信频段。</w:t>
            </w:r>
          </w:p>
        </w:tc>
      </w:tr>
      <w:tr>
        <w:tblPrEx>
          <w:tblCellMar>
            <w:top w:w="0" w:type="dxa"/>
            <w:left w:w="108" w:type="dxa"/>
            <w:bottom w:w="0" w:type="dxa"/>
            <w:right w:w="108" w:type="dxa"/>
          </w:tblCellMar>
        </w:tblPrEx>
        <w:trPr>
          <w:trHeight w:val="1062" w:hRule="atLeast"/>
          <w:jc w:val="center"/>
        </w:trPr>
        <w:tc>
          <w:tcPr>
            <w:tcW w:w="1640" w:type="dxa"/>
            <w:vMerge w:val="restart"/>
            <w:tcBorders>
              <w:top w:val="nil"/>
              <w:left w:val="single" w:color="auto" w:sz="8" w:space="0"/>
              <w:bottom w:val="single" w:color="auto" w:sz="4" w:space="0"/>
              <w:right w:val="single" w:color="auto" w:sz="4" w:space="0"/>
            </w:tcBorders>
            <w:shd w:val="clear" w:color="auto" w:fill="auto"/>
            <w:vAlign w:val="center"/>
          </w:tcPr>
          <w:p>
            <w:pPr>
              <w:widowControl/>
              <w:spacing w:line="280" w:lineRule="exact"/>
              <w:jc w:val="center"/>
              <w:rPr>
                <w:rFonts w:ascii="宋体" w:hAnsi="宋体" w:cs="宋体"/>
                <w:color w:val="auto"/>
                <w:kern w:val="0"/>
                <w:highlight w:val="none"/>
              </w:rPr>
            </w:pPr>
            <w:r>
              <w:rPr>
                <w:rFonts w:hint="eastAsia" w:ascii="宋体" w:hAnsi="宋体" w:cs="宋体"/>
                <w:color w:val="auto"/>
                <w:kern w:val="0"/>
                <w:highlight w:val="none"/>
              </w:rPr>
              <w:t>电气系统</w:t>
            </w:r>
          </w:p>
        </w:tc>
        <w:tc>
          <w:tcPr>
            <w:tcW w:w="7180" w:type="dxa"/>
            <w:gridSpan w:val="3"/>
            <w:tcBorders>
              <w:top w:val="single" w:color="auto" w:sz="4" w:space="0"/>
              <w:left w:val="nil"/>
              <w:bottom w:val="single" w:color="auto" w:sz="4" w:space="0"/>
              <w:right w:val="single" w:color="000000" w:sz="8" w:space="0"/>
            </w:tcBorders>
            <w:shd w:val="clear" w:color="auto" w:fill="auto"/>
            <w:vAlign w:val="center"/>
          </w:tcPr>
          <w:p>
            <w:pPr>
              <w:widowControl/>
              <w:spacing w:line="280" w:lineRule="exact"/>
              <w:jc w:val="left"/>
              <w:rPr>
                <w:rFonts w:ascii="宋体" w:hAnsi="宋体"/>
                <w:color w:val="auto"/>
                <w:kern w:val="0"/>
                <w:highlight w:val="none"/>
              </w:rPr>
            </w:pPr>
            <w:r>
              <w:rPr>
                <w:rFonts w:hint="eastAsia" w:ascii="宋体" w:hAnsi="宋体"/>
                <w:color w:val="auto"/>
                <w:highlight w:val="none"/>
              </w:rPr>
              <w:t>1、驾驶室顶部前端装配备≥200W红色长排频闪警灯及警报，车辆两侧设置3～5个爆闪灯，货箱盖板内配备独立照明。</w:t>
            </w:r>
          </w:p>
        </w:tc>
      </w:tr>
      <w:tr>
        <w:tblPrEx>
          <w:tblCellMar>
            <w:top w:w="0" w:type="dxa"/>
            <w:left w:w="108" w:type="dxa"/>
            <w:bottom w:w="0" w:type="dxa"/>
            <w:right w:w="108" w:type="dxa"/>
          </w:tblCellMar>
        </w:tblPrEx>
        <w:trPr>
          <w:trHeight w:val="90" w:hRule="atLeast"/>
          <w:jc w:val="center"/>
        </w:trPr>
        <w:tc>
          <w:tcPr>
            <w:tcW w:w="1640" w:type="dxa"/>
            <w:vMerge w:val="continue"/>
            <w:tcBorders>
              <w:top w:val="nil"/>
              <w:left w:val="single" w:color="auto" w:sz="8" w:space="0"/>
              <w:bottom w:val="single" w:color="auto" w:sz="4" w:space="0"/>
              <w:right w:val="single" w:color="auto" w:sz="4" w:space="0"/>
            </w:tcBorders>
            <w:vAlign w:val="center"/>
          </w:tcPr>
          <w:p>
            <w:pPr>
              <w:widowControl/>
              <w:spacing w:line="280" w:lineRule="exact"/>
              <w:jc w:val="left"/>
              <w:rPr>
                <w:rFonts w:ascii="宋体" w:hAnsi="宋体" w:cs="宋体"/>
                <w:color w:val="auto"/>
                <w:kern w:val="0"/>
                <w:highlight w:val="none"/>
              </w:rPr>
            </w:pPr>
          </w:p>
        </w:tc>
        <w:tc>
          <w:tcPr>
            <w:tcW w:w="7180" w:type="dxa"/>
            <w:gridSpan w:val="3"/>
            <w:tcBorders>
              <w:top w:val="single" w:color="auto" w:sz="4" w:space="0"/>
              <w:left w:val="nil"/>
              <w:bottom w:val="single" w:color="auto" w:sz="4" w:space="0"/>
              <w:right w:val="single" w:color="000000" w:sz="8" w:space="0"/>
            </w:tcBorders>
            <w:shd w:val="clear" w:color="auto" w:fill="auto"/>
            <w:vAlign w:val="center"/>
          </w:tcPr>
          <w:p>
            <w:pPr>
              <w:spacing w:line="280" w:lineRule="exact"/>
              <w:rPr>
                <w:rFonts w:ascii="宋体" w:hAnsi="宋体"/>
                <w:color w:val="auto"/>
                <w:highlight w:val="none"/>
              </w:rPr>
            </w:pPr>
            <w:r>
              <w:rPr>
                <w:rFonts w:hint="eastAsia" w:ascii="宋体" w:hAnsi="宋体"/>
                <w:color w:val="auto"/>
                <w:highlight w:val="none"/>
              </w:rPr>
              <w:t>2、警报器、警灯等上装部分电气为独立式附加电路，控制器件安装在驾驶室内。</w:t>
            </w:r>
          </w:p>
        </w:tc>
      </w:tr>
      <w:tr>
        <w:tblPrEx>
          <w:tblCellMar>
            <w:top w:w="0" w:type="dxa"/>
            <w:left w:w="108" w:type="dxa"/>
            <w:bottom w:w="0" w:type="dxa"/>
            <w:right w:w="108" w:type="dxa"/>
          </w:tblCellMar>
        </w:tblPrEx>
        <w:trPr>
          <w:trHeight w:val="967" w:hRule="atLeast"/>
          <w:jc w:val="center"/>
        </w:trPr>
        <w:tc>
          <w:tcPr>
            <w:tcW w:w="1640" w:type="dxa"/>
            <w:vMerge w:val="continue"/>
            <w:tcBorders>
              <w:top w:val="nil"/>
              <w:left w:val="single" w:color="auto" w:sz="8" w:space="0"/>
              <w:bottom w:val="single" w:color="auto" w:sz="4" w:space="0"/>
              <w:right w:val="single" w:color="auto" w:sz="4" w:space="0"/>
            </w:tcBorders>
            <w:vAlign w:val="center"/>
          </w:tcPr>
          <w:p>
            <w:pPr>
              <w:widowControl/>
              <w:spacing w:line="280" w:lineRule="exact"/>
              <w:jc w:val="left"/>
              <w:rPr>
                <w:rFonts w:ascii="宋体" w:hAnsi="宋体" w:cs="宋体"/>
                <w:color w:val="auto"/>
                <w:kern w:val="0"/>
                <w:highlight w:val="none"/>
              </w:rPr>
            </w:pPr>
          </w:p>
        </w:tc>
        <w:tc>
          <w:tcPr>
            <w:tcW w:w="7180" w:type="dxa"/>
            <w:gridSpan w:val="3"/>
            <w:tcBorders>
              <w:top w:val="single" w:color="auto" w:sz="4" w:space="0"/>
              <w:left w:val="nil"/>
              <w:bottom w:val="single" w:color="auto" w:sz="4" w:space="0"/>
              <w:right w:val="single" w:color="000000" w:sz="8" w:space="0"/>
            </w:tcBorders>
            <w:shd w:val="clear" w:color="auto" w:fill="auto"/>
            <w:vAlign w:val="center"/>
          </w:tcPr>
          <w:p>
            <w:pPr>
              <w:spacing w:line="280" w:lineRule="exact"/>
              <w:rPr>
                <w:rFonts w:ascii="宋体" w:hAnsi="宋体"/>
                <w:color w:val="auto"/>
                <w:highlight w:val="none"/>
              </w:rPr>
            </w:pPr>
            <w:r>
              <w:rPr>
                <w:rFonts w:hint="eastAsia" w:ascii="宋体" w:hAnsi="宋体"/>
                <w:color w:val="auto"/>
                <w:highlight w:val="none"/>
              </w:rPr>
              <w:t>3、安装360度全景行车记录仪辅助系统，配备超清夜视摄像头和彩色显示屏，分辨率≥1080P，尺寸≥7寸，支持分屏、单屏等多种模式，存储卡≥128G；行车记录仪采用自动分段录制，记录卡录满后可以自行删除最早记录。</w:t>
            </w:r>
          </w:p>
        </w:tc>
      </w:tr>
      <w:tr>
        <w:tblPrEx>
          <w:tblCellMar>
            <w:top w:w="0" w:type="dxa"/>
            <w:left w:w="108" w:type="dxa"/>
            <w:bottom w:w="0" w:type="dxa"/>
            <w:right w:w="108" w:type="dxa"/>
          </w:tblCellMar>
        </w:tblPrEx>
        <w:trPr>
          <w:trHeight w:val="524" w:hRule="atLeast"/>
          <w:jc w:val="center"/>
        </w:trPr>
        <w:tc>
          <w:tcPr>
            <w:tcW w:w="1640" w:type="dxa"/>
            <w:vMerge w:val="continue"/>
            <w:tcBorders>
              <w:top w:val="nil"/>
              <w:left w:val="single" w:color="auto" w:sz="8" w:space="0"/>
              <w:bottom w:val="single" w:color="auto" w:sz="4" w:space="0"/>
              <w:right w:val="single" w:color="auto" w:sz="4" w:space="0"/>
            </w:tcBorders>
            <w:vAlign w:val="center"/>
          </w:tcPr>
          <w:p>
            <w:pPr>
              <w:widowControl/>
              <w:spacing w:line="280" w:lineRule="exact"/>
              <w:jc w:val="left"/>
              <w:rPr>
                <w:rFonts w:ascii="宋体" w:hAnsi="宋体" w:cs="宋体"/>
                <w:color w:val="auto"/>
                <w:kern w:val="0"/>
                <w:highlight w:val="none"/>
              </w:rPr>
            </w:pPr>
          </w:p>
        </w:tc>
        <w:tc>
          <w:tcPr>
            <w:tcW w:w="7180" w:type="dxa"/>
            <w:gridSpan w:val="3"/>
            <w:tcBorders>
              <w:top w:val="single" w:color="auto" w:sz="4" w:space="0"/>
              <w:left w:val="nil"/>
              <w:bottom w:val="single" w:color="auto" w:sz="4" w:space="0"/>
              <w:right w:val="single" w:color="000000" w:sz="8" w:space="0"/>
            </w:tcBorders>
            <w:shd w:val="clear" w:color="auto" w:fill="auto"/>
            <w:vAlign w:val="center"/>
          </w:tcPr>
          <w:p>
            <w:pPr>
              <w:spacing w:line="280" w:lineRule="exact"/>
              <w:rPr>
                <w:rFonts w:ascii="宋体" w:hAnsi="宋体"/>
                <w:color w:val="auto"/>
                <w:highlight w:val="none"/>
              </w:rPr>
            </w:pPr>
            <w:r>
              <w:rPr>
                <w:rFonts w:hint="eastAsia" w:ascii="宋体" w:hAnsi="宋体"/>
                <w:color w:val="auto"/>
                <w:highlight w:val="none"/>
              </w:rPr>
              <w:t>4、根据采购方需求，在车顶配备360影像云台底座（带HDMI输出接口）。</w:t>
            </w:r>
          </w:p>
        </w:tc>
      </w:tr>
      <w:tr>
        <w:tblPrEx>
          <w:tblCellMar>
            <w:top w:w="0" w:type="dxa"/>
            <w:left w:w="108" w:type="dxa"/>
            <w:bottom w:w="0" w:type="dxa"/>
            <w:right w:w="108" w:type="dxa"/>
          </w:tblCellMar>
        </w:tblPrEx>
        <w:trPr>
          <w:trHeight w:val="976" w:hRule="atLeast"/>
          <w:jc w:val="center"/>
        </w:trPr>
        <w:tc>
          <w:tcPr>
            <w:tcW w:w="1640" w:type="dxa"/>
            <w:tcBorders>
              <w:top w:val="nil"/>
              <w:left w:val="single" w:color="auto" w:sz="8" w:space="0"/>
              <w:bottom w:val="single" w:color="auto" w:sz="4" w:space="0"/>
              <w:right w:val="single" w:color="auto" w:sz="4" w:space="0"/>
            </w:tcBorders>
            <w:shd w:val="clear" w:color="auto" w:fill="auto"/>
            <w:vAlign w:val="center"/>
          </w:tcPr>
          <w:p>
            <w:pPr>
              <w:widowControl/>
              <w:spacing w:line="280" w:lineRule="exact"/>
              <w:jc w:val="center"/>
              <w:rPr>
                <w:rFonts w:ascii="宋体" w:hAnsi="宋体" w:cs="宋体"/>
                <w:color w:val="auto"/>
                <w:kern w:val="0"/>
                <w:highlight w:val="none"/>
              </w:rPr>
            </w:pPr>
            <w:r>
              <w:rPr>
                <w:rFonts w:hint="eastAsia" w:ascii="宋体" w:hAnsi="宋体" w:cs="宋体"/>
                <w:color w:val="auto"/>
                <w:kern w:val="0"/>
                <w:highlight w:val="none"/>
              </w:rPr>
              <w:t>箱体</w:t>
            </w:r>
          </w:p>
        </w:tc>
        <w:tc>
          <w:tcPr>
            <w:tcW w:w="7180" w:type="dxa"/>
            <w:gridSpan w:val="3"/>
            <w:tcBorders>
              <w:top w:val="single" w:color="auto" w:sz="4" w:space="0"/>
              <w:left w:val="nil"/>
              <w:bottom w:val="single" w:color="auto" w:sz="4" w:space="0"/>
              <w:right w:val="single" w:color="000000" w:sz="8" w:space="0"/>
            </w:tcBorders>
            <w:shd w:val="clear" w:color="auto" w:fill="auto"/>
            <w:vAlign w:val="center"/>
          </w:tcPr>
          <w:p>
            <w:pPr>
              <w:widowControl/>
              <w:spacing w:line="280" w:lineRule="exact"/>
              <w:jc w:val="left"/>
              <w:rPr>
                <w:rFonts w:ascii="宋体" w:hAnsi="宋体" w:cs="宋体"/>
                <w:color w:val="auto"/>
                <w:kern w:val="0"/>
                <w:highlight w:val="none"/>
              </w:rPr>
            </w:pPr>
            <w:r>
              <w:rPr>
                <w:rFonts w:hint="eastAsia" w:ascii="宋体" w:hAnsi="宋体" w:cs="宋体"/>
                <w:color w:val="auto"/>
                <w:kern w:val="0"/>
                <w:highlight w:val="none"/>
              </w:rPr>
              <w:t>1、厢体内空尺寸（长×宽×高）mm≥1500×1520×500，采用内饰铝花纹板，厢体为钢骨架钢蒙皮，内外板形腔内填充喷涂防腐处理，箱体要求做隔热保温处理，厢门采用钢骨架钢蒙皮。</w:t>
            </w:r>
          </w:p>
          <w:p>
            <w:pPr>
              <w:widowControl/>
              <w:spacing w:line="280" w:lineRule="exact"/>
              <w:jc w:val="left"/>
              <w:rPr>
                <w:rFonts w:ascii="宋体" w:hAnsi="宋体" w:cs="宋体"/>
                <w:color w:val="auto"/>
                <w:kern w:val="0"/>
                <w:highlight w:val="none"/>
              </w:rPr>
            </w:pPr>
            <w:r>
              <w:rPr>
                <w:rFonts w:hint="eastAsia" w:ascii="宋体" w:hAnsi="宋体" w:cs="宋体"/>
                <w:color w:val="auto"/>
                <w:kern w:val="0"/>
                <w:highlight w:val="none"/>
              </w:rPr>
              <w:t>2、预留220V外放电充电口。</w:t>
            </w:r>
          </w:p>
          <w:p>
            <w:pPr>
              <w:widowControl/>
              <w:spacing w:line="280" w:lineRule="exact"/>
              <w:jc w:val="left"/>
              <w:rPr>
                <w:rFonts w:ascii="宋体" w:hAnsi="宋体" w:cs="宋体"/>
                <w:color w:val="auto"/>
                <w:kern w:val="0"/>
                <w:highlight w:val="none"/>
              </w:rPr>
            </w:pPr>
            <w:r>
              <w:rPr>
                <w:rFonts w:hint="eastAsia" w:ascii="宋体" w:hAnsi="宋体" w:cs="宋体"/>
                <w:color w:val="auto"/>
                <w:kern w:val="0"/>
                <w:highlight w:val="none"/>
              </w:rPr>
              <w:t>3、加装后备箱车盖。</w:t>
            </w:r>
          </w:p>
          <w:p>
            <w:pPr>
              <w:widowControl/>
              <w:spacing w:line="280" w:lineRule="exact"/>
              <w:jc w:val="left"/>
              <w:rPr>
                <w:rFonts w:ascii="宋体" w:hAnsi="宋体" w:cs="宋体"/>
                <w:color w:val="auto"/>
                <w:kern w:val="0"/>
                <w:highlight w:val="none"/>
              </w:rPr>
            </w:pPr>
            <w:r>
              <w:rPr>
                <w:rFonts w:hint="eastAsia" w:ascii="宋体" w:hAnsi="宋体" w:cs="宋体"/>
                <w:color w:val="auto"/>
                <w:kern w:val="0"/>
                <w:highlight w:val="none"/>
              </w:rPr>
              <w:t>4、加装后备箱抽拉底托并在底托相应位置添加固定点。（根据采购方定制）</w:t>
            </w:r>
          </w:p>
        </w:tc>
      </w:tr>
      <w:tr>
        <w:tblPrEx>
          <w:tblCellMar>
            <w:top w:w="0" w:type="dxa"/>
            <w:left w:w="108" w:type="dxa"/>
            <w:bottom w:w="0" w:type="dxa"/>
            <w:right w:w="108" w:type="dxa"/>
          </w:tblCellMar>
        </w:tblPrEx>
        <w:trPr>
          <w:trHeight w:val="619" w:hRule="atLeast"/>
          <w:jc w:val="center"/>
        </w:trPr>
        <w:tc>
          <w:tcPr>
            <w:tcW w:w="1640" w:type="dxa"/>
            <w:tcBorders>
              <w:top w:val="nil"/>
              <w:left w:val="single" w:color="auto" w:sz="8" w:space="0"/>
              <w:bottom w:val="single" w:color="auto" w:sz="4" w:space="0"/>
              <w:right w:val="single" w:color="auto" w:sz="4" w:space="0"/>
            </w:tcBorders>
            <w:shd w:val="clear" w:color="auto" w:fill="auto"/>
            <w:vAlign w:val="center"/>
          </w:tcPr>
          <w:p>
            <w:pPr>
              <w:widowControl/>
              <w:spacing w:line="280" w:lineRule="exact"/>
              <w:jc w:val="center"/>
              <w:rPr>
                <w:rFonts w:ascii="宋体" w:hAnsi="宋体" w:cs="宋体"/>
                <w:color w:val="auto"/>
                <w:kern w:val="0"/>
                <w:highlight w:val="none"/>
              </w:rPr>
            </w:pPr>
            <w:r>
              <w:rPr>
                <w:rFonts w:hint="eastAsia" w:ascii="宋体" w:hAnsi="宋体" w:cs="宋体"/>
                <w:color w:val="auto"/>
                <w:kern w:val="0"/>
                <w:highlight w:val="none"/>
              </w:rPr>
              <w:t>牵引装置</w:t>
            </w:r>
          </w:p>
        </w:tc>
        <w:tc>
          <w:tcPr>
            <w:tcW w:w="7180" w:type="dxa"/>
            <w:gridSpan w:val="3"/>
            <w:tcBorders>
              <w:top w:val="single" w:color="auto" w:sz="4" w:space="0"/>
              <w:left w:val="nil"/>
              <w:bottom w:val="single" w:color="auto" w:sz="4" w:space="0"/>
              <w:right w:val="single" w:color="000000" w:sz="8" w:space="0"/>
            </w:tcBorders>
            <w:shd w:val="clear" w:color="auto" w:fill="auto"/>
            <w:vAlign w:val="center"/>
          </w:tcPr>
          <w:p>
            <w:pPr>
              <w:widowControl/>
              <w:spacing w:line="280" w:lineRule="exact"/>
              <w:jc w:val="left"/>
              <w:rPr>
                <w:rFonts w:ascii="宋体" w:hAnsi="宋体"/>
                <w:color w:val="auto"/>
                <w:kern w:val="0"/>
                <w:highlight w:val="none"/>
              </w:rPr>
            </w:pPr>
            <w:r>
              <w:rPr>
                <w:rFonts w:hint="eastAsia" w:ascii="宋体" w:hAnsi="宋体"/>
                <w:color w:val="auto"/>
                <w:kern w:val="0"/>
                <w:highlight w:val="none"/>
                <w:lang w:val="en-US" w:eastAsia="zh-CN"/>
              </w:rPr>
              <w:t>安装于厢内前部，额定拉力≥3000kg，高分子纤维尼龙绞盘绳≥9mm，绳长度≥25m。</w:t>
            </w:r>
          </w:p>
        </w:tc>
      </w:tr>
      <w:tr>
        <w:tblPrEx>
          <w:tblCellMar>
            <w:top w:w="0" w:type="dxa"/>
            <w:left w:w="108" w:type="dxa"/>
            <w:bottom w:w="0" w:type="dxa"/>
            <w:right w:w="108" w:type="dxa"/>
          </w:tblCellMar>
        </w:tblPrEx>
        <w:trPr>
          <w:trHeight w:val="799" w:hRule="atLeast"/>
          <w:jc w:val="center"/>
        </w:trPr>
        <w:tc>
          <w:tcPr>
            <w:tcW w:w="1640" w:type="dxa"/>
            <w:tcBorders>
              <w:top w:val="nil"/>
              <w:left w:val="single" w:color="auto" w:sz="8" w:space="0"/>
              <w:bottom w:val="single" w:color="auto" w:sz="4" w:space="0"/>
              <w:right w:val="single" w:color="auto" w:sz="4" w:space="0"/>
            </w:tcBorders>
            <w:shd w:val="clear" w:color="auto" w:fill="auto"/>
            <w:vAlign w:val="center"/>
          </w:tcPr>
          <w:p>
            <w:pPr>
              <w:widowControl/>
              <w:spacing w:line="280" w:lineRule="exact"/>
              <w:jc w:val="center"/>
              <w:rPr>
                <w:rFonts w:ascii="宋体" w:hAnsi="宋体" w:cs="宋体"/>
                <w:color w:val="auto"/>
                <w:kern w:val="0"/>
                <w:highlight w:val="none"/>
              </w:rPr>
            </w:pPr>
            <w:r>
              <w:rPr>
                <w:rFonts w:hint="eastAsia" w:ascii="宋体" w:hAnsi="宋体" w:cs="宋体"/>
                <w:color w:val="auto"/>
                <w:kern w:val="0"/>
                <w:highlight w:val="none"/>
              </w:rPr>
              <w:t>照明升降系统</w:t>
            </w:r>
          </w:p>
        </w:tc>
        <w:tc>
          <w:tcPr>
            <w:tcW w:w="7180" w:type="dxa"/>
            <w:gridSpan w:val="3"/>
            <w:tcBorders>
              <w:top w:val="single" w:color="auto" w:sz="4" w:space="0"/>
              <w:left w:val="nil"/>
              <w:bottom w:val="single" w:color="auto" w:sz="4" w:space="0"/>
              <w:right w:val="single" w:color="000000" w:sz="8" w:space="0"/>
            </w:tcBorders>
            <w:shd w:val="clear" w:color="auto" w:fill="auto"/>
            <w:vAlign w:val="center"/>
          </w:tcPr>
          <w:p>
            <w:pPr>
              <w:spacing w:line="280" w:lineRule="exact"/>
              <w:rPr>
                <w:rFonts w:ascii="宋体" w:hAnsi="宋体"/>
                <w:color w:val="auto"/>
                <w:highlight w:val="none"/>
              </w:rPr>
            </w:pPr>
            <w:r>
              <w:rPr>
                <w:rFonts w:hint="eastAsia" w:ascii="宋体" w:hAnsi="宋体"/>
                <w:color w:val="auto"/>
                <w:highlight w:val="none"/>
              </w:rPr>
              <w:t>设置车载倒伏式升降照明灯，功率≥2×150W，最大输出流明≥48000lm，水平旋转角度≥±180°，俯仰角度≥±180°，上升高度≥1.2m，遥控距离≥50m。</w:t>
            </w:r>
          </w:p>
        </w:tc>
      </w:tr>
      <w:tr>
        <w:tblPrEx>
          <w:tblCellMar>
            <w:top w:w="0" w:type="dxa"/>
            <w:left w:w="108" w:type="dxa"/>
            <w:bottom w:w="0" w:type="dxa"/>
            <w:right w:w="108" w:type="dxa"/>
          </w:tblCellMar>
        </w:tblPrEx>
        <w:trPr>
          <w:trHeight w:val="420" w:hRule="atLeast"/>
          <w:jc w:val="center"/>
        </w:trPr>
        <w:tc>
          <w:tcPr>
            <w:tcW w:w="1640" w:type="dxa"/>
            <w:tcBorders>
              <w:top w:val="nil"/>
              <w:left w:val="single" w:color="auto" w:sz="8" w:space="0"/>
              <w:bottom w:val="single" w:color="auto" w:sz="4" w:space="0"/>
              <w:right w:val="single" w:color="auto" w:sz="4" w:space="0"/>
            </w:tcBorders>
            <w:shd w:val="clear" w:color="auto" w:fill="auto"/>
            <w:vAlign w:val="center"/>
          </w:tcPr>
          <w:p>
            <w:pPr>
              <w:widowControl/>
              <w:spacing w:line="280" w:lineRule="exact"/>
              <w:jc w:val="center"/>
              <w:rPr>
                <w:rFonts w:ascii="宋体" w:hAnsi="宋体" w:cs="宋体"/>
                <w:color w:val="auto"/>
                <w:kern w:val="0"/>
                <w:highlight w:val="none"/>
              </w:rPr>
            </w:pPr>
            <w:r>
              <w:rPr>
                <w:rFonts w:hint="eastAsia" w:ascii="宋体" w:hAnsi="宋体" w:cs="宋体"/>
                <w:color w:val="auto"/>
                <w:kern w:val="0"/>
                <w:highlight w:val="none"/>
              </w:rPr>
              <w:t>充气系统</w:t>
            </w:r>
          </w:p>
        </w:tc>
        <w:tc>
          <w:tcPr>
            <w:tcW w:w="7180" w:type="dxa"/>
            <w:gridSpan w:val="3"/>
            <w:tcBorders>
              <w:top w:val="single" w:color="auto" w:sz="4" w:space="0"/>
              <w:left w:val="nil"/>
              <w:bottom w:val="single" w:color="auto" w:sz="4" w:space="0"/>
              <w:right w:val="single" w:color="000000" w:sz="8" w:space="0"/>
            </w:tcBorders>
            <w:shd w:val="clear" w:color="auto" w:fill="auto"/>
            <w:vAlign w:val="center"/>
          </w:tcPr>
          <w:p>
            <w:pPr>
              <w:spacing w:line="280" w:lineRule="exact"/>
              <w:rPr>
                <w:rFonts w:ascii="宋体" w:hAnsi="宋体"/>
                <w:color w:val="auto"/>
                <w:highlight w:val="none"/>
              </w:rPr>
            </w:pPr>
            <w:r>
              <w:rPr>
                <w:rFonts w:hint="eastAsia" w:ascii="宋体" w:hAnsi="宋体"/>
                <w:color w:val="auto"/>
                <w:highlight w:val="none"/>
              </w:rPr>
              <w:t>配备双缸充气泵。</w:t>
            </w:r>
          </w:p>
        </w:tc>
      </w:tr>
      <w:tr>
        <w:tblPrEx>
          <w:tblCellMar>
            <w:top w:w="0" w:type="dxa"/>
            <w:left w:w="108" w:type="dxa"/>
            <w:bottom w:w="0" w:type="dxa"/>
            <w:right w:w="108" w:type="dxa"/>
          </w:tblCellMar>
        </w:tblPrEx>
        <w:trPr>
          <w:trHeight w:val="619" w:hRule="atLeast"/>
          <w:jc w:val="center"/>
        </w:trPr>
        <w:tc>
          <w:tcPr>
            <w:tcW w:w="1640" w:type="dxa"/>
            <w:tcBorders>
              <w:top w:val="nil"/>
              <w:left w:val="single" w:color="auto" w:sz="8" w:space="0"/>
              <w:bottom w:val="single" w:color="auto" w:sz="4" w:space="0"/>
              <w:right w:val="single" w:color="auto" w:sz="4" w:space="0"/>
            </w:tcBorders>
            <w:shd w:val="clear" w:color="auto" w:fill="auto"/>
            <w:vAlign w:val="center"/>
          </w:tcPr>
          <w:p>
            <w:pPr>
              <w:widowControl/>
              <w:spacing w:line="280" w:lineRule="exact"/>
              <w:jc w:val="center"/>
              <w:rPr>
                <w:rFonts w:ascii="宋体" w:hAnsi="宋体" w:cs="宋体"/>
                <w:color w:val="auto"/>
                <w:kern w:val="0"/>
                <w:highlight w:val="none"/>
              </w:rPr>
            </w:pPr>
            <w:r>
              <w:rPr>
                <w:rFonts w:hint="eastAsia" w:ascii="宋体" w:hAnsi="宋体" w:cs="宋体"/>
                <w:color w:val="auto"/>
                <w:kern w:val="0"/>
                <w:highlight w:val="none"/>
              </w:rPr>
              <w:t>随车资料</w:t>
            </w:r>
          </w:p>
        </w:tc>
        <w:tc>
          <w:tcPr>
            <w:tcW w:w="7180" w:type="dxa"/>
            <w:gridSpan w:val="3"/>
            <w:tcBorders>
              <w:top w:val="single" w:color="auto" w:sz="4" w:space="0"/>
              <w:left w:val="nil"/>
              <w:bottom w:val="single" w:color="auto" w:sz="4" w:space="0"/>
              <w:right w:val="single" w:color="000000" w:sz="8" w:space="0"/>
            </w:tcBorders>
            <w:shd w:val="clear" w:color="auto" w:fill="auto"/>
            <w:vAlign w:val="center"/>
          </w:tcPr>
          <w:p>
            <w:pPr>
              <w:spacing w:line="280" w:lineRule="exact"/>
              <w:rPr>
                <w:rFonts w:ascii="宋体" w:hAnsi="宋体"/>
                <w:color w:val="auto"/>
                <w:highlight w:val="none"/>
              </w:rPr>
            </w:pPr>
            <w:r>
              <w:rPr>
                <w:rFonts w:hint="eastAsia" w:ascii="宋体" w:hAnsi="宋体"/>
                <w:color w:val="auto"/>
                <w:highlight w:val="none"/>
              </w:rPr>
              <w:t>底盘和整车使用说明书、维修手册及合格证，车辆VIN码及发动机号拓印件，国家工信部认证证书；随车配件清单。</w:t>
            </w:r>
          </w:p>
        </w:tc>
      </w:tr>
      <w:tr>
        <w:tblPrEx>
          <w:tblCellMar>
            <w:top w:w="0" w:type="dxa"/>
            <w:left w:w="108" w:type="dxa"/>
            <w:bottom w:w="0" w:type="dxa"/>
            <w:right w:w="108" w:type="dxa"/>
          </w:tblCellMar>
        </w:tblPrEx>
        <w:trPr>
          <w:trHeight w:val="884" w:hRule="atLeast"/>
          <w:jc w:val="center"/>
        </w:trPr>
        <w:tc>
          <w:tcPr>
            <w:tcW w:w="1640" w:type="dxa"/>
            <w:tcBorders>
              <w:top w:val="nil"/>
              <w:left w:val="single" w:color="auto" w:sz="8" w:space="0"/>
              <w:bottom w:val="single" w:color="auto" w:sz="4" w:space="0"/>
              <w:right w:val="single" w:color="auto" w:sz="4" w:space="0"/>
            </w:tcBorders>
            <w:shd w:val="clear" w:color="auto" w:fill="auto"/>
            <w:vAlign w:val="center"/>
          </w:tcPr>
          <w:p>
            <w:pPr>
              <w:widowControl/>
              <w:spacing w:line="280" w:lineRule="exact"/>
              <w:jc w:val="center"/>
              <w:rPr>
                <w:rFonts w:ascii="宋体" w:hAnsi="宋体" w:cs="宋体"/>
                <w:color w:val="auto"/>
                <w:kern w:val="0"/>
                <w:highlight w:val="none"/>
              </w:rPr>
            </w:pPr>
            <w:r>
              <w:rPr>
                <w:rFonts w:hint="eastAsia" w:ascii="宋体" w:hAnsi="宋体" w:cs="宋体"/>
                <w:color w:val="auto"/>
                <w:kern w:val="0"/>
                <w:highlight w:val="none"/>
              </w:rPr>
              <w:t>随车器材</w:t>
            </w:r>
          </w:p>
        </w:tc>
        <w:tc>
          <w:tcPr>
            <w:tcW w:w="7180" w:type="dxa"/>
            <w:gridSpan w:val="3"/>
            <w:tcBorders>
              <w:top w:val="single" w:color="auto" w:sz="4" w:space="0"/>
              <w:left w:val="nil"/>
              <w:bottom w:val="single" w:color="auto" w:sz="4" w:space="0"/>
              <w:right w:val="single" w:color="000000" w:sz="8" w:space="0"/>
            </w:tcBorders>
            <w:shd w:val="clear" w:color="auto" w:fill="auto"/>
            <w:vAlign w:val="center"/>
          </w:tcPr>
          <w:p>
            <w:pPr>
              <w:spacing w:line="280" w:lineRule="exact"/>
              <w:rPr>
                <w:rFonts w:ascii="宋体" w:hAnsi="宋体"/>
                <w:color w:val="auto"/>
                <w:highlight w:val="none"/>
              </w:rPr>
            </w:pPr>
            <w:r>
              <w:rPr>
                <w:rFonts w:hint="eastAsia" w:ascii="宋体" w:hAnsi="宋体"/>
                <w:color w:val="auto"/>
                <w:highlight w:val="none"/>
              </w:rPr>
              <w:t>随车器材：手抬机动泵1台，激流救生衣套装4套，机动链锯1台，手提式强光照明灯4具。</w:t>
            </w:r>
          </w:p>
        </w:tc>
      </w:tr>
      <w:tr>
        <w:tblPrEx>
          <w:tblCellMar>
            <w:top w:w="0" w:type="dxa"/>
            <w:left w:w="108" w:type="dxa"/>
            <w:bottom w:w="0" w:type="dxa"/>
            <w:right w:w="108" w:type="dxa"/>
          </w:tblCellMar>
        </w:tblPrEx>
        <w:trPr>
          <w:trHeight w:val="619" w:hRule="atLeast"/>
          <w:jc w:val="center"/>
        </w:trPr>
        <w:tc>
          <w:tcPr>
            <w:tcW w:w="1640" w:type="dxa"/>
            <w:vMerge w:val="restart"/>
            <w:tcBorders>
              <w:top w:val="nil"/>
              <w:left w:val="single" w:color="auto" w:sz="8" w:space="0"/>
              <w:bottom w:val="single" w:color="000000" w:sz="8" w:space="0"/>
              <w:right w:val="single" w:color="auto" w:sz="4" w:space="0"/>
            </w:tcBorders>
            <w:shd w:val="clear" w:color="auto" w:fill="auto"/>
            <w:vAlign w:val="center"/>
          </w:tcPr>
          <w:p>
            <w:pPr>
              <w:widowControl/>
              <w:spacing w:line="280" w:lineRule="exact"/>
              <w:jc w:val="center"/>
              <w:rPr>
                <w:rFonts w:ascii="宋体" w:hAnsi="宋体" w:cs="宋体"/>
                <w:color w:val="auto"/>
                <w:kern w:val="0"/>
                <w:highlight w:val="none"/>
              </w:rPr>
            </w:pPr>
            <w:r>
              <w:rPr>
                <w:rFonts w:hint="eastAsia" w:ascii="宋体" w:hAnsi="宋体" w:cs="宋体"/>
                <w:color w:val="auto"/>
                <w:kern w:val="0"/>
                <w:highlight w:val="none"/>
              </w:rPr>
              <w:t>总体要求</w:t>
            </w:r>
          </w:p>
        </w:tc>
        <w:tc>
          <w:tcPr>
            <w:tcW w:w="7180" w:type="dxa"/>
            <w:gridSpan w:val="3"/>
            <w:tcBorders>
              <w:top w:val="single" w:color="auto" w:sz="4" w:space="0"/>
              <w:left w:val="nil"/>
              <w:bottom w:val="single" w:color="auto" w:sz="4" w:space="0"/>
              <w:right w:val="single" w:color="000000" w:sz="8" w:space="0"/>
            </w:tcBorders>
            <w:shd w:val="clear" w:color="auto" w:fill="auto"/>
            <w:vAlign w:val="center"/>
          </w:tcPr>
          <w:p>
            <w:pPr>
              <w:widowControl/>
              <w:spacing w:line="280" w:lineRule="exact"/>
              <w:jc w:val="left"/>
              <w:rPr>
                <w:rFonts w:ascii="宋体" w:hAnsi="宋体"/>
                <w:color w:val="auto"/>
                <w:kern w:val="0"/>
                <w:highlight w:val="none"/>
              </w:rPr>
            </w:pPr>
            <w:r>
              <w:rPr>
                <w:rFonts w:hint="eastAsia" w:ascii="宋体" w:hAnsi="宋体"/>
                <w:color w:val="auto"/>
                <w:highlight w:val="none"/>
              </w:rPr>
              <w:t>1、所有操作开关、仪表、器材架及车辆均有符合规范的中文防水标识铭牌，车辆两侧及后部均贴有夜间反光警示贴。</w:t>
            </w:r>
          </w:p>
        </w:tc>
      </w:tr>
      <w:tr>
        <w:tblPrEx>
          <w:tblCellMar>
            <w:top w:w="0" w:type="dxa"/>
            <w:left w:w="108" w:type="dxa"/>
            <w:bottom w:w="0" w:type="dxa"/>
            <w:right w:w="108" w:type="dxa"/>
          </w:tblCellMar>
        </w:tblPrEx>
        <w:trPr>
          <w:trHeight w:val="619" w:hRule="atLeast"/>
          <w:jc w:val="center"/>
        </w:trPr>
        <w:tc>
          <w:tcPr>
            <w:tcW w:w="1640" w:type="dxa"/>
            <w:vMerge w:val="continue"/>
            <w:tcBorders>
              <w:top w:val="nil"/>
              <w:left w:val="single" w:color="auto" w:sz="8" w:space="0"/>
              <w:bottom w:val="single" w:color="000000" w:sz="8" w:space="0"/>
              <w:right w:val="single" w:color="auto" w:sz="4" w:space="0"/>
            </w:tcBorders>
            <w:vAlign w:val="center"/>
          </w:tcPr>
          <w:p>
            <w:pPr>
              <w:widowControl/>
              <w:spacing w:line="280" w:lineRule="exact"/>
              <w:jc w:val="left"/>
              <w:rPr>
                <w:rFonts w:ascii="宋体" w:hAnsi="宋体" w:cs="宋体"/>
                <w:color w:val="auto"/>
                <w:kern w:val="0"/>
                <w:highlight w:val="none"/>
              </w:rPr>
            </w:pPr>
          </w:p>
        </w:tc>
        <w:tc>
          <w:tcPr>
            <w:tcW w:w="7180" w:type="dxa"/>
            <w:gridSpan w:val="3"/>
            <w:tcBorders>
              <w:top w:val="single" w:color="auto" w:sz="4" w:space="0"/>
              <w:left w:val="nil"/>
              <w:bottom w:val="single" w:color="auto" w:sz="4" w:space="0"/>
              <w:right w:val="single" w:color="000000" w:sz="8" w:space="0"/>
            </w:tcBorders>
            <w:shd w:val="clear" w:color="auto" w:fill="auto"/>
            <w:vAlign w:val="center"/>
          </w:tcPr>
          <w:p>
            <w:pPr>
              <w:spacing w:line="280" w:lineRule="exact"/>
              <w:rPr>
                <w:rFonts w:ascii="宋体" w:hAnsi="宋体"/>
                <w:color w:val="auto"/>
                <w:highlight w:val="none"/>
              </w:rPr>
            </w:pPr>
            <w:r>
              <w:rPr>
                <w:rFonts w:hint="eastAsia" w:ascii="宋体" w:hAnsi="宋体"/>
                <w:color w:val="auto"/>
                <w:highlight w:val="none"/>
              </w:rPr>
              <w:t>2、货箱加装货箱盖板，选用金属材质，一体成型，具有良好密封性，尺寸与车厢整体匹配美观，具备可快速拆卸功能。</w:t>
            </w:r>
          </w:p>
        </w:tc>
      </w:tr>
      <w:tr>
        <w:tblPrEx>
          <w:tblCellMar>
            <w:top w:w="0" w:type="dxa"/>
            <w:left w:w="108" w:type="dxa"/>
            <w:bottom w:w="0" w:type="dxa"/>
            <w:right w:w="108" w:type="dxa"/>
          </w:tblCellMar>
        </w:tblPrEx>
        <w:trPr>
          <w:trHeight w:val="600" w:hRule="atLeast"/>
          <w:jc w:val="center"/>
        </w:trPr>
        <w:tc>
          <w:tcPr>
            <w:tcW w:w="1640" w:type="dxa"/>
            <w:vMerge w:val="continue"/>
            <w:tcBorders>
              <w:top w:val="nil"/>
              <w:left w:val="single" w:color="auto" w:sz="8" w:space="0"/>
              <w:bottom w:val="single" w:color="000000" w:sz="8" w:space="0"/>
              <w:right w:val="single" w:color="auto" w:sz="4" w:space="0"/>
            </w:tcBorders>
            <w:vAlign w:val="center"/>
          </w:tcPr>
          <w:p>
            <w:pPr>
              <w:widowControl/>
              <w:spacing w:line="280" w:lineRule="exact"/>
              <w:jc w:val="left"/>
              <w:rPr>
                <w:rFonts w:ascii="宋体" w:hAnsi="宋体" w:cs="宋体"/>
                <w:color w:val="auto"/>
                <w:kern w:val="0"/>
                <w:highlight w:val="none"/>
              </w:rPr>
            </w:pPr>
          </w:p>
        </w:tc>
        <w:tc>
          <w:tcPr>
            <w:tcW w:w="7180" w:type="dxa"/>
            <w:gridSpan w:val="3"/>
            <w:tcBorders>
              <w:top w:val="single" w:color="auto" w:sz="4" w:space="0"/>
              <w:left w:val="nil"/>
              <w:bottom w:val="single" w:color="auto" w:sz="4" w:space="0"/>
              <w:right w:val="single" w:color="000000" w:sz="8" w:space="0"/>
            </w:tcBorders>
            <w:shd w:val="clear" w:color="auto" w:fill="auto"/>
            <w:vAlign w:val="center"/>
          </w:tcPr>
          <w:p>
            <w:pPr>
              <w:spacing w:line="280" w:lineRule="exact"/>
              <w:rPr>
                <w:rFonts w:ascii="宋体" w:hAnsi="宋体"/>
                <w:color w:val="auto"/>
                <w:highlight w:val="none"/>
              </w:rPr>
            </w:pPr>
            <w:r>
              <w:rPr>
                <w:rFonts w:hint="eastAsia" w:ascii="宋体" w:hAnsi="宋体"/>
                <w:color w:val="auto"/>
                <w:highlight w:val="none"/>
              </w:rPr>
              <w:t>3、车用易损件按照1:2随车配备，交车时车用油、水、电、气等各项指标处于齐备状态。</w:t>
            </w:r>
          </w:p>
        </w:tc>
      </w:tr>
      <w:tr>
        <w:tblPrEx>
          <w:tblCellMar>
            <w:top w:w="0" w:type="dxa"/>
            <w:left w:w="108" w:type="dxa"/>
            <w:bottom w:w="0" w:type="dxa"/>
            <w:right w:w="108" w:type="dxa"/>
          </w:tblCellMar>
        </w:tblPrEx>
        <w:trPr>
          <w:trHeight w:val="559" w:hRule="atLeast"/>
          <w:jc w:val="center"/>
        </w:trPr>
        <w:tc>
          <w:tcPr>
            <w:tcW w:w="1640" w:type="dxa"/>
            <w:vMerge w:val="continue"/>
            <w:tcBorders>
              <w:top w:val="nil"/>
              <w:left w:val="single" w:color="auto" w:sz="8" w:space="0"/>
              <w:bottom w:val="single" w:color="000000" w:sz="8" w:space="0"/>
              <w:right w:val="single" w:color="auto" w:sz="4" w:space="0"/>
            </w:tcBorders>
            <w:vAlign w:val="center"/>
          </w:tcPr>
          <w:p>
            <w:pPr>
              <w:widowControl/>
              <w:spacing w:line="280" w:lineRule="exact"/>
              <w:jc w:val="left"/>
              <w:rPr>
                <w:rFonts w:ascii="宋体" w:hAnsi="宋体" w:cs="宋体"/>
                <w:color w:val="auto"/>
                <w:kern w:val="0"/>
                <w:highlight w:val="none"/>
              </w:rPr>
            </w:pPr>
          </w:p>
        </w:tc>
        <w:tc>
          <w:tcPr>
            <w:tcW w:w="7180" w:type="dxa"/>
            <w:gridSpan w:val="3"/>
            <w:tcBorders>
              <w:top w:val="single" w:color="auto" w:sz="4" w:space="0"/>
              <w:left w:val="nil"/>
              <w:bottom w:val="single" w:color="auto" w:sz="4" w:space="0"/>
              <w:right w:val="single" w:color="000000" w:sz="8" w:space="0"/>
            </w:tcBorders>
            <w:shd w:val="clear" w:color="auto" w:fill="auto"/>
            <w:vAlign w:val="center"/>
          </w:tcPr>
          <w:p>
            <w:pPr>
              <w:spacing w:line="280" w:lineRule="exact"/>
              <w:rPr>
                <w:rFonts w:ascii="宋体" w:hAnsi="宋体"/>
                <w:color w:val="auto"/>
                <w:highlight w:val="none"/>
              </w:rPr>
            </w:pPr>
            <w:r>
              <w:rPr>
                <w:rFonts w:hint="eastAsia" w:ascii="宋体" w:hAnsi="宋体"/>
                <w:color w:val="auto"/>
                <w:highlight w:val="none"/>
              </w:rPr>
              <w:t>4、消防车辆自验收合格之日起五年，质保期内免费维修更换相关配件</w:t>
            </w:r>
            <w:r>
              <w:rPr>
                <w:rFonts w:hint="eastAsia" w:ascii="宋体" w:hAnsi="宋体"/>
                <w:color w:val="auto"/>
                <w:highlight w:val="none"/>
                <w:lang w:eastAsia="zh-CN"/>
              </w:rPr>
              <w:t>。</w:t>
            </w:r>
            <w:r>
              <w:rPr>
                <w:rFonts w:hint="eastAsia" w:ascii="宋体" w:hAnsi="宋体"/>
                <w:color w:val="auto"/>
                <w:highlight w:val="none"/>
              </w:rPr>
              <w:t>底盘出厂日期不早于2024年1月1日。</w:t>
            </w:r>
          </w:p>
        </w:tc>
      </w:tr>
      <w:tr>
        <w:tblPrEx>
          <w:tblCellMar>
            <w:top w:w="0" w:type="dxa"/>
            <w:left w:w="108" w:type="dxa"/>
            <w:bottom w:w="0" w:type="dxa"/>
            <w:right w:w="108" w:type="dxa"/>
          </w:tblCellMar>
        </w:tblPrEx>
        <w:trPr>
          <w:trHeight w:val="987" w:hRule="atLeast"/>
          <w:jc w:val="center"/>
        </w:trPr>
        <w:tc>
          <w:tcPr>
            <w:tcW w:w="1640" w:type="dxa"/>
            <w:vMerge w:val="continue"/>
            <w:tcBorders>
              <w:top w:val="nil"/>
              <w:left w:val="single" w:color="auto" w:sz="8" w:space="0"/>
              <w:bottom w:val="single" w:color="000000" w:sz="8" w:space="0"/>
              <w:right w:val="single" w:color="auto" w:sz="4" w:space="0"/>
            </w:tcBorders>
            <w:vAlign w:val="center"/>
          </w:tcPr>
          <w:p>
            <w:pPr>
              <w:widowControl/>
              <w:spacing w:line="280" w:lineRule="exact"/>
              <w:jc w:val="left"/>
              <w:rPr>
                <w:rFonts w:ascii="宋体" w:hAnsi="宋体" w:cs="宋体"/>
                <w:color w:val="auto"/>
                <w:kern w:val="0"/>
                <w:highlight w:val="none"/>
              </w:rPr>
            </w:pPr>
          </w:p>
        </w:tc>
        <w:tc>
          <w:tcPr>
            <w:tcW w:w="7180" w:type="dxa"/>
            <w:gridSpan w:val="3"/>
            <w:tcBorders>
              <w:top w:val="single" w:color="auto" w:sz="4" w:space="0"/>
              <w:left w:val="nil"/>
              <w:bottom w:val="single" w:color="auto" w:sz="4" w:space="0"/>
              <w:right w:val="single" w:color="000000" w:sz="8" w:space="0"/>
            </w:tcBorders>
            <w:shd w:val="clear" w:color="auto" w:fill="auto"/>
            <w:vAlign w:val="center"/>
          </w:tcPr>
          <w:p>
            <w:pPr>
              <w:spacing w:line="280" w:lineRule="exact"/>
              <w:rPr>
                <w:rFonts w:ascii="宋体" w:hAnsi="宋体"/>
                <w:color w:val="auto"/>
                <w:highlight w:val="none"/>
              </w:rPr>
            </w:pPr>
            <w:r>
              <w:rPr>
                <w:rFonts w:hint="eastAsia" w:ascii="宋体" w:hAnsi="宋体"/>
                <w:color w:val="auto"/>
                <w:highlight w:val="none"/>
              </w:rPr>
              <w:t>★5、所投型号车辆，符合市场准入要求和国家相关标准(规范)要求，提供整车设计效果图，包括整车结构图、三维效果图等。</w:t>
            </w:r>
          </w:p>
        </w:tc>
      </w:tr>
      <w:tr>
        <w:tblPrEx>
          <w:tblCellMar>
            <w:top w:w="0" w:type="dxa"/>
            <w:left w:w="108" w:type="dxa"/>
            <w:bottom w:w="0" w:type="dxa"/>
            <w:right w:w="108" w:type="dxa"/>
          </w:tblCellMar>
        </w:tblPrEx>
        <w:trPr>
          <w:trHeight w:val="559" w:hRule="atLeast"/>
          <w:jc w:val="center"/>
        </w:trPr>
        <w:tc>
          <w:tcPr>
            <w:tcW w:w="1640" w:type="dxa"/>
            <w:vMerge w:val="continue"/>
            <w:tcBorders>
              <w:top w:val="nil"/>
              <w:left w:val="single" w:color="auto" w:sz="8" w:space="0"/>
              <w:bottom w:val="nil"/>
              <w:right w:val="single" w:color="auto" w:sz="4" w:space="0"/>
            </w:tcBorders>
            <w:vAlign w:val="center"/>
          </w:tcPr>
          <w:p>
            <w:pPr>
              <w:widowControl/>
              <w:spacing w:line="280" w:lineRule="exact"/>
              <w:jc w:val="left"/>
              <w:rPr>
                <w:rFonts w:ascii="宋体" w:hAnsi="宋体" w:cs="宋体"/>
                <w:color w:val="auto"/>
                <w:kern w:val="0"/>
                <w:highlight w:val="none"/>
              </w:rPr>
            </w:pPr>
          </w:p>
        </w:tc>
        <w:tc>
          <w:tcPr>
            <w:tcW w:w="7180" w:type="dxa"/>
            <w:gridSpan w:val="3"/>
            <w:tcBorders>
              <w:top w:val="single" w:color="auto" w:sz="4" w:space="0"/>
              <w:left w:val="nil"/>
              <w:bottom w:val="single" w:color="auto" w:sz="4" w:space="0"/>
              <w:right w:val="single" w:color="000000" w:sz="8" w:space="0"/>
            </w:tcBorders>
            <w:shd w:val="clear" w:color="auto" w:fill="auto"/>
            <w:vAlign w:val="center"/>
          </w:tcPr>
          <w:p>
            <w:pPr>
              <w:spacing w:line="280" w:lineRule="exact"/>
              <w:rPr>
                <w:rFonts w:ascii="宋体" w:hAnsi="宋体"/>
                <w:color w:val="auto"/>
                <w:highlight w:val="none"/>
              </w:rPr>
            </w:pPr>
            <w:r>
              <w:rPr>
                <w:rFonts w:hint="eastAsia" w:ascii="宋体" w:hAnsi="宋体"/>
                <w:color w:val="auto"/>
                <w:highlight w:val="none"/>
              </w:rPr>
              <w:t>6、外观标识符合《消防救援局关于做好消防救援车辆外观制式涂装工作的通知》应急消〔2019〕76号文件要求。</w:t>
            </w:r>
          </w:p>
        </w:tc>
      </w:tr>
      <w:tr>
        <w:tblPrEx>
          <w:tblCellMar>
            <w:top w:w="0" w:type="dxa"/>
            <w:left w:w="108" w:type="dxa"/>
            <w:bottom w:w="0" w:type="dxa"/>
            <w:right w:w="108" w:type="dxa"/>
          </w:tblCellMar>
        </w:tblPrEx>
        <w:trPr>
          <w:trHeight w:val="559" w:hRule="atLeast"/>
          <w:jc w:val="center"/>
        </w:trPr>
        <w:tc>
          <w:tcPr>
            <w:tcW w:w="1640" w:type="dxa"/>
            <w:tcBorders>
              <w:top w:val="nil"/>
              <w:left w:val="single" w:color="auto" w:sz="8" w:space="0"/>
              <w:bottom w:val="single" w:color="000000" w:sz="8" w:space="0"/>
              <w:right w:val="single" w:color="auto" w:sz="4" w:space="0"/>
            </w:tcBorders>
            <w:vAlign w:val="center"/>
          </w:tcPr>
          <w:p>
            <w:pPr>
              <w:widowControl/>
              <w:spacing w:line="280" w:lineRule="exact"/>
              <w:jc w:val="left"/>
              <w:rPr>
                <w:rFonts w:ascii="宋体" w:hAnsi="宋体" w:cs="宋体"/>
                <w:color w:val="auto"/>
                <w:kern w:val="0"/>
                <w:highlight w:val="none"/>
              </w:rPr>
            </w:pPr>
          </w:p>
        </w:tc>
        <w:tc>
          <w:tcPr>
            <w:tcW w:w="7180" w:type="dxa"/>
            <w:gridSpan w:val="3"/>
            <w:tcBorders>
              <w:top w:val="single" w:color="auto" w:sz="4" w:space="0"/>
              <w:left w:val="nil"/>
              <w:bottom w:val="single" w:color="auto" w:sz="8" w:space="0"/>
              <w:right w:val="single" w:color="000000" w:sz="8" w:space="0"/>
            </w:tcBorders>
            <w:shd w:val="clear" w:color="auto" w:fill="auto"/>
            <w:vAlign w:val="center"/>
          </w:tcPr>
          <w:p>
            <w:pPr>
              <w:spacing w:line="280" w:lineRule="exact"/>
              <w:rPr>
                <w:rFonts w:ascii="宋体" w:hAnsi="宋体"/>
                <w:color w:val="auto"/>
                <w:highlight w:val="none"/>
              </w:rPr>
            </w:pPr>
          </w:p>
        </w:tc>
      </w:tr>
    </w:tbl>
    <w:p>
      <w:pPr>
        <w:pStyle w:val="23"/>
        <w:spacing w:line="280" w:lineRule="exact"/>
        <w:rPr>
          <w:rFonts w:hAnsi="宋体"/>
          <w:color w:val="auto"/>
          <w:highlight w:val="none"/>
        </w:rPr>
      </w:pPr>
    </w:p>
    <w:p>
      <w:pPr>
        <w:widowControl/>
        <w:spacing w:line="280" w:lineRule="exact"/>
        <w:jc w:val="left"/>
        <w:rPr>
          <w:rFonts w:ascii="宋体" w:hAnsi="宋体" w:cs="Courier New"/>
          <w:b/>
          <w:color w:val="auto"/>
          <w:sz w:val="24"/>
          <w:szCs w:val="24"/>
          <w:highlight w:val="none"/>
        </w:rPr>
      </w:pPr>
      <w:r>
        <w:rPr>
          <w:rFonts w:ascii="宋体" w:hAnsi="宋体" w:cs="Courier New"/>
          <w:b/>
          <w:color w:val="auto"/>
          <w:sz w:val="24"/>
          <w:szCs w:val="24"/>
          <w:highlight w:val="none"/>
        </w:rPr>
        <w:br w:type="page"/>
      </w:r>
    </w:p>
    <w:p>
      <w:pPr>
        <w:widowControl/>
        <w:jc w:val="center"/>
        <w:rPr>
          <w:rFonts w:ascii="宋体" w:hAnsi="宋体" w:cs="Courier New"/>
          <w:b/>
          <w:color w:val="auto"/>
          <w:sz w:val="24"/>
          <w:szCs w:val="24"/>
          <w:highlight w:val="none"/>
        </w:rPr>
      </w:pPr>
      <w:r>
        <w:rPr>
          <w:rFonts w:hint="eastAsia" w:ascii="宋体" w:hAnsi="宋体" w:cs="Courier New"/>
          <w:b/>
          <w:color w:val="auto"/>
          <w:sz w:val="24"/>
          <w:szCs w:val="24"/>
          <w:highlight w:val="none"/>
        </w:rPr>
        <w:t>前突皮卡车随车器材需求内容</w:t>
      </w:r>
    </w:p>
    <w:p>
      <w:pPr>
        <w:widowControl/>
        <w:jc w:val="center"/>
        <w:rPr>
          <w:rFonts w:ascii="宋体" w:hAnsi="宋体" w:cs="Courier New"/>
          <w:b/>
          <w:color w:val="auto"/>
          <w:sz w:val="24"/>
          <w:szCs w:val="24"/>
          <w:highlight w:val="none"/>
        </w:rPr>
      </w:pPr>
    </w:p>
    <w:tbl>
      <w:tblPr>
        <w:tblStyle w:val="38"/>
        <w:tblW w:w="10417" w:type="dxa"/>
        <w:jc w:val="center"/>
        <w:tblLayout w:type="autofit"/>
        <w:tblCellMar>
          <w:top w:w="0" w:type="dxa"/>
          <w:left w:w="108" w:type="dxa"/>
          <w:bottom w:w="0" w:type="dxa"/>
          <w:right w:w="108" w:type="dxa"/>
        </w:tblCellMar>
      </w:tblPr>
      <w:tblGrid>
        <w:gridCol w:w="567"/>
        <w:gridCol w:w="878"/>
        <w:gridCol w:w="878"/>
        <w:gridCol w:w="1315"/>
        <w:gridCol w:w="6779"/>
      </w:tblGrid>
      <w:tr>
        <w:trPr>
          <w:trHeight w:val="1737" w:hRule="atLeast"/>
          <w:tblHeader/>
          <w:jc w:val="center"/>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80" w:lineRule="exact"/>
              <w:jc w:val="center"/>
              <w:rPr>
                <w:rFonts w:ascii="宋体" w:hAnsi="宋体" w:cs="宋体"/>
                <w:b/>
                <w:color w:val="auto"/>
                <w:kern w:val="0"/>
                <w:highlight w:val="none"/>
              </w:rPr>
            </w:pPr>
            <w:r>
              <w:rPr>
                <w:rFonts w:hint="eastAsia" w:ascii="宋体" w:hAnsi="宋体" w:cs="宋体"/>
                <w:b/>
                <w:color w:val="auto"/>
                <w:kern w:val="0"/>
                <w:highlight w:val="none"/>
              </w:rPr>
              <w:t>序号</w:t>
            </w:r>
          </w:p>
        </w:tc>
        <w:tc>
          <w:tcPr>
            <w:tcW w:w="878" w:type="dxa"/>
            <w:tcBorders>
              <w:top w:val="single" w:color="auto" w:sz="4" w:space="0"/>
              <w:left w:val="nil"/>
              <w:bottom w:val="single" w:color="auto" w:sz="4" w:space="0"/>
              <w:right w:val="single" w:color="auto" w:sz="4" w:space="0"/>
            </w:tcBorders>
            <w:shd w:val="clear" w:color="auto" w:fill="auto"/>
            <w:vAlign w:val="center"/>
          </w:tcPr>
          <w:p>
            <w:pPr>
              <w:widowControl/>
              <w:spacing w:line="280" w:lineRule="exact"/>
              <w:jc w:val="center"/>
              <w:rPr>
                <w:rFonts w:ascii="宋体" w:hAnsi="宋体" w:cs="宋体"/>
                <w:b/>
                <w:color w:val="auto"/>
                <w:kern w:val="0"/>
                <w:highlight w:val="none"/>
              </w:rPr>
            </w:pPr>
            <w:r>
              <w:rPr>
                <w:rFonts w:hint="eastAsia" w:ascii="宋体" w:hAnsi="宋体" w:cs="宋体"/>
                <w:b/>
                <w:color w:val="auto"/>
                <w:kern w:val="0"/>
                <w:highlight w:val="none"/>
              </w:rPr>
              <w:t>数量</w:t>
            </w:r>
          </w:p>
        </w:tc>
        <w:tc>
          <w:tcPr>
            <w:tcW w:w="878" w:type="dxa"/>
            <w:tcBorders>
              <w:top w:val="single" w:color="auto" w:sz="4" w:space="0"/>
              <w:left w:val="nil"/>
              <w:bottom w:val="single" w:color="auto" w:sz="4" w:space="0"/>
              <w:right w:val="single" w:color="auto" w:sz="4" w:space="0"/>
            </w:tcBorders>
            <w:shd w:val="clear" w:color="auto" w:fill="auto"/>
            <w:vAlign w:val="center"/>
          </w:tcPr>
          <w:p>
            <w:pPr>
              <w:widowControl/>
              <w:spacing w:line="280" w:lineRule="exact"/>
              <w:jc w:val="center"/>
              <w:rPr>
                <w:rFonts w:ascii="宋体" w:hAnsi="宋体" w:cs="宋体"/>
                <w:b/>
                <w:color w:val="auto"/>
                <w:kern w:val="0"/>
                <w:highlight w:val="none"/>
              </w:rPr>
            </w:pPr>
            <w:r>
              <w:rPr>
                <w:rFonts w:hint="eastAsia" w:ascii="宋体" w:hAnsi="宋体" w:cs="宋体"/>
                <w:b/>
                <w:color w:val="auto"/>
                <w:kern w:val="0"/>
                <w:highlight w:val="none"/>
              </w:rPr>
              <w:t>单价最高限价（万元）</w:t>
            </w:r>
          </w:p>
        </w:tc>
        <w:tc>
          <w:tcPr>
            <w:tcW w:w="1315" w:type="dxa"/>
            <w:tcBorders>
              <w:top w:val="single" w:color="auto" w:sz="4" w:space="0"/>
              <w:left w:val="nil"/>
              <w:bottom w:val="single" w:color="auto" w:sz="4" w:space="0"/>
              <w:right w:val="single" w:color="auto" w:sz="4" w:space="0"/>
            </w:tcBorders>
            <w:shd w:val="clear" w:color="auto" w:fill="auto"/>
            <w:vAlign w:val="center"/>
          </w:tcPr>
          <w:p>
            <w:pPr>
              <w:widowControl/>
              <w:spacing w:line="280" w:lineRule="exact"/>
              <w:jc w:val="center"/>
              <w:rPr>
                <w:rFonts w:ascii="宋体" w:hAnsi="宋体" w:cs="宋体"/>
                <w:b/>
                <w:color w:val="auto"/>
                <w:kern w:val="0"/>
                <w:highlight w:val="none"/>
              </w:rPr>
            </w:pPr>
            <w:r>
              <w:rPr>
                <w:rFonts w:hint="eastAsia" w:ascii="宋体" w:hAnsi="宋体" w:cs="宋体"/>
                <w:b/>
                <w:color w:val="auto"/>
                <w:kern w:val="0"/>
                <w:highlight w:val="none"/>
              </w:rPr>
              <w:t>装备名称</w:t>
            </w:r>
          </w:p>
        </w:tc>
        <w:tc>
          <w:tcPr>
            <w:tcW w:w="6779" w:type="dxa"/>
            <w:tcBorders>
              <w:top w:val="single" w:color="auto" w:sz="4" w:space="0"/>
              <w:left w:val="nil"/>
              <w:bottom w:val="single" w:color="auto" w:sz="4" w:space="0"/>
              <w:right w:val="single" w:color="auto" w:sz="4" w:space="0"/>
            </w:tcBorders>
            <w:shd w:val="clear" w:color="auto" w:fill="auto"/>
            <w:vAlign w:val="center"/>
          </w:tcPr>
          <w:p>
            <w:pPr>
              <w:widowControl/>
              <w:spacing w:line="280" w:lineRule="exact"/>
              <w:jc w:val="center"/>
              <w:rPr>
                <w:rFonts w:ascii="宋体" w:hAnsi="宋体" w:cs="宋体"/>
                <w:b/>
                <w:bCs/>
                <w:color w:val="auto"/>
                <w:kern w:val="0"/>
                <w:highlight w:val="none"/>
              </w:rPr>
            </w:pPr>
            <w:r>
              <w:rPr>
                <w:rFonts w:hint="eastAsia" w:ascii="宋体" w:hAnsi="宋体" w:cs="宋体"/>
                <w:b/>
                <w:bCs/>
                <w:color w:val="auto"/>
                <w:kern w:val="0"/>
                <w:highlight w:val="none"/>
              </w:rPr>
              <w:t>技术参数</w:t>
            </w:r>
          </w:p>
        </w:tc>
      </w:tr>
      <w:tr>
        <w:tblPrEx>
          <w:tblCellMar>
            <w:top w:w="0" w:type="dxa"/>
            <w:left w:w="108" w:type="dxa"/>
            <w:bottom w:w="0" w:type="dxa"/>
            <w:right w:w="108" w:type="dxa"/>
          </w:tblCellMar>
        </w:tblPrEx>
        <w:trPr>
          <w:trHeight w:val="90" w:hRule="atLeast"/>
          <w:jc w:val="center"/>
        </w:trPr>
        <w:tc>
          <w:tcPr>
            <w:tcW w:w="567" w:type="dxa"/>
            <w:tcBorders>
              <w:top w:val="nil"/>
              <w:left w:val="single" w:color="auto" w:sz="4" w:space="0"/>
              <w:bottom w:val="single" w:color="auto" w:sz="4" w:space="0"/>
              <w:right w:val="single" w:color="auto" w:sz="4" w:space="0"/>
            </w:tcBorders>
            <w:shd w:val="clear" w:color="auto" w:fill="auto"/>
            <w:vAlign w:val="center"/>
          </w:tcPr>
          <w:p>
            <w:pPr>
              <w:widowControl/>
              <w:spacing w:line="280" w:lineRule="exact"/>
              <w:jc w:val="center"/>
              <w:rPr>
                <w:rFonts w:ascii="宋体" w:hAnsi="宋体"/>
                <w:color w:val="auto"/>
                <w:kern w:val="0"/>
                <w:highlight w:val="none"/>
              </w:rPr>
            </w:pPr>
            <w:r>
              <w:rPr>
                <w:rFonts w:ascii="宋体" w:hAnsi="宋体"/>
                <w:color w:val="auto"/>
                <w:kern w:val="0"/>
                <w:highlight w:val="none"/>
              </w:rPr>
              <w:t>1</w:t>
            </w:r>
          </w:p>
        </w:tc>
        <w:tc>
          <w:tcPr>
            <w:tcW w:w="878" w:type="dxa"/>
            <w:tcBorders>
              <w:top w:val="nil"/>
              <w:left w:val="nil"/>
              <w:bottom w:val="single" w:color="auto" w:sz="4" w:space="0"/>
              <w:right w:val="single" w:color="auto" w:sz="4" w:space="0"/>
            </w:tcBorders>
            <w:shd w:val="clear" w:color="auto" w:fill="auto"/>
            <w:vAlign w:val="center"/>
          </w:tcPr>
          <w:p>
            <w:pPr>
              <w:widowControl/>
              <w:spacing w:line="280" w:lineRule="exact"/>
              <w:jc w:val="center"/>
              <w:rPr>
                <w:rFonts w:ascii="宋体" w:hAnsi="宋体"/>
                <w:color w:val="auto"/>
                <w:highlight w:val="none"/>
              </w:rPr>
            </w:pPr>
            <w:r>
              <w:rPr>
                <w:rFonts w:hint="eastAsia" w:ascii="宋体" w:hAnsi="宋体"/>
                <w:color w:val="auto"/>
                <w:highlight w:val="none"/>
              </w:rPr>
              <w:t>4</w:t>
            </w:r>
          </w:p>
        </w:tc>
        <w:tc>
          <w:tcPr>
            <w:tcW w:w="878" w:type="dxa"/>
            <w:tcBorders>
              <w:top w:val="nil"/>
              <w:left w:val="nil"/>
              <w:bottom w:val="single" w:color="auto" w:sz="4" w:space="0"/>
              <w:right w:val="single" w:color="auto" w:sz="4" w:space="0"/>
            </w:tcBorders>
            <w:shd w:val="clear" w:color="auto" w:fill="auto"/>
            <w:vAlign w:val="center"/>
          </w:tcPr>
          <w:p>
            <w:pPr>
              <w:widowControl/>
              <w:spacing w:line="280" w:lineRule="exact"/>
              <w:jc w:val="center"/>
              <w:rPr>
                <w:rFonts w:ascii="宋体" w:hAnsi="宋体"/>
                <w:color w:val="auto"/>
                <w:highlight w:val="none"/>
              </w:rPr>
            </w:pPr>
            <w:r>
              <w:rPr>
                <w:rFonts w:hint="eastAsia" w:ascii="宋体" w:hAnsi="宋体"/>
                <w:color w:val="auto"/>
                <w:highlight w:val="none"/>
              </w:rPr>
              <w:t>0.35</w:t>
            </w:r>
          </w:p>
        </w:tc>
        <w:tc>
          <w:tcPr>
            <w:tcW w:w="1315" w:type="dxa"/>
            <w:tcBorders>
              <w:top w:val="nil"/>
              <w:left w:val="nil"/>
              <w:bottom w:val="single" w:color="auto" w:sz="4" w:space="0"/>
              <w:right w:val="single" w:color="auto" w:sz="4" w:space="0"/>
            </w:tcBorders>
            <w:shd w:val="clear" w:color="auto" w:fill="auto"/>
            <w:vAlign w:val="center"/>
          </w:tcPr>
          <w:p>
            <w:pPr>
              <w:widowControl/>
              <w:spacing w:line="280" w:lineRule="exact"/>
              <w:jc w:val="center"/>
              <w:rPr>
                <w:rFonts w:hint="eastAsia" w:ascii="宋体" w:hAnsi="宋体" w:eastAsia="宋体"/>
                <w:color w:val="auto"/>
                <w:highlight w:val="none"/>
                <w:lang w:eastAsia="zh-CN"/>
              </w:rPr>
            </w:pPr>
            <w:r>
              <w:rPr>
                <w:rFonts w:hint="eastAsia" w:ascii="宋体" w:hAnsi="宋体"/>
                <w:color w:val="auto"/>
                <w:highlight w:val="none"/>
              </w:rPr>
              <w:t>激流救生衣套装</w:t>
            </w:r>
          </w:p>
          <w:p>
            <w:pPr>
              <w:widowControl/>
              <w:spacing w:line="280" w:lineRule="exact"/>
              <w:jc w:val="center"/>
              <w:rPr>
                <w:rFonts w:ascii="宋体" w:hAnsi="宋体"/>
                <w:color w:val="auto"/>
                <w:kern w:val="0"/>
                <w:sz w:val="24"/>
                <w:szCs w:val="24"/>
                <w:highlight w:val="none"/>
              </w:rPr>
            </w:pPr>
            <w:r>
              <w:rPr>
                <w:rFonts w:hint="eastAsia" w:ascii="宋体" w:hAnsi="宋体"/>
                <w:color w:val="auto"/>
                <w:highlight w:val="none"/>
              </w:rPr>
              <w:t>（含150N浮力激流救生衣抛绳包牛尾绳割绳刀潜水手电</w:t>
            </w:r>
          </w:p>
        </w:tc>
        <w:tc>
          <w:tcPr>
            <w:tcW w:w="6779" w:type="dxa"/>
            <w:tcBorders>
              <w:top w:val="nil"/>
              <w:left w:val="nil"/>
              <w:bottom w:val="single" w:color="auto" w:sz="4" w:space="0"/>
              <w:right w:val="single" w:color="auto" w:sz="4" w:space="0"/>
            </w:tcBorders>
            <w:shd w:val="clear" w:color="auto" w:fill="auto"/>
          </w:tcPr>
          <w:p>
            <w:pPr>
              <w:widowControl/>
              <w:spacing w:line="280" w:lineRule="exact"/>
              <w:jc w:val="left"/>
              <w:rPr>
                <w:rFonts w:hint="eastAsia" w:ascii="宋体" w:hAnsi="宋体" w:eastAsia="宋体"/>
                <w:color w:val="auto"/>
                <w:highlight w:val="none"/>
                <w:lang w:eastAsia="zh-CN"/>
              </w:rPr>
            </w:pPr>
            <w:r>
              <w:rPr>
                <w:rFonts w:hint="eastAsia" w:ascii="宋体" w:hAnsi="宋体"/>
                <w:color w:val="auto"/>
                <w:highlight w:val="none"/>
              </w:rPr>
              <w:t>1、采用NBR浮材，浮力171.5N，执行标准：GB/T 4303-20</w:t>
            </w:r>
            <w:r>
              <w:rPr>
                <w:rFonts w:hint="eastAsia" w:ascii="宋体" w:hAnsi="宋体"/>
                <w:color w:val="auto"/>
                <w:highlight w:val="none"/>
                <w:lang w:val="en-US" w:eastAsia="zh-CN"/>
              </w:rPr>
              <w:t>23</w:t>
            </w:r>
            <w:r>
              <w:rPr>
                <w:rFonts w:hint="eastAsia" w:ascii="宋体" w:hAnsi="宋体"/>
                <w:color w:val="auto"/>
                <w:highlight w:val="none"/>
              </w:rPr>
              <w:t>标准。</w:t>
            </w:r>
          </w:p>
          <w:p>
            <w:pPr>
              <w:widowControl/>
              <w:spacing w:line="280" w:lineRule="exact"/>
              <w:jc w:val="left"/>
              <w:rPr>
                <w:rFonts w:hint="eastAsia" w:ascii="宋体" w:hAnsi="宋体" w:eastAsia="宋体"/>
                <w:color w:val="auto"/>
                <w:highlight w:val="none"/>
                <w:lang w:eastAsia="zh-CN"/>
              </w:rPr>
            </w:pPr>
            <w:r>
              <w:rPr>
                <w:rFonts w:hint="eastAsia" w:ascii="宋体" w:hAnsi="宋体"/>
                <w:color w:val="auto"/>
                <w:highlight w:val="none"/>
              </w:rPr>
              <w:t>2、撕破强力：经向：260N，纬向：180N。</w:t>
            </w:r>
          </w:p>
          <w:p>
            <w:pPr>
              <w:widowControl/>
              <w:spacing w:line="280" w:lineRule="exact"/>
              <w:jc w:val="left"/>
              <w:rPr>
                <w:rFonts w:hint="eastAsia" w:ascii="宋体" w:hAnsi="宋体" w:eastAsia="宋体"/>
                <w:color w:val="auto"/>
                <w:highlight w:val="none"/>
                <w:lang w:eastAsia="zh-CN"/>
              </w:rPr>
            </w:pPr>
            <w:r>
              <w:rPr>
                <w:rFonts w:hint="eastAsia" w:ascii="宋体" w:hAnsi="宋体"/>
                <w:color w:val="auto"/>
                <w:highlight w:val="none"/>
              </w:rPr>
              <w:t>3、腿带与救生衣之间能承受900N的作用而不发生脱离或者损坏。</w:t>
            </w:r>
          </w:p>
          <w:p>
            <w:pPr>
              <w:widowControl/>
              <w:spacing w:line="280" w:lineRule="exact"/>
              <w:jc w:val="left"/>
              <w:rPr>
                <w:rFonts w:hint="eastAsia" w:ascii="宋体" w:hAnsi="宋体" w:eastAsia="宋体"/>
                <w:color w:val="auto"/>
                <w:highlight w:val="none"/>
                <w:lang w:eastAsia="zh-CN"/>
              </w:rPr>
            </w:pPr>
            <w:r>
              <w:rPr>
                <w:rFonts w:hint="eastAsia" w:ascii="宋体" w:hAnsi="宋体"/>
                <w:color w:val="auto"/>
                <w:highlight w:val="none"/>
              </w:rPr>
              <w:t>4、浮力损失:救生衣在淡水中浸泡24h后,其浮力损失1.71%。</w:t>
            </w:r>
          </w:p>
          <w:p>
            <w:pPr>
              <w:widowControl/>
              <w:spacing w:line="280" w:lineRule="exact"/>
              <w:jc w:val="left"/>
              <w:rPr>
                <w:rFonts w:hint="eastAsia" w:ascii="宋体" w:hAnsi="宋体" w:eastAsia="宋体"/>
                <w:color w:val="auto"/>
                <w:highlight w:val="none"/>
                <w:lang w:eastAsia="zh-CN"/>
              </w:rPr>
            </w:pPr>
            <w:r>
              <w:rPr>
                <w:rFonts w:hint="eastAsia" w:ascii="宋体" w:hAnsi="宋体"/>
                <w:color w:val="auto"/>
                <w:highlight w:val="none"/>
              </w:rPr>
              <w:t>5、强度:救生衣衣身能承受3200N的作用力30MIN不损坏,救生衣肩部能承受900N的作用力5MIN不损坏。</w:t>
            </w:r>
          </w:p>
          <w:p>
            <w:pPr>
              <w:widowControl/>
              <w:spacing w:line="280" w:lineRule="exact"/>
              <w:jc w:val="left"/>
              <w:rPr>
                <w:rFonts w:hint="eastAsia" w:ascii="宋体" w:hAnsi="宋体" w:eastAsia="宋体"/>
                <w:color w:val="auto"/>
                <w:highlight w:val="none"/>
                <w:lang w:eastAsia="zh-CN"/>
              </w:rPr>
            </w:pPr>
            <w:r>
              <w:rPr>
                <w:rFonts w:hint="eastAsia" w:ascii="宋体" w:hAnsi="宋体"/>
                <w:color w:val="auto"/>
                <w:highlight w:val="none"/>
              </w:rPr>
              <w:t>6、背贴可根据需求印字,采用可粘贴式。</w:t>
            </w:r>
          </w:p>
          <w:p>
            <w:pPr>
              <w:widowControl/>
              <w:spacing w:line="280" w:lineRule="exact"/>
              <w:jc w:val="left"/>
              <w:rPr>
                <w:rFonts w:hint="eastAsia" w:ascii="宋体" w:hAnsi="宋体" w:eastAsia="宋体"/>
                <w:color w:val="auto"/>
                <w:highlight w:val="none"/>
                <w:lang w:eastAsia="zh-CN"/>
              </w:rPr>
            </w:pPr>
            <w:r>
              <w:rPr>
                <w:rFonts w:hint="eastAsia" w:ascii="宋体" w:hAnsi="宋体"/>
                <w:color w:val="auto"/>
                <w:highlight w:val="none"/>
              </w:rPr>
              <w:t>7、款式:背心式设计,救生衣主色为红色,整体缝制≥10条SOLAS海事标准高亮反光条,可在夜间或者光线黑暗的地方提高可视性。</w:t>
            </w:r>
          </w:p>
          <w:p>
            <w:pPr>
              <w:widowControl/>
              <w:spacing w:line="280" w:lineRule="exact"/>
              <w:jc w:val="left"/>
              <w:rPr>
                <w:rFonts w:hint="eastAsia" w:ascii="宋体" w:hAnsi="宋体" w:eastAsia="宋体"/>
                <w:color w:val="auto"/>
                <w:highlight w:val="none"/>
                <w:lang w:eastAsia="zh-CN"/>
              </w:rPr>
            </w:pPr>
            <w:r>
              <w:rPr>
                <w:rFonts w:hint="eastAsia" w:ascii="宋体" w:hAnsi="宋体"/>
                <w:color w:val="auto"/>
                <w:highlight w:val="none"/>
              </w:rPr>
              <w:t>8、面料：采用可提拉面料，具有良好的耐磨性、耐撕裂性、耐久性等特性。</w:t>
            </w:r>
          </w:p>
          <w:p>
            <w:pPr>
              <w:widowControl/>
              <w:spacing w:line="280" w:lineRule="exact"/>
              <w:jc w:val="left"/>
              <w:rPr>
                <w:rFonts w:hint="eastAsia" w:ascii="宋体" w:hAnsi="宋体" w:eastAsia="宋体"/>
                <w:color w:val="auto"/>
                <w:highlight w:val="none"/>
                <w:lang w:eastAsia="zh-CN"/>
              </w:rPr>
            </w:pPr>
            <w:r>
              <w:rPr>
                <w:rFonts w:hint="eastAsia" w:ascii="宋体" w:hAnsi="宋体"/>
                <w:color w:val="auto"/>
                <w:highlight w:val="none"/>
              </w:rPr>
              <w:t>9、四个前置方块挂点和胸前≥25个战术挂点，6个D型扣，可固定潜水刀、频闪灯、定位灯等装备。</w:t>
            </w:r>
          </w:p>
          <w:p>
            <w:pPr>
              <w:widowControl/>
              <w:spacing w:line="280" w:lineRule="exact"/>
              <w:jc w:val="left"/>
              <w:rPr>
                <w:rFonts w:hint="eastAsia" w:ascii="宋体" w:hAnsi="宋体" w:eastAsia="宋体"/>
                <w:color w:val="auto"/>
                <w:highlight w:val="none"/>
                <w:lang w:eastAsia="zh-CN"/>
              </w:rPr>
            </w:pPr>
            <w:r>
              <w:rPr>
                <w:rFonts w:hint="eastAsia" w:ascii="宋体" w:hAnsi="宋体"/>
                <w:color w:val="auto"/>
                <w:highlight w:val="none"/>
              </w:rPr>
              <w:t>10、胸襟一条YKK拉链，并使塑料拉头固定于弹力布料夹层内防止脱落；胸前上下两处配置插扣，（防止拉链裂开，双重保护作用）环绕胸部设置一条多功能黑色腰带（其作用为施救人员进入水中有醒目作用）。前胸设置PFD自救装置，快速解脱救援腰带由尼龙织带和塑钢卡位带扣系统组成，确保未打开之前无法分解，打开后能迅速分离。前端设有2个可脱卸排水口袋，拉链为YKK双向拉链（可装救援工具，随身物品）。两侧各有4根黑色尼龙织带，织带有回扣设计，消除调节带外飘勾挂风险和水中阻力，环绕腰部的双边抛绳包快速释放带，可挂载两套专用抛绳包。下摆部带有三个裆带插扣连接点，用于连接腿部固定带，防止水流水浪将救生衣冲脱。（裆带插扣具备收纳袋）。塑料件采用进口加厚高弹部件UTX,内侧底部涤纶网眼,可快速排水。</w:t>
            </w:r>
          </w:p>
          <w:p>
            <w:pPr>
              <w:widowControl/>
              <w:spacing w:line="280" w:lineRule="exact"/>
              <w:jc w:val="left"/>
              <w:rPr>
                <w:rFonts w:ascii="宋体" w:hAnsi="宋体"/>
                <w:color w:val="auto"/>
                <w:kern w:val="0"/>
                <w:sz w:val="24"/>
                <w:szCs w:val="24"/>
                <w:highlight w:val="none"/>
              </w:rPr>
            </w:pPr>
            <w:r>
              <w:rPr>
                <w:rFonts w:hint="eastAsia" w:ascii="宋体" w:hAnsi="宋体"/>
                <w:color w:val="auto"/>
                <w:highlight w:val="none"/>
              </w:rPr>
              <w:t>11、后背挂点：≥15个战术挂点，设有可脱卸式大口袋 1 个，可存放饮用水及其他辅助物品（其口袋上方有两个橡胶气眼，可穿置引水管）口袋上设有魔术贴毛面和带有SOLAS反光条。</w:t>
            </w:r>
          </w:p>
        </w:tc>
      </w:tr>
      <w:tr>
        <w:tblPrEx>
          <w:tblCellMar>
            <w:top w:w="0" w:type="dxa"/>
            <w:left w:w="108" w:type="dxa"/>
            <w:bottom w:w="0" w:type="dxa"/>
            <w:right w:w="108" w:type="dxa"/>
          </w:tblCellMar>
        </w:tblPrEx>
        <w:trPr>
          <w:trHeight w:val="90" w:hRule="atLeast"/>
          <w:jc w:val="center"/>
        </w:trPr>
        <w:tc>
          <w:tcPr>
            <w:tcW w:w="567" w:type="dxa"/>
            <w:tcBorders>
              <w:top w:val="nil"/>
              <w:left w:val="single" w:color="auto" w:sz="4" w:space="0"/>
              <w:bottom w:val="single" w:color="auto" w:sz="4" w:space="0"/>
              <w:right w:val="single" w:color="auto" w:sz="4" w:space="0"/>
            </w:tcBorders>
            <w:shd w:val="clear" w:color="auto" w:fill="auto"/>
            <w:vAlign w:val="center"/>
          </w:tcPr>
          <w:p>
            <w:pPr>
              <w:widowControl/>
              <w:spacing w:line="280" w:lineRule="exact"/>
              <w:jc w:val="center"/>
              <w:rPr>
                <w:rFonts w:ascii="宋体" w:hAnsi="宋体"/>
                <w:color w:val="auto"/>
                <w:kern w:val="0"/>
                <w:highlight w:val="none"/>
              </w:rPr>
            </w:pPr>
            <w:r>
              <w:rPr>
                <w:rFonts w:ascii="宋体" w:hAnsi="宋体"/>
                <w:color w:val="auto"/>
                <w:kern w:val="0"/>
                <w:highlight w:val="none"/>
              </w:rPr>
              <w:t>2</w:t>
            </w:r>
          </w:p>
        </w:tc>
        <w:tc>
          <w:tcPr>
            <w:tcW w:w="878" w:type="dxa"/>
            <w:tcBorders>
              <w:top w:val="nil"/>
              <w:left w:val="nil"/>
              <w:bottom w:val="single" w:color="auto" w:sz="4" w:space="0"/>
              <w:right w:val="single" w:color="auto" w:sz="4" w:space="0"/>
            </w:tcBorders>
            <w:shd w:val="clear" w:color="auto" w:fill="auto"/>
            <w:vAlign w:val="center"/>
          </w:tcPr>
          <w:p>
            <w:pPr>
              <w:spacing w:line="280" w:lineRule="exact"/>
              <w:jc w:val="center"/>
              <w:rPr>
                <w:rFonts w:ascii="宋体" w:hAnsi="宋体"/>
                <w:color w:val="auto"/>
                <w:highlight w:val="none"/>
              </w:rPr>
            </w:pPr>
            <w:r>
              <w:rPr>
                <w:rFonts w:hint="eastAsia" w:ascii="宋体" w:hAnsi="宋体"/>
                <w:color w:val="auto"/>
                <w:highlight w:val="none"/>
              </w:rPr>
              <w:t>4</w:t>
            </w:r>
          </w:p>
        </w:tc>
        <w:tc>
          <w:tcPr>
            <w:tcW w:w="878" w:type="dxa"/>
            <w:tcBorders>
              <w:top w:val="nil"/>
              <w:left w:val="nil"/>
              <w:bottom w:val="single" w:color="auto" w:sz="4" w:space="0"/>
              <w:right w:val="single" w:color="auto" w:sz="4" w:space="0"/>
            </w:tcBorders>
            <w:shd w:val="clear" w:color="auto" w:fill="auto"/>
            <w:vAlign w:val="center"/>
          </w:tcPr>
          <w:p>
            <w:pPr>
              <w:spacing w:line="280" w:lineRule="exact"/>
              <w:jc w:val="center"/>
              <w:rPr>
                <w:rFonts w:ascii="宋体" w:hAnsi="宋体"/>
                <w:color w:val="auto"/>
                <w:highlight w:val="none"/>
              </w:rPr>
            </w:pPr>
            <w:r>
              <w:rPr>
                <w:rFonts w:hint="eastAsia" w:ascii="宋体" w:hAnsi="宋体"/>
                <w:color w:val="auto"/>
                <w:highlight w:val="none"/>
              </w:rPr>
              <w:t>0.11</w:t>
            </w:r>
          </w:p>
        </w:tc>
        <w:tc>
          <w:tcPr>
            <w:tcW w:w="1315" w:type="dxa"/>
            <w:tcBorders>
              <w:top w:val="nil"/>
              <w:left w:val="nil"/>
              <w:bottom w:val="single" w:color="auto" w:sz="4" w:space="0"/>
              <w:right w:val="single" w:color="auto" w:sz="4" w:space="0"/>
            </w:tcBorders>
            <w:shd w:val="clear" w:color="auto" w:fill="auto"/>
            <w:vAlign w:val="center"/>
          </w:tcPr>
          <w:p>
            <w:pPr>
              <w:spacing w:line="280" w:lineRule="exact"/>
              <w:jc w:val="center"/>
              <w:rPr>
                <w:rFonts w:ascii="宋体" w:hAnsi="宋体"/>
                <w:color w:val="auto"/>
                <w:highlight w:val="none"/>
              </w:rPr>
            </w:pPr>
            <w:r>
              <w:rPr>
                <w:rFonts w:hint="eastAsia" w:ascii="宋体" w:hAnsi="宋体"/>
                <w:color w:val="auto"/>
                <w:highlight w:val="none"/>
              </w:rPr>
              <w:t>手提式强光照明灯</w:t>
            </w:r>
          </w:p>
        </w:tc>
        <w:tc>
          <w:tcPr>
            <w:tcW w:w="6779" w:type="dxa"/>
            <w:tcBorders>
              <w:top w:val="nil"/>
              <w:left w:val="nil"/>
              <w:bottom w:val="single" w:color="auto" w:sz="4" w:space="0"/>
              <w:right w:val="single" w:color="auto" w:sz="4" w:space="0"/>
            </w:tcBorders>
            <w:shd w:val="clear" w:color="auto" w:fill="auto"/>
          </w:tcPr>
          <w:p>
            <w:pPr>
              <w:spacing w:line="280" w:lineRule="exact"/>
              <w:rPr>
                <w:rFonts w:hint="eastAsia" w:ascii="宋体" w:hAnsi="宋体" w:eastAsia="宋体"/>
                <w:color w:val="auto"/>
                <w:highlight w:val="none"/>
                <w:lang w:eastAsia="zh-CN"/>
              </w:rPr>
            </w:pPr>
            <w:r>
              <w:rPr>
                <w:rFonts w:hint="eastAsia" w:ascii="宋体" w:hAnsi="宋体"/>
                <w:color w:val="auto"/>
                <w:highlight w:val="none"/>
              </w:rPr>
              <w:t>1.符合GB3836.1-</w:t>
            </w:r>
            <w:r>
              <w:rPr>
                <w:rFonts w:hint="eastAsia" w:ascii="宋体" w:hAnsi="宋体"/>
                <w:color w:val="auto"/>
                <w:highlight w:val="none"/>
                <w:lang w:val="en-US" w:eastAsia="zh-CN"/>
              </w:rPr>
              <w:t>2021</w:t>
            </w:r>
            <w:r>
              <w:rPr>
                <w:rFonts w:hint="eastAsia" w:ascii="宋体" w:hAnsi="宋体"/>
                <w:color w:val="auto"/>
                <w:highlight w:val="none"/>
              </w:rPr>
              <w:t>、3836.2-20</w:t>
            </w:r>
            <w:r>
              <w:rPr>
                <w:rFonts w:hint="eastAsia" w:ascii="宋体" w:hAnsi="宋体"/>
                <w:color w:val="auto"/>
                <w:highlight w:val="none"/>
                <w:lang w:val="en-US" w:eastAsia="zh-CN"/>
              </w:rPr>
              <w:t>21</w:t>
            </w:r>
            <w:r>
              <w:rPr>
                <w:rFonts w:hint="eastAsia" w:ascii="宋体" w:hAnsi="宋体"/>
                <w:color w:val="auto"/>
                <w:highlight w:val="none"/>
              </w:rPr>
              <w:t>要求设计，隔爆+本质安全型防爆等级，按照国家防爆标准，可在各种易燃易爆场所安全工作。</w:t>
            </w:r>
          </w:p>
          <w:p>
            <w:pPr>
              <w:spacing w:line="280" w:lineRule="exact"/>
              <w:rPr>
                <w:rFonts w:hint="eastAsia" w:ascii="宋体" w:hAnsi="宋体" w:eastAsia="宋体"/>
                <w:color w:val="auto"/>
                <w:highlight w:val="none"/>
                <w:lang w:eastAsia="zh-CN"/>
              </w:rPr>
            </w:pPr>
            <w:r>
              <w:rPr>
                <w:rFonts w:hint="eastAsia" w:ascii="宋体" w:hAnsi="宋体"/>
                <w:color w:val="auto"/>
                <w:highlight w:val="none"/>
              </w:rPr>
              <w:t>2.选用3只3W正白光LED光源串联使用，寿命长达10万h。</w:t>
            </w:r>
          </w:p>
          <w:p>
            <w:pPr>
              <w:spacing w:line="280" w:lineRule="exact"/>
              <w:rPr>
                <w:rFonts w:hint="eastAsia" w:ascii="宋体" w:hAnsi="宋体" w:eastAsia="宋体"/>
                <w:color w:val="auto"/>
                <w:highlight w:val="none"/>
                <w:lang w:eastAsia="zh-CN"/>
              </w:rPr>
            </w:pPr>
            <w:r>
              <w:rPr>
                <w:rFonts w:hint="eastAsia" w:ascii="宋体" w:hAnsi="宋体"/>
                <w:color w:val="auto"/>
                <w:highlight w:val="none"/>
              </w:rPr>
              <w:t>3.采用锂电池组无记忆、无污染、容量高、寿命长、性能安全稳定，自放电率低，一次充电强光可连续工作约5h，工作光可连续工作10h以上，在照明功能的基础上增加频闪光功能，可作远距离信号指示用。</w:t>
            </w:r>
          </w:p>
          <w:p>
            <w:pPr>
              <w:spacing w:line="280" w:lineRule="exact"/>
              <w:rPr>
                <w:rFonts w:hint="eastAsia" w:ascii="宋体" w:hAnsi="宋体" w:eastAsia="宋体"/>
                <w:color w:val="auto"/>
                <w:highlight w:val="none"/>
                <w:lang w:eastAsia="zh-CN"/>
              </w:rPr>
            </w:pPr>
            <w:r>
              <w:rPr>
                <w:rFonts w:hint="eastAsia" w:ascii="宋体" w:hAnsi="宋体"/>
                <w:color w:val="auto"/>
                <w:highlight w:val="none"/>
              </w:rPr>
              <w:t>4.设有电量实时显示功能，可随时了解电池电量。</w:t>
            </w:r>
          </w:p>
          <w:p>
            <w:pPr>
              <w:spacing w:line="280" w:lineRule="exact"/>
              <w:rPr>
                <w:rFonts w:hint="eastAsia" w:ascii="宋体" w:hAnsi="宋体" w:eastAsia="宋体"/>
                <w:color w:val="auto"/>
                <w:highlight w:val="none"/>
                <w:lang w:eastAsia="zh-CN"/>
              </w:rPr>
            </w:pPr>
            <w:r>
              <w:rPr>
                <w:rFonts w:hint="eastAsia" w:ascii="宋体" w:hAnsi="宋体"/>
                <w:color w:val="auto"/>
                <w:highlight w:val="none"/>
              </w:rPr>
              <w:t>5.充电器采用专用充电管理芯片控制，高可靠性、快速充电、过充保护、短路保护、涓流充电、状态指示。</w:t>
            </w:r>
          </w:p>
          <w:p>
            <w:pPr>
              <w:spacing w:line="280" w:lineRule="exact"/>
              <w:rPr>
                <w:rFonts w:ascii="宋体" w:hAnsi="宋体"/>
                <w:color w:val="auto"/>
                <w:highlight w:val="none"/>
              </w:rPr>
            </w:pPr>
            <w:r>
              <w:rPr>
                <w:rFonts w:hint="eastAsia" w:ascii="宋体" w:hAnsi="宋体"/>
                <w:color w:val="auto"/>
                <w:highlight w:val="none"/>
              </w:rPr>
              <w:t>6.采用高硬度铝合金外壳能承受强力碰撞和冲击，密封性能好，外壳表面经阳极氧化处理，携带有手持、肩挎两种方式，轻触式开关，操作简单方便。</w:t>
            </w:r>
          </w:p>
        </w:tc>
      </w:tr>
      <w:tr>
        <w:tblPrEx>
          <w:tblCellMar>
            <w:top w:w="0" w:type="dxa"/>
            <w:left w:w="108" w:type="dxa"/>
            <w:bottom w:w="0" w:type="dxa"/>
            <w:right w:w="108" w:type="dxa"/>
          </w:tblCellMar>
        </w:tblPrEx>
        <w:trPr>
          <w:trHeight w:val="3976" w:hRule="atLeast"/>
          <w:jc w:val="center"/>
        </w:trPr>
        <w:tc>
          <w:tcPr>
            <w:tcW w:w="567" w:type="dxa"/>
            <w:tcBorders>
              <w:top w:val="nil"/>
              <w:left w:val="single" w:color="auto" w:sz="4" w:space="0"/>
              <w:bottom w:val="single" w:color="auto" w:sz="4" w:space="0"/>
              <w:right w:val="single" w:color="auto" w:sz="4" w:space="0"/>
            </w:tcBorders>
            <w:shd w:val="clear" w:color="auto" w:fill="auto"/>
            <w:vAlign w:val="center"/>
          </w:tcPr>
          <w:p>
            <w:pPr>
              <w:widowControl/>
              <w:spacing w:line="280" w:lineRule="exact"/>
              <w:jc w:val="center"/>
              <w:rPr>
                <w:rFonts w:ascii="宋体" w:hAnsi="宋体"/>
                <w:color w:val="auto"/>
                <w:kern w:val="0"/>
                <w:highlight w:val="none"/>
              </w:rPr>
            </w:pPr>
            <w:r>
              <w:rPr>
                <w:rFonts w:ascii="宋体" w:hAnsi="宋体"/>
                <w:color w:val="auto"/>
                <w:kern w:val="0"/>
                <w:highlight w:val="none"/>
              </w:rPr>
              <w:t>3</w:t>
            </w:r>
          </w:p>
        </w:tc>
        <w:tc>
          <w:tcPr>
            <w:tcW w:w="878" w:type="dxa"/>
            <w:tcBorders>
              <w:top w:val="nil"/>
              <w:left w:val="nil"/>
              <w:bottom w:val="single" w:color="auto" w:sz="4" w:space="0"/>
              <w:right w:val="single" w:color="auto" w:sz="4" w:space="0"/>
            </w:tcBorders>
            <w:shd w:val="clear" w:color="auto" w:fill="auto"/>
            <w:vAlign w:val="center"/>
          </w:tcPr>
          <w:p>
            <w:pPr>
              <w:spacing w:line="280" w:lineRule="exact"/>
              <w:jc w:val="center"/>
              <w:rPr>
                <w:rFonts w:ascii="宋体" w:hAnsi="宋体"/>
                <w:color w:val="auto"/>
                <w:highlight w:val="none"/>
              </w:rPr>
            </w:pPr>
            <w:r>
              <w:rPr>
                <w:rFonts w:hint="eastAsia" w:ascii="宋体" w:hAnsi="宋体"/>
                <w:color w:val="auto"/>
                <w:highlight w:val="none"/>
              </w:rPr>
              <w:t>1</w:t>
            </w:r>
          </w:p>
        </w:tc>
        <w:tc>
          <w:tcPr>
            <w:tcW w:w="878" w:type="dxa"/>
            <w:tcBorders>
              <w:top w:val="nil"/>
              <w:left w:val="nil"/>
              <w:bottom w:val="single" w:color="auto" w:sz="4" w:space="0"/>
              <w:right w:val="single" w:color="auto" w:sz="4" w:space="0"/>
            </w:tcBorders>
            <w:shd w:val="clear" w:color="auto" w:fill="auto"/>
            <w:vAlign w:val="center"/>
          </w:tcPr>
          <w:p>
            <w:pPr>
              <w:spacing w:line="280" w:lineRule="exact"/>
              <w:jc w:val="center"/>
              <w:rPr>
                <w:rFonts w:ascii="宋体" w:hAnsi="宋体"/>
                <w:color w:val="auto"/>
                <w:highlight w:val="none"/>
              </w:rPr>
            </w:pPr>
            <w:r>
              <w:rPr>
                <w:rFonts w:hint="eastAsia" w:ascii="宋体" w:hAnsi="宋体"/>
                <w:color w:val="auto"/>
                <w:highlight w:val="none"/>
              </w:rPr>
              <w:t>0.95</w:t>
            </w:r>
          </w:p>
        </w:tc>
        <w:tc>
          <w:tcPr>
            <w:tcW w:w="1315" w:type="dxa"/>
            <w:tcBorders>
              <w:top w:val="nil"/>
              <w:left w:val="nil"/>
              <w:bottom w:val="single" w:color="auto" w:sz="4" w:space="0"/>
              <w:right w:val="single" w:color="auto" w:sz="4" w:space="0"/>
            </w:tcBorders>
            <w:shd w:val="clear" w:color="auto" w:fill="auto"/>
            <w:vAlign w:val="center"/>
          </w:tcPr>
          <w:p>
            <w:pPr>
              <w:spacing w:line="280" w:lineRule="exact"/>
              <w:jc w:val="center"/>
              <w:rPr>
                <w:rFonts w:ascii="宋体" w:hAnsi="宋体"/>
                <w:color w:val="auto"/>
                <w:highlight w:val="none"/>
              </w:rPr>
            </w:pPr>
            <w:r>
              <w:rPr>
                <w:rFonts w:hint="eastAsia" w:ascii="宋体" w:hAnsi="宋体"/>
                <w:color w:val="auto"/>
                <w:highlight w:val="none"/>
              </w:rPr>
              <w:t>手抬机动泵</w:t>
            </w:r>
          </w:p>
        </w:tc>
        <w:tc>
          <w:tcPr>
            <w:tcW w:w="6779" w:type="dxa"/>
            <w:tcBorders>
              <w:top w:val="nil"/>
              <w:left w:val="nil"/>
              <w:bottom w:val="single" w:color="auto" w:sz="4" w:space="0"/>
              <w:right w:val="single" w:color="auto" w:sz="4" w:space="0"/>
            </w:tcBorders>
            <w:shd w:val="clear" w:color="auto" w:fill="auto"/>
            <w:vAlign w:val="center"/>
          </w:tcPr>
          <w:p>
            <w:pPr>
              <w:spacing w:line="280" w:lineRule="exact"/>
              <w:rPr>
                <w:rFonts w:hint="eastAsia" w:ascii="宋体" w:hAnsi="宋体" w:eastAsia="宋体"/>
                <w:color w:val="auto"/>
                <w:highlight w:val="none"/>
                <w:lang w:eastAsia="zh-CN"/>
              </w:rPr>
            </w:pPr>
            <w:r>
              <w:rPr>
                <w:rFonts w:hint="eastAsia" w:ascii="宋体" w:hAnsi="宋体"/>
                <w:color w:val="auto"/>
                <w:highlight w:val="none"/>
              </w:rPr>
              <w:t>★1、国家或行业标准：符合《消防泵》（GB 6245-2006）的要求；</w:t>
            </w:r>
          </w:p>
          <w:p>
            <w:pPr>
              <w:spacing w:line="280" w:lineRule="exact"/>
              <w:rPr>
                <w:rFonts w:hint="eastAsia" w:ascii="宋体" w:hAnsi="宋体" w:eastAsia="宋体"/>
                <w:color w:val="auto"/>
                <w:highlight w:val="none"/>
                <w:lang w:eastAsia="zh-CN"/>
              </w:rPr>
            </w:pPr>
            <w:r>
              <w:rPr>
                <w:rFonts w:hint="eastAsia" w:ascii="宋体" w:hAnsi="宋体"/>
                <w:color w:val="auto"/>
                <w:highlight w:val="none"/>
              </w:rPr>
              <w:t>2、主要功能：用于灾害事故现场排涝、供水、灭火等；</w:t>
            </w:r>
          </w:p>
          <w:p>
            <w:pPr>
              <w:spacing w:line="280" w:lineRule="exact"/>
              <w:rPr>
                <w:rFonts w:hint="eastAsia" w:ascii="宋体" w:hAnsi="宋体" w:eastAsia="宋体"/>
                <w:color w:val="auto"/>
                <w:highlight w:val="none"/>
                <w:lang w:eastAsia="zh-CN"/>
              </w:rPr>
            </w:pPr>
            <w:r>
              <w:rPr>
                <w:rFonts w:hint="eastAsia" w:ascii="宋体" w:hAnsi="宋体"/>
                <w:color w:val="auto"/>
                <w:highlight w:val="none"/>
              </w:rPr>
              <w:t>3、技术要求：</w:t>
            </w:r>
          </w:p>
          <w:p>
            <w:pPr>
              <w:spacing w:line="280" w:lineRule="exact"/>
              <w:rPr>
                <w:rFonts w:hint="eastAsia" w:ascii="宋体" w:hAnsi="宋体" w:eastAsia="宋体"/>
                <w:color w:val="auto"/>
                <w:highlight w:val="none"/>
                <w:lang w:eastAsia="zh-CN"/>
              </w:rPr>
            </w:pPr>
            <w:r>
              <w:rPr>
                <w:rFonts w:hint="eastAsia" w:ascii="宋体" w:hAnsi="宋体"/>
                <w:color w:val="auto"/>
                <w:highlight w:val="none"/>
              </w:rPr>
              <w:t>★（1）额定压力≥0.5MPa，0.5MPa时流量≥25L/S；</w:t>
            </w:r>
          </w:p>
          <w:p>
            <w:pPr>
              <w:spacing w:line="280" w:lineRule="exact"/>
              <w:rPr>
                <w:rFonts w:hint="eastAsia" w:ascii="宋体" w:hAnsi="宋体" w:eastAsia="宋体"/>
                <w:color w:val="auto"/>
                <w:highlight w:val="none"/>
                <w:lang w:eastAsia="zh-CN"/>
              </w:rPr>
            </w:pPr>
            <w:r>
              <w:rPr>
                <w:rFonts w:hint="eastAsia" w:ascii="宋体" w:hAnsi="宋体"/>
                <w:color w:val="auto"/>
                <w:highlight w:val="none"/>
              </w:rPr>
              <w:t>（2）发动机：卧式双缸，电动，水冷，二冲程，冷却水还流式，具备手动和电启动功能；功率≥30kW；</w:t>
            </w:r>
          </w:p>
          <w:p>
            <w:pPr>
              <w:spacing w:line="280" w:lineRule="exact"/>
              <w:rPr>
                <w:rFonts w:hint="eastAsia" w:ascii="宋体" w:hAnsi="宋体" w:eastAsia="宋体"/>
                <w:color w:val="auto"/>
                <w:highlight w:val="none"/>
                <w:lang w:eastAsia="zh-CN"/>
              </w:rPr>
            </w:pPr>
            <w:r>
              <w:rPr>
                <w:rFonts w:hint="eastAsia" w:ascii="宋体" w:hAnsi="宋体"/>
                <w:color w:val="auto"/>
                <w:highlight w:val="none"/>
              </w:rPr>
              <w:t>（3）润滑供应： 自动混合比率供应；</w:t>
            </w:r>
          </w:p>
          <w:p>
            <w:pPr>
              <w:spacing w:line="280" w:lineRule="exact"/>
              <w:rPr>
                <w:rFonts w:hint="eastAsia" w:ascii="宋体" w:hAnsi="宋体" w:eastAsia="宋体"/>
                <w:color w:val="auto"/>
                <w:highlight w:val="none"/>
                <w:lang w:eastAsia="zh-CN"/>
              </w:rPr>
            </w:pPr>
            <w:r>
              <w:rPr>
                <w:rFonts w:hint="eastAsia" w:ascii="宋体" w:hAnsi="宋体"/>
                <w:color w:val="auto"/>
                <w:highlight w:val="none"/>
              </w:rPr>
              <w:t>（4）真空泵： 碳纤维活片无油式；</w:t>
            </w:r>
          </w:p>
          <w:p>
            <w:pPr>
              <w:spacing w:line="280" w:lineRule="exact"/>
              <w:rPr>
                <w:rFonts w:hint="eastAsia" w:ascii="宋体" w:hAnsi="宋体" w:eastAsia="宋体"/>
                <w:color w:val="auto"/>
                <w:highlight w:val="none"/>
                <w:lang w:eastAsia="zh-CN"/>
              </w:rPr>
            </w:pPr>
            <w:r>
              <w:rPr>
                <w:rFonts w:hint="eastAsia" w:ascii="宋体" w:hAnsi="宋体"/>
                <w:color w:val="auto"/>
                <w:highlight w:val="none"/>
              </w:rPr>
              <w:t>（5）进出口:吸水口：Φ80mm ,出水口Φ65 mm（可转动180度）；</w:t>
            </w:r>
          </w:p>
          <w:p>
            <w:pPr>
              <w:spacing w:line="280" w:lineRule="exact"/>
              <w:rPr>
                <w:rFonts w:ascii="宋体" w:hAnsi="宋体"/>
                <w:color w:val="auto"/>
                <w:highlight w:val="none"/>
              </w:rPr>
            </w:pPr>
            <w:r>
              <w:rPr>
                <w:rFonts w:hint="eastAsia" w:ascii="宋体" w:hAnsi="宋体"/>
                <w:color w:val="auto"/>
                <w:highlight w:val="none"/>
              </w:rPr>
              <w:t>4.其他要求：配备吸水管及滤水器。</w:t>
            </w:r>
          </w:p>
        </w:tc>
      </w:tr>
      <w:tr>
        <w:tblPrEx>
          <w:tblCellMar>
            <w:top w:w="0" w:type="dxa"/>
            <w:left w:w="108" w:type="dxa"/>
            <w:bottom w:w="0" w:type="dxa"/>
            <w:right w:w="108" w:type="dxa"/>
          </w:tblCellMar>
        </w:tblPrEx>
        <w:trPr>
          <w:trHeight w:val="444" w:hRule="atLeast"/>
          <w:jc w:val="center"/>
        </w:trPr>
        <w:tc>
          <w:tcPr>
            <w:tcW w:w="567" w:type="dxa"/>
            <w:tcBorders>
              <w:top w:val="single" w:color="auto" w:sz="4" w:space="0"/>
              <w:left w:val="single" w:color="auto" w:sz="4" w:space="0"/>
              <w:bottom w:val="nil"/>
              <w:right w:val="single" w:color="auto" w:sz="4" w:space="0"/>
            </w:tcBorders>
            <w:shd w:val="clear" w:color="auto" w:fill="auto"/>
            <w:vAlign w:val="center"/>
          </w:tcPr>
          <w:p>
            <w:pPr>
              <w:widowControl/>
              <w:spacing w:line="280" w:lineRule="exact"/>
              <w:jc w:val="center"/>
              <w:rPr>
                <w:rFonts w:ascii="宋体" w:hAnsi="宋体"/>
                <w:color w:val="auto"/>
                <w:kern w:val="0"/>
                <w:highlight w:val="none"/>
              </w:rPr>
            </w:pPr>
          </w:p>
        </w:tc>
        <w:tc>
          <w:tcPr>
            <w:tcW w:w="878" w:type="dxa"/>
            <w:tcBorders>
              <w:top w:val="single" w:color="auto" w:sz="4" w:space="0"/>
              <w:left w:val="nil"/>
              <w:bottom w:val="nil"/>
              <w:right w:val="single" w:color="auto" w:sz="4" w:space="0"/>
            </w:tcBorders>
            <w:shd w:val="clear" w:color="auto" w:fill="auto"/>
            <w:vAlign w:val="center"/>
          </w:tcPr>
          <w:p>
            <w:pPr>
              <w:spacing w:line="280" w:lineRule="exact"/>
              <w:jc w:val="center"/>
              <w:rPr>
                <w:rFonts w:ascii="宋体" w:hAnsi="宋体"/>
                <w:color w:val="auto"/>
                <w:highlight w:val="none"/>
              </w:rPr>
            </w:pPr>
          </w:p>
        </w:tc>
        <w:tc>
          <w:tcPr>
            <w:tcW w:w="878" w:type="dxa"/>
            <w:tcBorders>
              <w:top w:val="single" w:color="auto" w:sz="4" w:space="0"/>
              <w:left w:val="nil"/>
              <w:bottom w:val="nil"/>
              <w:right w:val="single" w:color="auto" w:sz="4" w:space="0"/>
            </w:tcBorders>
            <w:shd w:val="clear" w:color="auto" w:fill="auto"/>
            <w:vAlign w:val="center"/>
          </w:tcPr>
          <w:p>
            <w:pPr>
              <w:spacing w:line="280" w:lineRule="exact"/>
              <w:jc w:val="center"/>
              <w:rPr>
                <w:rFonts w:ascii="宋体" w:hAnsi="宋体"/>
                <w:color w:val="auto"/>
                <w:highlight w:val="none"/>
              </w:rPr>
            </w:pPr>
          </w:p>
        </w:tc>
        <w:tc>
          <w:tcPr>
            <w:tcW w:w="1315" w:type="dxa"/>
            <w:tcBorders>
              <w:top w:val="single" w:color="auto" w:sz="4" w:space="0"/>
              <w:left w:val="nil"/>
              <w:bottom w:val="nil"/>
              <w:right w:val="single" w:color="auto" w:sz="4" w:space="0"/>
            </w:tcBorders>
            <w:shd w:val="clear" w:color="auto" w:fill="auto"/>
            <w:vAlign w:val="center"/>
          </w:tcPr>
          <w:p>
            <w:pPr>
              <w:spacing w:line="280" w:lineRule="exact"/>
              <w:jc w:val="center"/>
              <w:rPr>
                <w:rFonts w:ascii="宋体" w:hAnsi="宋体"/>
                <w:color w:val="auto"/>
                <w:highlight w:val="none"/>
              </w:rPr>
            </w:pPr>
          </w:p>
        </w:tc>
        <w:tc>
          <w:tcPr>
            <w:tcW w:w="6779" w:type="dxa"/>
            <w:tcBorders>
              <w:top w:val="single" w:color="auto" w:sz="4" w:space="0"/>
              <w:left w:val="nil"/>
              <w:bottom w:val="nil"/>
              <w:right w:val="single" w:color="auto" w:sz="4" w:space="0"/>
            </w:tcBorders>
            <w:shd w:val="clear" w:color="auto" w:fill="auto"/>
            <w:vAlign w:val="center"/>
          </w:tcPr>
          <w:p>
            <w:pPr>
              <w:spacing w:line="280" w:lineRule="exact"/>
              <w:rPr>
                <w:rFonts w:ascii="宋体" w:hAnsi="宋体"/>
                <w:color w:val="auto"/>
                <w:highlight w:val="none"/>
              </w:rPr>
            </w:pPr>
          </w:p>
        </w:tc>
      </w:tr>
      <w:tr>
        <w:tblPrEx>
          <w:tblCellMar>
            <w:top w:w="0" w:type="dxa"/>
            <w:left w:w="108" w:type="dxa"/>
            <w:bottom w:w="0" w:type="dxa"/>
            <w:right w:w="108" w:type="dxa"/>
          </w:tblCellMar>
        </w:tblPrEx>
        <w:trPr>
          <w:trHeight w:val="3878" w:hRule="atLeast"/>
          <w:jc w:val="center"/>
        </w:trPr>
        <w:tc>
          <w:tcPr>
            <w:tcW w:w="567" w:type="dxa"/>
            <w:tcBorders>
              <w:top w:val="nil"/>
              <w:left w:val="single" w:color="auto" w:sz="4" w:space="0"/>
              <w:bottom w:val="nil"/>
              <w:right w:val="single" w:color="auto" w:sz="4" w:space="0"/>
            </w:tcBorders>
            <w:shd w:val="clear" w:color="auto" w:fill="auto"/>
            <w:vAlign w:val="center"/>
          </w:tcPr>
          <w:p>
            <w:pPr>
              <w:widowControl/>
              <w:spacing w:line="280" w:lineRule="exact"/>
              <w:jc w:val="center"/>
              <w:rPr>
                <w:rFonts w:ascii="宋体" w:hAnsi="宋体"/>
                <w:color w:val="auto"/>
                <w:kern w:val="0"/>
                <w:highlight w:val="none"/>
              </w:rPr>
            </w:pPr>
            <w:r>
              <w:rPr>
                <w:rFonts w:hint="eastAsia" w:ascii="宋体" w:hAnsi="宋体"/>
                <w:color w:val="auto"/>
                <w:kern w:val="0"/>
                <w:highlight w:val="none"/>
              </w:rPr>
              <w:t>4</w:t>
            </w:r>
          </w:p>
        </w:tc>
        <w:tc>
          <w:tcPr>
            <w:tcW w:w="878" w:type="dxa"/>
            <w:tcBorders>
              <w:top w:val="nil"/>
              <w:left w:val="nil"/>
              <w:bottom w:val="nil"/>
              <w:right w:val="single" w:color="auto" w:sz="4" w:space="0"/>
            </w:tcBorders>
            <w:shd w:val="clear" w:color="auto" w:fill="auto"/>
            <w:vAlign w:val="center"/>
          </w:tcPr>
          <w:p>
            <w:pPr>
              <w:spacing w:line="280" w:lineRule="exact"/>
              <w:jc w:val="center"/>
              <w:rPr>
                <w:rFonts w:ascii="宋体" w:hAnsi="宋体"/>
                <w:color w:val="auto"/>
                <w:highlight w:val="none"/>
              </w:rPr>
            </w:pPr>
            <w:r>
              <w:rPr>
                <w:rFonts w:hint="eastAsia" w:ascii="宋体" w:hAnsi="宋体"/>
                <w:color w:val="auto"/>
                <w:highlight w:val="none"/>
              </w:rPr>
              <w:t>1</w:t>
            </w:r>
          </w:p>
        </w:tc>
        <w:tc>
          <w:tcPr>
            <w:tcW w:w="878" w:type="dxa"/>
            <w:tcBorders>
              <w:top w:val="nil"/>
              <w:left w:val="nil"/>
              <w:bottom w:val="nil"/>
              <w:right w:val="single" w:color="auto" w:sz="4" w:space="0"/>
            </w:tcBorders>
            <w:shd w:val="clear" w:color="auto" w:fill="auto"/>
            <w:vAlign w:val="center"/>
          </w:tcPr>
          <w:p>
            <w:pPr>
              <w:spacing w:line="280" w:lineRule="exact"/>
              <w:jc w:val="center"/>
              <w:rPr>
                <w:rFonts w:ascii="宋体" w:hAnsi="宋体"/>
                <w:color w:val="auto"/>
                <w:highlight w:val="none"/>
              </w:rPr>
            </w:pPr>
            <w:r>
              <w:rPr>
                <w:rFonts w:hint="eastAsia" w:ascii="宋体" w:hAnsi="宋体"/>
                <w:color w:val="auto"/>
                <w:highlight w:val="none"/>
              </w:rPr>
              <w:t>0.37</w:t>
            </w:r>
          </w:p>
        </w:tc>
        <w:tc>
          <w:tcPr>
            <w:tcW w:w="1315" w:type="dxa"/>
            <w:tcBorders>
              <w:top w:val="nil"/>
              <w:left w:val="nil"/>
              <w:bottom w:val="nil"/>
              <w:right w:val="single" w:color="auto" w:sz="4" w:space="0"/>
            </w:tcBorders>
            <w:shd w:val="clear" w:color="auto" w:fill="auto"/>
            <w:vAlign w:val="center"/>
          </w:tcPr>
          <w:p>
            <w:pPr>
              <w:spacing w:line="280" w:lineRule="exact"/>
              <w:jc w:val="center"/>
              <w:rPr>
                <w:rFonts w:ascii="宋体" w:hAnsi="宋体"/>
                <w:color w:val="auto"/>
                <w:highlight w:val="none"/>
              </w:rPr>
            </w:pPr>
            <w:r>
              <w:rPr>
                <w:rFonts w:hint="eastAsia" w:ascii="宋体" w:hAnsi="宋体"/>
                <w:color w:val="auto"/>
                <w:highlight w:val="none"/>
              </w:rPr>
              <w:t>机动链锯</w:t>
            </w:r>
          </w:p>
        </w:tc>
        <w:tc>
          <w:tcPr>
            <w:tcW w:w="6779" w:type="dxa"/>
            <w:tcBorders>
              <w:top w:val="nil"/>
              <w:left w:val="nil"/>
              <w:bottom w:val="nil"/>
              <w:right w:val="single" w:color="auto" w:sz="4" w:space="0"/>
            </w:tcBorders>
            <w:shd w:val="clear" w:color="auto" w:fill="auto"/>
            <w:vAlign w:val="center"/>
          </w:tcPr>
          <w:p>
            <w:pPr>
              <w:spacing w:line="280" w:lineRule="exact"/>
              <w:rPr>
                <w:rFonts w:ascii="宋体" w:hAnsi="宋体"/>
                <w:color w:val="auto"/>
                <w:highlight w:val="none"/>
              </w:rPr>
            </w:pPr>
            <w:r>
              <w:rPr>
                <w:rFonts w:hint="eastAsia" w:ascii="宋体" w:hAnsi="宋体"/>
                <w:color w:val="auto"/>
                <w:highlight w:val="none"/>
              </w:rPr>
              <w:t xml:space="preserve">★1、满足《消防应急救援装备破拆机具通用技术条件》GB32460-2015标准；                                                         </w:t>
            </w:r>
          </w:p>
          <w:p>
            <w:pPr>
              <w:spacing w:line="280" w:lineRule="exact"/>
              <w:rPr>
                <w:rFonts w:ascii="宋体" w:hAnsi="宋体"/>
                <w:color w:val="auto"/>
                <w:highlight w:val="none"/>
              </w:rPr>
            </w:pPr>
            <w:r>
              <w:rPr>
                <w:rFonts w:hint="eastAsia" w:ascii="宋体" w:hAnsi="宋体"/>
                <w:color w:val="auto"/>
                <w:highlight w:val="none"/>
              </w:rPr>
              <w:t>▲2、用于切割各类木质结构障碍物，转速≥9600rpm，导板长度≥50cm；汽油机动力，功率≥4kW；</w:t>
            </w:r>
          </w:p>
          <w:p>
            <w:pPr>
              <w:spacing w:line="280" w:lineRule="exact"/>
              <w:rPr>
                <w:rFonts w:ascii="宋体" w:hAnsi="宋体"/>
                <w:color w:val="auto"/>
                <w:highlight w:val="none"/>
              </w:rPr>
            </w:pPr>
            <w:r>
              <w:rPr>
                <w:rFonts w:hint="eastAsia" w:ascii="宋体" w:hAnsi="宋体"/>
                <w:color w:val="auto"/>
                <w:highlight w:val="none"/>
              </w:rPr>
              <w:t>3、质量（不含链条）≤7kg；</w:t>
            </w:r>
          </w:p>
          <w:p>
            <w:pPr>
              <w:spacing w:line="280" w:lineRule="exact"/>
              <w:rPr>
                <w:rFonts w:ascii="宋体" w:hAnsi="宋体"/>
                <w:color w:val="auto"/>
                <w:highlight w:val="none"/>
              </w:rPr>
            </w:pPr>
            <w:r>
              <w:rPr>
                <w:rFonts w:hint="eastAsia" w:ascii="宋体" w:hAnsi="宋体"/>
                <w:color w:val="auto"/>
                <w:highlight w:val="none"/>
              </w:rPr>
              <w:t>4、配维修工具1套，链条油1瓶，链条5条，比例壶1个；</w:t>
            </w:r>
          </w:p>
          <w:p>
            <w:pPr>
              <w:spacing w:line="280" w:lineRule="exact"/>
              <w:rPr>
                <w:rFonts w:ascii="宋体" w:hAnsi="宋体"/>
                <w:color w:val="auto"/>
                <w:highlight w:val="none"/>
              </w:rPr>
            </w:pPr>
            <w:r>
              <w:rPr>
                <w:rFonts w:hint="eastAsia" w:ascii="宋体" w:hAnsi="宋体"/>
                <w:color w:val="auto"/>
                <w:highlight w:val="none"/>
              </w:rPr>
              <w:t>5、其他要求：二冲程发动机、前手防护挡；</w:t>
            </w:r>
          </w:p>
          <w:p>
            <w:pPr>
              <w:spacing w:line="280" w:lineRule="exact"/>
              <w:rPr>
                <w:rFonts w:ascii="宋体" w:hAnsi="宋体"/>
                <w:color w:val="auto"/>
                <w:highlight w:val="none"/>
              </w:rPr>
            </w:pPr>
            <w:r>
              <w:rPr>
                <w:rFonts w:hint="eastAsia" w:ascii="宋体" w:hAnsi="宋体"/>
                <w:color w:val="auto"/>
                <w:highlight w:val="none"/>
              </w:rPr>
              <w:t>6、提供使用说明书。</w:t>
            </w:r>
          </w:p>
        </w:tc>
      </w:tr>
      <w:tr>
        <w:tblPrEx>
          <w:tblCellMar>
            <w:top w:w="0" w:type="dxa"/>
            <w:left w:w="108" w:type="dxa"/>
            <w:bottom w:w="0" w:type="dxa"/>
            <w:right w:w="108" w:type="dxa"/>
          </w:tblCellMar>
        </w:tblPrEx>
        <w:trPr>
          <w:trHeight w:val="90" w:hRule="atLeast"/>
          <w:jc w:val="center"/>
        </w:trPr>
        <w:tc>
          <w:tcPr>
            <w:tcW w:w="567" w:type="dxa"/>
            <w:tcBorders>
              <w:top w:val="nil"/>
              <w:left w:val="single" w:color="auto" w:sz="4" w:space="0"/>
              <w:bottom w:val="single" w:color="auto" w:sz="4" w:space="0"/>
              <w:right w:val="single" w:color="auto" w:sz="4" w:space="0"/>
            </w:tcBorders>
            <w:shd w:val="clear" w:color="auto" w:fill="auto"/>
            <w:vAlign w:val="center"/>
          </w:tcPr>
          <w:p>
            <w:pPr>
              <w:widowControl/>
              <w:spacing w:line="280" w:lineRule="exact"/>
              <w:jc w:val="center"/>
              <w:rPr>
                <w:rFonts w:ascii="宋体" w:hAnsi="宋体"/>
                <w:color w:val="auto"/>
                <w:kern w:val="0"/>
                <w:highlight w:val="none"/>
              </w:rPr>
            </w:pPr>
          </w:p>
        </w:tc>
        <w:tc>
          <w:tcPr>
            <w:tcW w:w="878" w:type="dxa"/>
            <w:tcBorders>
              <w:top w:val="nil"/>
              <w:left w:val="nil"/>
              <w:bottom w:val="single" w:color="auto" w:sz="4" w:space="0"/>
              <w:right w:val="single" w:color="auto" w:sz="4" w:space="0"/>
            </w:tcBorders>
            <w:shd w:val="clear" w:color="auto" w:fill="auto"/>
            <w:vAlign w:val="center"/>
          </w:tcPr>
          <w:p>
            <w:pPr>
              <w:spacing w:line="280" w:lineRule="exact"/>
              <w:jc w:val="center"/>
              <w:rPr>
                <w:rFonts w:ascii="宋体" w:hAnsi="宋体"/>
                <w:color w:val="auto"/>
                <w:highlight w:val="none"/>
              </w:rPr>
            </w:pPr>
          </w:p>
        </w:tc>
        <w:tc>
          <w:tcPr>
            <w:tcW w:w="878" w:type="dxa"/>
            <w:tcBorders>
              <w:top w:val="nil"/>
              <w:left w:val="nil"/>
              <w:bottom w:val="single" w:color="auto" w:sz="4" w:space="0"/>
              <w:right w:val="single" w:color="auto" w:sz="4" w:space="0"/>
            </w:tcBorders>
            <w:shd w:val="clear" w:color="auto" w:fill="auto"/>
            <w:vAlign w:val="center"/>
          </w:tcPr>
          <w:p>
            <w:pPr>
              <w:spacing w:line="280" w:lineRule="exact"/>
              <w:jc w:val="center"/>
              <w:rPr>
                <w:rFonts w:ascii="宋体" w:hAnsi="宋体"/>
                <w:color w:val="auto"/>
                <w:highlight w:val="none"/>
              </w:rPr>
            </w:pPr>
          </w:p>
        </w:tc>
        <w:tc>
          <w:tcPr>
            <w:tcW w:w="1315" w:type="dxa"/>
            <w:tcBorders>
              <w:top w:val="nil"/>
              <w:left w:val="nil"/>
              <w:bottom w:val="single" w:color="auto" w:sz="4" w:space="0"/>
              <w:right w:val="single" w:color="auto" w:sz="4" w:space="0"/>
            </w:tcBorders>
            <w:shd w:val="clear" w:color="auto" w:fill="auto"/>
            <w:vAlign w:val="center"/>
          </w:tcPr>
          <w:p>
            <w:pPr>
              <w:spacing w:line="280" w:lineRule="exact"/>
              <w:jc w:val="center"/>
              <w:rPr>
                <w:rFonts w:ascii="宋体" w:hAnsi="宋体"/>
                <w:color w:val="auto"/>
                <w:highlight w:val="none"/>
              </w:rPr>
            </w:pPr>
          </w:p>
        </w:tc>
        <w:tc>
          <w:tcPr>
            <w:tcW w:w="6779" w:type="dxa"/>
            <w:tcBorders>
              <w:top w:val="nil"/>
              <w:left w:val="nil"/>
              <w:bottom w:val="single" w:color="auto" w:sz="4" w:space="0"/>
              <w:right w:val="single" w:color="auto" w:sz="4" w:space="0"/>
            </w:tcBorders>
            <w:shd w:val="clear" w:color="auto" w:fill="auto"/>
            <w:vAlign w:val="center"/>
          </w:tcPr>
          <w:p>
            <w:pPr>
              <w:spacing w:line="280" w:lineRule="exact"/>
              <w:rPr>
                <w:rFonts w:ascii="宋体" w:hAnsi="宋体"/>
                <w:color w:val="auto"/>
                <w:highlight w:val="none"/>
              </w:rPr>
            </w:pPr>
          </w:p>
        </w:tc>
      </w:tr>
    </w:tbl>
    <w:p>
      <w:pPr>
        <w:pStyle w:val="23"/>
        <w:spacing w:line="280" w:lineRule="exact"/>
        <w:rPr>
          <w:rFonts w:hAnsi="宋体"/>
          <w:color w:val="auto"/>
          <w:highlight w:val="none"/>
        </w:rPr>
      </w:pPr>
    </w:p>
    <w:p>
      <w:pPr>
        <w:pStyle w:val="23"/>
        <w:spacing w:line="280" w:lineRule="exact"/>
        <w:rPr>
          <w:rFonts w:hAnsi="宋体"/>
          <w:color w:val="auto"/>
          <w:highlight w:val="none"/>
        </w:rPr>
      </w:pPr>
    </w:p>
    <w:p>
      <w:pPr>
        <w:pStyle w:val="23"/>
        <w:spacing w:line="280" w:lineRule="exact"/>
        <w:rPr>
          <w:rFonts w:hAnsi="宋体"/>
          <w:color w:val="auto"/>
          <w:highlight w:val="none"/>
        </w:rPr>
      </w:pPr>
    </w:p>
    <w:p>
      <w:pPr>
        <w:pStyle w:val="23"/>
        <w:spacing w:line="280" w:lineRule="exact"/>
        <w:rPr>
          <w:rFonts w:hAnsi="宋体"/>
          <w:color w:val="auto"/>
          <w:highlight w:val="none"/>
        </w:rPr>
      </w:pPr>
    </w:p>
    <w:sectPr>
      <w:pgSz w:w="11906" w:h="16838"/>
      <w:pgMar w:top="1440" w:right="1803" w:bottom="1440" w:left="1803" w:header="851" w:footer="992" w:gutter="0"/>
      <w:pgNumType w:fmt="decimal"/>
      <w:cols w:space="0" w:num="1"/>
      <w:docGrid w:type="linesAndChars" w:linePitch="319" w:charSpace="57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monospace">
    <w:altName w:val="Courier New"/>
    <w:panose1 w:val="00000000000000000000"/>
    <w:charset w:val="00"/>
    <w:family w:val="auto"/>
    <w:pitch w:val="default"/>
    <w:sig w:usb0="00000000" w:usb1="00000000" w:usb2="00000000" w:usb3="00000000" w:csb0="00000001" w:csb1="00000000"/>
  </w:font>
  <w:font w:name="Helvetica Neue">
    <w:altName w:val="Corbel"/>
    <w:panose1 w:val="00000000000000000000"/>
    <w:charset w:val="00"/>
    <w:family w:val="auto"/>
    <w:pitch w:val="default"/>
    <w:sig w:usb0="00000000" w:usb1="00000000" w:usb2="00000000" w:usb3="00000000" w:csb0="00040001" w:csb1="00000000"/>
  </w:font>
  <w:font w:name="方正黑体_GBK">
    <w:altName w:val="微软雅黑"/>
    <w:panose1 w:val="00000000000000000000"/>
    <w:charset w:val="86"/>
    <w:family w:val="auto"/>
    <w:pitch w:val="default"/>
    <w:sig w:usb0="00000000" w:usb1="00000000" w:usb2="0000000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方正小标宋_GBK">
    <w:altName w:val="微软雅黑"/>
    <w:panose1 w:val="02000000000000000000"/>
    <w:charset w:val="86"/>
    <w:family w:val="script"/>
    <w:pitch w:val="default"/>
    <w:sig w:usb0="00000000" w:usb1="00000000" w:usb2="00082016"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方正仿宋简体">
    <w:altName w:val="微软雅黑"/>
    <w:panose1 w:val="00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S Mincho">
    <w:altName w:val="Yu Gothic UI"/>
    <w:panose1 w:val="02020609040205080304"/>
    <w:charset w:val="80"/>
    <w:family w:val="modern"/>
    <w:pitch w:val="default"/>
    <w:sig w:usb0="00000000" w:usb1="00000000" w:usb2="00000010" w:usb3="00000000" w:csb0="0002009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3305"/>
      </w:tabs>
      <w:ind w:right="360"/>
    </w:pPr>
    <w:r>
      <w:rPr>
        <w:rFonts w:hint="eastAsia"/>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3305"/>
      </w:tabs>
      <w:ind w:right="360"/>
    </w:pPr>
    <w:r>
      <w:rPr>
        <w:rFonts w:hint="eastAsia"/>
      </w:rPr>
      <w:tab/>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3305"/>
      </w:tabs>
      <w:ind w:right="360"/>
    </w:pPr>
    <w:r>
      <w:pict>
        <v:shape id="_x0000_s1027" o:spid="_x0000_s1027" o:spt="202" type="#_x0000_t202" style="position:absolute;left:0pt;margin-top:0pt;height:8.85pt;width:11.3pt;mso-position-horizontal:center;mso-position-horizontal-relative:margin;z-index:251660288;mso-width-relative:page;mso-height-relative:page;" filled="f" stroked="f" coordsize="21600,21600">
          <v:path/>
          <v:fill on="f" focussize="0,0"/>
          <v:stroke on="f" weight="0.5pt"/>
          <v:imagedata o:title=""/>
          <o:lock v:ext="edit" aspectratio="f"/>
          <v:textbox inset="0mm,0mm,0mm,0mm">
            <w:txbxContent>
              <w:p>
                <w:pPr>
                  <w:pStyle w:val="27"/>
                </w:pPr>
                <w:r>
                  <w:fldChar w:fldCharType="begin"/>
                </w:r>
                <w:r>
                  <w:instrText xml:space="preserve"> PAGE  \* MERGEFORMAT </w:instrText>
                </w:r>
                <w:r>
                  <w:fldChar w:fldCharType="separate"/>
                </w:r>
                <w:r>
                  <w:t>56</w:t>
                </w:r>
                <w:r>
                  <w:fldChar w:fldCharType="end"/>
                </w:r>
              </w:p>
            </w:txbxContent>
          </v:textbox>
        </v:shape>
      </w:pict>
    </w:r>
    <w:r>
      <w:rPr>
        <w:rFonts w:hint="eastAsia"/>
      </w:rPr>
      <w:tab/>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right="360"/>
    </w:pPr>
    <w:r>
      <w:pict>
        <v:shape id="_x0000_s1025" o:spid="_x0000_s1025" o:spt="202" type="#_x0000_t202" style="position:absolute;left:0pt;margin-top:0pt;height:10.35pt;width:12.05pt;mso-position-horizontal:center;mso-position-horizontal-relative:margin;z-index:251659264;mso-width-relative:page;mso-height-relative:page;" filled="f" stroked="f" coordsize="21600,21600">
          <v:path/>
          <v:fill on="f" focussize="0,0"/>
          <v:stroke on="f" weight="0.5pt"/>
          <v:imagedata o:title=""/>
          <o:lock v:ext="edit" aspectratio="f"/>
          <v:textbox inset="0mm,0mm,0mm,0mm" style="mso-fit-shape-to-text:t;">
            <w:txbxContent>
              <w:p>
                <w:pPr>
                  <w:pStyle w:val="27"/>
                </w:pPr>
                <w:r>
                  <w:fldChar w:fldCharType="begin"/>
                </w:r>
                <w:r>
                  <w:instrText xml:space="preserve"> PAGE  \* MERGEFORMAT </w:instrText>
                </w:r>
                <w:r>
                  <w:fldChar w:fldCharType="separate"/>
                </w:r>
                <w:r>
                  <w:t>76</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Bdr>
        <w:bottom w:val="single" w:color="auto" w:sz="6" w:space="1"/>
      </w:pBdr>
      <w:tabs>
        <w:tab w:val="left" w:pos="2325"/>
        <w:tab w:val="clear" w:pos="4153"/>
      </w:tabs>
      <w:jc w:val="both"/>
      <w:rPr>
        <w:rFonts w:hint="eastAsia" w:eastAsia="宋体"/>
        <w:lang w:eastAsia="zh-CN"/>
      </w:rPr>
    </w:pPr>
    <w:r>
      <w:rPr>
        <w:rFonts w:hint="eastAsia"/>
        <w:lang w:eastAsia="zh-CN"/>
      </w:rP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E896D0C"/>
    <w:multiLevelType w:val="singleLevel"/>
    <w:tmpl w:val="9E896D0C"/>
    <w:lvl w:ilvl="0" w:tentative="0">
      <w:start w:val="1"/>
      <w:numFmt w:val="decimal"/>
      <w:suff w:val="nothing"/>
      <w:lvlText w:val="%1、"/>
      <w:lvlJc w:val="left"/>
    </w:lvl>
  </w:abstractNum>
  <w:abstractNum w:abstractNumId="1">
    <w:nsid w:val="B1F7971A"/>
    <w:multiLevelType w:val="singleLevel"/>
    <w:tmpl w:val="B1F7971A"/>
    <w:lvl w:ilvl="0" w:tentative="0">
      <w:start w:val="1"/>
      <w:numFmt w:val="decimal"/>
      <w:suff w:val="nothing"/>
      <w:lvlText w:val="%1、"/>
      <w:lvlJc w:val="left"/>
    </w:lvl>
  </w:abstractNum>
  <w:abstractNum w:abstractNumId="2">
    <w:nsid w:val="BE27D3A2"/>
    <w:multiLevelType w:val="singleLevel"/>
    <w:tmpl w:val="BE27D3A2"/>
    <w:lvl w:ilvl="0" w:tentative="0">
      <w:start w:val="1"/>
      <w:numFmt w:val="decimal"/>
      <w:suff w:val="nothing"/>
      <w:lvlText w:val="%1、"/>
      <w:lvlJc w:val="left"/>
    </w:lvl>
  </w:abstractNum>
  <w:abstractNum w:abstractNumId="3">
    <w:nsid w:val="FEC1CC46"/>
    <w:multiLevelType w:val="singleLevel"/>
    <w:tmpl w:val="FEC1CC46"/>
    <w:lvl w:ilvl="0" w:tentative="0">
      <w:start w:val="7"/>
      <w:numFmt w:val="chineseCounting"/>
      <w:suff w:val="nothing"/>
      <w:lvlText w:val="%1、"/>
      <w:lvlJc w:val="left"/>
      <w:rPr>
        <w:rFonts w:hint="eastAsia"/>
      </w:rPr>
    </w:lvl>
  </w:abstractNum>
  <w:abstractNum w:abstractNumId="4">
    <w:nsid w:val="06784D56"/>
    <w:multiLevelType w:val="singleLevel"/>
    <w:tmpl w:val="06784D56"/>
    <w:lvl w:ilvl="0" w:tentative="0">
      <w:start w:val="1"/>
      <w:numFmt w:val="upperLetter"/>
      <w:pStyle w:val="117"/>
      <w:lvlText w:val="附录%1."/>
      <w:lvlJc w:val="left"/>
      <w:pPr>
        <w:tabs>
          <w:tab w:val="left" w:pos="907"/>
        </w:tabs>
        <w:ind w:left="907" w:hanging="907"/>
      </w:pPr>
      <w:rPr>
        <w:rFonts w:hint="eastAsia"/>
      </w:rPr>
    </w:lvl>
  </w:abstractNum>
  <w:abstractNum w:abstractNumId="5">
    <w:nsid w:val="253E05EF"/>
    <w:multiLevelType w:val="multilevel"/>
    <w:tmpl w:val="253E05EF"/>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6">
    <w:nsid w:val="3A15682F"/>
    <w:multiLevelType w:val="singleLevel"/>
    <w:tmpl w:val="3A15682F"/>
    <w:lvl w:ilvl="0" w:tentative="0">
      <w:start w:val="0"/>
      <w:numFmt w:val="none"/>
      <w:lvlText w:val=""/>
      <w:lvlJc w:val="left"/>
      <w:pPr>
        <w:tabs>
          <w:tab w:val="left" w:pos="360"/>
        </w:tabs>
      </w:p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58"/>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420C153B"/>
    <w:multiLevelType w:val="multilevel"/>
    <w:tmpl w:val="420C153B"/>
    <w:lvl w:ilvl="0" w:tentative="0">
      <w:start w:val="1"/>
      <w:numFmt w:val="decimal"/>
      <w:pStyle w:val="96"/>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9">
    <w:nsid w:val="46137EDD"/>
    <w:multiLevelType w:val="multilevel"/>
    <w:tmpl w:val="46137EDD"/>
    <w:lvl w:ilvl="0" w:tentative="0">
      <w:start w:val="1"/>
      <w:numFmt w:val="decimal"/>
      <w:lvlText w:val="%1"/>
      <w:lvlJc w:val="left"/>
      <w:pPr>
        <w:tabs>
          <w:tab w:val="left" w:pos="432"/>
        </w:tabs>
        <w:ind w:left="432" w:hanging="432"/>
        <w:textAlignment w:val="baseline"/>
      </w:pPr>
    </w:lvl>
    <w:lvl w:ilvl="1" w:tentative="0">
      <w:start w:val="1"/>
      <w:numFmt w:val="decimal"/>
      <w:pStyle w:val="55"/>
      <w:lvlText w:val="%1.%2"/>
      <w:lvlJc w:val="left"/>
      <w:pPr>
        <w:tabs>
          <w:tab w:val="left" w:pos="718"/>
        </w:tabs>
        <w:ind w:left="718" w:hanging="576"/>
        <w:textAlignment w:val="baseline"/>
      </w:pPr>
    </w:lvl>
    <w:lvl w:ilvl="2" w:tentative="0">
      <w:start w:val="1"/>
      <w:numFmt w:val="decimal"/>
      <w:lvlText w:val="%1.%2.%3"/>
      <w:lvlJc w:val="left"/>
      <w:pPr>
        <w:tabs>
          <w:tab w:val="left" w:pos="720"/>
        </w:tabs>
        <w:ind w:left="720" w:hanging="720"/>
        <w:textAlignment w:val="baseline"/>
      </w:pPr>
    </w:lvl>
    <w:lvl w:ilvl="3" w:tentative="0">
      <w:start w:val="1"/>
      <w:numFmt w:val="decimal"/>
      <w:lvlText w:val="%1.%2.%3.%4"/>
      <w:lvlJc w:val="left"/>
      <w:pPr>
        <w:tabs>
          <w:tab w:val="left" w:pos="864"/>
        </w:tabs>
        <w:ind w:left="864" w:hanging="864"/>
        <w:textAlignment w:val="baseline"/>
      </w:pPr>
    </w:lvl>
    <w:lvl w:ilvl="4" w:tentative="0">
      <w:start w:val="1"/>
      <w:numFmt w:val="decimal"/>
      <w:lvlText w:val="%1.%2.%3.%4.%5"/>
      <w:lvlJc w:val="left"/>
      <w:pPr>
        <w:tabs>
          <w:tab w:val="left" w:pos="1008"/>
        </w:tabs>
        <w:ind w:left="1008" w:hanging="1008"/>
        <w:textAlignment w:val="baseline"/>
      </w:pPr>
    </w:lvl>
    <w:lvl w:ilvl="5" w:tentative="0">
      <w:start w:val="1"/>
      <w:numFmt w:val="decimal"/>
      <w:lvlText w:val="%1.%2.%3.%4.%5.%6"/>
      <w:lvlJc w:val="left"/>
      <w:pPr>
        <w:tabs>
          <w:tab w:val="left" w:pos="1152"/>
        </w:tabs>
        <w:ind w:left="1152" w:hanging="1152"/>
        <w:textAlignment w:val="baseline"/>
      </w:pPr>
    </w:lvl>
    <w:lvl w:ilvl="6" w:tentative="0">
      <w:start w:val="1"/>
      <w:numFmt w:val="decimal"/>
      <w:lvlText w:val="%1.%2.%3.%4.%5.%6.%7"/>
      <w:lvlJc w:val="left"/>
      <w:pPr>
        <w:tabs>
          <w:tab w:val="left" w:pos="1296"/>
        </w:tabs>
        <w:ind w:left="1296" w:hanging="1296"/>
        <w:textAlignment w:val="baseline"/>
      </w:pPr>
    </w:lvl>
    <w:lvl w:ilvl="7" w:tentative="0">
      <w:start w:val="1"/>
      <w:numFmt w:val="decimal"/>
      <w:lvlText w:val="%1.%2.%3.%4.%5.%6.%7.%8"/>
      <w:lvlJc w:val="left"/>
      <w:pPr>
        <w:tabs>
          <w:tab w:val="left" w:pos="1440"/>
        </w:tabs>
        <w:ind w:left="1440" w:hanging="1440"/>
        <w:textAlignment w:val="baseline"/>
      </w:pPr>
    </w:lvl>
    <w:lvl w:ilvl="8" w:tentative="0">
      <w:start w:val="1"/>
      <w:numFmt w:val="decimal"/>
      <w:lvlText w:val="%1.%2.%3.%4.%5.%6.%7.%8.%9"/>
      <w:lvlJc w:val="left"/>
      <w:pPr>
        <w:tabs>
          <w:tab w:val="left" w:pos="1584"/>
        </w:tabs>
        <w:ind w:left="1584" w:hanging="1584"/>
        <w:textAlignment w:val="baseline"/>
      </w:pPr>
    </w:lvl>
  </w:abstractNum>
  <w:abstractNum w:abstractNumId="10">
    <w:nsid w:val="4C0C1BFB"/>
    <w:multiLevelType w:val="singleLevel"/>
    <w:tmpl w:val="4C0C1BFB"/>
    <w:lvl w:ilvl="0" w:tentative="0">
      <w:start w:val="1"/>
      <w:numFmt w:val="decimal"/>
      <w:pStyle w:val="122"/>
      <w:lvlText w:val="（%1）"/>
      <w:lvlJc w:val="left"/>
      <w:pPr>
        <w:tabs>
          <w:tab w:val="left" w:pos="810"/>
        </w:tabs>
        <w:ind w:left="810" w:hanging="810"/>
      </w:pPr>
      <w:rPr>
        <w:rFonts w:hint="eastAsia"/>
      </w:rPr>
    </w:lvl>
  </w:abstractNum>
  <w:abstractNum w:abstractNumId="11">
    <w:nsid w:val="5C7E0EE5"/>
    <w:multiLevelType w:val="multilevel"/>
    <w:tmpl w:val="5C7E0EE5"/>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none"/>
      <w:pStyle w:val="9"/>
      <w:suff w:val="nothing"/>
      <w:lvlText w:val=""/>
      <w:lvlJc w:val="left"/>
      <w:pPr>
        <w:ind w:left="0" w:firstLine="0"/>
      </w:pPr>
      <w:rPr>
        <w:rFonts w:hint="eastAsia"/>
      </w:rPr>
    </w:lvl>
    <w:lvl w:ilvl="6" w:tentative="0">
      <w:start w:val="1"/>
      <w:numFmt w:val="none"/>
      <w:pStyle w:val="10"/>
      <w:suff w:val="nothing"/>
      <w:lvlText w:val=""/>
      <w:lvlJc w:val="left"/>
      <w:pPr>
        <w:ind w:left="0" w:firstLine="0"/>
      </w:pPr>
      <w:rPr>
        <w:rFonts w:hint="eastAsia"/>
      </w:rPr>
    </w:lvl>
    <w:lvl w:ilvl="7" w:tentative="0">
      <w:start w:val="1"/>
      <w:numFmt w:val="none"/>
      <w:pStyle w:val="11"/>
      <w:suff w:val="nothing"/>
      <w:lvlText w:val=""/>
      <w:lvlJc w:val="left"/>
      <w:pPr>
        <w:ind w:left="0" w:firstLine="0"/>
      </w:pPr>
      <w:rPr>
        <w:rFonts w:hint="eastAsia"/>
      </w:rPr>
    </w:lvl>
    <w:lvl w:ilvl="8" w:tentative="0">
      <w:start w:val="1"/>
      <w:numFmt w:val="none"/>
      <w:pStyle w:val="12"/>
      <w:suff w:val="nothing"/>
      <w:lvlText w:val=""/>
      <w:lvlJc w:val="left"/>
      <w:pPr>
        <w:ind w:left="0" w:firstLine="0"/>
      </w:pPr>
      <w:rPr>
        <w:rFonts w:hint="eastAsia"/>
      </w:rPr>
    </w:lvl>
  </w:abstractNum>
  <w:num w:numId="1">
    <w:abstractNumId w:val="11"/>
  </w:num>
  <w:num w:numId="2">
    <w:abstractNumId w:val="9"/>
  </w:num>
  <w:num w:numId="3">
    <w:abstractNumId w:val="7"/>
  </w:num>
  <w:num w:numId="4">
    <w:abstractNumId w:val="8"/>
  </w:num>
  <w:num w:numId="5">
    <w:abstractNumId w:val="4"/>
  </w:num>
  <w:num w:numId="6">
    <w:abstractNumId w:val="10"/>
  </w:num>
  <w:num w:numId="7">
    <w:abstractNumId w:val="3"/>
  </w:num>
  <w:num w:numId="8">
    <w:abstractNumId w:val="5"/>
  </w:num>
  <w:num w:numId="9">
    <w:abstractNumId w:val="6"/>
  </w:num>
  <w:num w:numId="10">
    <w:abstractNumId w:val="2"/>
  </w:num>
  <w:num w:numId="11">
    <w:abstractNumId w:val="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documentProtection w:enforcement="0"/>
  <w:defaultTabStop w:val="420"/>
  <w:drawingGridHorizontalSpacing w:val="106"/>
  <w:drawingGridVerticalSpacing w:val="159"/>
  <w:noPunctuationKerning w:val="1"/>
  <w:characterSpacingControl w:val="compressPunctuation"/>
  <w:hdrShapeDefaults>
    <o:shapelayout v:ext="edit">
      <o:idmap v:ext="edit" data="1"/>
    </o:shapelayout>
  </w:hdrShapeDefaults>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jMyNjJkYjc0NzBmYWE1ZmNmN2Y0ZjJkYzk0MTUyZTYifQ=="/>
    <w:docVar w:name="KSO_WPS_MARK_KEY" w:val="Ā"/>
  </w:docVars>
  <w:rsids>
    <w:rsidRoot w:val="00172A27"/>
    <w:rsid w:val="00000B50"/>
    <w:rsid w:val="000012AD"/>
    <w:rsid w:val="00002023"/>
    <w:rsid w:val="00002A41"/>
    <w:rsid w:val="00003038"/>
    <w:rsid w:val="000036FB"/>
    <w:rsid w:val="00003E3B"/>
    <w:rsid w:val="000040E6"/>
    <w:rsid w:val="000044C5"/>
    <w:rsid w:val="00004833"/>
    <w:rsid w:val="00004C7F"/>
    <w:rsid w:val="00005A61"/>
    <w:rsid w:val="00005C0D"/>
    <w:rsid w:val="00006327"/>
    <w:rsid w:val="00006AA3"/>
    <w:rsid w:val="00006E32"/>
    <w:rsid w:val="00010521"/>
    <w:rsid w:val="00010E39"/>
    <w:rsid w:val="00010EC6"/>
    <w:rsid w:val="00011619"/>
    <w:rsid w:val="00011FF2"/>
    <w:rsid w:val="000126A3"/>
    <w:rsid w:val="00012BC2"/>
    <w:rsid w:val="0001340E"/>
    <w:rsid w:val="00013C36"/>
    <w:rsid w:val="000144A3"/>
    <w:rsid w:val="00015CBB"/>
    <w:rsid w:val="000178E0"/>
    <w:rsid w:val="00017D33"/>
    <w:rsid w:val="000209DD"/>
    <w:rsid w:val="000214BA"/>
    <w:rsid w:val="000217F4"/>
    <w:rsid w:val="00023805"/>
    <w:rsid w:val="0002607A"/>
    <w:rsid w:val="00026720"/>
    <w:rsid w:val="000269AE"/>
    <w:rsid w:val="00026D40"/>
    <w:rsid w:val="0002771F"/>
    <w:rsid w:val="000300C7"/>
    <w:rsid w:val="00031135"/>
    <w:rsid w:val="000313D5"/>
    <w:rsid w:val="00031400"/>
    <w:rsid w:val="0003239D"/>
    <w:rsid w:val="00033D51"/>
    <w:rsid w:val="00034EE1"/>
    <w:rsid w:val="000355B7"/>
    <w:rsid w:val="00035B84"/>
    <w:rsid w:val="00035DB5"/>
    <w:rsid w:val="00035FD3"/>
    <w:rsid w:val="0003628F"/>
    <w:rsid w:val="00036464"/>
    <w:rsid w:val="000368D5"/>
    <w:rsid w:val="000404B4"/>
    <w:rsid w:val="00041C0C"/>
    <w:rsid w:val="000426B0"/>
    <w:rsid w:val="000444C8"/>
    <w:rsid w:val="000448ED"/>
    <w:rsid w:val="00045FCC"/>
    <w:rsid w:val="0004682D"/>
    <w:rsid w:val="000479FB"/>
    <w:rsid w:val="00047D80"/>
    <w:rsid w:val="00050598"/>
    <w:rsid w:val="00050F3A"/>
    <w:rsid w:val="000523C9"/>
    <w:rsid w:val="000527CA"/>
    <w:rsid w:val="00052F6E"/>
    <w:rsid w:val="000533AB"/>
    <w:rsid w:val="00054001"/>
    <w:rsid w:val="00055613"/>
    <w:rsid w:val="00055942"/>
    <w:rsid w:val="00055E74"/>
    <w:rsid w:val="000574F5"/>
    <w:rsid w:val="0006136C"/>
    <w:rsid w:val="00063CEE"/>
    <w:rsid w:val="00063F19"/>
    <w:rsid w:val="00063F82"/>
    <w:rsid w:val="00064391"/>
    <w:rsid w:val="00065813"/>
    <w:rsid w:val="0006639D"/>
    <w:rsid w:val="000664B9"/>
    <w:rsid w:val="0006714F"/>
    <w:rsid w:val="00071811"/>
    <w:rsid w:val="00071CEE"/>
    <w:rsid w:val="00071E07"/>
    <w:rsid w:val="0007307E"/>
    <w:rsid w:val="00073596"/>
    <w:rsid w:val="00075DBF"/>
    <w:rsid w:val="000760C9"/>
    <w:rsid w:val="00076450"/>
    <w:rsid w:val="00076D7B"/>
    <w:rsid w:val="00076DB5"/>
    <w:rsid w:val="0007732F"/>
    <w:rsid w:val="00077725"/>
    <w:rsid w:val="00082FDE"/>
    <w:rsid w:val="0008349C"/>
    <w:rsid w:val="00083A9A"/>
    <w:rsid w:val="00083E1C"/>
    <w:rsid w:val="00083F9C"/>
    <w:rsid w:val="00084F92"/>
    <w:rsid w:val="000874A6"/>
    <w:rsid w:val="00087583"/>
    <w:rsid w:val="00087AC3"/>
    <w:rsid w:val="00087F97"/>
    <w:rsid w:val="00090237"/>
    <w:rsid w:val="00091368"/>
    <w:rsid w:val="00091374"/>
    <w:rsid w:val="0009190E"/>
    <w:rsid w:val="000920C7"/>
    <w:rsid w:val="00094CF9"/>
    <w:rsid w:val="0009585A"/>
    <w:rsid w:val="00095E05"/>
    <w:rsid w:val="000965F2"/>
    <w:rsid w:val="00097697"/>
    <w:rsid w:val="000A1DC0"/>
    <w:rsid w:val="000A437C"/>
    <w:rsid w:val="000B09F2"/>
    <w:rsid w:val="000B0F3D"/>
    <w:rsid w:val="000B1318"/>
    <w:rsid w:val="000B2104"/>
    <w:rsid w:val="000B2ADE"/>
    <w:rsid w:val="000B51A5"/>
    <w:rsid w:val="000B6C52"/>
    <w:rsid w:val="000C095E"/>
    <w:rsid w:val="000C0CB7"/>
    <w:rsid w:val="000C26EA"/>
    <w:rsid w:val="000C4195"/>
    <w:rsid w:val="000C42B7"/>
    <w:rsid w:val="000C42F3"/>
    <w:rsid w:val="000C5411"/>
    <w:rsid w:val="000C54F2"/>
    <w:rsid w:val="000C676C"/>
    <w:rsid w:val="000C77A1"/>
    <w:rsid w:val="000D0BBA"/>
    <w:rsid w:val="000D1844"/>
    <w:rsid w:val="000D1950"/>
    <w:rsid w:val="000D2400"/>
    <w:rsid w:val="000D26C1"/>
    <w:rsid w:val="000D26D8"/>
    <w:rsid w:val="000D3A32"/>
    <w:rsid w:val="000D3CF7"/>
    <w:rsid w:val="000D3EE4"/>
    <w:rsid w:val="000D4D2B"/>
    <w:rsid w:val="000D6029"/>
    <w:rsid w:val="000D6565"/>
    <w:rsid w:val="000D7692"/>
    <w:rsid w:val="000E0173"/>
    <w:rsid w:val="000E0F51"/>
    <w:rsid w:val="000E157E"/>
    <w:rsid w:val="000E1A22"/>
    <w:rsid w:val="000E5078"/>
    <w:rsid w:val="000E5666"/>
    <w:rsid w:val="000E6A6F"/>
    <w:rsid w:val="000F0EB5"/>
    <w:rsid w:val="000F3923"/>
    <w:rsid w:val="000F4D9E"/>
    <w:rsid w:val="000F5242"/>
    <w:rsid w:val="000F5CDE"/>
    <w:rsid w:val="000F6E74"/>
    <w:rsid w:val="000F7537"/>
    <w:rsid w:val="00100053"/>
    <w:rsid w:val="00100A5E"/>
    <w:rsid w:val="00101DB7"/>
    <w:rsid w:val="00102619"/>
    <w:rsid w:val="00102D5E"/>
    <w:rsid w:val="00103454"/>
    <w:rsid w:val="00103E0B"/>
    <w:rsid w:val="00105903"/>
    <w:rsid w:val="00107536"/>
    <w:rsid w:val="001077C0"/>
    <w:rsid w:val="00107E84"/>
    <w:rsid w:val="001101E9"/>
    <w:rsid w:val="00111226"/>
    <w:rsid w:val="00111F3D"/>
    <w:rsid w:val="00114CA6"/>
    <w:rsid w:val="001160D7"/>
    <w:rsid w:val="001170D2"/>
    <w:rsid w:val="00120A69"/>
    <w:rsid w:val="00121CC9"/>
    <w:rsid w:val="00124CD5"/>
    <w:rsid w:val="00124F52"/>
    <w:rsid w:val="001252B0"/>
    <w:rsid w:val="00126FD7"/>
    <w:rsid w:val="00127A72"/>
    <w:rsid w:val="00127C63"/>
    <w:rsid w:val="00131277"/>
    <w:rsid w:val="00131881"/>
    <w:rsid w:val="001319ED"/>
    <w:rsid w:val="00131A58"/>
    <w:rsid w:val="001333E9"/>
    <w:rsid w:val="0013433C"/>
    <w:rsid w:val="00134831"/>
    <w:rsid w:val="00134DF7"/>
    <w:rsid w:val="001372D8"/>
    <w:rsid w:val="00140DFA"/>
    <w:rsid w:val="00141F88"/>
    <w:rsid w:val="0014204A"/>
    <w:rsid w:val="00143575"/>
    <w:rsid w:val="0014483C"/>
    <w:rsid w:val="00146F7C"/>
    <w:rsid w:val="001477FB"/>
    <w:rsid w:val="001510B7"/>
    <w:rsid w:val="0015158B"/>
    <w:rsid w:val="00151C50"/>
    <w:rsid w:val="001525DE"/>
    <w:rsid w:val="00152977"/>
    <w:rsid w:val="00152F20"/>
    <w:rsid w:val="00152FA5"/>
    <w:rsid w:val="001541B9"/>
    <w:rsid w:val="001544A4"/>
    <w:rsid w:val="0015497E"/>
    <w:rsid w:val="00154CA1"/>
    <w:rsid w:val="001551BF"/>
    <w:rsid w:val="0015531C"/>
    <w:rsid w:val="00155D52"/>
    <w:rsid w:val="00157E5B"/>
    <w:rsid w:val="00160517"/>
    <w:rsid w:val="00160AE5"/>
    <w:rsid w:val="001637D2"/>
    <w:rsid w:val="0016437E"/>
    <w:rsid w:val="00164C69"/>
    <w:rsid w:val="00165AF0"/>
    <w:rsid w:val="001667D0"/>
    <w:rsid w:val="00166EFF"/>
    <w:rsid w:val="00170749"/>
    <w:rsid w:val="00170A2D"/>
    <w:rsid w:val="00171360"/>
    <w:rsid w:val="00171D87"/>
    <w:rsid w:val="00172A27"/>
    <w:rsid w:val="00172FF1"/>
    <w:rsid w:val="00173033"/>
    <w:rsid w:val="001749B6"/>
    <w:rsid w:val="0017505E"/>
    <w:rsid w:val="00176950"/>
    <w:rsid w:val="00181110"/>
    <w:rsid w:val="0018156A"/>
    <w:rsid w:val="00182E37"/>
    <w:rsid w:val="00183EB5"/>
    <w:rsid w:val="001864A5"/>
    <w:rsid w:val="00186705"/>
    <w:rsid w:val="00187B49"/>
    <w:rsid w:val="00187C1F"/>
    <w:rsid w:val="00187DC4"/>
    <w:rsid w:val="0019076F"/>
    <w:rsid w:val="00193274"/>
    <w:rsid w:val="00193DAC"/>
    <w:rsid w:val="00194202"/>
    <w:rsid w:val="001946FF"/>
    <w:rsid w:val="001947C5"/>
    <w:rsid w:val="001953B0"/>
    <w:rsid w:val="00195808"/>
    <w:rsid w:val="00195A83"/>
    <w:rsid w:val="001A1033"/>
    <w:rsid w:val="001A187D"/>
    <w:rsid w:val="001A18C0"/>
    <w:rsid w:val="001A1D99"/>
    <w:rsid w:val="001A26B5"/>
    <w:rsid w:val="001A57FF"/>
    <w:rsid w:val="001A6C7F"/>
    <w:rsid w:val="001A7BA0"/>
    <w:rsid w:val="001A7F3C"/>
    <w:rsid w:val="001B1D18"/>
    <w:rsid w:val="001B2822"/>
    <w:rsid w:val="001B2C61"/>
    <w:rsid w:val="001B34C4"/>
    <w:rsid w:val="001B37C7"/>
    <w:rsid w:val="001B4172"/>
    <w:rsid w:val="001B452D"/>
    <w:rsid w:val="001B4A8B"/>
    <w:rsid w:val="001B52A8"/>
    <w:rsid w:val="001B5378"/>
    <w:rsid w:val="001B6B93"/>
    <w:rsid w:val="001B79B5"/>
    <w:rsid w:val="001B7A07"/>
    <w:rsid w:val="001B7A15"/>
    <w:rsid w:val="001C02D6"/>
    <w:rsid w:val="001C077B"/>
    <w:rsid w:val="001C21EF"/>
    <w:rsid w:val="001C2404"/>
    <w:rsid w:val="001C2429"/>
    <w:rsid w:val="001C2454"/>
    <w:rsid w:val="001C3136"/>
    <w:rsid w:val="001C37D3"/>
    <w:rsid w:val="001C3F88"/>
    <w:rsid w:val="001C573D"/>
    <w:rsid w:val="001C6670"/>
    <w:rsid w:val="001C7269"/>
    <w:rsid w:val="001D03CD"/>
    <w:rsid w:val="001D0B04"/>
    <w:rsid w:val="001D1063"/>
    <w:rsid w:val="001D1087"/>
    <w:rsid w:val="001D1E13"/>
    <w:rsid w:val="001D3DF4"/>
    <w:rsid w:val="001D4B6D"/>
    <w:rsid w:val="001D5588"/>
    <w:rsid w:val="001D690B"/>
    <w:rsid w:val="001D6F14"/>
    <w:rsid w:val="001E1785"/>
    <w:rsid w:val="001E19C0"/>
    <w:rsid w:val="001E218A"/>
    <w:rsid w:val="001E2A27"/>
    <w:rsid w:val="001E2AB5"/>
    <w:rsid w:val="001E3117"/>
    <w:rsid w:val="001E3212"/>
    <w:rsid w:val="001E48AF"/>
    <w:rsid w:val="001E4C69"/>
    <w:rsid w:val="001E6CFD"/>
    <w:rsid w:val="001F35A1"/>
    <w:rsid w:val="001F4946"/>
    <w:rsid w:val="001F4B41"/>
    <w:rsid w:val="001F58DB"/>
    <w:rsid w:val="001F5F91"/>
    <w:rsid w:val="001F64B1"/>
    <w:rsid w:val="001F6652"/>
    <w:rsid w:val="00200726"/>
    <w:rsid w:val="00201570"/>
    <w:rsid w:val="00201AAD"/>
    <w:rsid w:val="00201B5C"/>
    <w:rsid w:val="002026FD"/>
    <w:rsid w:val="002029A0"/>
    <w:rsid w:val="00203FDB"/>
    <w:rsid w:val="00204503"/>
    <w:rsid w:val="00204B0E"/>
    <w:rsid w:val="00207854"/>
    <w:rsid w:val="002114C5"/>
    <w:rsid w:val="0021150E"/>
    <w:rsid w:val="00211D84"/>
    <w:rsid w:val="002129B4"/>
    <w:rsid w:val="00213554"/>
    <w:rsid w:val="002135F1"/>
    <w:rsid w:val="00213952"/>
    <w:rsid w:val="0021413E"/>
    <w:rsid w:val="002150AA"/>
    <w:rsid w:val="00215D7A"/>
    <w:rsid w:val="0021681C"/>
    <w:rsid w:val="00216D78"/>
    <w:rsid w:val="0022068B"/>
    <w:rsid w:val="0022183A"/>
    <w:rsid w:val="00224BF6"/>
    <w:rsid w:val="00224D56"/>
    <w:rsid w:val="002250E1"/>
    <w:rsid w:val="0022514B"/>
    <w:rsid w:val="002251B2"/>
    <w:rsid w:val="00225592"/>
    <w:rsid w:val="00225C8B"/>
    <w:rsid w:val="00225CD5"/>
    <w:rsid w:val="00227982"/>
    <w:rsid w:val="00227C43"/>
    <w:rsid w:val="0023202D"/>
    <w:rsid w:val="00232077"/>
    <w:rsid w:val="0023283A"/>
    <w:rsid w:val="00232BF5"/>
    <w:rsid w:val="002331F2"/>
    <w:rsid w:val="00235062"/>
    <w:rsid w:val="00235603"/>
    <w:rsid w:val="002369AF"/>
    <w:rsid w:val="00236A1C"/>
    <w:rsid w:val="00237C74"/>
    <w:rsid w:val="00241187"/>
    <w:rsid w:val="00241203"/>
    <w:rsid w:val="002412FF"/>
    <w:rsid w:val="002414E0"/>
    <w:rsid w:val="00241671"/>
    <w:rsid w:val="00243079"/>
    <w:rsid w:val="00243975"/>
    <w:rsid w:val="002447BD"/>
    <w:rsid w:val="00246C19"/>
    <w:rsid w:val="00247DE3"/>
    <w:rsid w:val="00250E77"/>
    <w:rsid w:val="002514DA"/>
    <w:rsid w:val="00252722"/>
    <w:rsid w:val="00252AA4"/>
    <w:rsid w:val="002537B2"/>
    <w:rsid w:val="00254207"/>
    <w:rsid w:val="00254B9B"/>
    <w:rsid w:val="00255C8D"/>
    <w:rsid w:val="00255FEB"/>
    <w:rsid w:val="00257A01"/>
    <w:rsid w:val="00261A7E"/>
    <w:rsid w:val="002623E9"/>
    <w:rsid w:val="0026387F"/>
    <w:rsid w:val="002640B2"/>
    <w:rsid w:val="0026470C"/>
    <w:rsid w:val="00264902"/>
    <w:rsid w:val="00264B13"/>
    <w:rsid w:val="00264D4D"/>
    <w:rsid w:val="00264FAC"/>
    <w:rsid w:val="002657FF"/>
    <w:rsid w:val="00266329"/>
    <w:rsid w:val="002665DA"/>
    <w:rsid w:val="00266BA2"/>
    <w:rsid w:val="00267D06"/>
    <w:rsid w:val="00267D13"/>
    <w:rsid w:val="002702B6"/>
    <w:rsid w:val="00270609"/>
    <w:rsid w:val="002706C2"/>
    <w:rsid w:val="002707A9"/>
    <w:rsid w:val="00270858"/>
    <w:rsid w:val="00270E78"/>
    <w:rsid w:val="00270EEE"/>
    <w:rsid w:val="00270F7A"/>
    <w:rsid w:val="00271354"/>
    <w:rsid w:val="0027159B"/>
    <w:rsid w:val="002750C2"/>
    <w:rsid w:val="00275F24"/>
    <w:rsid w:val="0027611E"/>
    <w:rsid w:val="00276467"/>
    <w:rsid w:val="002767AF"/>
    <w:rsid w:val="002769A6"/>
    <w:rsid w:val="00276C85"/>
    <w:rsid w:val="002773BE"/>
    <w:rsid w:val="00280CC5"/>
    <w:rsid w:val="00280F9F"/>
    <w:rsid w:val="00281C6E"/>
    <w:rsid w:val="00282FDE"/>
    <w:rsid w:val="0028368D"/>
    <w:rsid w:val="00284A73"/>
    <w:rsid w:val="00284F56"/>
    <w:rsid w:val="0028524A"/>
    <w:rsid w:val="00285266"/>
    <w:rsid w:val="0028532D"/>
    <w:rsid w:val="002854C9"/>
    <w:rsid w:val="00286E46"/>
    <w:rsid w:val="00287A23"/>
    <w:rsid w:val="0029224A"/>
    <w:rsid w:val="0029269B"/>
    <w:rsid w:val="00293DBF"/>
    <w:rsid w:val="00293ED7"/>
    <w:rsid w:val="00296520"/>
    <w:rsid w:val="00296EE7"/>
    <w:rsid w:val="00297C93"/>
    <w:rsid w:val="002A006D"/>
    <w:rsid w:val="002A1B0C"/>
    <w:rsid w:val="002A35C8"/>
    <w:rsid w:val="002A67A6"/>
    <w:rsid w:val="002A693A"/>
    <w:rsid w:val="002A7962"/>
    <w:rsid w:val="002B084C"/>
    <w:rsid w:val="002B11E6"/>
    <w:rsid w:val="002B1261"/>
    <w:rsid w:val="002B1B75"/>
    <w:rsid w:val="002B3E53"/>
    <w:rsid w:val="002B4B17"/>
    <w:rsid w:val="002B5620"/>
    <w:rsid w:val="002B6716"/>
    <w:rsid w:val="002B70EF"/>
    <w:rsid w:val="002C00C1"/>
    <w:rsid w:val="002C067B"/>
    <w:rsid w:val="002C29A7"/>
    <w:rsid w:val="002C3863"/>
    <w:rsid w:val="002C4077"/>
    <w:rsid w:val="002C4418"/>
    <w:rsid w:val="002C5B63"/>
    <w:rsid w:val="002C75A7"/>
    <w:rsid w:val="002C79D9"/>
    <w:rsid w:val="002D046F"/>
    <w:rsid w:val="002D1163"/>
    <w:rsid w:val="002D15D0"/>
    <w:rsid w:val="002D1B01"/>
    <w:rsid w:val="002D3E1D"/>
    <w:rsid w:val="002D4138"/>
    <w:rsid w:val="002D44AA"/>
    <w:rsid w:val="002D6759"/>
    <w:rsid w:val="002D703B"/>
    <w:rsid w:val="002D78A6"/>
    <w:rsid w:val="002D7B1C"/>
    <w:rsid w:val="002E0200"/>
    <w:rsid w:val="002E0546"/>
    <w:rsid w:val="002E1397"/>
    <w:rsid w:val="002E192A"/>
    <w:rsid w:val="002E2B69"/>
    <w:rsid w:val="002E3028"/>
    <w:rsid w:val="002E4A67"/>
    <w:rsid w:val="002E4B77"/>
    <w:rsid w:val="002E4D8D"/>
    <w:rsid w:val="002E717B"/>
    <w:rsid w:val="002E7638"/>
    <w:rsid w:val="002E7821"/>
    <w:rsid w:val="002E7FEC"/>
    <w:rsid w:val="002F0573"/>
    <w:rsid w:val="002F080F"/>
    <w:rsid w:val="002F0B59"/>
    <w:rsid w:val="002F0E29"/>
    <w:rsid w:val="002F16C1"/>
    <w:rsid w:val="002F2018"/>
    <w:rsid w:val="002F3084"/>
    <w:rsid w:val="002F3C42"/>
    <w:rsid w:val="002F3DAA"/>
    <w:rsid w:val="002F45B0"/>
    <w:rsid w:val="002F56BB"/>
    <w:rsid w:val="002F57C5"/>
    <w:rsid w:val="002F5A9D"/>
    <w:rsid w:val="002F7C78"/>
    <w:rsid w:val="002F7F15"/>
    <w:rsid w:val="00302002"/>
    <w:rsid w:val="00303AB3"/>
    <w:rsid w:val="00303E18"/>
    <w:rsid w:val="00304294"/>
    <w:rsid w:val="003065CE"/>
    <w:rsid w:val="003077D7"/>
    <w:rsid w:val="00310052"/>
    <w:rsid w:val="003105BC"/>
    <w:rsid w:val="00310924"/>
    <w:rsid w:val="00310A49"/>
    <w:rsid w:val="003119DF"/>
    <w:rsid w:val="00313D00"/>
    <w:rsid w:val="00313DFC"/>
    <w:rsid w:val="003146AA"/>
    <w:rsid w:val="00314D7A"/>
    <w:rsid w:val="00315BB3"/>
    <w:rsid w:val="00315D25"/>
    <w:rsid w:val="00316838"/>
    <w:rsid w:val="003176F0"/>
    <w:rsid w:val="00317A43"/>
    <w:rsid w:val="00317CA3"/>
    <w:rsid w:val="003203FB"/>
    <w:rsid w:val="00320A43"/>
    <w:rsid w:val="00320F55"/>
    <w:rsid w:val="00321DA1"/>
    <w:rsid w:val="00323682"/>
    <w:rsid w:val="003238EE"/>
    <w:rsid w:val="00325989"/>
    <w:rsid w:val="003267CD"/>
    <w:rsid w:val="00326BC1"/>
    <w:rsid w:val="003306B8"/>
    <w:rsid w:val="003306B9"/>
    <w:rsid w:val="003313D8"/>
    <w:rsid w:val="003320F3"/>
    <w:rsid w:val="003323B2"/>
    <w:rsid w:val="00332D6E"/>
    <w:rsid w:val="003346DE"/>
    <w:rsid w:val="00334AA9"/>
    <w:rsid w:val="00336151"/>
    <w:rsid w:val="0033681E"/>
    <w:rsid w:val="0033723B"/>
    <w:rsid w:val="00337586"/>
    <w:rsid w:val="0034142F"/>
    <w:rsid w:val="00341757"/>
    <w:rsid w:val="00341E0E"/>
    <w:rsid w:val="00342DCC"/>
    <w:rsid w:val="00343BB6"/>
    <w:rsid w:val="00344805"/>
    <w:rsid w:val="00344B6D"/>
    <w:rsid w:val="0034542F"/>
    <w:rsid w:val="003458F9"/>
    <w:rsid w:val="0034648C"/>
    <w:rsid w:val="0034699A"/>
    <w:rsid w:val="00346D70"/>
    <w:rsid w:val="00347AB6"/>
    <w:rsid w:val="0035011B"/>
    <w:rsid w:val="00350189"/>
    <w:rsid w:val="003508CE"/>
    <w:rsid w:val="0035183D"/>
    <w:rsid w:val="00351988"/>
    <w:rsid w:val="00351C56"/>
    <w:rsid w:val="00352EFB"/>
    <w:rsid w:val="003543A9"/>
    <w:rsid w:val="003545FF"/>
    <w:rsid w:val="00356239"/>
    <w:rsid w:val="003570D2"/>
    <w:rsid w:val="00357549"/>
    <w:rsid w:val="00357654"/>
    <w:rsid w:val="00357F4D"/>
    <w:rsid w:val="00361201"/>
    <w:rsid w:val="00361C5C"/>
    <w:rsid w:val="00362C38"/>
    <w:rsid w:val="00363F37"/>
    <w:rsid w:val="003643E2"/>
    <w:rsid w:val="003646CC"/>
    <w:rsid w:val="003648B8"/>
    <w:rsid w:val="00364EDB"/>
    <w:rsid w:val="00366A96"/>
    <w:rsid w:val="003670B2"/>
    <w:rsid w:val="0036776C"/>
    <w:rsid w:val="00367FE7"/>
    <w:rsid w:val="00370A2C"/>
    <w:rsid w:val="003715B6"/>
    <w:rsid w:val="00373601"/>
    <w:rsid w:val="00373708"/>
    <w:rsid w:val="00373911"/>
    <w:rsid w:val="003758D1"/>
    <w:rsid w:val="00375F18"/>
    <w:rsid w:val="0037721C"/>
    <w:rsid w:val="00377CC7"/>
    <w:rsid w:val="00381306"/>
    <w:rsid w:val="00381464"/>
    <w:rsid w:val="003817C2"/>
    <w:rsid w:val="0038282F"/>
    <w:rsid w:val="00382FB7"/>
    <w:rsid w:val="003849D4"/>
    <w:rsid w:val="00385814"/>
    <w:rsid w:val="00385B86"/>
    <w:rsid w:val="0038623D"/>
    <w:rsid w:val="00386ACE"/>
    <w:rsid w:val="003872C9"/>
    <w:rsid w:val="00390235"/>
    <w:rsid w:val="00391270"/>
    <w:rsid w:val="003919D8"/>
    <w:rsid w:val="00391DF3"/>
    <w:rsid w:val="003931D2"/>
    <w:rsid w:val="00393A1F"/>
    <w:rsid w:val="00394D4B"/>
    <w:rsid w:val="003957DF"/>
    <w:rsid w:val="0039611D"/>
    <w:rsid w:val="00396232"/>
    <w:rsid w:val="00396B6D"/>
    <w:rsid w:val="00396C2C"/>
    <w:rsid w:val="0039729F"/>
    <w:rsid w:val="003979B3"/>
    <w:rsid w:val="003A0F75"/>
    <w:rsid w:val="003A1161"/>
    <w:rsid w:val="003A201F"/>
    <w:rsid w:val="003A2A26"/>
    <w:rsid w:val="003A2AB8"/>
    <w:rsid w:val="003A359F"/>
    <w:rsid w:val="003A3E40"/>
    <w:rsid w:val="003A543B"/>
    <w:rsid w:val="003A56A9"/>
    <w:rsid w:val="003A6696"/>
    <w:rsid w:val="003A787B"/>
    <w:rsid w:val="003B0C2E"/>
    <w:rsid w:val="003B1B8D"/>
    <w:rsid w:val="003B2DBA"/>
    <w:rsid w:val="003B3157"/>
    <w:rsid w:val="003B4334"/>
    <w:rsid w:val="003B43AD"/>
    <w:rsid w:val="003B515E"/>
    <w:rsid w:val="003B529D"/>
    <w:rsid w:val="003B5AD2"/>
    <w:rsid w:val="003B5EF0"/>
    <w:rsid w:val="003B6BC6"/>
    <w:rsid w:val="003B7727"/>
    <w:rsid w:val="003C0167"/>
    <w:rsid w:val="003C10FE"/>
    <w:rsid w:val="003C1167"/>
    <w:rsid w:val="003C19FD"/>
    <w:rsid w:val="003C1BD2"/>
    <w:rsid w:val="003C1CD0"/>
    <w:rsid w:val="003C2871"/>
    <w:rsid w:val="003C2A77"/>
    <w:rsid w:val="003C351A"/>
    <w:rsid w:val="003C3568"/>
    <w:rsid w:val="003C3C93"/>
    <w:rsid w:val="003C45FD"/>
    <w:rsid w:val="003C4D5A"/>
    <w:rsid w:val="003C56E8"/>
    <w:rsid w:val="003C5927"/>
    <w:rsid w:val="003C5C27"/>
    <w:rsid w:val="003C70E2"/>
    <w:rsid w:val="003C71C6"/>
    <w:rsid w:val="003D2469"/>
    <w:rsid w:val="003D3332"/>
    <w:rsid w:val="003D3B66"/>
    <w:rsid w:val="003D784D"/>
    <w:rsid w:val="003E1622"/>
    <w:rsid w:val="003E18FC"/>
    <w:rsid w:val="003E1E7B"/>
    <w:rsid w:val="003E2237"/>
    <w:rsid w:val="003E264C"/>
    <w:rsid w:val="003E2E2E"/>
    <w:rsid w:val="003E33E7"/>
    <w:rsid w:val="003E3E53"/>
    <w:rsid w:val="003E4E2B"/>
    <w:rsid w:val="003E7B57"/>
    <w:rsid w:val="003F0211"/>
    <w:rsid w:val="003F121A"/>
    <w:rsid w:val="003F28E4"/>
    <w:rsid w:val="003F421A"/>
    <w:rsid w:val="003F4303"/>
    <w:rsid w:val="003F4C69"/>
    <w:rsid w:val="003F518D"/>
    <w:rsid w:val="003F564E"/>
    <w:rsid w:val="003F5F28"/>
    <w:rsid w:val="003F5F35"/>
    <w:rsid w:val="00401CB7"/>
    <w:rsid w:val="00401E65"/>
    <w:rsid w:val="00402203"/>
    <w:rsid w:val="0040243C"/>
    <w:rsid w:val="00402F1F"/>
    <w:rsid w:val="0040487A"/>
    <w:rsid w:val="00406032"/>
    <w:rsid w:val="00407C08"/>
    <w:rsid w:val="00410D8F"/>
    <w:rsid w:val="00411EE8"/>
    <w:rsid w:val="00412DDC"/>
    <w:rsid w:val="004132F7"/>
    <w:rsid w:val="00413748"/>
    <w:rsid w:val="004159DA"/>
    <w:rsid w:val="004177AB"/>
    <w:rsid w:val="00417D89"/>
    <w:rsid w:val="00420F30"/>
    <w:rsid w:val="0042107D"/>
    <w:rsid w:val="004224DE"/>
    <w:rsid w:val="00422896"/>
    <w:rsid w:val="004241F1"/>
    <w:rsid w:val="00424246"/>
    <w:rsid w:val="0042442B"/>
    <w:rsid w:val="00425878"/>
    <w:rsid w:val="00426093"/>
    <w:rsid w:val="004263B3"/>
    <w:rsid w:val="00426987"/>
    <w:rsid w:val="0043085D"/>
    <w:rsid w:val="00430CEA"/>
    <w:rsid w:val="0043137F"/>
    <w:rsid w:val="00432B25"/>
    <w:rsid w:val="00432CC5"/>
    <w:rsid w:val="00433119"/>
    <w:rsid w:val="00433E58"/>
    <w:rsid w:val="004342CE"/>
    <w:rsid w:val="004365F0"/>
    <w:rsid w:val="004372D1"/>
    <w:rsid w:val="00437676"/>
    <w:rsid w:val="00441C99"/>
    <w:rsid w:val="00442013"/>
    <w:rsid w:val="0044504A"/>
    <w:rsid w:val="0044618B"/>
    <w:rsid w:val="004472F6"/>
    <w:rsid w:val="004474F1"/>
    <w:rsid w:val="004508AB"/>
    <w:rsid w:val="00451204"/>
    <w:rsid w:val="00451285"/>
    <w:rsid w:val="004519BB"/>
    <w:rsid w:val="00451C2C"/>
    <w:rsid w:val="004525B5"/>
    <w:rsid w:val="00454102"/>
    <w:rsid w:val="00455551"/>
    <w:rsid w:val="004559D5"/>
    <w:rsid w:val="00457712"/>
    <w:rsid w:val="00460782"/>
    <w:rsid w:val="00461077"/>
    <w:rsid w:val="004613FD"/>
    <w:rsid w:val="0046161D"/>
    <w:rsid w:val="00461967"/>
    <w:rsid w:val="00461A67"/>
    <w:rsid w:val="004629B0"/>
    <w:rsid w:val="004639B1"/>
    <w:rsid w:val="00463AFA"/>
    <w:rsid w:val="00466966"/>
    <w:rsid w:val="004710C4"/>
    <w:rsid w:val="00471489"/>
    <w:rsid w:val="0047189B"/>
    <w:rsid w:val="0047253D"/>
    <w:rsid w:val="00472CBE"/>
    <w:rsid w:val="00473367"/>
    <w:rsid w:val="0047381F"/>
    <w:rsid w:val="00473C95"/>
    <w:rsid w:val="00474D40"/>
    <w:rsid w:val="00476ACD"/>
    <w:rsid w:val="0047734E"/>
    <w:rsid w:val="00477ADD"/>
    <w:rsid w:val="00477F45"/>
    <w:rsid w:val="00480225"/>
    <w:rsid w:val="00480325"/>
    <w:rsid w:val="004803B5"/>
    <w:rsid w:val="00480999"/>
    <w:rsid w:val="00482268"/>
    <w:rsid w:val="00482632"/>
    <w:rsid w:val="00482710"/>
    <w:rsid w:val="00482774"/>
    <w:rsid w:val="004839CA"/>
    <w:rsid w:val="004839E9"/>
    <w:rsid w:val="00484112"/>
    <w:rsid w:val="00484166"/>
    <w:rsid w:val="00484277"/>
    <w:rsid w:val="004852FF"/>
    <w:rsid w:val="0048538E"/>
    <w:rsid w:val="00486582"/>
    <w:rsid w:val="00486E6C"/>
    <w:rsid w:val="00486FDA"/>
    <w:rsid w:val="00487BD0"/>
    <w:rsid w:val="00487C85"/>
    <w:rsid w:val="00490194"/>
    <w:rsid w:val="00491209"/>
    <w:rsid w:val="004917D5"/>
    <w:rsid w:val="00491927"/>
    <w:rsid w:val="0049277B"/>
    <w:rsid w:val="00492C84"/>
    <w:rsid w:val="0049420D"/>
    <w:rsid w:val="00495FD5"/>
    <w:rsid w:val="00496C5F"/>
    <w:rsid w:val="004A00A9"/>
    <w:rsid w:val="004A147C"/>
    <w:rsid w:val="004A1507"/>
    <w:rsid w:val="004A16D9"/>
    <w:rsid w:val="004A1865"/>
    <w:rsid w:val="004A21EF"/>
    <w:rsid w:val="004A23FD"/>
    <w:rsid w:val="004A26E0"/>
    <w:rsid w:val="004A2DA5"/>
    <w:rsid w:val="004A4E03"/>
    <w:rsid w:val="004A5003"/>
    <w:rsid w:val="004A58A4"/>
    <w:rsid w:val="004B246E"/>
    <w:rsid w:val="004B4AF9"/>
    <w:rsid w:val="004B4CC3"/>
    <w:rsid w:val="004B5F0A"/>
    <w:rsid w:val="004B6D38"/>
    <w:rsid w:val="004B6FBF"/>
    <w:rsid w:val="004C0A0F"/>
    <w:rsid w:val="004C0C79"/>
    <w:rsid w:val="004C1EDB"/>
    <w:rsid w:val="004C35DD"/>
    <w:rsid w:val="004C3779"/>
    <w:rsid w:val="004C44BC"/>
    <w:rsid w:val="004C5E96"/>
    <w:rsid w:val="004C64A6"/>
    <w:rsid w:val="004C64CB"/>
    <w:rsid w:val="004C6752"/>
    <w:rsid w:val="004C6900"/>
    <w:rsid w:val="004C6B7A"/>
    <w:rsid w:val="004C70CE"/>
    <w:rsid w:val="004C71F0"/>
    <w:rsid w:val="004C774A"/>
    <w:rsid w:val="004C7A80"/>
    <w:rsid w:val="004D009E"/>
    <w:rsid w:val="004D10CE"/>
    <w:rsid w:val="004D1DAE"/>
    <w:rsid w:val="004D20D8"/>
    <w:rsid w:val="004D3D3B"/>
    <w:rsid w:val="004D4416"/>
    <w:rsid w:val="004D5A75"/>
    <w:rsid w:val="004D6F55"/>
    <w:rsid w:val="004E03BC"/>
    <w:rsid w:val="004E1641"/>
    <w:rsid w:val="004E1780"/>
    <w:rsid w:val="004E241E"/>
    <w:rsid w:val="004E2B96"/>
    <w:rsid w:val="004E3C48"/>
    <w:rsid w:val="004E3C8C"/>
    <w:rsid w:val="004E4069"/>
    <w:rsid w:val="004E42B6"/>
    <w:rsid w:val="004E59D5"/>
    <w:rsid w:val="004E7DFC"/>
    <w:rsid w:val="004F05EC"/>
    <w:rsid w:val="004F0B8C"/>
    <w:rsid w:val="004F0FA7"/>
    <w:rsid w:val="004F1130"/>
    <w:rsid w:val="004F2D73"/>
    <w:rsid w:val="004F2FEF"/>
    <w:rsid w:val="004F3277"/>
    <w:rsid w:val="004F4320"/>
    <w:rsid w:val="004F4FE8"/>
    <w:rsid w:val="004F543A"/>
    <w:rsid w:val="004F5FE8"/>
    <w:rsid w:val="004F6692"/>
    <w:rsid w:val="004F76A4"/>
    <w:rsid w:val="005000AE"/>
    <w:rsid w:val="00500F24"/>
    <w:rsid w:val="0050144C"/>
    <w:rsid w:val="00502618"/>
    <w:rsid w:val="00503278"/>
    <w:rsid w:val="00503D2C"/>
    <w:rsid w:val="005056C0"/>
    <w:rsid w:val="005069E2"/>
    <w:rsid w:val="00506DCB"/>
    <w:rsid w:val="005116ED"/>
    <w:rsid w:val="005121F8"/>
    <w:rsid w:val="00512587"/>
    <w:rsid w:val="005130CC"/>
    <w:rsid w:val="005140BE"/>
    <w:rsid w:val="0051457B"/>
    <w:rsid w:val="0051588C"/>
    <w:rsid w:val="005164B9"/>
    <w:rsid w:val="00516F0A"/>
    <w:rsid w:val="00517791"/>
    <w:rsid w:val="00517F84"/>
    <w:rsid w:val="00520B4F"/>
    <w:rsid w:val="00523526"/>
    <w:rsid w:val="0052372F"/>
    <w:rsid w:val="005241ED"/>
    <w:rsid w:val="00524999"/>
    <w:rsid w:val="00525ABC"/>
    <w:rsid w:val="00525C95"/>
    <w:rsid w:val="0052663C"/>
    <w:rsid w:val="005274DB"/>
    <w:rsid w:val="0052786A"/>
    <w:rsid w:val="00530081"/>
    <w:rsid w:val="005303F9"/>
    <w:rsid w:val="00531126"/>
    <w:rsid w:val="00531461"/>
    <w:rsid w:val="00532144"/>
    <w:rsid w:val="00532583"/>
    <w:rsid w:val="00533C4E"/>
    <w:rsid w:val="00534E21"/>
    <w:rsid w:val="0053652A"/>
    <w:rsid w:val="00536C3C"/>
    <w:rsid w:val="005370DA"/>
    <w:rsid w:val="00537C9F"/>
    <w:rsid w:val="00540FEA"/>
    <w:rsid w:val="00541234"/>
    <w:rsid w:val="005413F9"/>
    <w:rsid w:val="00541D72"/>
    <w:rsid w:val="00542948"/>
    <w:rsid w:val="00544C26"/>
    <w:rsid w:val="0054560C"/>
    <w:rsid w:val="0055051E"/>
    <w:rsid w:val="00550E5A"/>
    <w:rsid w:val="00551CC7"/>
    <w:rsid w:val="00551FA0"/>
    <w:rsid w:val="00553521"/>
    <w:rsid w:val="005542B5"/>
    <w:rsid w:val="00555955"/>
    <w:rsid w:val="00557558"/>
    <w:rsid w:val="00560104"/>
    <w:rsid w:val="0056019B"/>
    <w:rsid w:val="00560D0C"/>
    <w:rsid w:val="00560E9F"/>
    <w:rsid w:val="00561076"/>
    <w:rsid w:val="0056140C"/>
    <w:rsid w:val="00562990"/>
    <w:rsid w:val="00562C82"/>
    <w:rsid w:val="00562D2C"/>
    <w:rsid w:val="00563224"/>
    <w:rsid w:val="0056324E"/>
    <w:rsid w:val="005641A4"/>
    <w:rsid w:val="005644FD"/>
    <w:rsid w:val="00564883"/>
    <w:rsid w:val="00564F7B"/>
    <w:rsid w:val="00564F9A"/>
    <w:rsid w:val="005655BA"/>
    <w:rsid w:val="00570226"/>
    <w:rsid w:val="00570533"/>
    <w:rsid w:val="00571918"/>
    <w:rsid w:val="0057213D"/>
    <w:rsid w:val="00573D5C"/>
    <w:rsid w:val="00574032"/>
    <w:rsid w:val="0057530D"/>
    <w:rsid w:val="00576232"/>
    <w:rsid w:val="0057660D"/>
    <w:rsid w:val="00577F13"/>
    <w:rsid w:val="00580612"/>
    <w:rsid w:val="00580814"/>
    <w:rsid w:val="00580A8F"/>
    <w:rsid w:val="005814EE"/>
    <w:rsid w:val="00581985"/>
    <w:rsid w:val="00581A36"/>
    <w:rsid w:val="00581CC3"/>
    <w:rsid w:val="00581D84"/>
    <w:rsid w:val="005821DF"/>
    <w:rsid w:val="0058318B"/>
    <w:rsid w:val="00583D3B"/>
    <w:rsid w:val="00584298"/>
    <w:rsid w:val="005862F7"/>
    <w:rsid w:val="00586E8B"/>
    <w:rsid w:val="00587127"/>
    <w:rsid w:val="005879B9"/>
    <w:rsid w:val="00587EC6"/>
    <w:rsid w:val="00590EE1"/>
    <w:rsid w:val="00594762"/>
    <w:rsid w:val="00594C98"/>
    <w:rsid w:val="005957FD"/>
    <w:rsid w:val="00595D5A"/>
    <w:rsid w:val="00597277"/>
    <w:rsid w:val="00597651"/>
    <w:rsid w:val="00597C31"/>
    <w:rsid w:val="005A1802"/>
    <w:rsid w:val="005A1FD8"/>
    <w:rsid w:val="005A4AC9"/>
    <w:rsid w:val="005A4DAF"/>
    <w:rsid w:val="005B0D40"/>
    <w:rsid w:val="005B0D5A"/>
    <w:rsid w:val="005B1A8B"/>
    <w:rsid w:val="005B20EB"/>
    <w:rsid w:val="005B2186"/>
    <w:rsid w:val="005B2208"/>
    <w:rsid w:val="005B25E7"/>
    <w:rsid w:val="005B284F"/>
    <w:rsid w:val="005B3EE0"/>
    <w:rsid w:val="005B3F4A"/>
    <w:rsid w:val="005B41AD"/>
    <w:rsid w:val="005B520E"/>
    <w:rsid w:val="005B6BCB"/>
    <w:rsid w:val="005C02DA"/>
    <w:rsid w:val="005C19D0"/>
    <w:rsid w:val="005C2806"/>
    <w:rsid w:val="005C2941"/>
    <w:rsid w:val="005C526F"/>
    <w:rsid w:val="005C6801"/>
    <w:rsid w:val="005C7A3E"/>
    <w:rsid w:val="005C7DD2"/>
    <w:rsid w:val="005D197A"/>
    <w:rsid w:val="005D1C6C"/>
    <w:rsid w:val="005D27E4"/>
    <w:rsid w:val="005D2838"/>
    <w:rsid w:val="005D34D5"/>
    <w:rsid w:val="005D452A"/>
    <w:rsid w:val="005D59C2"/>
    <w:rsid w:val="005D6EFD"/>
    <w:rsid w:val="005D7200"/>
    <w:rsid w:val="005E1A40"/>
    <w:rsid w:val="005E22B7"/>
    <w:rsid w:val="005E232E"/>
    <w:rsid w:val="005E6055"/>
    <w:rsid w:val="005E79EF"/>
    <w:rsid w:val="005E7D55"/>
    <w:rsid w:val="005F0CA7"/>
    <w:rsid w:val="005F3081"/>
    <w:rsid w:val="005F3B87"/>
    <w:rsid w:val="005F4E1F"/>
    <w:rsid w:val="005F50AA"/>
    <w:rsid w:val="005F61E0"/>
    <w:rsid w:val="005F6E74"/>
    <w:rsid w:val="005F7393"/>
    <w:rsid w:val="005F754E"/>
    <w:rsid w:val="00601800"/>
    <w:rsid w:val="006026CF"/>
    <w:rsid w:val="006037E7"/>
    <w:rsid w:val="00604122"/>
    <w:rsid w:val="00604EE1"/>
    <w:rsid w:val="0060514E"/>
    <w:rsid w:val="00605499"/>
    <w:rsid w:val="00605B33"/>
    <w:rsid w:val="00605FD4"/>
    <w:rsid w:val="00606153"/>
    <w:rsid w:val="00606829"/>
    <w:rsid w:val="00607BDE"/>
    <w:rsid w:val="00610478"/>
    <w:rsid w:val="00611B7B"/>
    <w:rsid w:val="006125F6"/>
    <w:rsid w:val="00613EC9"/>
    <w:rsid w:val="006157B4"/>
    <w:rsid w:val="00615C60"/>
    <w:rsid w:val="00616B9A"/>
    <w:rsid w:val="006176D8"/>
    <w:rsid w:val="00620646"/>
    <w:rsid w:val="00620798"/>
    <w:rsid w:val="00620A02"/>
    <w:rsid w:val="00620FB8"/>
    <w:rsid w:val="0062161E"/>
    <w:rsid w:val="00622100"/>
    <w:rsid w:val="00622BBE"/>
    <w:rsid w:val="006233F1"/>
    <w:rsid w:val="006235A4"/>
    <w:rsid w:val="006264C0"/>
    <w:rsid w:val="006304F2"/>
    <w:rsid w:val="00630DEF"/>
    <w:rsid w:val="0063168A"/>
    <w:rsid w:val="006334DB"/>
    <w:rsid w:val="0063359A"/>
    <w:rsid w:val="0063389F"/>
    <w:rsid w:val="0063484A"/>
    <w:rsid w:val="00635FBA"/>
    <w:rsid w:val="006366D3"/>
    <w:rsid w:val="00636D68"/>
    <w:rsid w:val="00636F10"/>
    <w:rsid w:val="006375B9"/>
    <w:rsid w:val="0063764D"/>
    <w:rsid w:val="00637F29"/>
    <w:rsid w:val="00640A52"/>
    <w:rsid w:val="006414AE"/>
    <w:rsid w:val="00641D5B"/>
    <w:rsid w:val="00642C5D"/>
    <w:rsid w:val="00643113"/>
    <w:rsid w:val="00643235"/>
    <w:rsid w:val="00644264"/>
    <w:rsid w:val="006444FB"/>
    <w:rsid w:val="00644F9E"/>
    <w:rsid w:val="00646E6B"/>
    <w:rsid w:val="006470D3"/>
    <w:rsid w:val="00647B5F"/>
    <w:rsid w:val="00647DCD"/>
    <w:rsid w:val="006508FC"/>
    <w:rsid w:val="00650DAE"/>
    <w:rsid w:val="00652A80"/>
    <w:rsid w:val="00652D1E"/>
    <w:rsid w:val="0065333B"/>
    <w:rsid w:val="00654EC5"/>
    <w:rsid w:val="0065652B"/>
    <w:rsid w:val="00656E91"/>
    <w:rsid w:val="00657D19"/>
    <w:rsid w:val="006602B2"/>
    <w:rsid w:val="00660571"/>
    <w:rsid w:val="006608BD"/>
    <w:rsid w:val="006625D5"/>
    <w:rsid w:val="00662AA0"/>
    <w:rsid w:val="006666E7"/>
    <w:rsid w:val="006669B9"/>
    <w:rsid w:val="00666AA4"/>
    <w:rsid w:val="00666D45"/>
    <w:rsid w:val="00666E2E"/>
    <w:rsid w:val="00667933"/>
    <w:rsid w:val="0067155D"/>
    <w:rsid w:val="00671D55"/>
    <w:rsid w:val="00672174"/>
    <w:rsid w:val="00672511"/>
    <w:rsid w:val="006727DB"/>
    <w:rsid w:val="00672AC0"/>
    <w:rsid w:val="0067457D"/>
    <w:rsid w:val="00677215"/>
    <w:rsid w:val="00677D3C"/>
    <w:rsid w:val="006806A0"/>
    <w:rsid w:val="00680FBF"/>
    <w:rsid w:val="00680FD5"/>
    <w:rsid w:val="006821F1"/>
    <w:rsid w:val="0068231F"/>
    <w:rsid w:val="00682BB2"/>
    <w:rsid w:val="006835EF"/>
    <w:rsid w:val="00683881"/>
    <w:rsid w:val="006838D3"/>
    <w:rsid w:val="00683D2C"/>
    <w:rsid w:val="00684443"/>
    <w:rsid w:val="00684688"/>
    <w:rsid w:val="0068608D"/>
    <w:rsid w:val="00691E5A"/>
    <w:rsid w:val="00692790"/>
    <w:rsid w:val="006932A6"/>
    <w:rsid w:val="00693B8D"/>
    <w:rsid w:val="00693E0F"/>
    <w:rsid w:val="006952FE"/>
    <w:rsid w:val="0069530B"/>
    <w:rsid w:val="006965B4"/>
    <w:rsid w:val="0069777E"/>
    <w:rsid w:val="00697F18"/>
    <w:rsid w:val="006A0DFB"/>
    <w:rsid w:val="006A2053"/>
    <w:rsid w:val="006A20A7"/>
    <w:rsid w:val="006A2213"/>
    <w:rsid w:val="006A2E48"/>
    <w:rsid w:val="006A3865"/>
    <w:rsid w:val="006A41F7"/>
    <w:rsid w:val="006A530E"/>
    <w:rsid w:val="006A7659"/>
    <w:rsid w:val="006A77B9"/>
    <w:rsid w:val="006A7E1D"/>
    <w:rsid w:val="006B014A"/>
    <w:rsid w:val="006B2566"/>
    <w:rsid w:val="006B2E16"/>
    <w:rsid w:val="006B39DB"/>
    <w:rsid w:val="006B442F"/>
    <w:rsid w:val="006B57E8"/>
    <w:rsid w:val="006B66B1"/>
    <w:rsid w:val="006B79C6"/>
    <w:rsid w:val="006C010E"/>
    <w:rsid w:val="006C0263"/>
    <w:rsid w:val="006C1436"/>
    <w:rsid w:val="006C24A6"/>
    <w:rsid w:val="006C29A8"/>
    <w:rsid w:val="006C3527"/>
    <w:rsid w:val="006C3D35"/>
    <w:rsid w:val="006C557B"/>
    <w:rsid w:val="006C6406"/>
    <w:rsid w:val="006C7F12"/>
    <w:rsid w:val="006D086D"/>
    <w:rsid w:val="006D16AB"/>
    <w:rsid w:val="006D1BFF"/>
    <w:rsid w:val="006D2BBC"/>
    <w:rsid w:val="006D2E1F"/>
    <w:rsid w:val="006D2FBF"/>
    <w:rsid w:val="006D3A19"/>
    <w:rsid w:val="006D577B"/>
    <w:rsid w:val="006D5D29"/>
    <w:rsid w:val="006D5E0C"/>
    <w:rsid w:val="006D6BB0"/>
    <w:rsid w:val="006D6D4D"/>
    <w:rsid w:val="006E1B1C"/>
    <w:rsid w:val="006E1E98"/>
    <w:rsid w:val="006E2AB6"/>
    <w:rsid w:val="006E311E"/>
    <w:rsid w:val="006E48D6"/>
    <w:rsid w:val="006E62B8"/>
    <w:rsid w:val="006E74AB"/>
    <w:rsid w:val="006F0737"/>
    <w:rsid w:val="006F0B53"/>
    <w:rsid w:val="006F0BB9"/>
    <w:rsid w:val="006F109E"/>
    <w:rsid w:val="006F1814"/>
    <w:rsid w:val="006F2BF0"/>
    <w:rsid w:val="006F4417"/>
    <w:rsid w:val="006F4A43"/>
    <w:rsid w:val="006F4C11"/>
    <w:rsid w:val="006F5368"/>
    <w:rsid w:val="006F60F7"/>
    <w:rsid w:val="006F7BDC"/>
    <w:rsid w:val="007000A4"/>
    <w:rsid w:val="00702618"/>
    <w:rsid w:val="00703E9E"/>
    <w:rsid w:val="00704010"/>
    <w:rsid w:val="00704E67"/>
    <w:rsid w:val="00705115"/>
    <w:rsid w:val="0070651C"/>
    <w:rsid w:val="0070671C"/>
    <w:rsid w:val="00707755"/>
    <w:rsid w:val="00711C3B"/>
    <w:rsid w:val="00711E18"/>
    <w:rsid w:val="00713F73"/>
    <w:rsid w:val="00713FFA"/>
    <w:rsid w:val="0071427C"/>
    <w:rsid w:val="007146F7"/>
    <w:rsid w:val="007149B2"/>
    <w:rsid w:val="007158EF"/>
    <w:rsid w:val="0071631E"/>
    <w:rsid w:val="00716632"/>
    <w:rsid w:val="00716702"/>
    <w:rsid w:val="00720115"/>
    <w:rsid w:val="007210EF"/>
    <w:rsid w:val="007227FE"/>
    <w:rsid w:val="00722A7B"/>
    <w:rsid w:val="007250CA"/>
    <w:rsid w:val="00725731"/>
    <w:rsid w:val="0072667B"/>
    <w:rsid w:val="00726C14"/>
    <w:rsid w:val="007277F0"/>
    <w:rsid w:val="00727A7D"/>
    <w:rsid w:val="00727D39"/>
    <w:rsid w:val="00733908"/>
    <w:rsid w:val="00734AA6"/>
    <w:rsid w:val="00735288"/>
    <w:rsid w:val="00737EBA"/>
    <w:rsid w:val="007406DB"/>
    <w:rsid w:val="00740C8C"/>
    <w:rsid w:val="00741C51"/>
    <w:rsid w:val="007439BF"/>
    <w:rsid w:val="00743F75"/>
    <w:rsid w:val="0074531B"/>
    <w:rsid w:val="0074572F"/>
    <w:rsid w:val="00745CA2"/>
    <w:rsid w:val="007501AF"/>
    <w:rsid w:val="00751574"/>
    <w:rsid w:val="007515CC"/>
    <w:rsid w:val="00752B83"/>
    <w:rsid w:val="00753568"/>
    <w:rsid w:val="00753D56"/>
    <w:rsid w:val="00755371"/>
    <w:rsid w:val="00761DEC"/>
    <w:rsid w:val="00762CE9"/>
    <w:rsid w:val="007638CF"/>
    <w:rsid w:val="0076480E"/>
    <w:rsid w:val="00766A0D"/>
    <w:rsid w:val="0076701E"/>
    <w:rsid w:val="00767FBB"/>
    <w:rsid w:val="007700D4"/>
    <w:rsid w:val="007703DD"/>
    <w:rsid w:val="007721EB"/>
    <w:rsid w:val="00774164"/>
    <w:rsid w:val="007743C6"/>
    <w:rsid w:val="00775A41"/>
    <w:rsid w:val="00777554"/>
    <w:rsid w:val="00777D52"/>
    <w:rsid w:val="00780CDB"/>
    <w:rsid w:val="00781A33"/>
    <w:rsid w:val="00783B29"/>
    <w:rsid w:val="0078474D"/>
    <w:rsid w:val="00784763"/>
    <w:rsid w:val="00785A40"/>
    <w:rsid w:val="00790661"/>
    <w:rsid w:val="00790B71"/>
    <w:rsid w:val="00791230"/>
    <w:rsid w:val="00791649"/>
    <w:rsid w:val="00794260"/>
    <w:rsid w:val="00794C51"/>
    <w:rsid w:val="007952DF"/>
    <w:rsid w:val="00795557"/>
    <w:rsid w:val="00795A57"/>
    <w:rsid w:val="007969C1"/>
    <w:rsid w:val="007A08E7"/>
    <w:rsid w:val="007A2791"/>
    <w:rsid w:val="007A383E"/>
    <w:rsid w:val="007A74E5"/>
    <w:rsid w:val="007A7A18"/>
    <w:rsid w:val="007B14B1"/>
    <w:rsid w:val="007B16DD"/>
    <w:rsid w:val="007B20C4"/>
    <w:rsid w:val="007B2ECE"/>
    <w:rsid w:val="007B708C"/>
    <w:rsid w:val="007B7ABF"/>
    <w:rsid w:val="007C1569"/>
    <w:rsid w:val="007C4A2C"/>
    <w:rsid w:val="007D06B7"/>
    <w:rsid w:val="007D1506"/>
    <w:rsid w:val="007D40E2"/>
    <w:rsid w:val="007D490C"/>
    <w:rsid w:val="007D5132"/>
    <w:rsid w:val="007D5221"/>
    <w:rsid w:val="007D6351"/>
    <w:rsid w:val="007D68FB"/>
    <w:rsid w:val="007E1466"/>
    <w:rsid w:val="007E2571"/>
    <w:rsid w:val="007E302C"/>
    <w:rsid w:val="007E325F"/>
    <w:rsid w:val="007E4185"/>
    <w:rsid w:val="007E4A08"/>
    <w:rsid w:val="007E4FAB"/>
    <w:rsid w:val="007E5799"/>
    <w:rsid w:val="007E5A1C"/>
    <w:rsid w:val="007E5CFD"/>
    <w:rsid w:val="007E5DE0"/>
    <w:rsid w:val="007E7CC0"/>
    <w:rsid w:val="007E7E9F"/>
    <w:rsid w:val="007F2020"/>
    <w:rsid w:val="007F2FB0"/>
    <w:rsid w:val="007F4C3B"/>
    <w:rsid w:val="007F53E2"/>
    <w:rsid w:val="007F561B"/>
    <w:rsid w:val="007F5749"/>
    <w:rsid w:val="007F6AC8"/>
    <w:rsid w:val="007F6F33"/>
    <w:rsid w:val="00800BAC"/>
    <w:rsid w:val="00801272"/>
    <w:rsid w:val="0080467D"/>
    <w:rsid w:val="00805C95"/>
    <w:rsid w:val="00806153"/>
    <w:rsid w:val="008063C6"/>
    <w:rsid w:val="008063CB"/>
    <w:rsid w:val="00810100"/>
    <w:rsid w:val="008109B0"/>
    <w:rsid w:val="00810C24"/>
    <w:rsid w:val="00810C91"/>
    <w:rsid w:val="00815852"/>
    <w:rsid w:val="008158EF"/>
    <w:rsid w:val="00816EE6"/>
    <w:rsid w:val="0081732B"/>
    <w:rsid w:val="00820D79"/>
    <w:rsid w:val="008210D4"/>
    <w:rsid w:val="00821AEF"/>
    <w:rsid w:val="00821FA6"/>
    <w:rsid w:val="00822573"/>
    <w:rsid w:val="008227E2"/>
    <w:rsid w:val="00822AC8"/>
    <w:rsid w:val="00822B35"/>
    <w:rsid w:val="00823272"/>
    <w:rsid w:val="008232BD"/>
    <w:rsid w:val="00823D0E"/>
    <w:rsid w:val="00826134"/>
    <w:rsid w:val="008263E2"/>
    <w:rsid w:val="00830585"/>
    <w:rsid w:val="00831B06"/>
    <w:rsid w:val="00832016"/>
    <w:rsid w:val="00832B8C"/>
    <w:rsid w:val="00832E5D"/>
    <w:rsid w:val="0083356B"/>
    <w:rsid w:val="008338D8"/>
    <w:rsid w:val="008355D4"/>
    <w:rsid w:val="008370C1"/>
    <w:rsid w:val="00842EAC"/>
    <w:rsid w:val="00843EED"/>
    <w:rsid w:val="0084407C"/>
    <w:rsid w:val="0084414A"/>
    <w:rsid w:val="00844875"/>
    <w:rsid w:val="00845A4C"/>
    <w:rsid w:val="00846062"/>
    <w:rsid w:val="0084647B"/>
    <w:rsid w:val="0084796E"/>
    <w:rsid w:val="00850482"/>
    <w:rsid w:val="00850B80"/>
    <w:rsid w:val="00851E51"/>
    <w:rsid w:val="008520C9"/>
    <w:rsid w:val="008539C7"/>
    <w:rsid w:val="008547DC"/>
    <w:rsid w:val="00854A2D"/>
    <w:rsid w:val="00854A8D"/>
    <w:rsid w:val="008551BA"/>
    <w:rsid w:val="008568AC"/>
    <w:rsid w:val="008576EF"/>
    <w:rsid w:val="00860E5C"/>
    <w:rsid w:val="00861CA6"/>
    <w:rsid w:val="00861F00"/>
    <w:rsid w:val="0086232B"/>
    <w:rsid w:val="00863D85"/>
    <w:rsid w:val="00864C9C"/>
    <w:rsid w:val="008659D6"/>
    <w:rsid w:val="00866672"/>
    <w:rsid w:val="0086712E"/>
    <w:rsid w:val="00870AAD"/>
    <w:rsid w:val="008715E0"/>
    <w:rsid w:val="00874BAB"/>
    <w:rsid w:val="00875931"/>
    <w:rsid w:val="00876248"/>
    <w:rsid w:val="0087713C"/>
    <w:rsid w:val="0087740E"/>
    <w:rsid w:val="00880159"/>
    <w:rsid w:val="0088393E"/>
    <w:rsid w:val="00885FC4"/>
    <w:rsid w:val="00886D12"/>
    <w:rsid w:val="00886F84"/>
    <w:rsid w:val="00887E94"/>
    <w:rsid w:val="008928E6"/>
    <w:rsid w:val="00892DC1"/>
    <w:rsid w:val="0089354A"/>
    <w:rsid w:val="00894558"/>
    <w:rsid w:val="0089738C"/>
    <w:rsid w:val="008A004C"/>
    <w:rsid w:val="008A067E"/>
    <w:rsid w:val="008A0C4A"/>
    <w:rsid w:val="008A1810"/>
    <w:rsid w:val="008A212F"/>
    <w:rsid w:val="008A21EC"/>
    <w:rsid w:val="008A291B"/>
    <w:rsid w:val="008A318E"/>
    <w:rsid w:val="008A57E6"/>
    <w:rsid w:val="008A70C8"/>
    <w:rsid w:val="008A793D"/>
    <w:rsid w:val="008A7B56"/>
    <w:rsid w:val="008B0885"/>
    <w:rsid w:val="008B3B09"/>
    <w:rsid w:val="008B4097"/>
    <w:rsid w:val="008B45DD"/>
    <w:rsid w:val="008B48DE"/>
    <w:rsid w:val="008C0EFC"/>
    <w:rsid w:val="008C1620"/>
    <w:rsid w:val="008C294F"/>
    <w:rsid w:val="008C2A57"/>
    <w:rsid w:val="008C399B"/>
    <w:rsid w:val="008C4171"/>
    <w:rsid w:val="008C429A"/>
    <w:rsid w:val="008C675A"/>
    <w:rsid w:val="008C70A7"/>
    <w:rsid w:val="008C7BF9"/>
    <w:rsid w:val="008D055B"/>
    <w:rsid w:val="008D199A"/>
    <w:rsid w:val="008D29E2"/>
    <w:rsid w:val="008D2D5F"/>
    <w:rsid w:val="008D4366"/>
    <w:rsid w:val="008D46B1"/>
    <w:rsid w:val="008D7C24"/>
    <w:rsid w:val="008E206E"/>
    <w:rsid w:val="008E211B"/>
    <w:rsid w:val="008E22E9"/>
    <w:rsid w:val="008E2666"/>
    <w:rsid w:val="008E296A"/>
    <w:rsid w:val="008E2A0E"/>
    <w:rsid w:val="008E35A7"/>
    <w:rsid w:val="008E3E12"/>
    <w:rsid w:val="008E4BC0"/>
    <w:rsid w:val="008E538F"/>
    <w:rsid w:val="008E5B0E"/>
    <w:rsid w:val="008E5B74"/>
    <w:rsid w:val="008E5E3A"/>
    <w:rsid w:val="008E72FC"/>
    <w:rsid w:val="008F00AF"/>
    <w:rsid w:val="008F01A8"/>
    <w:rsid w:val="008F1CB9"/>
    <w:rsid w:val="008F2197"/>
    <w:rsid w:val="008F3B99"/>
    <w:rsid w:val="008F445F"/>
    <w:rsid w:val="008F5128"/>
    <w:rsid w:val="008F5184"/>
    <w:rsid w:val="008F5D65"/>
    <w:rsid w:val="008F628A"/>
    <w:rsid w:val="008F67D0"/>
    <w:rsid w:val="008F6BC2"/>
    <w:rsid w:val="008F6F05"/>
    <w:rsid w:val="00901675"/>
    <w:rsid w:val="00902139"/>
    <w:rsid w:val="00902860"/>
    <w:rsid w:val="00902884"/>
    <w:rsid w:val="00902D61"/>
    <w:rsid w:val="00907908"/>
    <w:rsid w:val="00910D58"/>
    <w:rsid w:val="009124E3"/>
    <w:rsid w:val="009125AE"/>
    <w:rsid w:val="00912C3E"/>
    <w:rsid w:val="0091343D"/>
    <w:rsid w:val="00915D17"/>
    <w:rsid w:val="00917031"/>
    <w:rsid w:val="009171C9"/>
    <w:rsid w:val="00917A79"/>
    <w:rsid w:val="0092024E"/>
    <w:rsid w:val="00920842"/>
    <w:rsid w:val="00920FE4"/>
    <w:rsid w:val="00921D77"/>
    <w:rsid w:val="009222B0"/>
    <w:rsid w:val="00923406"/>
    <w:rsid w:val="0092428A"/>
    <w:rsid w:val="0092484B"/>
    <w:rsid w:val="009249B4"/>
    <w:rsid w:val="00927DDF"/>
    <w:rsid w:val="00927FE6"/>
    <w:rsid w:val="009310E4"/>
    <w:rsid w:val="009316D2"/>
    <w:rsid w:val="00931CE7"/>
    <w:rsid w:val="009334EE"/>
    <w:rsid w:val="00935971"/>
    <w:rsid w:val="00935C8F"/>
    <w:rsid w:val="009364DE"/>
    <w:rsid w:val="00936B2E"/>
    <w:rsid w:val="00937108"/>
    <w:rsid w:val="00937B24"/>
    <w:rsid w:val="00941790"/>
    <w:rsid w:val="009438EB"/>
    <w:rsid w:val="00943A59"/>
    <w:rsid w:val="00943F44"/>
    <w:rsid w:val="009446B1"/>
    <w:rsid w:val="009447DC"/>
    <w:rsid w:val="009448EB"/>
    <w:rsid w:val="00945114"/>
    <w:rsid w:val="00945370"/>
    <w:rsid w:val="00946ABA"/>
    <w:rsid w:val="00946C15"/>
    <w:rsid w:val="00947663"/>
    <w:rsid w:val="00947E99"/>
    <w:rsid w:val="009525C3"/>
    <w:rsid w:val="0095341B"/>
    <w:rsid w:val="00953BBB"/>
    <w:rsid w:val="00954BFE"/>
    <w:rsid w:val="00954E69"/>
    <w:rsid w:val="009554AC"/>
    <w:rsid w:val="00956694"/>
    <w:rsid w:val="0095690A"/>
    <w:rsid w:val="00961EC8"/>
    <w:rsid w:val="009625D4"/>
    <w:rsid w:val="009631FA"/>
    <w:rsid w:val="0096362C"/>
    <w:rsid w:val="00965AEC"/>
    <w:rsid w:val="00965D9F"/>
    <w:rsid w:val="009668C2"/>
    <w:rsid w:val="00967B62"/>
    <w:rsid w:val="0097077D"/>
    <w:rsid w:val="00971E52"/>
    <w:rsid w:val="00971FF7"/>
    <w:rsid w:val="00972AF9"/>
    <w:rsid w:val="00974F8C"/>
    <w:rsid w:val="00975A18"/>
    <w:rsid w:val="00976082"/>
    <w:rsid w:val="00976359"/>
    <w:rsid w:val="009770AB"/>
    <w:rsid w:val="009803F5"/>
    <w:rsid w:val="009810FC"/>
    <w:rsid w:val="00981AED"/>
    <w:rsid w:val="0098223A"/>
    <w:rsid w:val="00982397"/>
    <w:rsid w:val="009828F8"/>
    <w:rsid w:val="00982C4F"/>
    <w:rsid w:val="00982EFC"/>
    <w:rsid w:val="009835BB"/>
    <w:rsid w:val="00983904"/>
    <w:rsid w:val="0098642B"/>
    <w:rsid w:val="00987188"/>
    <w:rsid w:val="00987369"/>
    <w:rsid w:val="009875E2"/>
    <w:rsid w:val="00987EEB"/>
    <w:rsid w:val="00990589"/>
    <w:rsid w:val="00990672"/>
    <w:rsid w:val="00990CF7"/>
    <w:rsid w:val="00992D59"/>
    <w:rsid w:val="00994812"/>
    <w:rsid w:val="009948ED"/>
    <w:rsid w:val="00995AF3"/>
    <w:rsid w:val="00995B1C"/>
    <w:rsid w:val="0099603D"/>
    <w:rsid w:val="009A0FE1"/>
    <w:rsid w:val="009A1207"/>
    <w:rsid w:val="009A12CC"/>
    <w:rsid w:val="009A1E6A"/>
    <w:rsid w:val="009A322D"/>
    <w:rsid w:val="009A38B3"/>
    <w:rsid w:val="009A4021"/>
    <w:rsid w:val="009A5A12"/>
    <w:rsid w:val="009A5E63"/>
    <w:rsid w:val="009A6055"/>
    <w:rsid w:val="009A6718"/>
    <w:rsid w:val="009A6AA0"/>
    <w:rsid w:val="009B00F8"/>
    <w:rsid w:val="009B0EBA"/>
    <w:rsid w:val="009B2512"/>
    <w:rsid w:val="009B4072"/>
    <w:rsid w:val="009B4657"/>
    <w:rsid w:val="009B5096"/>
    <w:rsid w:val="009B79E5"/>
    <w:rsid w:val="009B7E34"/>
    <w:rsid w:val="009B7FEF"/>
    <w:rsid w:val="009C1D6F"/>
    <w:rsid w:val="009C2B21"/>
    <w:rsid w:val="009C2BC4"/>
    <w:rsid w:val="009C3CC4"/>
    <w:rsid w:val="009C4D7A"/>
    <w:rsid w:val="009C57D2"/>
    <w:rsid w:val="009C6D07"/>
    <w:rsid w:val="009C7CC2"/>
    <w:rsid w:val="009D18C4"/>
    <w:rsid w:val="009D4829"/>
    <w:rsid w:val="009D4EA6"/>
    <w:rsid w:val="009D4EB3"/>
    <w:rsid w:val="009D4F38"/>
    <w:rsid w:val="009D6298"/>
    <w:rsid w:val="009D6C9B"/>
    <w:rsid w:val="009D7D5C"/>
    <w:rsid w:val="009D7F85"/>
    <w:rsid w:val="009E50F7"/>
    <w:rsid w:val="009E7800"/>
    <w:rsid w:val="009F3587"/>
    <w:rsid w:val="009F3B3B"/>
    <w:rsid w:val="009F512E"/>
    <w:rsid w:val="009F7CB7"/>
    <w:rsid w:val="00A00F8D"/>
    <w:rsid w:val="00A019F4"/>
    <w:rsid w:val="00A01BA0"/>
    <w:rsid w:val="00A02040"/>
    <w:rsid w:val="00A02D65"/>
    <w:rsid w:val="00A0357B"/>
    <w:rsid w:val="00A037B8"/>
    <w:rsid w:val="00A03C0A"/>
    <w:rsid w:val="00A03DE2"/>
    <w:rsid w:val="00A059FE"/>
    <w:rsid w:val="00A05F20"/>
    <w:rsid w:val="00A06AAA"/>
    <w:rsid w:val="00A11095"/>
    <w:rsid w:val="00A11229"/>
    <w:rsid w:val="00A121D6"/>
    <w:rsid w:val="00A122DF"/>
    <w:rsid w:val="00A12567"/>
    <w:rsid w:val="00A13BEA"/>
    <w:rsid w:val="00A14171"/>
    <w:rsid w:val="00A15232"/>
    <w:rsid w:val="00A15EDE"/>
    <w:rsid w:val="00A16B79"/>
    <w:rsid w:val="00A16E24"/>
    <w:rsid w:val="00A20C90"/>
    <w:rsid w:val="00A20F13"/>
    <w:rsid w:val="00A22C11"/>
    <w:rsid w:val="00A237AF"/>
    <w:rsid w:val="00A2418B"/>
    <w:rsid w:val="00A24A78"/>
    <w:rsid w:val="00A25378"/>
    <w:rsid w:val="00A25803"/>
    <w:rsid w:val="00A269BE"/>
    <w:rsid w:val="00A26F02"/>
    <w:rsid w:val="00A27013"/>
    <w:rsid w:val="00A2716D"/>
    <w:rsid w:val="00A273E5"/>
    <w:rsid w:val="00A27EDD"/>
    <w:rsid w:val="00A315F2"/>
    <w:rsid w:val="00A31FDD"/>
    <w:rsid w:val="00A33A76"/>
    <w:rsid w:val="00A33BAB"/>
    <w:rsid w:val="00A34A44"/>
    <w:rsid w:val="00A35926"/>
    <w:rsid w:val="00A35BA2"/>
    <w:rsid w:val="00A35C68"/>
    <w:rsid w:val="00A37278"/>
    <w:rsid w:val="00A37D8B"/>
    <w:rsid w:val="00A40BCD"/>
    <w:rsid w:val="00A411A3"/>
    <w:rsid w:val="00A42755"/>
    <w:rsid w:val="00A438A7"/>
    <w:rsid w:val="00A43E05"/>
    <w:rsid w:val="00A44A1A"/>
    <w:rsid w:val="00A467C8"/>
    <w:rsid w:val="00A46DBC"/>
    <w:rsid w:val="00A478B1"/>
    <w:rsid w:val="00A51444"/>
    <w:rsid w:val="00A516A8"/>
    <w:rsid w:val="00A51E42"/>
    <w:rsid w:val="00A52F13"/>
    <w:rsid w:val="00A5322E"/>
    <w:rsid w:val="00A53677"/>
    <w:rsid w:val="00A548B5"/>
    <w:rsid w:val="00A5594C"/>
    <w:rsid w:val="00A55B0B"/>
    <w:rsid w:val="00A56003"/>
    <w:rsid w:val="00A56D55"/>
    <w:rsid w:val="00A60265"/>
    <w:rsid w:val="00A6109B"/>
    <w:rsid w:val="00A63987"/>
    <w:rsid w:val="00A63D7C"/>
    <w:rsid w:val="00A6507F"/>
    <w:rsid w:val="00A66FF6"/>
    <w:rsid w:val="00A70CA8"/>
    <w:rsid w:val="00A7113D"/>
    <w:rsid w:val="00A71E75"/>
    <w:rsid w:val="00A72E9B"/>
    <w:rsid w:val="00A747FA"/>
    <w:rsid w:val="00A74DBB"/>
    <w:rsid w:val="00A765DF"/>
    <w:rsid w:val="00A808DD"/>
    <w:rsid w:val="00A820A8"/>
    <w:rsid w:val="00A821B5"/>
    <w:rsid w:val="00A836CA"/>
    <w:rsid w:val="00A869AC"/>
    <w:rsid w:val="00A86C3B"/>
    <w:rsid w:val="00A87912"/>
    <w:rsid w:val="00A90070"/>
    <w:rsid w:val="00A90235"/>
    <w:rsid w:val="00A902F6"/>
    <w:rsid w:val="00A90BE2"/>
    <w:rsid w:val="00A90CBF"/>
    <w:rsid w:val="00A90E4D"/>
    <w:rsid w:val="00A93324"/>
    <w:rsid w:val="00A94729"/>
    <w:rsid w:val="00A970B8"/>
    <w:rsid w:val="00A97174"/>
    <w:rsid w:val="00AA0091"/>
    <w:rsid w:val="00AA00AD"/>
    <w:rsid w:val="00AA0803"/>
    <w:rsid w:val="00AA0888"/>
    <w:rsid w:val="00AA0C91"/>
    <w:rsid w:val="00AA12D7"/>
    <w:rsid w:val="00AA3408"/>
    <w:rsid w:val="00AA45A7"/>
    <w:rsid w:val="00AA46B9"/>
    <w:rsid w:val="00AA4F80"/>
    <w:rsid w:val="00AA575E"/>
    <w:rsid w:val="00AA5ADD"/>
    <w:rsid w:val="00AA5D39"/>
    <w:rsid w:val="00AA650F"/>
    <w:rsid w:val="00AB01B2"/>
    <w:rsid w:val="00AB0247"/>
    <w:rsid w:val="00AB0265"/>
    <w:rsid w:val="00AB03C2"/>
    <w:rsid w:val="00AB1105"/>
    <w:rsid w:val="00AB2564"/>
    <w:rsid w:val="00AB3BA3"/>
    <w:rsid w:val="00AB490F"/>
    <w:rsid w:val="00AB547D"/>
    <w:rsid w:val="00AC01B5"/>
    <w:rsid w:val="00AC0CA1"/>
    <w:rsid w:val="00AC13F4"/>
    <w:rsid w:val="00AC25D1"/>
    <w:rsid w:val="00AC3044"/>
    <w:rsid w:val="00AC3EAF"/>
    <w:rsid w:val="00AC5641"/>
    <w:rsid w:val="00AC6560"/>
    <w:rsid w:val="00AC70DD"/>
    <w:rsid w:val="00AD107E"/>
    <w:rsid w:val="00AD1611"/>
    <w:rsid w:val="00AD2B10"/>
    <w:rsid w:val="00AD3297"/>
    <w:rsid w:val="00AD3405"/>
    <w:rsid w:val="00AD394E"/>
    <w:rsid w:val="00AD4493"/>
    <w:rsid w:val="00AD5653"/>
    <w:rsid w:val="00AD7D87"/>
    <w:rsid w:val="00AE2384"/>
    <w:rsid w:val="00AE24D0"/>
    <w:rsid w:val="00AE666E"/>
    <w:rsid w:val="00AE6D69"/>
    <w:rsid w:val="00AF2825"/>
    <w:rsid w:val="00AF2E9A"/>
    <w:rsid w:val="00AF3FB7"/>
    <w:rsid w:val="00AF4183"/>
    <w:rsid w:val="00AF4DC6"/>
    <w:rsid w:val="00AF4DEC"/>
    <w:rsid w:val="00AF4FF8"/>
    <w:rsid w:val="00AF50B7"/>
    <w:rsid w:val="00AF5117"/>
    <w:rsid w:val="00AF609E"/>
    <w:rsid w:val="00AF6367"/>
    <w:rsid w:val="00B00498"/>
    <w:rsid w:val="00B00823"/>
    <w:rsid w:val="00B0089D"/>
    <w:rsid w:val="00B01606"/>
    <w:rsid w:val="00B02505"/>
    <w:rsid w:val="00B042EE"/>
    <w:rsid w:val="00B0452E"/>
    <w:rsid w:val="00B05012"/>
    <w:rsid w:val="00B05BB3"/>
    <w:rsid w:val="00B060E2"/>
    <w:rsid w:val="00B10DDB"/>
    <w:rsid w:val="00B10F04"/>
    <w:rsid w:val="00B1130A"/>
    <w:rsid w:val="00B11C5D"/>
    <w:rsid w:val="00B11DC0"/>
    <w:rsid w:val="00B12AF7"/>
    <w:rsid w:val="00B12BDA"/>
    <w:rsid w:val="00B13827"/>
    <w:rsid w:val="00B150F7"/>
    <w:rsid w:val="00B15380"/>
    <w:rsid w:val="00B175A0"/>
    <w:rsid w:val="00B20552"/>
    <w:rsid w:val="00B2069B"/>
    <w:rsid w:val="00B214D3"/>
    <w:rsid w:val="00B2406E"/>
    <w:rsid w:val="00B24A27"/>
    <w:rsid w:val="00B25B24"/>
    <w:rsid w:val="00B27108"/>
    <w:rsid w:val="00B3037F"/>
    <w:rsid w:val="00B30769"/>
    <w:rsid w:val="00B319DD"/>
    <w:rsid w:val="00B31D2C"/>
    <w:rsid w:val="00B329B6"/>
    <w:rsid w:val="00B3349F"/>
    <w:rsid w:val="00B33DCE"/>
    <w:rsid w:val="00B34013"/>
    <w:rsid w:val="00B34F8F"/>
    <w:rsid w:val="00B353E9"/>
    <w:rsid w:val="00B3738F"/>
    <w:rsid w:val="00B37C39"/>
    <w:rsid w:val="00B4071D"/>
    <w:rsid w:val="00B41D59"/>
    <w:rsid w:val="00B42AC5"/>
    <w:rsid w:val="00B43774"/>
    <w:rsid w:val="00B43C1B"/>
    <w:rsid w:val="00B444B6"/>
    <w:rsid w:val="00B44752"/>
    <w:rsid w:val="00B447B4"/>
    <w:rsid w:val="00B45AEE"/>
    <w:rsid w:val="00B465BD"/>
    <w:rsid w:val="00B469E5"/>
    <w:rsid w:val="00B46A45"/>
    <w:rsid w:val="00B471A4"/>
    <w:rsid w:val="00B47BD3"/>
    <w:rsid w:val="00B500DB"/>
    <w:rsid w:val="00B5089C"/>
    <w:rsid w:val="00B51AA4"/>
    <w:rsid w:val="00B52721"/>
    <w:rsid w:val="00B54757"/>
    <w:rsid w:val="00B54EFD"/>
    <w:rsid w:val="00B555CE"/>
    <w:rsid w:val="00B55870"/>
    <w:rsid w:val="00B56214"/>
    <w:rsid w:val="00B5651F"/>
    <w:rsid w:val="00B56C7F"/>
    <w:rsid w:val="00B579E5"/>
    <w:rsid w:val="00B60093"/>
    <w:rsid w:val="00B60ECC"/>
    <w:rsid w:val="00B612CF"/>
    <w:rsid w:val="00B62737"/>
    <w:rsid w:val="00B62EA8"/>
    <w:rsid w:val="00B63002"/>
    <w:rsid w:val="00B633C0"/>
    <w:rsid w:val="00B63FB6"/>
    <w:rsid w:val="00B64F87"/>
    <w:rsid w:val="00B64FE3"/>
    <w:rsid w:val="00B66533"/>
    <w:rsid w:val="00B66B50"/>
    <w:rsid w:val="00B6704D"/>
    <w:rsid w:val="00B67F4F"/>
    <w:rsid w:val="00B71427"/>
    <w:rsid w:val="00B71AD4"/>
    <w:rsid w:val="00B72829"/>
    <w:rsid w:val="00B72948"/>
    <w:rsid w:val="00B72DA5"/>
    <w:rsid w:val="00B73520"/>
    <w:rsid w:val="00B7368F"/>
    <w:rsid w:val="00B745FB"/>
    <w:rsid w:val="00B74AD0"/>
    <w:rsid w:val="00B76488"/>
    <w:rsid w:val="00B764B0"/>
    <w:rsid w:val="00B76664"/>
    <w:rsid w:val="00B766BB"/>
    <w:rsid w:val="00B77D12"/>
    <w:rsid w:val="00B8043E"/>
    <w:rsid w:val="00B80864"/>
    <w:rsid w:val="00B817CF"/>
    <w:rsid w:val="00B8269F"/>
    <w:rsid w:val="00B82EDC"/>
    <w:rsid w:val="00B830EF"/>
    <w:rsid w:val="00B83201"/>
    <w:rsid w:val="00B8338B"/>
    <w:rsid w:val="00B83C43"/>
    <w:rsid w:val="00B83E72"/>
    <w:rsid w:val="00B851FB"/>
    <w:rsid w:val="00B873C2"/>
    <w:rsid w:val="00B908E7"/>
    <w:rsid w:val="00B93186"/>
    <w:rsid w:val="00B9472A"/>
    <w:rsid w:val="00B94780"/>
    <w:rsid w:val="00B974E5"/>
    <w:rsid w:val="00BA0A43"/>
    <w:rsid w:val="00BA2102"/>
    <w:rsid w:val="00BA4D63"/>
    <w:rsid w:val="00BA5C53"/>
    <w:rsid w:val="00BA6021"/>
    <w:rsid w:val="00BA6BC8"/>
    <w:rsid w:val="00BB0257"/>
    <w:rsid w:val="00BB0292"/>
    <w:rsid w:val="00BB02DB"/>
    <w:rsid w:val="00BB19B7"/>
    <w:rsid w:val="00BB32B8"/>
    <w:rsid w:val="00BB4322"/>
    <w:rsid w:val="00BB5B80"/>
    <w:rsid w:val="00BB60B8"/>
    <w:rsid w:val="00BC085E"/>
    <w:rsid w:val="00BC4C20"/>
    <w:rsid w:val="00BC5FDF"/>
    <w:rsid w:val="00BC634D"/>
    <w:rsid w:val="00BC6E2A"/>
    <w:rsid w:val="00BC6E3B"/>
    <w:rsid w:val="00BC7FE9"/>
    <w:rsid w:val="00BD3D9E"/>
    <w:rsid w:val="00BD3E0D"/>
    <w:rsid w:val="00BD4529"/>
    <w:rsid w:val="00BD4CA2"/>
    <w:rsid w:val="00BD4E96"/>
    <w:rsid w:val="00BD589C"/>
    <w:rsid w:val="00BD60AF"/>
    <w:rsid w:val="00BE095B"/>
    <w:rsid w:val="00BE0A0A"/>
    <w:rsid w:val="00BE1DC6"/>
    <w:rsid w:val="00BE22B6"/>
    <w:rsid w:val="00BE2857"/>
    <w:rsid w:val="00BE4C09"/>
    <w:rsid w:val="00BE4D08"/>
    <w:rsid w:val="00BE4FC8"/>
    <w:rsid w:val="00BE5551"/>
    <w:rsid w:val="00BE58B4"/>
    <w:rsid w:val="00BE5DB0"/>
    <w:rsid w:val="00BE766E"/>
    <w:rsid w:val="00BE7F6A"/>
    <w:rsid w:val="00BF0209"/>
    <w:rsid w:val="00BF063B"/>
    <w:rsid w:val="00BF06A4"/>
    <w:rsid w:val="00BF08F0"/>
    <w:rsid w:val="00BF0A60"/>
    <w:rsid w:val="00BF195B"/>
    <w:rsid w:val="00BF289F"/>
    <w:rsid w:val="00BF2B03"/>
    <w:rsid w:val="00BF2B1B"/>
    <w:rsid w:val="00BF2D29"/>
    <w:rsid w:val="00BF2F55"/>
    <w:rsid w:val="00BF32B7"/>
    <w:rsid w:val="00BF3DA2"/>
    <w:rsid w:val="00BF4F27"/>
    <w:rsid w:val="00BF6D0B"/>
    <w:rsid w:val="00BF7E18"/>
    <w:rsid w:val="00BF7F82"/>
    <w:rsid w:val="00C00C3B"/>
    <w:rsid w:val="00C01F08"/>
    <w:rsid w:val="00C0268E"/>
    <w:rsid w:val="00C0358B"/>
    <w:rsid w:val="00C0449D"/>
    <w:rsid w:val="00C06083"/>
    <w:rsid w:val="00C064A7"/>
    <w:rsid w:val="00C102D6"/>
    <w:rsid w:val="00C103E2"/>
    <w:rsid w:val="00C110AA"/>
    <w:rsid w:val="00C11385"/>
    <w:rsid w:val="00C11843"/>
    <w:rsid w:val="00C11AF0"/>
    <w:rsid w:val="00C12152"/>
    <w:rsid w:val="00C1217A"/>
    <w:rsid w:val="00C12ED0"/>
    <w:rsid w:val="00C13613"/>
    <w:rsid w:val="00C14128"/>
    <w:rsid w:val="00C1468B"/>
    <w:rsid w:val="00C149A5"/>
    <w:rsid w:val="00C16CA0"/>
    <w:rsid w:val="00C1724C"/>
    <w:rsid w:val="00C21186"/>
    <w:rsid w:val="00C2149B"/>
    <w:rsid w:val="00C22419"/>
    <w:rsid w:val="00C245D1"/>
    <w:rsid w:val="00C262BA"/>
    <w:rsid w:val="00C27D64"/>
    <w:rsid w:val="00C304E4"/>
    <w:rsid w:val="00C30E16"/>
    <w:rsid w:val="00C34B28"/>
    <w:rsid w:val="00C35E83"/>
    <w:rsid w:val="00C3779A"/>
    <w:rsid w:val="00C37D5E"/>
    <w:rsid w:val="00C410A8"/>
    <w:rsid w:val="00C41C1F"/>
    <w:rsid w:val="00C4245A"/>
    <w:rsid w:val="00C42A9A"/>
    <w:rsid w:val="00C44C80"/>
    <w:rsid w:val="00C45335"/>
    <w:rsid w:val="00C509EA"/>
    <w:rsid w:val="00C51F9F"/>
    <w:rsid w:val="00C52130"/>
    <w:rsid w:val="00C52361"/>
    <w:rsid w:val="00C524ED"/>
    <w:rsid w:val="00C52A0B"/>
    <w:rsid w:val="00C57489"/>
    <w:rsid w:val="00C604BD"/>
    <w:rsid w:val="00C61872"/>
    <w:rsid w:val="00C61A15"/>
    <w:rsid w:val="00C631D2"/>
    <w:rsid w:val="00C63E2A"/>
    <w:rsid w:val="00C6424B"/>
    <w:rsid w:val="00C6614D"/>
    <w:rsid w:val="00C66B87"/>
    <w:rsid w:val="00C671D3"/>
    <w:rsid w:val="00C67D52"/>
    <w:rsid w:val="00C67F47"/>
    <w:rsid w:val="00C707AA"/>
    <w:rsid w:val="00C70DEB"/>
    <w:rsid w:val="00C71983"/>
    <w:rsid w:val="00C7234D"/>
    <w:rsid w:val="00C72DEB"/>
    <w:rsid w:val="00C74171"/>
    <w:rsid w:val="00C74338"/>
    <w:rsid w:val="00C74C4D"/>
    <w:rsid w:val="00C77337"/>
    <w:rsid w:val="00C774C9"/>
    <w:rsid w:val="00C801A7"/>
    <w:rsid w:val="00C8036D"/>
    <w:rsid w:val="00C80841"/>
    <w:rsid w:val="00C80A33"/>
    <w:rsid w:val="00C80DCA"/>
    <w:rsid w:val="00C84496"/>
    <w:rsid w:val="00C84E9B"/>
    <w:rsid w:val="00C86851"/>
    <w:rsid w:val="00C86BF0"/>
    <w:rsid w:val="00C923A0"/>
    <w:rsid w:val="00C926A4"/>
    <w:rsid w:val="00C92B56"/>
    <w:rsid w:val="00C930DF"/>
    <w:rsid w:val="00C93737"/>
    <w:rsid w:val="00C9402E"/>
    <w:rsid w:val="00C9461A"/>
    <w:rsid w:val="00C94F87"/>
    <w:rsid w:val="00C95C4E"/>
    <w:rsid w:val="00C969D1"/>
    <w:rsid w:val="00C9789E"/>
    <w:rsid w:val="00C97927"/>
    <w:rsid w:val="00C97A9F"/>
    <w:rsid w:val="00C97AE2"/>
    <w:rsid w:val="00CA0649"/>
    <w:rsid w:val="00CA0D6F"/>
    <w:rsid w:val="00CA33F8"/>
    <w:rsid w:val="00CA3732"/>
    <w:rsid w:val="00CA3A65"/>
    <w:rsid w:val="00CA584B"/>
    <w:rsid w:val="00CA735A"/>
    <w:rsid w:val="00CA7CB4"/>
    <w:rsid w:val="00CB04A4"/>
    <w:rsid w:val="00CB0C94"/>
    <w:rsid w:val="00CB28E7"/>
    <w:rsid w:val="00CB2DEE"/>
    <w:rsid w:val="00CB4260"/>
    <w:rsid w:val="00CB449E"/>
    <w:rsid w:val="00CB5136"/>
    <w:rsid w:val="00CB5475"/>
    <w:rsid w:val="00CB54F4"/>
    <w:rsid w:val="00CB5A5A"/>
    <w:rsid w:val="00CB5CA9"/>
    <w:rsid w:val="00CB649B"/>
    <w:rsid w:val="00CB6718"/>
    <w:rsid w:val="00CC0807"/>
    <w:rsid w:val="00CC0852"/>
    <w:rsid w:val="00CC09C8"/>
    <w:rsid w:val="00CC0DB4"/>
    <w:rsid w:val="00CC0DF1"/>
    <w:rsid w:val="00CC1DED"/>
    <w:rsid w:val="00CC1E5D"/>
    <w:rsid w:val="00CC257A"/>
    <w:rsid w:val="00CC2AA5"/>
    <w:rsid w:val="00CC48AC"/>
    <w:rsid w:val="00CC4CA4"/>
    <w:rsid w:val="00CC513F"/>
    <w:rsid w:val="00CC7B85"/>
    <w:rsid w:val="00CD17D5"/>
    <w:rsid w:val="00CD2D1F"/>
    <w:rsid w:val="00CD3B53"/>
    <w:rsid w:val="00CD3B69"/>
    <w:rsid w:val="00CD5B08"/>
    <w:rsid w:val="00CD5C8A"/>
    <w:rsid w:val="00CD76A5"/>
    <w:rsid w:val="00CD7BA5"/>
    <w:rsid w:val="00CE00D2"/>
    <w:rsid w:val="00CE08E1"/>
    <w:rsid w:val="00CE114E"/>
    <w:rsid w:val="00CE1389"/>
    <w:rsid w:val="00CE15BC"/>
    <w:rsid w:val="00CE27A9"/>
    <w:rsid w:val="00CE3355"/>
    <w:rsid w:val="00CE36C3"/>
    <w:rsid w:val="00CE43FB"/>
    <w:rsid w:val="00CE55F3"/>
    <w:rsid w:val="00CE660C"/>
    <w:rsid w:val="00CE66EA"/>
    <w:rsid w:val="00CE720B"/>
    <w:rsid w:val="00CE7C56"/>
    <w:rsid w:val="00CE7ED3"/>
    <w:rsid w:val="00CF170D"/>
    <w:rsid w:val="00CF2B49"/>
    <w:rsid w:val="00CF3F63"/>
    <w:rsid w:val="00CF4C60"/>
    <w:rsid w:val="00CF60E0"/>
    <w:rsid w:val="00CF61E2"/>
    <w:rsid w:val="00CF716B"/>
    <w:rsid w:val="00D00673"/>
    <w:rsid w:val="00D0198A"/>
    <w:rsid w:val="00D0245A"/>
    <w:rsid w:val="00D03AF1"/>
    <w:rsid w:val="00D0437F"/>
    <w:rsid w:val="00D05470"/>
    <w:rsid w:val="00D06750"/>
    <w:rsid w:val="00D06C89"/>
    <w:rsid w:val="00D06FC1"/>
    <w:rsid w:val="00D06FE4"/>
    <w:rsid w:val="00D106B9"/>
    <w:rsid w:val="00D14C64"/>
    <w:rsid w:val="00D164D5"/>
    <w:rsid w:val="00D16B57"/>
    <w:rsid w:val="00D16B59"/>
    <w:rsid w:val="00D17428"/>
    <w:rsid w:val="00D21203"/>
    <w:rsid w:val="00D21E78"/>
    <w:rsid w:val="00D22497"/>
    <w:rsid w:val="00D224A3"/>
    <w:rsid w:val="00D228EA"/>
    <w:rsid w:val="00D2329C"/>
    <w:rsid w:val="00D23717"/>
    <w:rsid w:val="00D23D3B"/>
    <w:rsid w:val="00D24BF5"/>
    <w:rsid w:val="00D25C8B"/>
    <w:rsid w:val="00D25D12"/>
    <w:rsid w:val="00D25DC4"/>
    <w:rsid w:val="00D27188"/>
    <w:rsid w:val="00D27859"/>
    <w:rsid w:val="00D309E8"/>
    <w:rsid w:val="00D31430"/>
    <w:rsid w:val="00D33ACB"/>
    <w:rsid w:val="00D35146"/>
    <w:rsid w:val="00D352A3"/>
    <w:rsid w:val="00D363FD"/>
    <w:rsid w:val="00D37234"/>
    <w:rsid w:val="00D37FE6"/>
    <w:rsid w:val="00D4096C"/>
    <w:rsid w:val="00D40EB1"/>
    <w:rsid w:val="00D416E3"/>
    <w:rsid w:val="00D41EDC"/>
    <w:rsid w:val="00D41F7E"/>
    <w:rsid w:val="00D428A0"/>
    <w:rsid w:val="00D43564"/>
    <w:rsid w:val="00D43750"/>
    <w:rsid w:val="00D44AF3"/>
    <w:rsid w:val="00D4667B"/>
    <w:rsid w:val="00D47001"/>
    <w:rsid w:val="00D5001E"/>
    <w:rsid w:val="00D504EE"/>
    <w:rsid w:val="00D51AFA"/>
    <w:rsid w:val="00D51B3B"/>
    <w:rsid w:val="00D52153"/>
    <w:rsid w:val="00D52403"/>
    <w:rsid w:val="00D5327B"/>
    <w:rsid w:val="00D5379A"/>
    <w:rsid w:val="00D55F4E"/>
    <w:rsid w:val="00D565C9"/>
    <w:rsid w:val="00D57629"/>
    <w:rsid w:val="00D60878"/>
    <w:rsid w:val="00D60ECA"/>
    <w:rsid w:val="00D63683"/>
    <w:rsid w:val="00D63B86"/>
    <w:rsid w:val="00D64531"/>
    <w:rsid w:val="00D647E8"/>
    <w:rsid w:val="00D64944"/>
    <w:rsid w:val="00D664E3"/>
    <w:rsid w:val="00D67710"/>
    <w:rsid w:val="00D711CF"/>
    <w:rsid w:val="00D71906"/>
    <w:rsid w:val="00D7435C"/>
    <w:rsid w:val="00D74539"/>
    <w:rsid w:val="00D74984"/>
    <w:rsid w:val="00D750F5"/>
    <w:rsid w:val="00D775DD"/>
    <w:rsid w:val="00D775EF"/>
    <w:rsid w:val="00D77E69"/>
    <w:rsid w:val="00D803E8"/>
    <w:rsid w:val="00D805DB"/>
    <w:rsid w:val="00D819E2"/>
    <w:rsid w:val="00D822F1"/>
    <w:rsid w:val="00D824F4"/>
    <w:rsid w:val="00D8372F"/>
    <w:rsid w:val="00D84905"/>
    <w:rsid w:val="00D90332"/>
    <w:rsid w:val="00D9073B"/>
    <w:rsid w:val="00D9264B"/>
    <w:rsid w:val="00D92988"/>
    <w:rsid w:val="00D9377B"/>
    <w:rsid w:val="00D94EAB"/>
    <w:rsid w:val="00D95DB2"/>
    <w:rsid w:val="00D96031"/>
    <w:rsid w:val="00D96ABC"/>
    <w:rsid w:val="00D9727A"/>
    <w:rsid w:val="00D97622"/>
    <w:rsid w:val="00DA003A"/>
    <w:rsid w:val="00DA219F"/>
    <w:rsid w:val="00DA2415"/>
    <w:rsid w:val="00DA27AF"/>
    <w:rsid w:val="00DA2DB4"/>
    <w:rsid w:val="00DA3A59"/>
    <w:rsid w:val="00DA3CED"/>
    <w:rsid w:val="00DA421F"/>
    <w:rsid w:val="00DA5D20"/>
    <w:rsid w:val="00DA6586"/>
    <w:rsid w:val="00DA66CE"/>
    <w:rsid w:val="00DA6B93"/>
    <w:rsid w:val="00DB00C6"/>
    <w:rsid w:val="00DB0DF4"/>
    <w:rsid w:val="00DB2A33"/>
    <w:rsid w:val="00DB2DE1"/>
    <w:rsid w:val="00DB3230"/>
    <w:rsid w:val="00DB3AA4"/>
    <w:rsid w:val="00DB50FF"/>
    <w:rsid w:val="00DB5495"/>
    <w:rsid w:val="00DB5C36"/>
    <w:rsid w:val="00DB7367"/>
    <w:rsid w:val="00DC0208"/>
    <w:rsid w:val="00DC09F8"/>
    <w:rsid w:val="00DC195D"/>
    <w:rsid w:val="00DC1A7E"/>
    <w:rsid w:val="00DC25D6"/>
    <w:rsid w:val="00DC3351"/>
    <w:rsid w:val="00DC393F"/>
    <w:rsid w:val="00DC3C3D"/>
    <w:rsid w:val="00DC4761"/>
    <w:rsid w:val="00DC4B2D"/>
    <w:rsid w:val="00DC54A5"/>
    <w:rsid w:val="00DC55B3"/>
    <w:rsid w:val="00DC5853"/>
    <w:rsid w:val="00DC5DCA"/>
    <w:rsid w:val="00DC79F4"/>
    <w:rsid w:val="00DC7F92"/>
    <w:rsid w:val="00DD16BB"/>
    <w:rsid w:val="00DD1D6F"/>
    <w:rsid w:val="00DD2500"/>
    <w:rsid w:val="00DD32B0"/>
    <w:rsid w:val="00DD341D"/>
    <w:rsid w:val="00DD45D1"/>
    <w:rsid w:val="00DD4895"/>
    <w:rsid w:val="00DD6E5D"/>
    <w:rsid w:val="00DD6EBE"/>
    <w:rsid w:val="00DD7087"/>
    <w:rsid w:val="00DD76FD"/>
    <w:rsid w:val="00DE106B"/>
    <w:rsid w:val="00DE19C0"/>
    <w:rsid w:val="00DE2F57"/>
    <w:rsid w:val="00DE30B0"/>
    <w:rsid w:val="00DE496D"/>
    <w:rsid w:val="00DE4D98"/>
    <w:rsid w:val="00DE515C"/>
    <w:rsid w:val="00DE5BB1"/>
    <w:rsid w:val="00DE60C5"/>
    <w:rsid w:val="00DE6E8A"/>
    <w:rsid w:val="00DF073F"/>
    <w:rsid w:val="00DF28B5"/>
    <w:rsid w:val="00DF2B05"/>
    <w:rsid w:val="00DF2D4B"/>
    <w:rsid w:val="00DF3107"/>
    <w:rsid w:val="00DF3E3C"/>
    <w:rsid w:val="00DF3E6E"/>
    <w:rsid w:val="00DF47D8"/>
    <w:rsid w:val="00DF4A95"/>
    <w:rsid w:val="00DF4C89"/>
    <w:rsid w:val="00DF617D"/>
    <w:rsid w:val="00DF7578"/>
    <w:rsid w:val="00DF7E7B"/>
    <w:rsid w:val="00E0089B"/>
    <w:rsid w:val="00E01093"/>
    <w:rsid w:val="00E0185C"/>
    <w:rsid w:val="00E02A6B"/>
    <w:rsid w:val="00E02E0E"/>
    <w:rsid w:val="00E0302B"/>
    <w:rsid w:val="00E030E1"/>
    <w:rsid w:val="00E033BE"/>
    <w:rsid w:val="00E042A2"/>
    <w:rsid w:val="00E04CB5"/>
    <w:rsid w:val="00E06D95"/>
    <w:rsid w:val="00E075CF"/>
    <w:rsid w:val="00E10563"/>
    <w:rsid w:val="00E10FD4"/>
    <w:rsid w:val="00E118A4"/>
    <w:rsid w:val="00E11C4A"/>
    <w:rsid w:val="00E12F28"/>
    <w:rsid w:val="00E13183"/>
    <w:rsid w:val="00E131AF"/>
    <w:rsid w:val="00E1445A"/>
    <w:rsid w:val="00E160F7"/>
    <w:rsid w:val="00E1696F"/>
    <w:rsid w:val="00E17816"/>
    <w:rsid w:val="00E17F27"/>
    <w:rsid w:val="00E20A8B"/>
    <w:rsid w:val="00E2125F"/>
    <w:rsid w:val="00E21D8C"/>
    <w:rsid w:val="00E22B48"/>
    <w:rsid w:val="00E22FFC"/>
    <w:rsid w:val="00E233FF"/>
    <w:rsid w:val="00E23836"/>
    <w:rsid w:val="00E2403C"/>
    <w:rsid w:val="00E25019"/>
    <w:rsid w:val="00E2511A"/>
    <w:rsid w:val="00E258C4"/>
    <w:rsid w:val="00E27092"/>
    <w:rsid w:val="00E31792"/>
    <w:rsid w:val="00E32577"/>
    <w:rsid w:val="00E33C3D"/>
    <w:rsid w:val="00E33FBD"/>
    <w:rsid w:val="00E341B6"/>
    <w:rsid w:val="00E34476"/>
    <w:rsid w:val="00E34B93"/>
    <w:rsid w:val="00E34BB9"/>
    <w:rsid w:val="00E34C91"/>
    <w:rsid w:val="00E35C21"/>
    <w:rsid w:val="00E360F0"/>
    <w:rsid w:val="00E366C8"/>
    <w:rsid w:val="00E36B2F"/>
    <w:rsid w:val="00E370FB"/>
    <w:rsid w:val="00E37BDE"/>
    <w:rsid w:val="00E42A0C"/>
    <w:rsid w:val="00E4567F"/>
    <w:rsid w:val="00E4613C"/>
    <w:rsid w:val="00E46249"/>
    <w:rsid w:val="00E4629B"/>
    <w:rsid w:val="00E478EE"/>
    <w:rsid w:val="00E51CE6"/>
    <w:rsid w:val="00E5230E"/>
    <w:rsid w:val="00E52D43"/>
    <w:rsid w:val="00E540B0"/>
    <w:rsid w:val="00E54D0D"/>
    <w:rsid w:val="00E5551B"/>
    <w:rsid w:val="00E55610"/>
    <w:rsid w:val="00E558FB"/>
    <w:rsid w:val="00E562AB"/>
    <w:rsid w:val="00E56C8B"/>
    <w:rsid w:val="00E57705"/>
    <w:rsid w:val="00E601A3"/>
    <w:rsid w:val="00E60794"/>
    <w:rsid w:val="00E60E34"/>
    <w:rsid w:val="00E613FD"/>
    <w:rsid w:val="00E61B17"/>
    <w:rsid w:val="00E62119"/>
    <w:rsid w:val="00E6227E"/>
    <w:rsid w:val="00E62669"/>
    <w:rsid w:val="00E62CAC"/>
    <w:rsid w:val="00E638F7"/>
    <w:rsid w:val="00E65370"/>
    <w:rsid w:val="00E65BF4"/>
    <w:rsid w:val="00E663BB"/>
    <w:rsid w:val="00E664A2"/>
    <w:rsid w:val="00E669BF"/>
    <w:rsid w:val="00E72582"/>
    <w:rsid w:val="00E727BF"/>
    <w:rsid w:val="00E72D56"/>
    <w:rsid w:val="00E72F5C"/>
    <w:rsid w:val="00E73AB0"/>
    <w:rsid w:val="00E747B3"/>
    <w:rsid w:val="00E74A51"/>
    <w:rsid w:val="00E75210"/>
    <w:rsid w:val="00E76839"/>
    <w:rsid w:val="00E77326"/>
    <w:rsid w:val="00E800B0"/>
    <w:rsid w:val="00E81067"/>
    <w:rsid w:val="00E810A8"/>
    <w:rsid w:val="00E82405"/>
    <w:rsid w:val="00E83644"/>
    <w:rsid w:val="00E83C7C"/>
    <w:rsid w:val="00E83CC4"/>
    <w:rsid w:val="00E84EF4"/>
    <w:rsid w:val="00E86820"/>
    <w:rsid w:val="00E87244"/>
    <w:rsid w:val="00E873DB"/>
    <w:rsid w:val="00E906F2"/>
    <w:rsid w:val="00E90895"/>
    <w:rsid w:val="00E90F03"/>
    <w:rsid w:val="00E911E7"/>
    <w:rsid w:val="00E91CB2"/>
    <w:rsid w:val="00E92641"/>
    <w:rsid w:val="00E94FF5"/>
    <w:rsid w:val="00E96E22"/>
    <w:rsid w:val="00E97C51"/>
    <w:rsid w:val="00E97D4D"/>
    <w:rsid w:val="00EA0150"/>
    <w:rsid w:val="00EA0F0F"/>
    <w:rsid w:val="00EA1E79"/>
    <w:rsid w:val="00EA3015"/>
    <w:rsid w:val="00EA33D9"/>
    <w:rsid w:val="00EA3579"/>
    <w:rsid w:val="00EA3B1D"/>
    <w:rsid w:val="00EA3B91"/>
    <w:rsid w:val="00EA3FFB"/>
    <w:rsid w:val="00EA49EF"/>
    <w:rsid w:val="00EA4A0F"/>
    <w:rsid w:val="00EA6769"/>
    <w:rsid w:val="00EA6BFD"/>
    <w:rsid w:val="00EA71ED"/>
    <w:rsid w:val="00EB0ADA"/>
    <w:rsid w:val="00EB18C1"/>
    <w:rsid w:val="00EB3DA1"/>
    <w:rsid w:val="00EB3ED3"/>
    <w:rsid w:val="00EB447F"/>
    <w:rsid w:val="00EB44E2"/>
    <w:rsid w:val="00EB6AB1"/>
    <w:rsid w:val="00EB6E10"/>
    <w:rsid w:val="00EB7353"/>
    <w:rsid w:val="00EB7A1B"/>
    <w:rsid w:val="00EC021F"/>
    <w:rsid w:val="00EC0C4E"/>
    <w:rsid w:val="00EC21F9"/>
    <w:rsid w:val="00EC22D3"/>
    <w:rsid w:val="00EC44AB"/>
    <w:rsid w:val="00EC4A1F"/>
    <w:rsid w:val="00EC4CA9"/>
    <w:rsid w:val="00EC6204"/>
    <w:rsid w:val="00EC720C"/>
    <w:rsid w:val="00EC7C03"/>
    <w:rsid w:val="00ED0230"/>
    <w:rsid w:val="00ED2C73"/>
    <w:rsid w:val="00ED2D71"/>
    <w:rsid w:val="00ED498B"/>
    <w:rsid w:val="00ED58B2"/>
    <w:rsid w:val="00ED5A1C"/>
    <w:rsid w:val="00ED6A6E"/>
    <w:rsid w:val="00ED7AB9"/>
    <w:rsid w:val="00ED7FA7"/>
    <w:rsid w:val="00EE0555"/>
    <w:rsid w:val="00EE3ED6"/>
    <w:rsid w:val="00EE5504"/>
    <w:rsid w:val="00EE6C71"/>
    <w:rsid w:val="00EE7B20"/>
    <w:rsid w:val="00EF0017"/>
    <w:rsid w:val="00EF21B3"/>
    <w:rsid w:val="00EF2464"/>
    <w:rsid w:val="00EF2999"/>
    <w:rsid w:val="00EF2C5B"/>
    <w:rsid w:val="00EF3CEF"/>
    <w:rsid w:val="00EF3D14"/>
    <w:rsid w:val="00EF4A01"/>
    <w:rsid w:val="00EF60ED"/>
    <w:rsid w:val="00EF6956"/>
    <w:rsid w:val="00EF6B64"/>
    <w:rsid w:val="00EF784D"/>
    <w:rsid w:val="00F01D2A"/>
    <w:rsid w:val="00F02034"/>
    <w:rsid w:val="00F044BE"/>
    <w:rsid w:val="00F048B9"/>
    <w:rsid w:val="00F05B56"/>
    <w:rsid w:val="00F0624B"/>
    <w:rsid w:val="00F0711A"/>
    <w:rsid w:val="00F10334"/>
    <w:rsid w:val="00F1056F"/>
    <w:rsid w:val="00F11686"/>
    <w:rsid w:val="00F11EC8"/>
    <w:rsid w:val="00F12B32"/>
    <w:rsid w:val="00F1330A"/>
    <w:rsid w:val="00F14F0B"/>
    <w:rsid w:val="00F15061"/>
    <w:rsid w:val="00F150FA"/>
    <w:rsid w:val="00F15826"/>
    <w:rsid w:val="00F203D0"/>
    <w:rsid w:val="00F20A51"/>
    <w:rsid w:val="00F2131E"/>
    <w:rsid w:val="00F23C3B"/>
    <w:rsid w:val="00F243B5"/>
    <w:rsid w:val="00F26400"/>
    <w:rsid w:val="00F30066"/>
    <w:rsid w:val="00F31969"/>
    <w:rsid w:val="00F32880"/>
    <w:rsid w:val="00F32D9A"/>
    <w:rsid w:val="00F334FF"/>
    <w:rsid w:val="00F33A69"/>
    <w:rsid w:val="00F368DF"/>
    <w:rsid w:val="00F370C1"/>
    <w:rsid w:val="00F40D6E"/>
    <w:rsid w:val="00F4207B"/>
    <w:rsid w:val="00F4475E"/>
    <w:rsid w:val="00F44C48"/>
    <w:rsid w:val="00F44C84"/>
    <w:rsid w:val="00F44EF3"/>
    <w:rsid w:val="00F4581C"/>
    <w:rsid w:val="00F4684B"/>
    <w:rsid w:val="00F505B0"/>
    <w:rsid w:val="00F5105B"/>
    <w:rsid w:val="00F511B6"/>
    <w:rsid w:val="00F524CD"/>
    <w:rsid w:val="00F52998"/>
    <w:rsid w:val="00F53CA2"/>
    <w:rsid w:val="00F5401C"/>
    <w:rsid w:val="00F542CA"/>
    <w:rsid w:val="00F5466F"/>
    <w:rsid w:val="00F54DCB"/>
    <w:rsid w:val="00F56116"/>
    <w:rsid w:val="00F56661"/>
    <w:rsid w:val="00F56888"/>
    <w:rsid w:val="00F56C22"/>
    <w:rsid w:val="00F602FE"/>
    <w:rsid w:val="00F60457"/>
    <w:rsid w:val="00F60F9B"/>
    <w:rsid w:val="00F61917"/>
    <w:rsid w:val="00F62167"/>
    <w:rsid w:val="00F62CC1"/>
    <w:rsid w:val="00F6339C"/>
    <w:rsid w:val="00F636A8"/>
    <w:rsid w:val="00F63B77"/>
    <w:rsid w:val="00F64DDC"/>
    <w:rsid w:val="00F653D7"/>
    <w:rsid w:val="00F6609A"/>
    <w:rsid w:val="00F66557"/>
    <w:rsid w:val="00F71770"/>
    <w:rsid w:val="00F717A5"/>
    <w:rsid w:val="00F72576"/>
    <w:rsid w:val="00F7304D"/>
    <w:rsid w:val="00F73C1D"/>
    <w:rsid w:val="00F742BF"/>
    <w:rsid w:val="00F748DD"/>
    <w:rsid w:val="00F753A9"/>
    <w:rsid w:val="00F759D6"/>
    <w:rsid w:val="00F75E96"/>
    <w:rsid w:val="00F766B8"/>
    <w:rsid w:val="00F77D9D"/>
    <w:rsid w:val="00F77FA4"/>
    <w:rsid w:val="00F81FFE"/>
    <w:rsid w:val="00F829A0"/>
    <w:rsid w:val="00F830BF"/>
    <w:rsid w:val="00F83B35"/>
    <w:rsid w:val="00F8496D"/>
    <w:rsid w:val="00F84F4E"/>
    <w:rsid w:val="00F855DC"/>
    <w:rsid w:val="00F908C6"/>
    <w:rsid w:val="00F90B9C"/>
    <w:rsid w:val="00F91316"/>
    <w:rsid w:val="00F91828"/>
    <w:rsid w:val="00F91D71"/>
    <w:rsid w:val="00F91DD2"/>
    <w:rsid w:val="00F92310"/>
    <w:rsid w:val="00F93137"/>
    <w:rsid w:val="00F94F34"/>
    <w:rsid w:val="00F94F3F"/>
    <w:rsid w:val="00F94F68"/>
    <w:rsid w:val="00F9567C"/>
    <w:rsid w:val="00F95967"/>
    <w:rsid w:val="00F9605D"/>
    <w:rsid w:val="00F96BC7"/>
    <w:rsid w:val="00F97DE9"/>
    <w:rsid w:val="00FA09E1"/>
    <w:rsid w:val="00FA15BA"/>
    <w:rsid w:val="00FA2C0E"/>
    <w:rsid w:val="00FA3DAE"/>
    <w:rsid w:val="00FA4D54"/>
    <w:rsid w:val="00FA5745"/>
    <w:rsid w:val="00FA67C1"/>
    <w:rsid w:val="00FA7FE2"/>
    <w:rsid w:val="00FB1683"/>
    <w:rsid w:val="00FB3149"/>
    <w:rsid w:val="00FB391B"/>
    <w:rsid w:val="00FB402B"/>
    <w:rsid w:val="00FB40CB"/>
    <w:rsid w:val="00FB4175"/>
    <w:rsid w:val="00FB457A"/>
    <w:rsid w:val="00FB622C"/>
    <w:rsid w:val="00FB629C"/>
    <w:rsid w:val="00FB772E"/>
    <w:rsid w:val="00FB7E93"/>
    <w:rsid w:val="00FB7F02"/>
    <w:rsid w:val="00FB7F81"/>
    <w:rsid w:val="00FC0948"/>
    <w:rsid w:val="00FC188D"/>
    <w:rsid w:val="00FC4BB2"/>
    <w:rsid w:val="00FC6466"/>
    <w:rsid w:val="00FC796E"/>
    <w:rsid w:val="00FD104A"/>
    <w:rsid w:val="00FD207C"/>
    <w:rsid w:val="00FD2B77"/>
    <w:rsid w:val="00FD3E2A"/>
    <w:rsid w:val="00FD4832"/>
    <w:rsid w:val="00FD5311"/>
    <w:rsid w:val="00FD54C6"/>
    <w:rsid w:val="00FD6445"/>
    <w:rsid w:val="00FD7C18"/>
    <w:rsid w:val="00FE2A0B"/>
    <w:rsid w:val="00FE453C"/>
    <w:rsid w:val="00FE7430"/>
    <w:rsid w:val="00FF03A7"/>
    <w:rsid w:val="00FF0EE1"/>
    <w:rsid w:val="00FF1B23"/>
    <w:rsid w:val="00FF29B8"/>
    <w:rsid w:val="00FF2FAE"/>
    <w:rsid w:val="00FF38FA"/>
    <w:rsid w:val="00FF5B2A"/>
    <w:rsid w:val="00FF6DB0"/>
    <w:rsid w:val="00FF74FF"/>
    <w:rsid w:val="00FF76BA"/>
    <w:rsid w:val="01087389"/>
    <w:rsid w:val="01142947"/>
    <w:rsid w:val="01200505"/>
    <w:rsid w:val="0122216F"/>
    <w:rsid w:val="01325A8F"/>
    <w:rsid w:val="013516BE"/>
    <w:rsid w:val="01447D0C"/>
    <w:rsid w:val="014A0D22"/>
    <w:rsid w:val="01536131"/>
    <w:rsid w:val="016A2DE9"/>
    <w:rsid w:val="01747137"/>
    <w:rsid w:val="017E3632"/>
    <w:rsid w:val="018C4C2F"/>
    <w:rsid w:val="01A26771"/>
    <w:rsid w:val="01BB5FED"/>
    <w:rsid w:val="01FB1BFF"/>
    <w:rsid w:val="0205056A"/>
    <w:rsid w:val="02181129"/>
    <w:rsid w:val="02190BBE"/>
    <w:rsid w:val="021B6D21"/>
    <w:rsid w:val="02322F28"/>
    <w:rsid w:val="023B08EE"/>
    <w:rsid w:val="023F388C"/>
    <w:rsid w:val="02421CC3"/>
    <w:rsid w:val="0247556A"/>
    <w:rsid w:val="02561DE2"/>
    <w:rsid w:val="025D6B3C"/>
    <w:rsid w:val="02695A35"/>
    <w:rsid w:val="02725E2D"/>
    <w:rsid w:val="027D11A2"/>
    <w:rsid w:val="028227B2"/>
    <w:rsid w:val="0286314D"/>
    <w:rsid w:val="02935814"/>
    <w:rsid w:val="02A0096B"/>
    <w:rsid w:val="02AE013F"/>
    <w:rsid w:val="02B64DFD"/>
    <w:rsid w:val="02C1579F"/>
    <w:rsid w:val="02C32118"/>
    <w:rsid w:val="02CA1633"/>
    <w:rsid w:val="02CA6108"/>
    <w:rsid w:val="02D60F91"/>
    <w:rsid w:val="02D76984"/>
    <w:rsid w:val="02E40D97"/>
    <w:rsid w:val="02E85072"/>
    <w:rsid w:val="02F333A9"/>
    <w:rsid w:val="02FB21AB"/>
    <w:rsid w:val="0301396B"/>
    <w:rsid w:val="030247BA"/>
    <w:rsid w:val="030544FF"/>
    <w:rsid w:val="030D1793"/>
    <w:rsid w:val="030E29BA"/>
    <w:rsid w:val="03305FFE"/>
    <w:rsid w:val="03357038"/>
    <w:rsid w:val="033A0C2B"/>
    <w:rsid w:val="03454F90"/>
    <w:rsid w:val="03483348"/>
    <w:rsid w:val="034E7254"/>
    <w:rsid w:val="03654039"/>
    <w:rsid w:val="03663018"/>
    <w:rsid w:val="03704A13"/>
    <w:rsid w:val="037D1336"/>
    <w:rsid w:val="038E120F"/>
    <w:rsid w:val="039E1095"/>
    <w:rsid w:val="03A30167"/>
    <w:rsid w:val="03A54CF2"/>
    <w:rsid w:val="03AA04B8"/>
    <w:rsid w:val="03AF714B"/>
    <w:rsid w:val="03B57082"/>
    <w:rsid w:val="03BE7AAE"/>
    <w:rsid w:val="03C345D9"/>
    <w:rsid w:val="03CD305E"/>
    <w:rsid w:val="03E80CD8"/>
    <w:rsid w:val="03EE48EF"/>
    <w:rsid w:val="03F11BF1"/>
    <w:rsid w:val="03F24DC9"/>
    <w:rsid w:val="03F34100"/>
    <w:rsid w:val="04161F26"/>
    <w:rsid w:val="04170DF7"/>
    <w:rsid w:val="04320854"/>
    <w:rsid w:val="043D09D3"/>
    <w:rsid w:val="043D5D21"/>
    <w:rsid w:val="04483D61"/>
    <w:rsid w:val="044B1342"/>
    <w:rsid w:val="045020EC"/>
    <w:rsid w:val="046A53CB"/>
    <w:rsid w:val="047821E2"/>
    <w:rsid w:val="04947470"/>
    <w:rsid w:val="04C40E62"/>
    <w:rsid w:val="04D66201"/>
    <w:rsid w:val="04DB2929"/>
    <w:rsid w:val="04FC3F5D"/>
    <w:rsid w:val="04FC709D"/>
    <w:rsid w:val="04FF5314"/>
    <w:rsid w:val="05010644"/>
    <w:rsid w:val="0505146E"/>
    <w:rsid w:val="051313AC"/>
    <w:rsid w:val="05144C7F"/>
    <w:rsid w:val="053013D0"/>
    <w:rsid w:val="056612F2"/>
    <w:rsid w:val="05746676"/>
    <w:rsid w:val="057B42FE"/>
    <w:rsid w:val="05B37535"/>
    <w:rsid w:val="05DC08CF"/>
    <w:rsid w:val="05E31168"/>
    <w:rsid w:val="05E40F06"/>
    <w:rsid w:val="0603291B"/>
    <w:rsid w:val="060646BB"/>
    <w:rsid w:val="06096F34"/>
    <w:rsid w:val="061C53B3"/>
    <w:rsid w:val="064017F2"/>
    <w:rsid w:val="064737C1"/>
    <w:rsid w:val="065B3392"/>
    <w:rsid w:val="06626E56"/>
    <w:rsid w:val="06636C72"/>
    <w:rsid w:val="0672304F"/>
    <w:rsid w:val="06835943"/>
    <w:rsid w:val="0686299B"/>
    <w:rsid w:val="068A2316"/>
    <w:rsid w:val="068C384C"/>
    <w:rsid w:val="068D21A7"/>
    <w:rsid w:val="069B4513"/>
    <w:rsid w:val="06A17F3E"/>
    <w:rsid w:val="06A20FC1"/>
    <w:rsid w:val="06A833F4"/>
    <w:rsid w:val="06B34496"/>
    <w:rsid w:val="06B66577"/>
    <w:rsid w:val="06B95AC7"/>
    <w:rsid w:val="06BC6527"/>
    <w:rsid w:val="06C158EB"/>
    <w:rsid w:val="06C74C9F"/>
    <w:rsid w:val="06CC3929"/>
    <w:rsid w:val="06CE0008"/>
    <w:rsid w:val="06CF60DB"/>
    <w:rsid w:val="06E17D3B"/>
    <w:rsid w:val="06E82CFE"/>
    <w:rsid w:val="06F313BF"/>
    <w:rsid w:val="071C0C28"/>
    <w:rsid w:val="073B74A1"/>
    <w:rsid w:val="074B379C"/>
    <w:rsid w:val="07561504"/>
    <w:rsid w:val="07565F25"/>
    <w:rsid w:val="075864F0"/>
    <w:rsid w:val="076C4500"/>
    <w:rsid w:val="07751C03"/>
    <w:rsid w:val="0777098F"/>
    <w:rsid w:val="07841BEF"/>
    <w:rsid w:val="0786398B"/>
    <w:rsid w:val="078932FF"/>
    <w:rsid w:val="07B224B6"/>
    <w:rsid w:val="07B5030F"/>
    <w:rsid w:val="07B75BB0"/>
    <w:rsid w:val="07BF3D6F"/>
    <w:rsid w:val="07D12B5A"/>
    <w:rsid w:val="07E037EB"/>
    <w:rsid w:val="07E71830"/>
    <w:rsid w:val="07F53F9D"/>
    <w:rsid w:val="07FA0547"/>
    <w:rsid w:val="080571A2"/>
    <w:rsid w:val="080A2255"/>
    <w:rsid w:val="080D777F"/>
    <w:rsid w:val="0814117C"/>
    <w:rsid w:val="081B39AB"/>
    <w:rsid w:val="0828314D"/>
    <w:rsid w:val="083B347B"/>
    <w:rsid w:val="084E0BD6"/>
    <w:rsid w:val="08503979"/>
    <w:rsid w:val="085A158C"/>
    <w:rsid w:val="085D7497"/>
    <w:rsid w:val="086428B3"/>
    <w:rsid w:val="08656BD0"/>
    <w:rsid w:val="087760D1"/>
    <w:rsid w:val="087B0710"/>
    <w:rsid w:val="089D7D7B"/>
    <w:rsid w:val="08B35707"/>
    <w:rsid w:val="08B57A15"/>
    <w:rsid w:val="08DC7509"/>
    <w:rsid w:val="08DD6B03"/>
    <w:rsid w:val="08E43B0F"/>
    <w:rsid w:val="08E81855"/>
    <w:rsid w:val="08FF7DDD"/>
    <w:rsid w:val="090166A2"/>
    <w:rsid w:val="09022534"/>
    <w:rsid w:val="090D5D07"/>
    <w:rsid w:val="0922667C"/>
    <w:rsid w:val="09275236"/>
    <w:rsid w:val="092B119A"/>
    <w:rsid w:val="0940385B"/>
    <w:rsid w:val="0941465B"/>
    <w:rsid w:val="094F6709"/>
    <w:rsid w:val="0952183D"/>
    <w:rsid w:val="09664528"/>
    <w:rsid w:val="096C5C58"/>
    <w:rsid w:val="096D038B"/>
    <w:rsid w:val="097848B8"/>
    <w:rsid w:val="0983683C"/>
    <w:rsid w:val="09853824"/>
    <w:rsid w:val="09985395"/>
    <w:rsid w:val="099F7FEA"/>
    <w:rsid w:val="09B65D38"/>
    <w:rsid w:val="09CB3C0A"/>
    <w:rsid w:val="09D24C53"/>
    <w:rsid w:val="09EF672A"/>
    <w:rsid w:val="09FA3203"/>
    <w:rsid w:val="09FF7BFE"/>
    <w:rsid w:val="0A2479D9"/>
    <w:rsid w:val="0A3D1A29"/>
    <w:rsid w:val="0A3F5CD9"/>
    <w:rsid w:val="0A5A637B"/>
    <w:rsid w:val="0A663B0A"/>
    <w:rsid w:val="0A6E4652"/>
    <w:rsid w:val="0A7C228C"/>
    <w:rsid w:val="0AA536BF"/>
    <w:rsid w:val="0AA82F3B"/>
    <w:rsid w:val="0AB75001"/>
    <w:rsid w:val="0AB80DB3"/>
    <w:rsid w:val="0AD754CD"/>
    <w:rsid w:val="0AE83ED5"/>
    <w:rsid w:val="0B0634FA"/>
    <w:rsid w:val="0B0C5CC4"/>
    <w:rsid w:val="0B1612A2"/>
    <w:rsid w:val="0B212588"/>
    <w:rsid w:val="0B217B56"/>
    <w:rsid w:val="0B2C6CAB"/>
    <w:rsid w:val="0B3F2C19"/>
    <w:rsid w:val="0B5012DA"/>
    <w:rsid w:val="0B523A95"/>
    <w:rsid w:val="0B681ED1"/>
    <w:rsid w:val="0B6B22C9"/>
    <w:rsid w:val="0B72147D"/>
    <w:rsid w:val="0B7725F4"/>
    <w:rsid w:val="0B833F65"/>
    <w:rsid w:val="0B8B2703"/>
    <w:rsid w:val="0B8D3F60"/>
    <w:rsid w:val="0B951D43"/>
    <w:rsid w:val="0B9A1F23"/>
    <w:rsid w:val="0B9B6EF1"/>
    <w:rsid w:val="0B9C1C9D"/>
    <w:rsid w:val="0BA706AC"/>
    <w:rsid w:val="0BB02E2A"/>
    <w:rsid w:val="0BB8526F"/>
    <w:rsid w:val="0BC1013B"/>
    <w:rsid w:val="0BC71C64"/>
    <w:rsid w:val="0BC8644B"/>
    <w:rsid w:val="0BCE4606"/>
    <w:rsid w:val="0BDB78F8"/>
    <w:rsid w:val="0BFC49CA"/>
    <w:rsid w:val="0BFF7F8F"/>
    <w:rsid w:val="0C1A74BA"/>
    <w:rsid w:val="0C2658DC"/>
    <w:rsid w:val="0C3410D8"/>
    <w:rsid w:val="0C395F24"/>
    <w:rsid w:val="0C410A25"/>
    <w:rsid w:val="0C477D93"/>
    <w:rsid w:val="0C55652A"/>
    <w:rsid w:val="0C5E1BFD"/>
    <w:rsid w:val="0C7042B9"/>
    <w:rsid w:val="0C7512C7"/>
    <w:rsid w:val="0C777867"/>
    <w:rsid w:val="0C793191"/>
    <w:rsid w:val="0C7B02EA"/>
    <w:rsid w:val="0C937576"/>
    <w:rsid w:val="0C992063"/>
    <w:rsid w:val="0C9F6118"/>
    <w:rsid w:val="0CA14B3C"/>
    <w:rsid w:val="0CC441C8"/>
    <w:rsid w:val="0CC53C5B"/>
    <w:rsid w:val="0CCD169F"/>
    <w:rsid w:val="0CCD5722"/>
    <w:rsid w:val="0CDC0754"/>
    <w:rsid w:val="0CE831C7"/>
    <w:rsid w:val="0D033888"/>
    <w:rsid w:val="0D0F4ED6"/>
    <w:rsid w:val="0D1A0B50"/>
    <w:rsid w:val="0D2C070A"/>
    <w:rsid w:val="0D2C767A"/>
    <w:rsid w:val="0D3247FD"/>
    <w:rsid w:val="0D3B5CCB"/>
    <w:rsid w:val="0D4F346B"/>
    <w:rsid w:val="0D6671EC"/>
    <w:rsid w:val="0D694F5F"/>
    <w:rsid w:val="0D6A79DB"/>
    <w:rsid w:val="0DA6181C"/>
    <w:rsid w:val="0DAE75C1"/>
    <w:rsid w:val="0DAF2A5B"/>
    <w:rsid w:val="0DB00D5C"/>
    <w:rsid w:val="0DB8226D"/>
    <w:rsid w:val="0DB902A0"/>
    <w:rsid w:val="0DC85F26"/>
    <w:rsid w:val="0DD2548D"/>
    <w:rsid w:val="0DDF7BF6"/>
    <w:rsid w:val="0DE133C7"/>
    <w:rsid w:val="0DE657DA"/>
    <w:rsid w:val="0DF03072"/>
    <w:rsid w:val="0DF575E7"/>
    <w:rsid w:val="0E0B0E89"/>
    <w:rsid w:val="0E191823"/>
    <w:rsid w:val="0E227B23"/>
    <w:rsid w:val="0E2E708F"/>
    <w:rsid w:val="0E3A292E"/>
    <w:rsid w:val="0E502AAA"/>
    <w:rsid w:val="0E5D364A"/>
    <w:rsid w:val="0EA86FBB"/>
    <w:rsid w:val="0EC842D6"/>
    <w:rsid w:val="0ED8416C"/>
    <w:rsid w:val="0EEA02B1"/>
    <w:rsid w:val="0EED0C82"/>
    <w:rsid w:val="0EF42513"/>
    <w:rsid w:val="0EFC6C34"/>
    <w:rsid w:val="0F020558"/>
    <w:rsid w:val="0F052A35"/>
    <w:rsid w:val="0F18383B"/>
    <w:rsid w:val="0F196507"/>
    <w:rsid w:val="0F204B19"/>
    <w:rsid w:val="0F2D739E"/>
    <w:rsid w:val="0F343334"/>
    <w:rsid w:val="0F375BC5"/>
    <w:rsid w:val="0F3B242E"/>
    <w:rsid w:val="0F3B3452"/>
    <w:rsid w:val="0F4E2DD2"/>
    <w:rsid w:val="0F661A9F"/>
    <w:rsid w:val="0F8344AB"/>
    <w:rsid w:val="0F8632D3"/>
    <w:rsid w:val="0F8F1D65"/>
    <w:rsid w:val="0F915FE1"/>
    <w:rsid w:val="0F9C07C7"/>
    <w:rsid w:val="0FBF2BE4"/>
    <w:rsid w:val="0FD757AD"/>
    <w:rsid w:val="0FE07CC3"/>
    <w:rsid w:val="0FF167D3"/>
    <w:rsid w:val="0FF44CA3"/>
    <w:rsid w:val="0FFF2388"/>
    <w:rsid w:val="100173F2"/>
    <w:rsid w:val="100C4023"/>
    <w:rsid w:val="10132D37"/>
    <w:rsid w:val="102121B6"/>
    <w:rsid w:val="102E22AB"/>
    <w:rsid w:val="103A2F9B"/>
    <w:rsid w:val="103C085C"/>
    <w:rsid w:val="10532861"/>
    <w:rsid w:val="106D3EDC"/>
    <w:rsid w:val="10881667"/>
    <w:rsid w:val="109B3F51"/>
    <w:rsid w:val="10A3600A"/>
    <w:rsid w:val="10AA3894"/>
    <w:rsid w:val="10AC4127"/>
    <w:rsid w:val="10BE21EF"/>
    <w:rsid w:val="110C7F5E"/>
    <w:rsid w:val="111431D1"/>
    <w:rsid w:val="112C3B78"/>
    <w:rsid w:val="113F131D"/>
    <w:rsid w:val="11402938"/>
    <w:rsid w:val="114A2981"/>
    <w:rsid w:val="11512B20"/>
    <w:rsid w:val="115305C3"/>
    <w:rsid w:val="11563AAD"/>
    <w:rsid w:val="11610A29"/>
    <w:rsid w:val="11671A45"/>
    <w:rsid w:val="11682FBD"/>
    <w:rsid w:val="117046DB"/>
    <w:rsid w:val="11992D75"/>
    <w:rsid w:val="11A93A6B"/>
    <w:rsid w:val="11A97B89"/>
    <w:rsid w:val="11B54ED8"/>
    <w:rsid w:val="11BD1C00"/>
    <w:rsid w:val="11BF511D"/>
    <w:rsid w:val="11C9491E"/>
    <w:rsid w:val="11CE5425"/>
    <w:rsid w:val="11ED1B8B"/>
    <w:rsid w:val="11F40BF5"/>
    <w:rsid w:val="11FA5A8C"/>
    <w:rsid w:val="11FC73C1"/>
    <w:rsid w:val="121B3B70"/>
    <w:rsid w:val="121C4D18"/>
    <w:rsid w:val="122300F0"/>
    <w:rsid w:val="122431D2"/>
    <w:rsid w:val="12377FD1"/>
    <w:rsid w:val="124F3FCF"/>
    <w:rsid w:val="125F3B3E"/>
    <w:rsid w:val="12601EFA"/>
    <w:rsid w:val="126401D3"/>
    <w:rsid w:val="12662A16"/>
    <w:rsid w:val="12734291"/>
    <w:rsid w:val="127614B6"/>
    <w:rsid w:val="127F42ED"/>
    <w:rsid w:val="12917963"/>
    <w:rsid w:val="129206AA"/>
    <w:rsid w:val="12932067"/>
    <w:rsid w:val="12970D18"/>
    <w:rsid w:val="12A7080A"/>
    <w:rsid w:val="12A70C59"/>
    <w:rsid w:val="12B3472F"/>
    <w:rsid w:val="12D13428"/>
    <w:rsid w:val="12D1659E"/>
    <w:rsid w:val="12DF77AA"/>
    <w:rsid w:val="12E02E18"/>
    <w:rsid w:val="12E35613"/>
    <w:rsid w:val="13013A04"/>
    <w:rsid w:val="130A326B"/>
    <w:rsid w:val="13142C82"/>
    <w:rsid w:val="1320256D"/>
    <w:rsid w:val="132E3653"/>
    <w:rsid w:val="132F4AB0"/>
    <w:rsid w:val="133B323C"/>
    <w:rsid w:val="133E409F"/>
    <w:rsid w:val="134279E1"/>
    <w:rsid w:val="13524BCD"/>
    <w:rsid w:val="13533D6F"/>
    <w:rsid w:val="13541569"/>
    <w:rsid w:val="135610DD"/>
    <w:rsid w:val="135B7BC8"/>
    <w:rsid w:val="135D4BEE"/>
    <w:rsid w:val="136649CE"/>
    <w:rsid w:val="136A10B9"/>
    <w:rsid w:val="137D5290"/>
    <w:rsid w:val="137E5CEB"/>
    <w:rsid w:val="13960100"/>
    <w:rsid w:val="13AA53FC"/>
    <w:rsid w:val="13AE5829"/>
    <w:rsid w:val="13B54A2A"/>
    <w:rsid w:val="13BF4628"/>
    <w:rsid w:val="13C76879"/>
    <w:rsid w:val="13C90091"/>
    <w:rsid w:val="13D562D3"/>
    <w:rsid w:val="13EE3A98"/>
    <w:rsid w:val="13F31769"/>
    <w:rsid w:val="13FF65A9"/>
    <w:rsid w:val="14065285"/>
    <w:rsid w:val="1440200A"/>
    <w:rsid w:val="1450411B"/>
    <w:rsid w:val="145C7AB8"/>
    <w:rsid w:val="14751C07"/>
    <w:rsid w:val="147B7D72"/>
    <w:rsid w:val="14911045"/>
    <w:rsid w:val="14A2036B"/>
    <w:rsid w:val="14A6471E"/>
    <w:rsid w:val="14A81CBB"/>
    <w:rsid w:val="14AE1156"/>
    <w:rsid w:val="14CB13CC"/>
    <w:rsid w:val="14DC1B42"/>
    <w:rsid w:val="14DD1797"/>
    <w:rsid w:val="14EC1251"/>
    <w:rsid w:val="1500607F"/>
    <w:rsid w:val="150263BE"/>
    <w:rsid w:val="15036EB4"/>
    <w:rsid w:val="15417FCB"/>
    <w:rsid w:val="157F3DAD"/>
    <w:rsid w:val="15810381"/>
    <w:rsid w:val="158F7650"/>
    <w:rsid w:val="15CF75C2"/>
    <w:rsid w:val="15DB4E8B"/>
    <w:rsid w:val="15DB629E"/>
    <w:rsid w:val="15F335E7"/>
    <w:rsid w:val="16005B4D"/>
    <w:rsid w:val="16023749"/>
    <w:rsid w:val="16117F11"/>
    <w:rsid w:val="16122D70"/>
    <w:rsid w:val="162B4B2F"/>
    <w:rsid w:val="163500E7"/>
    <w:rsid w:val="16390BF0"/>
    <w:rsid w:val="16394F6A"/>
    <w:rsid w:val="163A5649"/>
    <w:rsid w:val="16511CDE"/>
    <w:rsid w:val="165C63EB"/>
    <w:rsid w:val="166169AF"/>
    <w:rsid w:val="166D5CF9"/>
    <w:rsid w:val="16794FF5"/>
    <w:rsid w:val="1679677C"/>
    <w:rsid w:val="167D1103"/>
    <w:rsid w:val="16806F5F"/>
    <w:rsid w:val="16891110"/>
    <w:rsid w:val="16A20B69"/>
    <w:rsid w:val="16B200D8"/>
    <w:rsid w:val="16B53E81"/>
    <w:rsid w:val="16C91A60"/>
    <w:rsid w:val="16D30DE4"/>
    <w:rsid w:val="16D53A3A"/>
    <w:rsid w:val="16E6314C"/>
    <w:rsid w:val="16EC69F2"/>
    <w:rsid w:val="16EF6896"/>
    <w:rsid w:val="16F46BD4"/>
    <w:rsid w:val="17005FBC"/>
    <w:rsid w:val="17011FF5"/>
    <w:rsid w:val="17082077"/>
    <w:rsid w:val="17086A04"/>
    <w:rsid w:val="170C79EF"/>
    <w:rsid w:val="1733704F"/>
    <w:rsid w:val="1739584F"/>
    <w:rsid w:val="175D2140"/>
    <w:rsid w:val="17704AAB"/>
    <w:rsid w:val="17731FA9"/>
    <w:rsid w:val="1785028E"/>
    <w:rsid w:val="179F445C"/>
    <w:rsid w:val="17A36B40"/>
    <w:rsid w:val="17A408D6"/>
    <w:rsid w:val="17A974E2"/>
    <w:rsid w:val="17B920AF"/>
    <w:rsid w:val="17BA6CC5"/>
    <w:rsid w:val="17BC7BFC"/>
    <w:rsid w:val="17BE4DD5"/>
    <w:rsid w:val="17D23C27"/>
    <w:rsid w:val="18142066"/>
    <w:rsid w:val="1816180F"/>
    <w:rsid w:val="182401DB"/>
    <w:rsid w:val="18242F81"/>
    <w:rsid w:val="184B2CE6"/>
    <w:rsid w:val="18552337"/>
    <w:rsid w:val="185524EF"/>
    <w:rsid w:val="185858F1"/>
    <w:rsid w:val="186B4D4A"/>
    <w:rsid w:val="188B6D6F"/>
    <w:rsid w:val="188E5E3A"/>
    <w:rsid w:val="188F5CA0"/>
    <w:rsid w:val="189622E4"/>
    <w:rsid w:val="18A15213"/>
    <w:rsid w:val="18C33FDF"/>
    <w:rsid w:val="18CD25A4"/>
    <w:rsid w:val="18D3152C"/>
    <w:rsid w:val="18D82E24"/>
    <w:rsid w:val="18FE3820"/>
    <w:rsid w:val="19130E36"/>
    <w:rsid w:val="193D1391"/>
    <w:rsid w:val="194B1EC4"/>
    <w:rsid w:val="19550C97"/>
    <w:rsid w:val="195B35F1"/>
    <w:rsid w:val="1962306A"/>
    <w:rsid w:val="1963599B"/>
    <w:rsid w:val="19775154"/>
    <w:rsid w:val="198364F1"/>
    <w:rsid w:val="198D4077"/>
    <w:rsid w:val="19A36B5B"/>
    <w:rsid w:val="19AB225A"/>
    <w:rsid w:val="19AD7F51"/>
    <w:rsid w:val="19D65577"/>
    <w:rsid w:val="19DF670B"/>
    <w:rsid w:val="19FB1C97"/>
    <w:rsid w:val="1A0A4ACB"/>
    <w:rsid w:val="1A1846F1"/>
    <w:rsid w:val="1A2062AD"/>
    <w:rsid w:val="1A3261AF"/>
    <w:rsid w:val="1A352916"/>
    <w:rsid w:val="1A606D71"/>
    <w:rsid w:val="1A8D27AD"/>
    <w:rsid w:val="1A9021AA"/>
    <w:rsid w:val="1A920900"/>
    <w:rsid w:val="1A9349CE"/>
    <w:rsid w:val="1A942CB7"/>
    <w:rsid w:val="1A9E57EB"/>
    <w:rsid w:val="1AA151CF"/>
    <w:rsid w:val="1AA2653D"/>
    <w:rsid w:val="1AA82093"/>
    <w:rsid w:val="1AD244DF"/>
    <w:rsid w:val="1AD35795"/>
    <w:rsid w:val="1AF06026"/>
    <w:rsid w:val="1AF54F22"/>
    <w:rsid w:val="1B0B7197"/>
    <w:rsid w:val="1B140288"/>
    <w:rsid w:val="1B270D19"/>
    <w:rsid w:val="1B312411"/>
    <w:rsid w:val="1B3157F0"/>
    <w:rsid w:val="1B347B21"/>
    <w:rsid w:val="1B35192A"/>
    <w:rsid w:val="1B4120DC"/>
    <w:rsid w:val="1B473D6A"/>
    <w:rsid w:val="1B50316D"/>
    <w:rsid w:val="1B5230EB"/>
    <w:rsid w:val="1B593292"/>
    <w:rsid w:val="1B5B3A17"/>
    <w:rsid w:val="1B6B1CE4"/>
    <w:rsid w:val="1B6B6F05"/>
    <w:rsid w:val="1B6B7277"/>
    <w:rsid w:val="1B701516"/>
    <w:rsid w:val="1B77374A"/>
    <w:rsid w:val="1B7927FA"/>
    <w:rsid w:val="1B832673"/>
    <w:rsid w:val="1B870F6D"/>
    <w:rsid w:val="1B873604"/>
    <w:rsid w:val="1B8804C7"/>
    <w:rsid w:val="1B9008DD"/>
    <w:rsid w:val="1B9A0232"/>
    <w:rsid w:val="1BAD6F45"/>
    <w:rsid w:val="1BB25C71"/>
    <w:rsid w:val="1BBC2E22"/>
    <w:rsid w:val="1BED2887"/>
    <w:rsid w:val="1BF16305"/>
    <w:rsid w:val="1C122B82"/>
    <w:rsid w:val="1C1952D0"/>
    <w:rsid w:val="1C226D51"/>
    <w:rsid w:val="1C2D27CB"/>
    <w:rsid w:val="1C5300CD"/>
    <w:rsid w:val="1C784A20"/>
    <w:rsid w:val="1C9C180B"/>
    <w:rsid w:val="1CC00E4E"/>
    <w:rsid w:val="1CC10B52"/>
    <w:rsid w:val="1CCC725F"/>
    <w:rsid w:val="1CD53DBF"/>
    <w:rsid w:val="1CDB373E"/>
    <w:rsid w:val="1CF00DBA"/>
    <w:rsid w:val="1D0807A5"/>
    <w:rsid w:val="1D090ADB"/>
    <w:rsid w:val="1D0E00EC"/>
    <w:rsid w:val="1D100E26"/>
    <w:rsid w:val="1D1939ED"/>
    <w:rsid w:val="1D2101C2"/>
    <w:rsid w:val="1D29203C"/>
    <w:rsid w:val="1D385D84"/>
    <w:rsid w:val="1D4F099E"/>
    <w:rsid w:val="1D5613CC"/>
    <w:rsid w:val="1D652F47"/>
    <w:rsid w:val="1D657F1B"/>
    <w:rsid w:val="1D6926C1"/>
    <w:rsid w:val="1D7A117D"/>
    <w:rsid w:val="1D880D96"/>
    <w:rsid w:val="1D9A1B1C"/>
    <w:rsid w:val="1D9B3BF5"/>
    <w:rsid w:val="1D9E241B"/>
    <w:rsid w:val="1DA014B3"/>
    <w:rsid w:val="1DB213DC"/>
    <w:rsid w:val="1DBF4C41"/>
    <w:rsid w:val="1DCE7F11"/>
    <w:rsid w:val="1DD0331B"/>
    <w:rsid w:val="1E021E39"/>
    <w:rsid w:val="1E0358BF"/>
    <w:rsid w:val="1E244853"/>
    <w:rsid w:val="1E286DFF"/>
    <w:rsid w:val="1E2D10E0"/>
    <w:rsid w:val="1E3D3A5F"/>
    <w:rsid w:val="1E3E15B2"/>
    <w:rsid w:val="1E3E4FF3"/>
    <w:rsid w:val="1E4F234C"/>
    <w:rsid w:val="1E522014"/>
    <w:rsid w:val="1E5D2340"/>
    <w:rsid w:val="1E620067"/>
    <w:rsid w:val="1E9004FA"/>
    <w:rsid w:val="1E9646FF"/>
    <w:rsid w:val="1E966318"/>
    <w:rsid w:val="1EA11680"/>
    <w:rsid w:val="1EC3007D"/>
    <w:rsid w:val="1ECF054D"/>
    <w:rsid w:val="1EEF5642"/>
    <w:rsid w:val="1EF5217E"/>
    <w:rsid w:val="1F045F88"/>
    <w:rsid w:val="1F3D5A2B"/>
    <w:rsid w:val="1F422AE4"/>
    <w:rsid w:val="1F434323"/>
    <w:rsid w:val="1F4E0DE8"/>
    <w:rsid w:val="1F77383F"/>
    <w:rsid w:val="1F7E73A9"/>
    <w:rsid w:val="1F87452F"/>
    <w:rsid w:val="1F875D46"/>
    <w:rsid w:val="1F896D6A"/>
    <w:rsid w:val="1F95416B"/>
    <w:rsid w:val="1FB72D07"/>
    <w:rsid w:val="1FBC78FC"/>
    <w:rsid w:val="1FC37E78"/>
    <w:rsid w:val="1FD54EF5"/>
    <w:rsid w:val="1FF52A08"/>
    <w:rsid w:val="1FFD0BB5"/>
    <w:rsid w:val="2003179C"/>
    <w:rsid w:val="2003268C"/>
    <w:rsid w:val="20060259"/>
    <w:rsid w:val="200B5C0B"/>
    <w:rsid w:val="200D1367"/>
    <w:rsid w:val="20150AF2"/>
    <w:rsid w:val="201C4CA7"/>
    <w:rsid w:val="20201E76"/>
    <w:rsid w:val="2033450B"/>
    <w:rsid w:val="20482782"/>
    <w:rsid w:val="20526EB3"/>
    <w:rsid w:val="206D6F3E"/>
    <w:rsid w:val="207D3B26"/>
    <w:rsid w:val="209C2B3E"/>
    <w:rsid w:val="20B35BED"/>
    <w:rsid w:val="20B36678"/>
    <w:rsid w:val="20BD4F1E"/>
    <w:rsid w:val="20CA66FD"/>
    <w:rsid w:val="20D13B63"/>
    <w:rsid w:val="20E85164"/>
    <w:rsid w:val="20ED5FC1"/>
    <w:rsid w:val="20F50EA7"/>
    <w:rsid w:val="212B1CCB"/>
    <w:rsid w:val="212D5B2C"/>
    <w:rsid w:val="213F2BAB"/>
    <w:rsid w:val="214E088D"/>
    <w:rsid w:val="215C01B1"/>
    <w:rsid w:val="21603FBE"/>
    <w:rsid w:val="2194182A"/>
    <w:rsid w:val="21A77AE0"/>
    <w:rsid w:val="21B667D4"/>
    <w:rsid w:val="21B87BA4"/>
    <w:rsid w:val="21D555AC"/>
    <w:rsid w:val="22165C38"/>
    <w:rsid w:val="22224D86"/>
    <w:rsid w:val="22386FD2"/>
    <w:rsid w:val="22410FAB"/>
    <w:rsid w:val="22414157"/>
    <w:rsid w:val="224263F9"/>
    <w:rsid w:val="22440002"/>
    <w:rsid w:val="224C30CF"/>
    <w:rsid w:val="224F2D6A"/>
    <w:rsid w:val="225116B9"/>
    <w:rsid w:val="22547524"/>
    <w:rsid w:val="225F67AC"/>
    <w:rsid w:val="226E6D66"/>
    <w:rsid w:val="228249B2"/>
    <w:rsid w:val="228C0017"/>
    <w:rsid w:val="228F35D6"/>
    <w:rsid w:val="22916662"/>
    <w:rsid w:val="229949E3"/>
    <w:rsid w:val="22B24BDD"/>
    <w:rsid w:val="22C01A09"/>
    <w:rsid w:val="22C52F66"/>
    <w:rsid w:val="22C708C4"/>
    <w:rsid w:val="22C7230E"/>
    <w:rsid w:val="22D842DA"/>
    <w:rsid w:val="22DF6824"/>
    <w:rsid w:val="22E71D38"/>
    <w:rsid w:val="22EA0933"/>
    <w:rsid w:val="22EC07EF"/>
    <w:rsid w:val="22EE7D2D"/>
    <w:rsid w:val="22F10EAE"/>
    <w:rsid w:val="23036601"/>
    <w:rsid w:val="230D48E9"/>
    <w:rsid w:val="2321231C"/>
    <w:rsid w:val="23331BF5"/>
    <w:rsid w:val="233D0BA3"/>
    <w:rsid w:val="23425054"/>
    <w:rsid w:val="23501055"/>
    <w:rsid w:val="235B5E01"/>
    <w:rsid w:val="235D4796"/>
    <w:rsid w:val="236C5D90"/>
    <w:rsid w:val="236E4580"/>
    <w:rsid w:val="237C6924"/>
    <w:rsid w:val="2390111C"/>
    <w:rsid w:val="23BD3CBF"/>
    <w:rsid w:val="23CA51A8"/>
    <w:rsid w:val="23CC7174"/>
    <w:rsid w:val="23DF1584"/>
    <w:rsid w:val="23FA639B"/>
    <w:rsid w:val="23FD4981"/>
    <w:rsid w:val="24131E75"/>
    <w:rsid w:val="241C3500"/>
    <w:rsid w:val="241C3808"/>
    <w:rsid w:val="242530D9"/>
    <w:rsid w:val="243A2CDC"/>
    <w:rsid w:val="24450C8E"/>
    <w:rsid w:val="24505030"/>
    <w:rsid w:val="246254F1"/>
    <w:rsid w:val="246256CC"/>
    <w:rsid w:val="246A5AC3"/>
    <w:rsid w:val="2480376B"/>
    <w:rsid w:val="24803A09"/>
    <w:rsid w:val="24805846"/>
    <w:rsid w:val="248C219B"/>
    <w:rsid w:val="24941808"/>
    <w:rsid w:val="249F59AA"/>
    <w:rsid w:val="24A77CC7"/>
    <w:rsid w:val="24AA572C"/>
    <w:rsid w:val="24B11A33"/>
    <w:rsid w:val="24BD0D51"/>
    <w:rsid w:val="24F77329"/>
    <w:rsid w:val="24FC6EB5"/>
    <w:rsid w:val="250107BC"/>
    <w:rsid w:val="250170D7"/>
    <w:rsid w:val="250C1416"/>
    <w:rsid w:val="25215F5B"/>
    <w:rsid w:val="25287EFC"/>
    <w:rsid w:val="25314CEF"/>
    <w:rsid w:val="253506B3"/>
    <w:rsid w:val="25381017"/>
    <w:rsid w:val="253F224B"/>
    <w:rsid w:val="255710E7"/>
    <w:rsid w:val="25696F6D"/>
    <w:rsid w:val="258409DC"/>
    <w:rsid w:val="2585705F"/>
    <w:rsid w:val="25923602"/>
    <w:rsid w:val="25A04D0A"/>
    <w:rsid w:val="25B306C7"/>
    <w:rsid w:val="25B362E2"/>
    <w:rsid w:val="25CC1B09"/>
    <w:rsid w:val="25CE43CE"/>
    <w:rsid w:val="25DC7BF4"/>
    <w:rsid w:val="25EF09CC"/>
    <w:rsid w:val="25F018F1"/>
    <w:rsid w:val="26123E85"/>
    <w:rsid w:val="261E1B8F"/>
    <w:rsid w:val="262E79BC"/>
    <w:rsid w:val="263E440B"/>
    <w:rsid w:val="26436B55"/>
    <w:rsid w:val="26454B11"/>
    <w:rsid w:val="264616B2"/>
    <w:rsid w:val="264B5C5F"/>
    <w:rsid w:val="264F0D93"/>
    <w:rsid w:val="265911BA"/>
    <w:rsid w:val="265E5FBA"/>
    <w:rsid w:val="26600667"/>
    <w:rsid w:val="266C74E3"/>
    <w:rsid w:val="268A268F"/>
    <w:rsid w:val="26997A56"/>
    <w:rsid w:val="269A4AD7"/>
    <w:rsid w:val="269C4E0B"/>
    <w:rsid w:val="269C55D5"/>
    <w:rsid w:val="26C17B69"/>
    <w:rsid w:val="26C33FFE"/>
    <w:rsid w:val="26C64400"/>
    <w:rsid w:val="26CE36E5"/>
    <w:rsid w:val="26E31B06"/>
    <w:rsid w:val="26E6217B"/>
    <w:rsid w:val="26FC7D13"/>
    <w:rsid w:val="26FF6276"/>
    <w:rsid w:val="27037513"/>
    <w:rsid w:val="27117BFF"/>
    <w:rsid w:val="27203EEB"/>
    <w:rsid w:val="2754129C"/>
    <w:rsid w:val="27603EC1"/>
    <w:rsid w:val="27851A0B"/>
    <w:rsid w:val="27876136"/>
    <w:rsid w:val="279462F5"/>
    <w:rsid w:val="27A06CC5"/>
    <w:rsid w:val="27B34755"/>
    <w:rsid w:val="27C112E1"/>
    <w:rsid w:val="27DB14BA"/>
    <w:rsid w:val="27DD6376"/>
    <w:rsid w:val="27E03D9F"/>
    <w:rsid w:val="27E07DE8"/>
    <w:rsid w:val="27E862A2"/>
    <w:rsid w:val="27EF19B8"/>
    <w:rsid w:val="280334C5"/>
    <w:rsid w:val="2804309E"/>
    <w:rsid w:val="28071DAC"/>
    <w:rsid w:val="28130274"/>
    <w:rsid w:val="281459A7"/>
    <w:rsid w:val="281C4C20"/>
    <w:rsid w:val="28327F9F"/>
    <w:rsid w:val="2841272B"/>
    <w:rsid w:val="28454B2D"/>
    <w:rsid w:val="285F68BA"/>
    <w:rsid w:val="28603EB7"/>
    <w:rsid w:val="286930B9"/>
    <w:rsid w:val="286A5D40"/>
    <w:rsid w:val="286F6AEE"/>
    <w:rsid w:val="287967D6"/>
    <w:rsid w:val="289A4C69"/>
    <w:rsid w:val="28AC4758"/>
    <w:rsid w:val="28AE3251"/>
    <w:rsid w:val="28C04C4C"/>
    <w:rsid w:val="28C82DD8"/>
    <w:rsid w:val="28E07697"/>
    <w:rsid w:val="28E824C9"/>
    <w:rsid w:val="28EC4FBD"/>
    <w:rsid w:val="28EC7622"/>
    <w:rsid w:val="28EE5156"/>
    <w:rsid w:val="291268CF"/>
    <w:rsid w:val="291470DB"/>
    <w:rsid w:val="292A3D9E"/>
    <w:rsid w:val="292E34BD"/>
    <w:rsid w:val="29340781"/>
    <w:rsid w:val="2939710B"/>
    <w:rsid w:val="29470E70"/>
    <w:rsid w:val="29482C06"/>
    <w:rsid w:val="296206AF"/>
    <w:rsid w:val="297045CA"/>
    <w:rsid w:val="298040D2"/>
    <w:rsid w:val="298E1846"/>
    <w:rsid w:val="298F5ED7"/>
    <w:rsid w:val="29A009BF"/>
    <w:rsid w:val="29A03A03"/>
    <w:rsid w:val="29BC6F56"/>
    <w:rsid w:val="29DA2DCF"/>
    <w:rsid w:val="29E17A78"/>
    <w:rsid w:val="29E439C2"/>
    <w:rsid w:val="2A0F7329"/>
    <w:rsid w:val="2A132508"/>
    <w:rsid w:val="2A1D0B14"/>
    <w:rsid w:val="2A3A79B3"/>
    <w:rsid w:val="2A53353C"/>
    <w:rsid w:val="2A5534B9"/>
    <w:rsid w:val="2A57508D"/>
    <w:rsid w:val="2A5D2041"/>
    <w:rsid w:val="2A6F2F5D"/>
    <w:rsid w:val="2A713219"/>
    <w:rsid w:val="2A755211"/>
    <w:rsid w:val="2A7A1212"/>
    <w:rsid w:val="2A846AAC"/>
    <w:rsid w:val="2A8D0991"/>
    <w:rsid w:val="2AA1252A"/>
    <w:rsid w:val="2AAE121F"/>
    <w:rsid w:val="2AAF72FB"/>
    <w:rsid w:val="2AC309F8"/>
    <w:rsid w:val="2AD80D1A"/>
    <w:rsid w:val="2AE863AE"/>
    <w:rsid w:val="2AF156B3"/>
    <w:rsid w:val="2B0158CD"/>
    <w:rsid w:val="2B0A133F"/>
    <w:rsid w:val="2B2A31B0"/>
    <w:rsid w:val="2B30453E"/>
    <w:rsid w:val="2B50728E"/>
    <w:rsid w:val="2B520F1D"/>
    <w:rsid w:val="2B687D7B"/>
    <w:rsid w:val="2B694E68"/>
    <w:rsid w:val="2B791766"/>
    <w:rsid w:val="2B886128"/>
    <w:rsid w:val="2B924276"/>
    <w:rsid w:val="2BA32F62"/>
    <w:rsid w:val="2BB53941"/>
    <w:rsid w:val="2BBE3BE5"/>
    <w:rsid w:val="2BCB64C7"/>
    <w:rsid w:val="2BCF1FA9"/>
    <w:rsid w:val="2BD92E3F"/>
    <w:rsid w:val="2BD96F73"/>
    <w:rsid w:val="2BDE12CD"/>
    <w:rsid w:val="2BE21ACF"/>
    <w:rsid w:val="2BE25A98"/>
    <w:rsid w:val="2BE86CA8"/>
    <w:rsid w:val="2BEA293F"/>
    <w:rsid w:val="2BEC7697"/>
    <w:rsid w:val="2BF01660"/>
    <w:rsid w:val="2BF2460D"/>
    <w:rsid w:val="2BF56003"/>
    <w:rsid w:val="2C20470A"/>
    <w:rsid w:val="2C4A36EA"/>
    <w:rsid w:val="2C550ACB"/>
    <w:rsid w:val="2C571774"/>
    <w:rsid w:val="2C595F36"/>
    <w:rsid w:val="2C676E85"/>
    <w:rsid w:val="2C825C0E"/>
    <w:rsid w:val="2C837851"/>
    <w:rsid w:val="2CA0428D"/>
    <w:rsid w:val="2CA60204"/>
    <w:rsid w:val="2CAB6D99"/>
    <w:rsid w:val="2CC122AF"/>
    <w:rsid w:val="2CD566E0"/>
    <w:rsid w:val="2CDE1D5D"/>
    <w:rsid w:val="2CE1145B"/>
    <w:rsid w:val="2CEE5D0C"/>
    <w:rsid w:val="2CFB1ACD"/>
    <w:rsid w:val="2CFC166C"/>
    <w:rsid w:val="2D0C4370"/>
    <w:rsid w:val="2D0D2D89"/>
    <w:rsid w:val="2D19422F"/>
    <w:rsid w:val="2D1B612E"/>
    <w:rsid w:val="2D272A78"/>
    <w:rsid w:val="2D294D17"/>
    <w:rsid w:val="2D2D77E4"/>
    <w:rsid w:val="2D302844"/>
    <w:rsid w:val="2D340907"/>
    <w:rsid w:val="2D416924"/>
    <w:rsid w:val="2D422B39"/>
    <w:rsid w:val="2D5C7521"/>
    <w:rsid w:val="2D7149C3"/>
    <w:rsid w:val="2D747094"/>
    <w:rsid w:val="2D992C03"/>
    <w:rsid w:val="2D9C5EBB"/>
    <w:rsid w:val="2DA216C6"/>
    <w:rsid w:val="2DA33153"/>
    <w:rsid w:val="2DB50AD8"/>
    <w:rsid w:val="2DB653BC"/>
    <w:rsid w:val="2DFB0C12"/>
    <w:rsid w:val="2E11532A"/>
    <w:rsid w:val="2E2C7B59"/>
    <w:rsid w:val="2E512381"/>
    <w:rsid w:val="2E6D0A1B"/>
    <w:rsid w:val="2E896136"/>
    <w:rsid w:val="2E904A45"/>
    <w:rsid w:val="2E910E1E"/>
    <w:rsid w:val="2E921142"/>
    <w:rsid w:val="2E9238C2"/>
    <w:rsid w:val="2E972F4E"/>
    <w:rsid w:val="2EBC2DDB"/>
    <w:rsid w:val="2EDE6676"/>
    <w:rsid w:val="2EE62071"/>
    <w:rsid w:val="2F012479"/>
    <w:rsid w:val="2F181834"/>
    <w:rsid w:val="2F1877C3"/>
    <w:rsid w:val="2F1A353B"/>
    <w:rsid w:val="2F1D3166"/>
    <w:rsid w:val="2F1E4AC6"/>
    <w:rsid w:val="2F2A3A20"/>
    <w:rsid w:val="2F3D2575"/>
    <w:rsid w:val="2F5F6DC2"/>
    <w:rsid w:val="2F634EE2"/>
    <w:rsid w:val="2F715E38"/>
    <w:rsid w:val="2F7313FD"/>
    <w:rsid w:val="2F732A13"/>
    <w:rsid w:val="2F8A06C1"/>
    <w:rsid w:val="2F941D65"/>
    <w:rsid w:val="2FA43F61"/>
    <w:rsid w:val="2FA902B3"/>
    <w:rsid w:val="2FA96F2B"/>
    <w:rsid w:val="2FB35201"/>
    <w:rsid w:val="2FBD3AD7"/>
    <w:rsid w:val="2FF9240C"/>
    <w:rsid w:val="2FF946AE"/>
    <w:rsid w:val="2FFD2F9F"/>
    <w:rsid w:val="304537EB"/>
    <w:rsid w:val="30466CDD"/>
    <w:rsid w:val="304D1B6D"/>
    <w:rsid w:val="305059B1"/>
    <w:rsid w:val="30726515"/>
    <w:rsid w:val="30760C45"/>
    <w:rsid w:val="308C47E8"/>
    <w:rsid w:val="308D2CDE"/>
    <w:rsid w:val="30972D75"/>
    <w:rsid w:val="309A496D"/>
    <w:rsid w:val="30A27C8C"/>
    <w:rsid w:val="30BB31C8"/>
    <w:rsid w:val="30C0620D"/>
    <w:rsid w:val="30CF2B57"/>
    <w:rsid w:val="30D34409"/>
    <w:rsid w:val="30DC76BD"/>
    <w:rsid w:val="30E43E01"/>
    <w:rsid w:val="30FD59F3"/>
    <w:rsid w:val="30FE700B"/>
    <w:rsid w:val="3120701A"/>
    <w:rsid w:val="312B4E84"/>
    <w:rsid w:val="313B489A"/>
    <w:rsid w:val="315238A4"/>
    <w:rsid w:val="315C56BE"/>
    <w:rsid w:val="316546A0"/>
    <w:rsid w:val="316D71E4"/>
    <w:rsid w:val="31802A8F"/>
    <w:rsid w:val="318B193E"/>
    <w:rsid w:val="31931ABF"/>
    <w:rsid w:val="31945827"/>
    <w:rsid w:val="31A10BF5"/>
    <w:rsid w:val="31A970A8"/>
    <w:rsid w:val="31AB1E21"/>
    <w:rsid w:val="31B75CB4"/>
    <w:rsid w:val="31BE052E"/>
    <w:rsid w:val="31CA483D"/>
    <w:rsid w:val="31D156FC"/>
    <w:rsid w:val="31E94C09"/>
    <w:rsid w:val="320F2803"/>
    <w:rsid w:val="321043B9"/>
    <w:rsid w:val="32164D38"/>
    <w:rsid w:val="322713CA"/>
    <w:rsid w:val="322A670F"/>
    <w:rsid w:val="32432616"/>
    <w:rsid w:val="3243394A"/>
    <w:rsid w:val="324C6483"/>
    <w:rsid w:val="32522469"/>
    <w:rsid w:val="32776BA9"/>
    <w:rsid w:val="327B2A0D"/>
    <w:rsid w:val="329274AB"/>
    <w:rsid w:val="32B45676"/>
    <w:rsid w:val="32BF68D3"/>
    <w:rsid w:val="32C5561F"/>
    <w:rsid w:val="32DC084A"/>
    <w:rsid w:val="32E12CEE"/>
    <w:rsid w:val="32EB1476"/>
    <w:rsid w:val="32F669C8"/>
    <w:rsid w:val="33001B7A"/>
    <w:rsid w:val="331535A7"/>
    <w:rsid w:val="33182DFB"/>
    <w:rsid w:val="331A0CC8"/>
    <w:rsid w:val="331A7AF8"/>
    <w:rsid w:val="3324614F"/>
    <w:rsid w:val="332C11CC"/>
    <w:rsid w:val="33547948"/>
    <w:rsid w:val="335F2062"/>
    <w:rsid w:val="33686602"/>
    <w:rsid w:val="3369637D"/>
    <w:rsid w:val="336A7882"/>
    <w:rsid w:val="339771F4"/>
    <w:rsid w:val="339B1393"/>
    <w:rsid w:val="33B71F93"/>
    <w:rsid w:val="33BF2903"/>
    <w:rsid w:val="33C1667B"/>
    <w:rsid w:val="33CD6404"/>
    <w:rsid w:val="33D354D0"/>
    <w:rsid w:val="33D46EDF"/>
    <w:rsid w:val="33D75E9F"/>
    <w:rsid w:val="33E42520"/>
    <w:rsid w:val="33EF3CEA"/>
    <w:rsid w:val="33F07711"/>
    <w:rsid w:val="33FC203D"/>
    <w:rsid w:val="3406286A"/>
    <w:rsid w:val="34222A44"/>
    <w:rsid w:val="3464291B"/>
    <w:rsid w:val="34840E64"/>
    <w:rsid w:val="34890588"/>
    <w:rsid w:val="34910F9E"/>
    <w:rsid w:val="34911926"/>
    <w:rsid w:val="34927084"/>
    <w:rsid w:val="34A76BD5"/>
    <w:rsid w:val="34AF3A6D"/>
    <w:rsid w:val="34BD011B"/>
    <w:rsid w:val="34CD4B64"/>
    <w:rsid w:val="34D72B0D"/>
    <w:rsid w:val="34DF5BDE"/>
    <w:rsid w:val="34EE06B7"/>
    <w:rsid w:val="34F24CD0"/>
    <w:rsid w:val="34FD7410"/>
    <w:rsid w:val="35020CF9"/>
    <w:rsid w:val="351647A5"/>
    <w:rsid w:val="351A6043"/>
    <w:rsid w:val="351C0EA2"/>
    <w:rsid w:val="35255512"/>
    <w:rsid w:val="35280DC0"/>
    <w:rsid w:val="35461EBC"/>
    <w:rsid w:val="354716FF"/>
    <w:rsid w:val="354D7F75"/>
    <w:rsid w:val="355A12E4"/>
    <w:rsid w:val="35605956"/>
    <w:rsid w:val="35756336"/>
    <w:rsid w:val="3585603E"/>
    <w:rsid w:val="358D30B5"/>
    <w:rsid w:val="358E07DF"/>
    <w:rsid w:val="358F21E7"/>
    <w:rsid w:val="35914AC1"/>
    <w:rsid w:val="35921F18"/>
    <w:rsid w:val="359706D2"/>
    <w:rsid w:val="35A303EA"/>
    <w:rsid w:val="35A80566"/>
    <w:rsid w:val="35AA4F6C"/>
    <w:rsid w:val="35BE2E72"/>
    <w:rsid w:val="35EB79DF"/>
    <w:rsid w:val="35F73CF2"/>
    <w:rsid w:val="360407DE"/>
    <w:rsid w:val="36160F00"/>
    <w:rsid w:val="361E461E"/>
    <w:rsid w:val="362236CD"/>
    <w:rsid w:val="364D069A"/>
    <w:rsid w:val="36507137"/>
    <w:rsid w:val="36537B23"/>
    <w:rsid w:val="365628C0"/>
    <w:rsid w:val="365E4E53"/>
    <w:rsid w:val="366003CD"/>
    <w:rsid w:val="366F0610"/>
    <w:rsid w:val="36741C91"/>
    <w:rsid w:val="36745F37"/>
    <w:rsid w:val="36826C73"/>
    <w:rsid w:val="368C5779"/>
    <w:rsid w:val="36943485"/>
    <w:rsid w:val="36984A2B"/>
    <w:rsid w:val="369D3512"/>
    <w:rsid w:val="36AD7FE4"/>
    <w:rsid w:val="36B54F4A"/>
    <w:rsid w:val="36B6196C"/>
    <w:rsid w:val="36C4252E"/>
    <w:rsid w:val="36D01095"/>
    <w:rsid w:val="36E1641D"/>
    <w:rsid w:val="36E6311A"/>
    <w:rsid w:val="36FD3CFD"/>
    <w:rsid w:val="37024C59"/>
    <w:rsid w:val="370F2612"/>
    <w:rsid w:val="37101BB1"/>
    <w:rsid w:val="37237B4D"/>
    <w:rsid w:val="3729161C"/>
    <w:rsid w:val="372F0DF2"/>
    <w:rsid w:val="373677D5"/>
    <w:rsid w:val="37433BFB"/>
    <w:rsid w:val="37471BEF"/>
    <w:rsid w:val="376923BA"/>
    <w:rsid w:val="37733813"/>
    <w:rsid w:val="378823DF"/>
    <w:rsid w:val="378E20BB"/>
    <w:rsid w:val="37941218"/>
    <w:rsid w:val="37945822"/>
    <w:rsid w:val="37990A35"/>
    <w:rsid w:val="37A12891"/>
    <w:rsid w:val="37AD65C6"/>
    <w:rsid w:val="37BB0FD8"/>
    <w:rsid w:val="37C35F96"/>
    <w:rsid w:val="37C4673A"/>
    <w:rsid w:val="37CA1A7A"/>
    <w:rsid w:val="37D31ED9"/>
    <w:rsid w:val="37E35871"/>
    <w:rsid w:val="37E40B8A"/>
    <w:rsid w:val="37F5270D"/>
    <w:rsid w:val="37FE10B8"/>
    <w:rsid w:val="37FE7227"/>
    <w:rsid w:val="380B32C6"/>
    <w:rsid w:val="381309C6"/>
    <w:rsid w:val="3827564E"/>
    <w:rsid w:val="3828316D"/>
    <w:rsid w:val="38325F1C"/>
    <w:rsid w:val="385A4D51"/>
    <w:rsid w:val="386211A0"/>
    <w:rsid w:val="38774AC4"/>
    <w:rsid w:val="387A2AEC"/>
    <w:rsid w:val="38980B25"/>
    <w:rsid w:val="38AF65A1"/>
    <w:rsid w:val="38B676A5"/>
    <w:rsid w:val="38B91722"/>
    <w:rsid w:val="38E47C88"/>
    <w:rsid w:val="39097304"/>
    <w:rsid w:val="391D25A6"/>
    <w:rsid w:val="3922196A"/>
    <w:rsid w:val="392502E5"/>
    <w:rsid w:val="3929719C"/>
    <w:rsid w:val="393741B4"/>
    <w:rsid w:val="394A69A5"/>
    <w:rsid w:val="39531710"/>
    <w:rsid w:val="395D3D25"/>
    <w:rsid w:val="396804A8"/>
    <w:rsid w:val="397074D5"/>
    <w:rsid w:val="397A4685"/>
    <w:rsid w:val="397B405B"/>
    <w:rsid w:val="397D525A"/>
    <w:rsid w:val="3982065B"/>
    <w:rsid w:val="39981BEB"/>
    <w:rsid w:val="39AC75EE"/>
    <w:rsid w:val="39B916DF"/>
    <w:rsid w:val="39BB0FFD"/>
    <w:rsid w:val="39DC2DAA"/>
    <w:rsid w:val="39DD0D52"/>
    <w:rsid w:val="39E81252"/>
    <w:rsid w:val="39ED01CA"/>
    <w:rsid w:val="39EE69BC"/>
    <w:rsid w:val="39F01DE6"/>
    <w:rsid w:val="39F24125"/>
    <w:rsid w:val="3A00359B"/>
    <w:rsid w:val="3A1A26BE"/>
    <w:rsid w:val="3A24028F"/>
    <w:rsid w:val="3A3718D6"/>
    <w:rsid w:val="3A4660AA"/>
    <w:rsid w:val="3A5E3659"/>
    <w:rsid w:val="3A64520B"/>
    <w:rsid w:val="3A7D3282"/>
    <w:rsid w:val="3A83468A"/>
    <w:rsid w:val="3A994359"/>
    <w:rsid w:val="3A9F77C4"/>
    <w:rsid w:val="3AE8089A"/>
    <w:rsid w:val="3AFB240E"/>
    <w:rsid w:val="3AFD5CD9"/>
    <w:rsid w:val="3B1919AB"/>
    <w:rsid w:val="3B246193"/>
    <w:rsid w:val="3B2C4003"/>
    <w:rsid w:val="3B322AFF"/>
    <w:rsid w:val="3B340B6C"/>
    <w:rsid w:val="3B385475"/>
    <w:rsid w:val="3B40257B"/>
    <w:rsid w:val="3B431474"/>
    <w:rsid w:val="3B53405D"/>
    <w:rsid w:val="3B5E09F6"/>
    <w:rsid w:val="3B6B12B0"/>
    <w:rsid w:val="3B790184"/>
    <w:rsid w:val="3B88270F"/>
    <w:rsid w:val="3BAB27D1"/>
    <w:rsid w:val="3BAD7364"/>
    <w:rsid w:val="3BBE60C2"/>
    <w:rsid w:val="3BC34952"/>
    <w:rsid w:val="3BCB0097"/>
    <w:rsid w:val="3BE01FA9"/>
    <w:rsid w:val="3BE82D14"/>
    <w:rsid w:val="3BEA7FE9"/>
    <w:rsid w:val="3BFC2F3F"/>
    <w:rsid w:val="3C05618E"/>
    <w:rsid w:val="3C25022E"/>
    <w:rsid w:val="3C2C06BD"/>
    <w:rsid w:val="3C343788"/>
    <w:rsid w:val="3C435976"/>
    <w:rsid w:val="3C5B4206"/>
    <w:rsid w:val="3C64645A"/>
    <w:rsid w:val="3C656018"/>
    <w:rsid w:val="3C667DB0"/>
    <w:rsid w:val="3C6C06DF"/>
    <w:rsid w:val="3C7B68BB"/>
    <w:rsid w:val="3C946D71"/>
    <w:rsid w:val="3CAE79D6"/>
    <w:rsid w:val="3CB369E7"/>
    <w:rsid w:val="3CB83945"/>
    <w:rsid w:val="3CC106AE"/>
    <w:rsid w:val="3CC82828"/>
    <w:rsid w:val="3CCE5337"/>
    <w:rsid w:val="3D0A559A"/>
    <w:rsid w:val="3D1E14E7"/>
    <w:rsid w:val="3D255602"/>
    <w:rsid w:val="3D292148"/>
    <w:rsid w:val="3D3A558F"/>
    <w:rsid w:val="3D3C3A49"/>
    <w:rsid w:val="3D3D225B"/>
    <w:rsid w:val="3D577E3C"/>
    <w:rsid w:val="3D6C3114"/>
    <w:rsid w:val="3D7A74DC"/>
    <w:rsid w:val="3D7E5C88"/>
    <w:rsid w:val="3D8252C4"/>
    <w:rsid w:val="3D8C2AD7"/>
    <w:rsid w:val="3D996C27"/>
    <w:rsid w:val="3D9B0069"/>
    <w:rsid w:val="3D9E48C4"/>
    <w:rsid w:val="3DDB77FC"/>
    <w:rsid w:val="3DEC0798"/>
    <w:rsid w:val="3DEE4511"/>
    <w:rsid w:val="3DEF7094"/>
    <w:rsid w:val="3DFF3C37"/>
    <w:rsid w:val="3E0445FE"/>
    <w:rsid w:val="3E3B08E6"/>
    <w:rsid w:val="3E3F581A"/>
    <w:rsid w:val="3E50322D"/>
    <w:rsid w:val="3E6C643E"/>
    <w:rsid w:val="3E7919F5"/>
    <w:rsid w:val="3E7E4297"/>
    <w:rsid w:val="3E830253"/>
    <w:rsid w:val="3E8950E5"/>
    <w:rsid w:val="3E9C3F6D"/>
    <w:rsid w:val="3EA13331"/>
    <w:rsid w:val="3EAB50B7"/>
    <w:rsid w:val="3EC571FD"/>
    <w:rsid w:val="3ECF0CFF"/>
    <w:rsid w:val="3EEB4417"/>
    <w:rsid w:val="3EF61C02"/>
    <w:rsid w:val="3EFC73B7"/>
    <w:rsid w:val="3F082623"/>
    <w:rsid w:val="3F304E08"/>
    <w:rsid w:val="3F3348D1"/>
    <w:rsid w:val="3F3D4A3D"/>
    <w:rsid w:val="3F3F4D49"/>
    <w:rsid w:val="3F4E2855"/>
    <w:rsid w:val="3F517949"/>
    <w:rsid w:val="3F5F0663"/>
    <w:rsid w:val="3F733AE9"/>
    <w:rsid w:val="3F7722E4"/>
    <w:rsid w:val="3F88009A"/>
    <w:rsid w:val="3F8A5A5C"/>
    <w:rsid w:val="3F8C5D8F"/>
    <w:rsid w:val="3F976986"/>
    <w:rsid w:val="3F9D725A"/>
    <w:rsid w:val="3F9E25CD"/>
    <w:rsid w:val="3FA708C6"/>
    <w:rsid w:val="3FAC46C9"/>
    <w:rsid w:val="3FBE264C"/>
    <w:rsid w:val="3FC04688"/>
    <w:rsid w:val="3FC35C6C"/>
    <w:rsid w:val="3FCC35A6"/>
    <w:rsid w:val="3FCE355B"/>
    <w:rsid w:val="3FDB2873"/>
    <w:rsid w:val="3FF94E2C"/>
    <w:rsid w:val="40035149"/>
    <w:rsid w:val="400351B4"/>
    <w:rsid w:val="4005743D"/>
    <w:rsid w:val="4010775A"/>
    <w:rsid w:val="40125316"/>
    <w:rsid w:val="4013337A"/>
    <w:rsid w:val="40143DF8"/>
    <w:rsid w:val="40266073"/>
    <w:rsid w:val="40470673"/>
    <w:rsid w:val="40491565"/>
    <w:rsid w:val="404A445A"/>
    <w:rsid w:val="404A52B1"/>
    <w:rsid w:val="405E23E3"/>
    <w:rsid w:val="406E3A13"/>
    <w:rsid w:val="40863AC3"/>
    <w:rsid w:val="409A1F76"/>
    <w:rsid w:val="40A219AE"/>
    <w:rsid w:val="40B576E7"/>
    <w:rsid w:val="40B70D19"/>
    <w:rsid w:val="40C24133"/>
    <w:rsid w:val="40CA5AEE"/>
    <w:rsid w:val="40DC4E34"/>
    <w:rsid w:val="40E260D9"/>
    <w:rsid w:val="40F461DB"/>
    <w:rsid w:val="4103272C"/>
    <w:rsid w:val="410F300B"/>
    <w:rsid w:val="4125450E"/>
    <w:rsid w:val="413041F2"/>
    <w:rsid w:val="41421C8D"/>
    <w:rsid w:val="415119B9"/>
    <w:rsid w:val="415E7BFF"/>
    <w:rsid w:val="416C56EA"/>
    <w:rsid w:val="417007D7"/>
    <w:rsid w:val="41713E0B"/>
    <w:rsid w:val="41744B76"/>
    <w:rsid w:val="417F375C"/>
    <w:rsid w:val="41953D1B"/>
    <w:rsid w:val="41BC64D5"/>
    <w:rsid w:val="41D028AB"/>
    <w:rsid w:val="41DA2351"/>
    <w:rsid w:val="41DA54BD"/>
    <w:rsid w:val="41E8185E"/>
    <w:rsid w:val="42084E7C"/>
    <w:rsid w:val="420F79EB"/>
    <w:rsid w:val="421B685C"/>
    <w:rsid w:val="421D10F6"/>
    <w:rsid w:val="42323D88"/>
    <w:rsid w:val="423F1FDD"/>
    <w:rsid w:val="42435B11"/>
    <w:rsid w:val="42584A8A"/>
    <w:rsid w:val="425D1C65"/>
    <w:rsid w:val="426116DE"/>
    <w:rsid w:val="42786A51"/>
    <w:rsid w:val="42886EC3"/>
    <w:rsid w:val="429163FD"/>
    <w:rsid w:val="42963474"/>
    <w:rsid w:val="42AA0529"/>
    <w:rsid w:val="42AF2E88"/>
    <w:rsid w:val="42B14668"/>
    <w:rsid w:val="42DF1B53"/>
    <w:rsid w:val="42E414AE"/>
    <w:rsid w:val="43171E14"/>
    <w:rsid w:val="431B6658"/>
    <w:rsid w:val="432F53AF"/>
    <w:rsid w:val="435E4B64"/>
    <w:rsid w:val="436379C5"/>
    <w:rsid w:val="437A14BF"/>
    <w:rsid w:val="438A50B6"/>
    <w:rsid w:val="4399065B"/>
    <w:rsid w:val="43992916"/>
    <w:rsid w:val="43C56BDE"/>
    <w:rsid w:val="43CC5F2C"/>
    <w:rsid w:val="43E234DF"/>
    <w:rsid w:val="43E52CC5"/>
    <w:rsid w:val="43E960F8"/>
    <w:rsid w:val="43EC292D"/>
    <w:rsid w:val="43FC25A4"/>
    <w:rsid w:val="43FF2AD0"/>
    <w:rsid w:val="44052CBA"/>
    <w:rsid w:val="440740E3"/>
    <w:rsid w:val="440954ED"/>
    <w:rsid w:val="440C143D"/>
    <w:rsid w:val="44142F49"/>
    <w:rsid w:val="442C7144"/>
    <w:rsid w:val="443E5A02"/>
    <w:rsid w:val="444A6E63"/>
    <w:rsid w:val="44620E2F"/>
    <w:rsid w:val="44734028"/>
    <w:rsid w:val="4475210F"/>
    <w:rsid w:val="44830EA6"/>
    <w:rsid w:val="4488274F"/>
    <w:rsid w:val="449D3C54"/>
    <w:rsid w:val="44BD69EB"/>
    <w:rsid w:val="44D41F91"/>
    <w:rsid w:val="44D63F79"/>
    <w:rsid w:val="44DC2DC4"/>
    <w:rsid w:val="44DD0CDA"/>
    <w:rsid w:val="44E87738"/>
    <w:rsid w:val="44F66110"/>
    <w:rsid w:val="451D4B80"/>
    <w:rsid w:val="4523563D"/>
    <w:rsid w:val="452926E8"/>
    <w:rsid w:val="452B7DF8"/>
    <w:rsid w:val="45340E1B"/>
    <w:rsid w:val="454A0980"/>
    <w:rsid w:val="45512375"/>
    <w:rsid w:val="45513D03"/>
    <w:rsid w:val="4554734F"/>
    <w:rsid w:val="456C6947"/>
    <w:rsid w:val="4579370A"/>
    <w:rsid w:val="459C0CF6"/>
    <w:rsid w:val="459D0F13"/>
    <w:rsid w:val="45AE7782"/>
    <w:rsid w:val="45BB1F87"/>
    <w:rsid w:val="45BE6BF8"/>
    <w:rsid w:val="45D02B0C"/>
    <w:rsid w:val="45DD1335"/>
    <w:rsid w:val="45E21FE7"/>
    <w:rsid w:val="45E5444B"/>
    <w:rsid w:val="45ED40E2"/>
    <w:rsid w:val="45ED4FA4"/>
    <w:rsid w:val="45F1221E"/>
    <w:rsid w:val="45F262B7"/>
    <w:rsid w:val="45F865A3"/>
    <w:rsid w:val="460A2471"/>
    <w:rsid w:val="464D3810"/>
    <w:rsid w:val="464F15EF"/>
    <w:rsid w:val="465511B3"/>
    <w:rsid w:val="46575EC8"/>
    <w:rsid w:val="46677ABB"/>
    <w:rsid w:val="46737C6F"/>
    <w:rsid w:val="4693603D"/>
    <w:rsid w:val="469B6A1E"/>
    <w:rsid w:val="46A42DF8"/>
    <w:rsid w:val="46AF2439"/>
    <w:rsid w:val="46BE6BCD"/>
    <w:rsid w:val="46C916D3"/>
    <w:rsid w:val="46CB5C37"/>
    <w:rsid w:val="46D05B31"/>
    <w:rsid w:val="46EE0EDA"/>
    <w:rsid w:val="46F9303C"/>
    <w:rsid w:val="47154453"/>
    <w:rsid w:val="47210AB5"/>
    <w:rsid w:val="472E5E1B"/>
    <w:rsid w:val="47355090"/>
    <w:rsid w:val="47423169"/>
    <w:rsid w:val="474336A4"/>
    <w:rsid w:val="475048B6"/>
    <w:rsid w:val="47583D74"/>
    <w:rsid w:val="475F36B2"/>
    <w:rsid w:val="478F1D3C"/>
    <w:rsid w:val="47933A29"/>
    <w:rsid w:val="479653C5"/>
    <w:rsid w:val="47A26A3C"/>
    <w:rsid w:val="47B72BD9"/>
    <w:rsid w:val="47BE24AA"/>
    <w:rsid w:val="47BF7E31"/>
    <w:rsid w:val="47CA0AC9"/>
    <w:rsid w:val="47D7253A"/>
    <w:rsid w:val="47E2428C"/>
    <w:rsid w:val="47E77A11"/>
    <w:rsid w:val="47E83C04"/>
    <w:rsid w:val="47EE5734"/>
    <w:rsid w:val="48054931"/>
    <w:rsid w:val="481C6DA3"/>
    <w:rsid w:val="482B24EA"/>
    <w:rsid w:val="484C6A03"/>
    <w:rsid w:val="4860425D"/>
    <w:rsid w:val="486924B1"/>
    <w:rsid w:val="487735EE"/>
    <w:rsid w:val="487970CD"/>
    <w:rsid w:val="488A2EB7"/>
    <w:rsid w:val="48902B3C"/>
    <w:rsid w:val="48A326ED"/>
    <w:rsid w:val="48AB58C3"/>
    <w:rsid w:val="48AF1997"/>
    <w:rsid w:val="48B013B1"/>
    <w:rsid w:val="48C03C76"/>
    <w:rsid w:val="48C4391C"/>
    <w:rsid w:val="48C775B3"/>
    <w:rsid w:val="48C93E5F"/>
    <w:rsid w:val="48CA190C"/>
    <w:rsid w:val="48CB3363"/>
    <w:rsid w:val="48EB6461"/>
    <w:rsid w:val="48F10FE7"/>
    <w:rsid w:val="48F33E4D"/>
    <w:rsid w:val="48F7551F"/>
    <w:rsid w:val="48FD2C21"/>
    <w:rsid w:val="48FD385A"/>
    <w:rsid w:val="48FF04F9"/>
    <w:rsid w:val="4903586B"/>
    <w:rsid w:val="49131BB2"/>
    <w:rsid w:val="49160122"/>
    <w:rsid w:val="49186988"/>
    <w:rsid w:val="492822E2"/>
    <w:rsid w:val="49284D7B"/>
    <w:rsid w:val="492E4E74"/>
    <w:rsid w:val="49301E81"/>
    <w:rsid w:val="4931444D"/>
    <w:rsid w:val="49332FD1"/>
    <w:rsid w:val="493354CD"/>
    <w:rsid w:val="4936446D"/>
    <w:rsid w:val="494F46CF"/>
    <w:rsid w:val="4961011A"/>
    <w:rsid w:val="497751F7"/>
    <w:rsid w:val="499A2986"/>
    <w:rsid w:val="499E6DEB"/>
    <w:rsid w:val="499F7F0B"/>
    <w:rsid w:val="49A200E2"/>
    <w:rsid w:val="49A72FB2"/>
    <w:rsid w:val="49AD58E5"/>
    <w:rsid w:val="49B133BD"/>
    <w:rsid w:val="49B75190"/>
    <w:rsid w:val="49C72642"/>
    <w:rsid w:val="49CC519F"/>
    <w:rsid w:val="49CF398F"/>
    <w:rsid w:val="49D60DA0"/>
    <w:rsid w:val="49DC64FA"/>
    <w:rsid w:val="49DD13EB"/>
    <w:rsid w:val="49E07403"/>
    <w:rsid w:val="49EA6878"/>
    <w:rsid w:val="49F15863"/>
    <w:rsid w:val="49F242C9"/>
    <w:rsid w:val="49F44FF0"/>
    <w:rsid w:val="4A030844"/>
    <w:rsid w:val="4A0B351A"/>
    <w:rsid w:val="4A0D7F42"/>
    <w:rsid w:val="4A130CD4"/>
    <w:rsid w:val="4A1B647C"/>
    <w:rsid w:val="4A2A2D74"/>
    <w:rsid w:val="4A2B6F2D"/>
    <w:rsid w:val="4A541C13"/>
    <w:rsid w:val="4A7D7215"/>
    <w:rsid w:val="4A8D52FB"/>
    <w:rsid w:val="4A8D56DE"/>
    <w:rsid w:val="4A9E3173"/>
    <w:rsid w:val="4AB33A2C"/>
    <w:rsid w:val="4AB47A12"/>
    <w:rsid w:val="4AB538C9"/>
    <w:rsid w:val="4ABE260E"/>
    <w:rsid w:val="4AD66CD6"/>
    <w:rsid w:val="4AD74653"/>
    <w:rsid w:val="4AE07DFB"/>
    <w:rsid w:val="4AE23121"/>
    <w:rsid w:val="4AEC627C"/>
    <w:rsid w:val="4AEE16B8"/>
    <w:rsid w:val="4AEF24ED"/>
    <w:rsid w:val="4AF96CB6"/>
    <w:rsid w:val="4AFD5169"/>
    <w:rsid w:val="4B093295"/>
    <w:rsid w:val="4B0C06DC"/>
    <w:rsid w:val="4B103D18"/>
    <w:rsid w:val="4B184095"/>
    <w:rsid w:val="4B2043B8"/>
    <w:rsid w:val="4B285F31"/>
    <w:rsid w:val="4B406692"/>
    <w:rsid w:val="4B492A3B"/>
    <w:rsid w:val="4B497029"/>
    <w:rsid w:val="4B5C74E9"/>
    <w:rsid w:val="4B5F3ED9"/>
    <w:rsid w:val="4B605F8F"/>
    <w:rsid w:val="4B634726"/>
    <w:rsid w:val="4B7D0C82"/>
    <w:rsid w:val="4B8F6E14"/>
    <w:rsid w:val="4B951AD0"/>
    <w:rsid w:val="4B9809FD"/>
    <w:rsid w:val="4BA356C8"/>
    <w:rsid w:val="4BB0472C"/>
    <w:rsid w:val="4BBB33A6"/>
    <w:rsid w:val="4BBE46DB"/>
    <w:rsid w:val="4BC472D1"/>
    <w:rsid w:val="4BC54E66"/>
    <w:rsid w:val="4BCD57A7"/>
    <w:rsid w:val="4BCF788F"/>
    <w:rsid w:val="4BD84E75"/>
    <w:rsid w:val="4BDC5224"/>
    <w:rsid w:val="4BE76065"/>
    <w:rsid w:val="4BEA3BEA"/>
    <w:rsid w:val="4BF149C3"/>
    <w:rsid w:val="4BFA4125"/>
    <w:rsid w:val="4C23448B"/>
    <w:rsid w:val="4C345224"/>
    <w:rsid w:val="4C4C2771"/>
    <w:rsid w:val="4C543B22"/>
    <w:rsid w:val="4C5566D7"/>
    <w:rsid w:val="4C644E8C"/>
    <w:rsid w:val="4C742D40"/>
    <w:rsid w:val="4C746C1E"/>
    <w:rsid w:val="4C7C48A7"/>
    <w:rsid w:val="4C7C506B"/>
    <w:rsid w:val="4C7E73A7"/>
    <w:rsid w:val="4CA87F80"/>
    <w:rsid w:val="4CBB0A14"/>
    <w:rsid w:val="4CCB4740"/>
    <w:rsid w:val="4CCD1A64"/>
    <w:rsid w:val="4CD251A8"/>
    <w:rsid w:val="4CD52E3E"/>
    <w:rsid w:val="4CDB0356"/>
    <w:rsid w:val="4CE57A8E"/>
    <w:rsid w:val="4CFB55CD"/>
    <w:rsid w:val="4D072D79"/>
    <w:rsid w:val="4D145D5B"/>
    <w:rsid w:val="4D17778C"/>
    <w:rsid w:val="4D281D25"/>
    <w:rsid w:val="4D2C015A"/>
    <w:rsid w:val="4D473BE7"/>
    <w:rsid w:val="4D5544C8"/>
    <w:rsid w:val="4D616AAD"/>
    <w:rsid w:val="4D700D45"/>
    <w:rsid w:val="4D73778C"/>
    <w:rsid w:val="4D745DFC"/>
    <w:rsid w:val="4D8663D0"/>
    <w:rsid w:val="4D8F10BC"/>
    <w:rsid w:val="4D8F631A"/>
    <w:rsid w:val="4DA2170E"/>
    <w:rsid w:val="4DA226DD"/>
    <w:rsid w:val="4DB56DF9"/>
    <w:rsid w:val="4DBC6884"/>
    <w:rsid w:val="4DEE07CD"/>
    <w:rsid w:val="4DF010A0"/>
    <w:rsid w:val="4DF633EF"/>
    <w:rsid w:val="4DF96CE5"/>
    <w:rsid w:val="4DFA6B73"/>
    <w:rsid w:val="4E0361F9"/>
    <w:rsid w:val="4E096E2C"/>
    <w:rsid w:val="4E0B4471"/>
    <w:rsid w:val="4E131941"/>
    <w:rsid w:val="4E2625DD"/>
    <w:rsid w:val="4E34712A"/>
    <w:rsid w:val="4E37534F"/>
    <w:rsid w:val="4E3A1C2D"/>
    <w:rsid w:val="4E463A07"/>
    <w:rsid w:val="4E4F7006"/>
    <w:rsid w:val="4E567965"/>
    <w:rsid w:val="4E5879FD"/>
    <w:rsid w:val="4E5B246B"/>
    <w:rsid w:val="4E6A6162"/>
    <w:rsid w:val="4E6A7AAB"/>
    <w:rsid w:val="4E6F7F3D"/>
    <w:rsid w:val="4E7423F8"/>
    <w:rsid w:val="4E77126F"/>
    <w:rsid w:val="4E772300"/>
    <w:rsid w:val="4E870CEC"/>
    <w:rsid w:val="4E932227"/>
    <w:rsid w:val="4E951779"/>
    <w:rsid w:val="4EA310EA"/>
    <w:rsid w:val="4EAB5E7F"/>
    <w:rsid w:val="4EAB7B87"/>
    <w:rsid w:val="4EB27D68"/>
    <w:rsid w:val="4EB72D31"/>
    <w:rsid w:val="4ECA4D18"/>
    <w:rsid w:val="4ED41501"/>
    <w:rsid w:val="4EDD4F23"/>
    <w:rsid w:val="4EF82C0F"/>
    <w:rsid w:val="4F1705ED"/>
    <w:rsid w:val="4F1B405C"/>
    <w:rsid w:val="4F221450"/>
    <w:rsid w:val="4F363F69"/>
    <w:rsid w:val="4F39547D"/>
    <w:rsid w:val="4F3B332E"/>
    <w:rsid w:val="4F5831BF"/>
    <w:rsid w:val="4F5E50E8"/>
    <w:rsid w:val="4F6065C7"/>
    <w:rsid w:val="4F67737B"/>
    <w:rsid w:val="4F766114"/>
    <w:rsid w:val="4F944AF3"/>
    <w:rsid w:val="4F9B48E0"/>
    <w:rsid w:val="4FA14539"/>
    <w:rsid w:val="4FB547BF"/>
    <w:rsid w:val="4FD46E5C"/>
    <w:rsid w:val="4FD518A8"/>
    <w:rsid w:val="4FDA66A3"/>
    <w:rsid w:val="4FFB4A12"/>
    <w:rsid w:val="4FFB53F6"/>
    <w:rsid w:val="500B08C0"/>
    <w:rsid w:val="50136893"/>
    <w:rsid w:val="50187BDC"/>
    <w:rsid w:val="501A6B51"/>
    <w:rsid w:val="50271C76"/>
    <w:rsid w:val="503754C6"/>
    <w:rsid w:val="50435E55"/>
    <w:rsid w:val="50486282"/>
    <w:rsid w:val="50511B72"/>
    <w:rsid w:val="50693BBD"/>
    <w:rsid w:val="50700EA1"/>
    <w:rsid w:val="50795EBC"/>
    <w:rsid w:val="508D1967"/>
    <w:rsid w:val="50B109AF"/>
    <w:rsid w:val="50B9275C"/>
    <w:rsid w:val="50C9265F"/>
    <w:rsid w:val="50C954CC"/>
    <w:rsid w:val="50D856A5"/>
    <w:rsid w:val="50E20B5E"/>
    <w:rsid w:val="512C2F2E"/>
    <w:rsid w:val="51475B9B"/>
    <w:rsid w:val="514F764A"/>
    <w:rsid w:val="515446F4"/>
    <w:rsid w:val="515C44D2"/>
    <w:rsid w:val="51607C8A"/>
    <w:rsid w:val="51646F20"/>
    <w:rsid w:val="5173358C"/>
    <w:rsid w:val="51866838"/>
    <w:rsid w:val="518F457C"/>
    <w:rsid w:val="51917235"/>
    <w:rsid w:val="519E06BD"/>
    <w:rsid w:val="51A94649"/>
    <w:rsid w:val="51AD7117"/>
    <w:rsid w:val="51BA3A7E"/>
    <w:rsid w:val="51CD59F0"/>
    <w:rsid w:val="51D37172"/>
    <w:rsid w:val="51DA6316"/>
    <w:rsid w:val="51FE1BA6"/>
    <w:rsid w:val="52115C1C"/>
    <w:rsid w:val="521E385D"/>
    <w:rsid w:val="521F3230"/>
    <w:rsid w:val="522A6D57"/>
    <w:rsid w:val="522F077A"/>
    <w:rsid w:val="524E1C99"/>
    <w:rsid w:val="525700F4"/>
    <w:rsid w:val="525A5EFE"/>
    <w:rsid w:val="526724C9"/>
    <w:rsid w:val="52692625"/>
    <w:rsid w:val="527E1DD7"/>
    <w:rsid w:val="527F727E"/>
    <w:rsid w:val="5281374D"/>
    <w:rsid w:val="52983A2D"/>
    <w:rsid w:val="52993E93"/>
    <w:rsid w:val="52AC20F1"/>
    <w:rsid w:val="52BD4667"/>
    <w:rsid w:val="52C4650C"/>
    <w:rsid w:val="52C75BB0"/>
    <w:rsid w:val="52C9432D"/>
    <w:rsid w:val="52D16FF2"/>
    <w:rsid w:val="52DB5A3F"/>
    <w:rsid w:val="52E674BE"/>
    <w:rsid w:val="52EC48FA"/>
    <w:rsid w:val="52F061DD"/>
    <w:rsid w:val="52FB3500"/>
    <w:rsid w:val="530748DF"/>
    <w:rsid w:val="53222E14"/>
    <w:rsid w:val="53300FB6"/>
    <w:rsid w:val="533019DA"/>
    <w:rsid w:val="533B38FC"/>
    <w:rsid w:val="53475D3A"/>
    <w:rsid w:val="53655A80"/>
    <w:rsid w:val="537D5CC3"/>
    <w:rsid w:val="538B42DE"/>
    <w:rsid w:val="539B439B"/>
    <w:rsid w:val="539E6AA6"/>
    <w:rsid w:val="53A60DD5"/>
    <w:rsid w:val="53A87967"/>
    <w:rsid w:val="53CC5E1A"/>
    <w:rsid w:val="53D127E7"/>
    <w:rsid w:val="53DC7670"/>
    <w:rsid w:val="53EC1861"/>
    <w:rsid w:val="53F76048"/>
    <w:rsid w:val="542F35D9"/>
    <w:rsid w:val="542F444C"/>
    <w:rsid w:val="543876E2"/>
    <w:rsid w:val="543A3C6A"/>
    <w:rsid w:val="543C7CB2"/>
    <w:rsid w:val="54533AD5"/>
    <w:rsid w:val="54576514"/>
    <w:rsid w:val="545F6B68"/>
    <w:rsid w:val="54703B76"/>
    <w:rsid w:val="54751090"/>
    <w:rsid w:val="54AF37EA"/>
    <w:rsid w:val="54C16897"/>
    <w:rsid w:val="54CF1AAB"/>
    <w:rsid w:val="54ED448D"/>
    <w:rsid w:val="54F55A9E"/>
    <w:rsid w:val="55010C6B"/>
    <w:rsid w:val="55025A45"/>
    <w:rsid w:val="55092FAD"/>
    <w:rsid w:val="55194651"/>
    <w:rsid w:val="551E3960"/>
    <w:rsid w:val="556154BA"/>
    <w:rsid w:val="5585712D"/>
    <w:rsid w:val="558D4110"/>
    <w:rsid w:val="559912AF"/>
    <w:rsid w:val="559961B4"/>
    <w:rsid w:val="55AA6225"/>
    <w:rsid w:val="55AE6718"/>
    <w:rsid w:val="55E77D6B"/>
    <w:rsid w:val="55F94F8E"/>
    <w:rsid w:val="56004989"/>
    <w:rsid w:val="56110C10"/>
    <w:rsid w:val="561428C1"/>
    <w:rsid w:val="56150EB3"/>
    <w:rsid w:val="561901FA"/>
    <w:rsid w:val="561D378D"/>
    <w:rsid w:val="561E2D2C"/>
    <w:rsid w:val="561F3CB6"/>
    <w:rsid w:val="56233904"/>
    <w:rsid w:val="564E3947"/>
    <w:rsid w:val="565A053D"/>
    <w:rsid w:val="56796C5B"/>
    <w:rsid w:val="568E1D15"/>
    <w:rsid w:val="56955916"/>
    <w:rsid w:val="569A6E40"/>
    <w:rsid w:val="56AE6EA8"/>
    <w:rsid w:val="56B83943"/>
    <w:rsid w:val="56BA113F"/>
    <w:rsid w:val="56C41882"/>
    <w:rsid w:val="56D54E6B"/>
    <w:rsid w:val="56DC53F6"/>
    <w:rsid w:val="56DD6FA5"/>
    <w:rsid w:val="56DF626B"/>
    <w:rsid w:val="56EC2D4F"/>
    <w:rsid w:val="56FB3FF9"/>
    <w:rsid w:val="56FD2198"/>
    <w:rsid w:val="57114899"/>
    <w:rsid w:val="5718099E"/>
    <w:rsid w:val="571F4340"/>
    <w:rsid w:val="57201787"/>
    <w:rsid w:val="572409FC"/>
    <w:rsid w:val="57380C37"/>
    <w:rsid w:val="5739626B"/>
    <w:rsid w:val="574717EA"/>
    <w:rsid w:val="574E13AD"/>
    <w:rsid w:val="577522C7"/>
    <w:rsid w:val="57861513"/>
    <w:rsid w:val="5789573D"/>
    <w:rsid w:val="578C704A"/>
    <w:rsid w:val="57981B34"/>
    <w:rsid w:val="579A1FB5"/>
    <w:rsid w:val="579B7EDC"/>
    <w:rsid w:val="57A13883"/>
    <w:rsid w:val="57A2525D"/>
    <w:rsid w:val="57AC70A5"/>
    <w:rsid w:val="57B671D8"/>
    <w:rsid w:val="57BF3979"/>
    <w:rsid w:val="57E74CF7"/>
    <w:rsid w:val="57E825D4"/>
    <w:rsid w:val="57F413E2"/>
    <w:rsid w:val="57F70468"/>
    <w:rsid w:val="581329DA"/>
    <w:rsid w:val="58230D38"/>
    <w:rsid w:val="5837317F"/>
    <w:rsid w:val="583B5B3E"/>
    <w:rsid w:val="583B6401"/>
    <w:rsid w:val="584157D2"/>
    <w:rsid w:val="584331DC"/>
    <w:rsid w:val="585D4315"/>
    <w:rsid w:val="586036A7"/>
    <w:rsid w:val="586D0393"/>
    <w:rsid w:val="587F7ED1"/>
    <w:rsid w:val="589D49D4"/>
    <w:rsid w:val="589D5EBC"/>
    <w:rsid w:val="58A219B7"/>
    <w:rsid w:val="58A2448A"/>
    <w:rsid w:val="58A45E46"/>
    <w:rsid w:val="58BE1257"/>
    <w:rsid w:val="58C06677"/>
    <w:rsid w:val="58C17993"/>
    <w:rsid w:val="58E93DFA"/>
    <w:rsid w:val="590E7B63"/>
    <w:rsid w:val="5911704A"/>
    <w:rsid w:val="591E31B2"/>
    <w:rsid w:val="593239B2"/>
    <w:rsid w:val="593D52A0"/>
    <w:rsid w:val="594279D7"/>
    <w:rsid w:val="59434133"/>
    <w:rsid w:val="59796DE8"/>
    <w:rsid w:val="599A30CF"/>
    <w:rsid w:val="59AE331A"/>
    <w:rsid w:val="59B31432"/>
    <w:rsid w:val="59B86BB4"/>
    <w:rsid w:val="59BC5BAA"/>
    <w:rsid w:val="59C14573"/>
    <w:rsid w:val="59C52172"/>
    <w:rsid w:val="59DC530F"/>
    <w:rsid w:val="59DD0BC9"/>
    <w:rsid w:val="59DE647C"/>
    <w:rsid w:val="59EC3697"/>
    <w:rsid w:val="59EC3BA2"/>
    <w:rsid w:val="59EE732A"/>
    <w:rsid w:val="59F24F64"/>
    <w:rsid w:val="59F83A7F"/>
    <w:rsid w:val="5A063D38"/>
    <w:rsid w:val="5A142786"/>
    <w:rsid w:val="5A2B00AB"/>
    <w:rsid w:val="5A3A281E"/>
    <w:rsid w:val="5A3C6AE3"/>
    <w:rsid w:val="5A4C6AB4"/>
    <w:rsid w:val="5A4C6EDF"/>
    <w:rsid w:val="5A517945"/>
    <w:rsid w:val="5A60354C"/>
    <w:rsid w:val="5A684474"/>
    <w:rsid w:val="5A807B8B"/>
    <w:rsid w:val="5A8B483A"/>
    <w:rsid w:val="5A9B3CFD"/>
    <w:rsid w:val="5AAD0BDB"/>
    <w:rsid w:val="5AB10E32"/>
    <w:rsid w:val="5AB87F28"/>
    <w:rsid w:val="5AC44599"/>
    <w:rsid w:val="5ADF07E8"/>
    <w:rsid w:val="5AE979C9"/>
    <w:rsid w:val="5AEC6396"/>
    <w:rsid w:val="5B07328E"/>
    <w:rsid w:val="5B376556"/>
    <w:rsid w:val="5B393C4D"/>
    <w:rsid w:val="5B4165B4"/>
    <w:rsid w:val="5B5F159B"/>
    <w:rsid w:val="5B750D47"/>
    <w:rsid w:val="5B7610DF"/>
    <w:rsid w:val="5B7B1DBC"/>
    <w:rsid w:val="5B820CEA"/>
    <w:rsid w:val="5B830C39"/>
    <w:rsid w:val="5B885B4D"/>
    <w:rsid w:val="5B922527"/>
    <w:rsid w:val="5BC815A9"/>
    <w:rsid w:val="5BDF10EC"/>
    <w:rsid w:val="5BE11AD0"/>
    <w:rsid w:val="5BF65E4A"/>
    <w:rsid w:val="5BFC5DEF"/>
    <w:rsid w:val="5C031C08"/>
    <w:rsid w:val="5C073493"/>
    <w:rsid w:val="5C08313A"/>
    <w:rsid w:val="5C271679"/>
    <w:rsid w:val="5C277A24"/>
    <w:rsid w:val="5C284D5E"/>
    <w:rsid w:val="5C2C3EF8"/>
    <w:rsid w:val="5C2F6D78"/>
    <w:rsid w:val="5C3071E6"/>
    <w:rsid w:val="5C4707B9"/>
    <w:rsid w:val="5C4B1054"/>
    <w:rsid w:val="5C526139"/>
    <w:rsid w:val="5C5675E5"/>
    <w:rsid w:val="5C5F5E7F"/>
    <w:rsid w:val="5C646B0E"/>
    <w:rsid w:val="5C731A7F"/>
    <w:rsid w:val="5C7569AD"/>
    <w:rsid w:val="5C9A5B38"/>
    <w:rsid w:val="5CAF2C03"/>
    <w:rsid w:val="5CD062DF"/>
    <w:rsid w:val="5CD27D37"/>
    <w:rsid w:val="5CD36B2E"/>
    <w:rsid w:val="5CD4779E"/>
    <w:rsid w:val="5CD677DA"/>
    <w:rsid w:val="5CDE27BC"/>
    <w:rsid w:val="5D137532"/>
    <w:rsid w:val="5D157C88"/>
    <w:rsid w:val="5D1E0ED1"/>
    <w:rsid w:val="5D374EE4"/>
    <w:rsid w:val="5D496913"/>
    <w:rsid w:val="5D604E1A"/>
    <w:rsid w:val="5D613ECE"/>
    <w:rsid w:val="5D6A6E55"/>
    <w:rsid w:val="5D76283E"/>
    <w:rsid w:val="5D8306C9"/>
    <w:rsid w:val="5D842A1D"/>
    <w:rsid w:val="5DB20FCB"/>
    <w:rsid w:val="5DB70023"/>
    <w:rsid w:val="5DE51229"/>
    <w:rsid w:val="5DED1994"/>
    <w:rsid w:val="5DF31E43"/>
    <w:rsid w:val="5DF70D68"/>
    <w:rsid w:val="5E021953"/>
    <w:rsid w:val="5E036527"/>
    <w:rsid w:val="5E04757B"/>
    <w:rsid w:val="5E065674"/>
    <w:rsid w:val="5E087B7C"/>
    <w:rsid w:val="5E0E54E0"/>
    <w:rsid w:val="5E1216FE"/>
    <w:rsid w:val="5E207E63"/>
    <w:rsid w:val="5E4565B9"/>
    <w:rsid w:val="5E4B0A93"/>
    <w:rsid w:val="5E7E1766"/>
    <w:rsid w:val="5E8F38D1"/>
    <w:rsid w:val="5E927AEF"/>
    <w:rsid w:val="5E9345EC"/>
    <w:rsid w:val="5E9E29D4"/>
    <w:rsid w:val="5EB37363"/>
    <w:rsid w:val="5EBA5D65"/>
    <w:rsid w:val="5EBF4211"/>
    <w:rsid w:val="5EC4031F"/>
    <w:rsid w:val="5EC6445F"/>
    <w:rsid w:val="5ECE3876"/>
    <w:rsid w:val="5ED50336"/>
    <w:rsid w:val="5ED65319"/>
    <w:rsid w:val="5EDF21E5"/>
    <w:rsid w:val="5EEB5E61"/>
    <w:rsid w:val="5EEE5CC7"/>
    <w:rsid w:val="5EF1586C"/>
    <w:rsid w:val="5F100333"/>
    <w:rsid w:val="5F2141F8"/>
    <w:rsid w:val="5F46047A"/>
    <w:rsid w:val="5F4A68D0"/>
    <w:rsid w:val="5F772160"/>
    <w:rsid w:val="5F7A0801"/>
    <w:rsid w:val="5F843E24"/>
    <w:rsid w:val="5F8D62F8"/>
    <w:rsid w:val="5F9C5723"/>
    <w:rsid w:val="5F9E149B"/>
    <w:rsid w:val="5FA23D09"/>
    <w:rsid w:val="5FA42829"/>
    <w:rsid w:val="5FAF7865"/>
    <w:rsid w:val="5FB5B2C3"/>
    <w:rsid w:val="5FB73F3B"/>
    <w:rsid w:val="5FC67588"/>
    <w:rsid w:val="5FD046CB"/>
    <w:rsid w:val="5FE73D0E"/>
    <w:rsid w:val="60067040"/>
    <w:rsid w:val="6008140F"/>
    <w:rsid w:val="60086F0A"/>
    <w:rsid w:val="601B4A47"/>
    <w:rsid w:val="60217A1A"/>
    <w:rsid w:val="603C0CB4"/>
    <w:rsid w:val="604270E5"/>
    <w:rsid w:val="604D05E2"/>
    <w:rsid w:val="605906E9"/>
    <w:rsid w:val="605F20D7"/>
    <w:rsid w:val="60646418"/>
    <w:rsid w:val="60691264"/>
    <w:rsid w:val="60761A02"/>
    <w:rsid w:val="607704D1"/>
    <w:rsid w:val="6085265B"/>
    <w:rsid w:val="608D24C2"/>
    <w:rsid w:val="609A3072"/>
    <w:rsid w:val="609E371C"/>
    <w:rsid w:val="609E62ED"/>
    <w:rsid w:val="60A76608"/>
    <w:rsid w:val="60A80CA6"/>
    <w:rsid w:val="60B26B24"/>
    <w:rsid w:val="60B322B3"/>
    <w:rsid w:val="60BF1DF9"/>
    <w:rsid w:val="60E94998"/>
    <w:rsid w:val="60EE0218"/>
    <w:rsid w:val="60FA4B1B"/>
    <w:rsid w:val="60FE7FA1"/>
    <w:rsid w:val="610544EA"/>
    <w:rsid w:val="61091E5D"/>
    <w:rsid w:val="610A7CB7"/>
    <w:rsid w:val="611F56E1"/>
    <w:rsid w:val="61353591"/>
    <w:rsid w:val="61477910"/>
    <w:rsid w:val="614B40F4"/>
    <w:rsid w:val="6160227E"/>
    <w:rsid w:val="6162303C"/>
    <w:rsid w:val="616F678F"/>
    <w:rsid w:val="61775741"/>
    <w:rsid w:val="618C32E6"/>
    <w:rsid w:val="61942B31"/>
    <w:rsid w:val="61B17E42"/>
    <w:rsid w:val="61BB3420"/>
    <w:rsid w:val="61D17319"/>
    <w:rsid w:val="61D81473"/>
    <w:rsid w:val="61E33ADD"/>
    <w:rsid w:val="61F77AB6"/>
    <w:rsid w:val="620436BF"/>
    <w:rsid w:val="621078B3"/>
    <w:rsid w:val="62186A15"/>
    <w:rsid w:val="621A2E5F"/>
    <w:rsid w:val="621E68C3"/>
    <w:rsid w:val="621F7BE7"/>
    <w:rsid w:val="6226668F"/>
    <w:rsid w:val="622B7232"/>
    <w:rsid w:val="62322E1F"/>
    <w:rsid w:val="623624F2"/>
    <w:rsid w:val="62406662"/>
    <w:rsid w:val="624A6F2B"/>
    <w:rsid w:val="62577A6A"/>
    <w:rsid w:val="62584960"/>
    <w:rsid w:val="6259394F"/>
    <w:rsid w:val="625B15D8"/>
    <w:rsid w:val="62691671"/>
    <w:rsid w:val="62875AAB"/>
    <w:rsid w:val="62A978CD"/>
    <w:rsid w:val="62BB05B6"/>
    <w:rsid w:val="62BC0D55"/>
    <w:rsid w:val="62BC6E3C"/>
    <w:rsid w:val="62E0150F"/>
    <w:rsid w:val="62E02F60"/>
    <w:rsid w:val="62F35FCA"/>
    <w:rsid w:val="62F526E7"/>
    <w:rsid w:val="63106D5B"/>
    <w:rsid w:val="6332766D"/>
    <w:rsid w:val="63396158"/>
    <w:rsid w:val="633C5B98"/>
    <w:rsid w:val="63430D2A"/>
    <w:rsid w:val="63473BF7"/>
    <w:rsid w:val="634D61C9"/>
    <w:rsid w:val="635C4C57"/>
    <w:rsid w:val="635C750D"/>
    <w:rsid w:val="63674CA4"/>
    <w:rsid w:val="63710DFF"/>
    <w:rsid w:val="63A54F06"/>
    <w:rsid w:val="63AB4186"/>
    <w:rsid w:val="63AD6951"/>
    <w:rsid w:val="63B16962"/>
    <w:rsid w:val="63BA2EDA"/>
    <w:rsid w:val="63CC601E"/>
    <w:rsid w:val="63D719DB"/>
    <w:rsid w:val="63ED4724"/>
    <w:rsid w:val="63F80D94"/>
    <w:rsid w:val="63FC70D8"/>
    <w:rsid w:val="63FF6FFC"/>
    <w:rsid w:val="64001A81"/>
    <w:rsid w:val="64026854"/>
    <w:rsid w:val="642B52C7"/>
    <w:rsid w:val="643C6529"/>
    <w:rsid w:val="643D2B73"/>
    <w:rsid w:val="644857E1"/>
    <w:rsid w:val="644A226C"/>
    <w:rsid w:val="64525187"/>
    <w:rsid w:val="64553A5C"/>
    <w:rsid w:val="6462771D"/>
    <w:rsid w:val="64750A67"/>
    <w:rsid w:val="648F4603"/>
    <w:rsid w:val="64940BBC"/>
    <w:rsid w:val="649D6000"/>
    <w:rsid w:val="64A22D34"/>
    <w:rsid w:val="64B2181C"/>
    <w:rsid w:val="64BD6D1E"/>
    <w:rsid w:val="64CA3146"/>
    <w:rsid w:val="64CF2FBB"/>
    <w:rsid w:val="64D076D0"/>
    <w:rsid w:val="64D25ADC"/>
    <w:rsid w:val="64D8700C"/>
    <w:rsid w:val="64DA642E"/>
    <w:rsid w:val="64FB1BDE"/>
    <w:rsid w:val="651A5F91"/>
    <w:rsid w:val="652C5EB4"/>
    <w:rsid w:val="65362175"/>
    <w:rsid w:val="654B2836"/>
    <w:rsid w:val="6556509D"/>
    <w:rsid w:val="65680726"/>
    <w:rsid w:val="657F58CB"/>
    <w:rsid w:val="658159DC"/>
    <w:rsid w:val="65830371"/>
    <w:rsid w:val="65A76DE5"/>
    <w:rsid w:val="65BA079C"/>
    <w:rsid w:val="65FA1534"/>
    <w:rsid w:val="65FA5D55"/>
    <w:rsid w:val="66020B60"/>
    <w:rsid w:val="660255FB"/>
    <w:rsid w:val="66123D10"/>
    <w:rsid w:val="66133DAB"/>
    <w:rsid w:val="661A16F1"/>
    <w:rsid w:val="661C75BD"/>
    <w:rsid w:val="6635242D"/>
    <w:rsid w:val="663D1055"/>
    <w:rsid w:val="664541E6"/>
    <w:rsid w:val="66474970"/>
    <w:rsid w:val="6648514C"/>
    <w:rsid w:val="664B39FF"/>
    <w:rsid w:val="6663790C"/>
    <w:rsid w:val="66747232"/>
    <w:rsid w:val="667D15A4"/>
    <w:rsid w:val="668215CB"/>
    <w:rsid w:val="66837765"/>
    <w:rsid w:val="668533B4"/>
    <w:rsid w:val="66A129BA"/>
    <w:rsid w:val="66A93610"/>
    <w:rsid w:val="66AB587F"/>
    <w:rsid w:val="66DA1819"/>
    <w:rsid w:val="66DC6F2C"/>
    <w:rsid w:val="66DF04CA"/>
    <w:rsid w:val="66E016CA"/>
    <w:rsid w:val="66E83E34"/>
    <w:rsid w:val="66ED2D08"/>
    <w:rsid w:val="66EF52A5"/>
    <w:rsid w:val="66F30D69"/>
    <w:rsid w:val="66FC72F7"/>
    <w:rsid w:val="670B0931"/>
    <w:rsid w:val="67120309"/>
    <w:rsid w:val="67443AE9"/>
    <w:rsid w:val="67572F8F"/>
    <w:rsid w:val="675E333F"/>
    <w:rsid w:val="67695C49"/>
    <w:rsid w:val="6775322B"/>
    <w:rsid w:val="67893596"/>
    <w:rsid w:val="678A0557"/>
    <w:rsid w:val="67A71109"/>
    <w:rsid w:val="67BF023C"/>
    <w:rsid w:val="67CE55FF"/>
    <w:rsid w:val="67D5557E"/>
    <w:rsid w:val="67E0047E"/>
    <w:rsid w:val="67F6293B"/>
    <w:rsid w:val="67FA187D"/>
    <w:rsid w:val="68142795"/>
    <w:rsid w:val="68336430"/>
    <w:rsid w:val="683A01CF"/>
    <w:rsid w:val="684F4B81"/>
    <w:rsid w:val="685149A2"/>
    <w:rsid w:val="68571975"/>
    <w:rsid w:val="685A79FC"/>
    <w:rsid w:val="68611261"/>
    <w:rsid w:val="686A5EB8"/>
    <w:rsid w:val="688E4077"/>
    <w:rsid w:val="688F672B"/>
    <w:rsid w:val="688F6F87"/>
    <w:rsid w:val="68A17AAF"/>
    <w:rsid w:val="68AC07AB"/>
    <w:rsid w:val="68B027B4"/>
    <w:rsid w:val="68DA74AF"/>
    <w:rsid w:val="68E05863"/>
    <w:rsid w:val="68EE64F5"/>
    <w:rsid w:val="69030B1E"/>
    <w:rsid w:val="69085C0C"/>
    <w:rsid w:val="691378B0"/>
    <w:rsid w:val="6920283B"/>
    <w:rsid w:val="693B41FE"/>
    <w:rsid w:val="6941314D"/>
    <w:rsid w:val="69521130"/>
    <w:rsid w:val="69580133"/>
    <w:rsid w:val="69586E43"/>
    <w:rsid w:val="69662AFA"/>
    <w:rsid w:val="69672C6C"/>
    <w:rsid w:val="696A29B9"/>
    <w:rsid w:val="69770527"/>
    <w:rsid w:val="698222FD"/>
    <w:rsid w:val="6985069B"/>
    <w:rsid w:val="69AD5538"/>
    <w:rsid w:val="69B23C2F"/>
    <w:rsid w:val="69BA1C87"/>
    <w:rsid w:val="69E274C8"/>
    <w:rsid w:val="69E928CE"/>
    <w:rsid w:val="69F4010D"/>
    <w:rsid w:val="69F70652"/>
    <w:rsid w:val="6A065174"/>
    <w:rsid w:val="6A0C7949"/>
    <w:rsid w:val="6A1073EC"/>
    <w:rsid w:val="6A2004CE"/>
    <w:rsid w:val="6A35394F"/>
    <w:rsid w:val="6A4C4802"/>
    <w:rsid w:val="6A5779AC"/>
    <w:rsid w:val="6A6A1708"/>
    <w:rsid w:val="6A6C42F6"/>
    <w:rsid w:val="6A7513A2"/>
    <w:rsid w:val="6A86465B"/>
    <w:rsid w:val="6A8C267C"/>
    <w:rsid w:val="6AA103AC"/>
    <w:rsid w:val="6AA84B5B"/>
    <w:rsid w:val="6AAB3624"/>
    <w:rsid w:val="6AC75641"/>
    <w:rsid w:val="6ACE7ECF"/>
    <w:rsid w:val="6AD55603"/>
    <w:rsid w:val="6ADB14A0"/>
    <w:rsid w:val="6AE22AC5"/>
    <w:rsid w:val="6AE44653"/>
    <w:rsid w:val="6AF42BA2"/>
    <w:rsid w:val="6B047FBB"/>
    <w:rsid w:val="6B1430EB"/>
    <w:rsid w:val="6B184B73"/>
    <w:rsid w:val="6B1B3BDE"/>
    <w:rsid w:val="6B2040B3"/>
    <w:rsid w:val="6B410AE7"/>
    <w:rsid w:val="6B453FFA"/>
    <w:rsid w:val="6B674FF6"/>
    <w:rsid w:val="6B74202F"/>
    <w:rsid w:val="6B81450D"/>
    <w:rsid w:val="6B8558F1"/>
    <w:rsid w:val="6B9416DB"/>
    <w:rsid w:val="6B9568EC"/>
    <w:rsid w:val="6BC71567"/>
    <w:rsid w:val="6BCB1C20"/>
    <w:rsid w:val="6BD10E4A"/>
    <w:rsid w:val="6BD22BED"/>
    <w:rsid w:val="6BE45057"/>
    <w:rsid w:val="6BF62C43"/>
    <w:rsid w:val="6BFB724A"/>
    <w:rsid w:val="6C056342"/>
    <w:rsid w:val="6C1F12F7"/>
    <w:rsid w:val="6C2235BB"/>
    <w:rsid w:val="6C225202"/>
    <w:rsid w:val="6C2358F3"/>
    <w:rsid w:val="6C285F16"/>
    <w:rsid w:val="6C2B087F"/>
    <w:rsid w:val="6C3D08E7"/>
    <w:rsid w:val="6C477DAC"/>
    <w:rsid w:val="6C6E5018"/>
    <w:rsid w:val="6C743C3C"/>
    <w:rsid w:val="6C781324"/>
    <w:rsid w:val="6C787634"/>
    <w:rsid w:val="6CA83A9D"/>
    <w:rsid w:val="6CAE0FC7"/>
    <w:rsid w:val="6CB60E58"/>
    <w:rsid w:val="6CB90ABC"/>
    <w:rsid w:val="6CC17C43"/>
    <w:rsid w:val="6CCC1D14"/>
    <w:rsid w:val="6CE1750C"/>
    <w:rsid w:val="6CE32FE9"/>
    <w:rsid w:val="6CF50CAC"/>
    <w:rsid w:val="6CFA47C3"/>
    <w:rsid w:val="6D013069"/>
    <w:rsid w:val="6D0A4253"/>
    <w:rsid w:val="6D17288C"/>
    <w:rsid w:val="6D234F26"/>
    <w:rsid w:val="6D3D3ABE"/>
    <w:rsid w:val="6D41740F"/>
    <w:rsid w:val="6D5F1476"/>
    <w:rsid w:val="6D6131F6"/>
    <w:rsid w:val="6D6362FF"/>
    <w:rsid w:val="6D6908C9"/>
    <w:rsid w:val="6D891B50"/>
    <w:rsid w:val="6DA0720B"/>
    <w:rsid w:val="6DBA383E"/>
    <w:rsid w:val="6DBC4E4A"/>
    <w:rsid w:val="6DCF2747"/>
    <w:rsid w:val="6DE26E66"/>
    <w:rsid w:val="6DF4133C"/>
    <w:rsid w:val="6DFE0A46"/>
    <w:rsid w:val="6E046D6A"/>
    <w:rsid w:val="6E0A23F1"/>
    <w:rsid w:val="6E0A4EE7"/>
    <w:rsid w:val="6E1D77C2"/>
    <w:rsid w:val="6E1D7D06"/>
    <w:rsid w:val="6E275A60"/>
    <w:rsid w:val="6E2D6A2F"/>
    <w:rsid w:val="6E392AF4"/>
    <w:rsid w:val="6E4B7BC4"/>
    <w:rsid w:val="6E6267FC"/>
    <w:rsid w:val="6E816EBD"/>
    <w:rsid w:val="6E892BF0"/>
    <w:rsid w:val="6E8C1058"/>
    <w:rsid w:val="6E922738"/>
    <w:rsid w:val="6E931C3F"/>
    <w:rsid w:val="6EB0012B"/>
    <w:rsid w:val="6EB849F5"/>
    <w:rsid w:val="6EF2710D"/>
    <w:rsid w:val="6EF93A79"/>
    <w:rsid w:val="6F017A68"/>
    <w:rsid w:val="6F074C7D"/>
    <w:rsid w:val="6F095F3A"/>
    <w:rsid w:val="6F0B3914"/>
    <w:rsid w:val="6F282B2F"/>
    <w:rsid w:val="6F35524C"/>
    <w:rsid w:val="6F3732CE"/>
    <w:rsid w:val="6F4266DF"/>
    <w:rsid w:val="6F881695"/>
    <w:rsid w:val="6F8C16B9"/>
    <w:rsid w:val="6F92194C"/>
    <w:rsid w:val="6F997777"/>
    <w:rsid w:val="6FA56875"/>
    <w:rsid w:val="6FAC2382"/>
    <w:rsid w:val="6FC13DD2"/>
    <w:rsid w:val="6FCD418C"/>
    <w:rsid w:val="6FD35191"/>
    <w:rsid w:val="6FE83720"/>
    <w:rsid w:val="6FEF7D8A"/>
    <w:rsid w:val="6FFD2BE7"/>
    <w:rsid w:val="70006A1E"/>
    <w:rsid w:val="70050220"/>
    <w:rsid w:val="70076EA8"/>
    <w:rsid w:val="702C5E4F"/>
    <w:rsid w:val="703062FD"/>
    <w:rsid w:val="703A2C04"/>
    <w:rsid w:val="70486DDE"/>
    <w:rsid w:val="70556940"/>
    <w:rsid w:val="70677361"/>
    <w:rsid w:val="706A0FD7"/>
    <w:rsid w:val="70762356"/>
    <w:rsid w:val="70827379"/>
    <w:rsid w:val="70846B10"/>
    <w:rsid w:val="708F5CC6"/>
    <w:rsid w:val="70A51E7A"/>
    <w:rsid w:val="70A94695"/>
    <w:rsid w:val="70AE1665"/>
    <w:rsid w:val="70B14DA6"/>
    <w:rsid w:val="70C64C13"/>
    <w:rsid w:val="70CE2A7D"/>
    <w:rsid w:val="70E0118B"/>
    <w:rsid w:val="70F57258"/>
    <w:rsid w:val="710D3A95"/>
    <w:rsid w:val="711376FE"/>
    <w:rsid w:val="7123116D"/>
    <w:rsid w:val="712626A7"/>
    <w:rsid w:val="71295015"/>
    <w:rsid w:val="712F4753"/>
    <w:rsid w:val="71405C9D"/>
    <w:rsid w:val="71605930"/>
    <w:rsid w:val="716A0E09"/>
    <w:rsid w:val="717402AD"/>
    <w:rsid w:val="717F25F9"/>
    <w:rsid w:val="71861D20"/>
    <w:rsid w:val="7186437F"/>
    <w:rsid w:val="71A45894"/>
    <w:rsid w:val="71BA0287"/>
    <w:rsid w:val="71BE7BEA"/>
    <w:rsid w:val="71C933A1"/>
    <w:rsid w:val="71D349C1"/>
    <w:rsid w:val="71D90A58"/>
    <w:rsid w:val="71DF2A49"/>
    <w:rsid w:val="71E96735"/>
    <w:rsid w:val="71EE2413"/>
    <w:rsid w:val="720000E6"/>
    <w:rsid w:val="72034464"/>
    <w:rsid w:val="720C50DD"/>
    <w:rsid w:val="72371BAC"/>
    <w:rsid w:val="723D68C6"/>
    <w:rsid w:val="723E1C92"/>
    <w:rsid w:val="72493B52"/>
    <w:rsid w:val="724A54B2"/>
    <w:rsid w:val="726A35DE"/>
    <w:rsid w:val="726C29D6"/>
    <w:rsid w:val="72812BB6"/>
    <w:rsid w:val="728A58AF"/>
    <w:rsid w:val="72934FF3"/>
    <w:rsid w:val="72992DCB"/>
    <w:rsid w:val="729C0A73"/>
    <w:rsid w:val="72A10AC9"/>
    <w:rsid w:val="72A440B5"/>
    <w:rsid w:val="72B01AB7"/>
    <w:rsid w:val="72BD7A32"/>
    <w:rsid w:val="72BE0926"/>
    <w:rsid w:val="72C405CA"/>
    <w:rsid w:val="72C46B36"/>
    <w:rsid w:val="72E10B87"/>
    <w:rsid w:val="72E17BC5"/>
    <w:rsid w:val="72FB055A"/>
    <w:rsid w:val="72FE1676"/>
    <w:rsid w:val="72FF7DFC"/>
    <w:rsid w:val="730A4D01"/>
    <w:rsid w:val="731A788A"/>
    <w:rsid w:val="731D44F3"/>
    <w:rsid w:val="731D49AA"/>
    <w:rsid w:val="731E1436"/>
    <w:rsid w:val="73283E0D"/>
    <w:rsid w:val="732E26DE"/>
    <w:rsid w:val="7332362C"/>
    <w:rsid w:val="7334325D"/>
    <w:rsid w:val="73350C5E"/>
    <w:rsid w:val="734F0FD2"/>
    <w:rsid w:val="73513CCA"/>
    <w:rsid w:val="73574EBF"/>
    <w:rsid w:val="73581579"/>
    <w:rsid w:val="735A1D60"/>
    <w:rsid w:val="735C724B"/>
    <w:rsid w:val="736A2E27"/>
    <w:rsid w:val="73743E64"/>
    <w:rsid w:val="73922C6D"/>
    <w:rsid w:val="73A21C06"/>
    <w:rsid w:val="73AA4C42"/>
    <w:rsid w:val="73B20E59"/>
    <w:rsid w:val="73B60A10"/>
    <w:rsid w:val="73C05B2F"/>
    <w:rsid w:val="73CA2AC9"/>
    <w:rsid w:val="73CC5B9E"/>
    <w:rsid w:val="73DE05EE"/>
    <w:rsid w:val="74011DAF"/>
    <w:rsid w:val="74251284"/>
    <w:rsid w:val="74355159"/>
    <w:rsid w:val="743B31CD"/>
    <w:rsid w:val="743F3479"/>
    <w:rsid w:val="745049B3"/>
    <w:rsid w:val="74661EF8"/>
    <w:rsid w:val="746F5A57"/>
    <w:rsid w:val="7476433D"/>
    <w:rsid w:val="74795BDB"/>
    <w:rsid w:val="747A3B5C"/>
    <w:rsid w:val="747C0EC2"/>
    <w:rsid w:val="74934977"/>
    <w:rsid w:val="74941B1E"/>
    <w:rsid w:val="74982BC3"/>
    <w:rsid w:val="74A027D8"/>
    <w:rsid w:val="74A369C6"/>
    <w:rsid w:val="74A912D2"/>
    <w:rsid w:val="74D75E35"/>
    <w:rsid w:val="751050E9"/>
    <w:rsid w:val="75130B97"/>
    <w:rsid w:val="75202B2C"/>
    <w:rsid w:val="754247CE"/>
    <w:rsid w:val="755D4111"/>
    <w:rsid w:val="75687183"/>
    <w:rsid w:val="756E4E38"/>
    <w:rsid w:val="757F5E29"/>
    <w:rsid w:val="75A97B92"/>
    <w:rsid w:val="75BE2C13"/>
    <w:rsid w:val="75C867D8"/>
    <w:rsid w:val="75C91681"/>
    <w:rsid w:val="75CC1F36"/>
    <w:rsid w:val="75E834FA"/>
    <w:rsid w:val="75F36ECC"/>
    <w:rsid w:val="75F52AFB"/>
    <w:rsid w:val="760756D8"/>
    <w:rsid w:val="760E676A"/>
    <w:rsid w:val="76226E1B"/>
    <w:rsid w:val="7624764F"/>
    <w:rsid w:val="762C0888"/>
    <w:rsid w:val="762F6D25"/>
    <w:rsid w:val="763E0E8A"/>
    <w:rsid w:val="765C3FDB"/>
    <w:rsid w:val="7667139C"/>
    <w:rsid w:val="76672689"/>
    <w:rsid w:val="76715FC4"/>
    <w:rsid w:val="767D2360"/>
    <w:rsid w:val="768B2490"/>
    <w:rsid w:val="768F2D84"/>
    <w:rsid w:val="769B20F2"/>
    <w:rsid w:val="76A80580"/>
    <w:rsid w:val="76AD7DBE"/>
    <w:rsid w:val="76B36E87"/>
    <w:rsid w:val="76B65EF5"/>
    <w:rsid w:val="76BF19C6"/>
    <w:rsid w:val="76C86371"/>
    <w:rsid w:val="76D95C53"/>
    <w:rsid w:val="76F679B7"/>
    <w:rsid w:val="76FF643E"/>
    <w:rsid w:val="7702635B"/>
    <w:rsid w:val="77027F7F"/>
    <w:rsid w:val="772A380A"/>
    <w:rsid w:val="772B6736"/>
    <w:rsid w:val="774C75D7"/>
    <w:rsid w:val="775A0E70"/>
    <w:rsid w:val="775B2B18"/>
    <w:rsid w:val="775D6AA2"/>
    <w:rsid w:val="77601172"/>
    <w:rsid w:val="77603D4F"/>
    <w:rsid w:val="776C7C79"/>
    <w:rsid w:val="777032C5"/>
    <w:rsid w:val="778E3455"/>
    <w:rsid w:val="778F5D5D"/>
    <w:rsid w:val="7794100B"/>
    <w:rsid w:val="779F63A2"/>
    <w:rsid w:val="77AB6538"/>
    <w:rsid w:val="77BF2F35"/>
    <w:rsid w:val="77BF46A4"/>
    <w:rsid w:val="77E75E53"/>
    <w:rsid w:val="77E80025"/>
    <w:rsid w:val="77EB3293"/>
    <w:rsid w:val="77FD49BF"/>
    <w:rsid w:val="780E5553"/>
    <w:rsid w:val="781007D0"/>
    <w:rsid w:val="78284AA1"/>
    <w:rsid w:val="78335932"/>
    <w:rsid w:val="78342BFE"/>
    <w:rsid w:val="78381BDF"/>
    <w:rsid w:val="783C5C12"/>
    <w:rsid w:val="783F561E"/>
    <w:rsid w:val="784811A2"/>
    <w:rsid w:val="784D6313"/>
    <w:rsid w:val="78627D0B"/>
    <w:rsid w:val="78732237"/>
    <w:rsid w:val="7879264D"/>
    <w:rsid w:val="78930909"/>
    <w:rsid w:val="78935C12"/>
    <w:rsid w:val="78980533"/>
    <w:rsid w:val="789E75C3"/>
    <w:rsid w:val="78AD313F"/>
    <w:rsid w:val="78B01E75"/>
    <w:rsid w:val="78BE05D7"/>
    <w:rsid w:val="78BE5E7F"/>
    <w:rsid w:val="78D5711D"/>
    <w:rsid w:val="78E83B09"/>
    <w:rsid w:val="78EE5162"/>
    <w:rsid w:val="78FA71C1"/>
    <w:rsid w:val="791D12D7"/>
    <w:rsid w:val="79222CE5"/>
    <w:rsid w:val="792339A0"/>
    <w:rsid w:val="79304FC0"/>
    <w:rsid w:val="793150EC"/>
    <w:rsid w:val="79336CA0"/>
    <w:rsid w:val="794530C2"/>
    <w:rsid w:val="79725D75"/>
    <w:rsid w:val="797711F5"/>
    <w:rsid w:val="799678E9"/>
    <w:rsid w:val="79BC1E65"/>
    <w:rsid w:val="79BC691E"/>
    <w:rsid w:val="79C370CC"/>
    <w:rsid w:val="79CB4015"/>
    <w:rsid w:val="79DE4E5E"/>
    <w:rsid w:val="79EA7D45"/>
    <w:rsid w:val="79EC2752"/>
    <w:rsid w:val="7A022DAC"/>
    <w:rsid w:val="7A077D86"/>
    <w:rsid w:val="7A0F6AA3"/>
    <w:rsid w:val="7A29027E"/>
    <w:rsid w:val="7A2B4E0B"/>
    <w:rsid w:val="7A2F1E62"/>
    <w:rsid w:val="7A3000FF"/>
    <w:rsid w:val="7A3D4B0E"/>
    <w:rsid w:val="7A524F0D"/>
    <w:rsid w:val="7A63452C"/>
    <w:rsid w:val="7A7443E6"/>
    <w:rsid w:val="7A8157E9"/>
    <w:rsid w:val="7A820CB5"/>
    <w:rsid w:val="7A8D74A2"/>
    <w:rsid w:val="7AA0686D"/>
    <w:rsid w:val="7AA42764"/>
    <w:rsid w:val="7AB3181F"/>
    <w:rsid w:val="7AB45BBF"/>
    <w:rsid w:val="7AB65491"/>
    <w:rsid w:val="7AC048A7"/>
    <w:rsid w:val="7AEF76CB"/>
    <w:rsid w:val="7B056A7F"/>
    <w:rsid w:val="7B082DB3"/>
    <w:rsid w:val="7B0A12D7"/>
    <w:rsid w:val="7B1743C0"/>
    <w:rsid w:val="7B2429F8"/>
    <w:rsid w:val="7B265958"/>
    <w:rsid w:val="7B332F87"/>
    <w:rsid w:val="7B336BC8"/>
    <w:rsid w:val="7B3E5BD9"/>
    <w:rsid w:val="7B411828"/>
    <w:rsid w:val="7B4229E6"/>
    <w:rsid w:val="7B4C5DF7"/>
    <w:rsid w:val="7B5810C9"/>
    <w:rsid w:val="7B62561B"/>
    <w:rsid w:val="7B664919"/>
    <w:rsid w:val="7B666F72"/>
    <w:rsid w:val="7B681541"/>
    <w:rsid w:val="7B7470FC"/>
    <w:rsid w:val="7B8E13EB"/>
    <w:rsid w:val="7B9C6D7F"/>
    <w:rsid w:val="7BA1297E"/>
    <w:rsid w:val="7BA44318"/>
    <w:rsid w:val="7BAE2D8D"/>
    <w:rsid w:val="7BBE70D0"/>
    <w:rsid w:val="7BC70E87"/>
    <w:rsid w:val="7BD44EE3"/>
    <w:rsid w:val="7BDE7643"/>
    <w:rsid w:val="7BE45866"/>
    <w:rsid w:val="7BEE1EEB"/>
    <w:rsid w:val="7BF40907"/>
    <w:rsid w:val="7C0E12FE"/>
    <w:rsid w:val="7C1728A9"/>
    <w:rsid w:val="7C194DCB"/>
    <w:rsid w:val="7C2036C5"/>
    <w:rsid w:val="7C21033A"/>
    <w:rsid w:val="7C27425D"/>
    <w:rsid w:val="7C330C76"/>
    <w:rsid w:val="7C4C5FDA"/>
    <w:rsid w:val="7C5062E6"/>
    <w:rsid w:val="7C572CA5"/>
    <w:rsid w:val="7C5E7893"/>
    <w:rsid w:val="7C6A2F3B"/>
    <w:rsid w:val="7C76130F"/>
    <w:rsid w:val="7C817D22"/>
    <w:rsid w:val="7C82417D"/>
    <w:rsid w:val="7C886DA3"/>
    <w:rsid w:val="7C8F12C6"/>
    <w:rsid w:val="7C904C17"/>
    <w:rsid w:val="7C992D45"/>
    <w:rsid w:val="7C993C6F"/>
    <w:rsid w:val="7CB44F60"/>
    <w:rsid w:val="7CBE4AD3"/>
    <w:rsid w:val="7CD5583A"/>
    <w:rsid w:val="7CE53197"/>
    <w:rsid w:val="7D0B5714"/>
    <w:rsid w:val="7D1D7B5D"/>
    <w:rsid w:val="7D3F7B43"/>
    <w:rsid w:val="7D412929"/>
    <w:rsid w:val="7D4157D8"/>
    <w:rsid w:val="7D585D08"/>
    <w:rsid w:val="7D6A441D"/>
    <w:rsid w:val="7D742B7F"/>
    <w:rsid w:val="7D79512E"/>
    <w:rsid w:val="7D7B7260"/>
    <w:rsid w:val="7D8557E5"/>
    <w:rsid w:val="7D8B5FF0"/>
    <w:rsid w:val="7D900D66"/>
    <w:rsid w:val="7D9B631F"/>
    <w:rsid w:val="7D9C45E3"/>
    <w:rsid w:val="7D9D2594"/>
    <w:rsid w:val="7DA64309"/>
    <w:rsid w:val="7DCB394B"/>
    <w:rsid w:val="7DD36B30"/>
    <w:rsid w:val="7DD65438"/>
    <w:rsid w:val="7DDC23C7"/>
    <w:rsid w:val="7DE41C45"/>
    <w:rsid w:val="7E1741FF"/>
    <w:rsid w:val="7E183080"/>
    <w:rsid w:val="7E1A6A4C"/>
    <w:rsid w:val="7E1E164C"/>
    <w:rsid w:val="7E236558"/>
    <w:rsid w:val="7E2F1CBD"/>
    <w:rsid w:val="7E310BC1"/>
    <w:rsid w:val="7E336A9D"/>
    <w:rsid w:val="7E3C4EA2"/>
    <w:rsid w:val="7E405738"/>
    <w:rsid w:val="7E510CBD"/>
    <w:rsid w:val="7E5155FB"/>
    <w:rsid w:val="7E54753C"/>
    <w:rsid w:val="7E582E84"/>
    <w:rsid w:val="7E5971A9"/>
    <w:rsid w:val="7E5E609E"/>
    <w:rsid w:val="7E5F5FE3"/>
    <w:rsid w:val="7E6D347C"/>
    <w:rsid w:val="7E7354F5"/>
    <w:rsid w:val="7E943510"/>
    <w:rsid w:val="7E986A37"/>
    <w:rsid w:val="7EDF056C"/>
    <w:rsid w:val="7EEDB6B1"/>
    <w:rsid w:val="7EEF2E28"/>
    <w:rsid w:val="7EF21F47"/>
    <w:rsid w:val="7EF31942"/>
    <w:rsid w:val="7EFB4FD9"/>
    <w:rsid w:val="7EFD2A44"/>
    <w:rsid w:val="7EFE23C7"/>
    <w:rsid w:val="7F011AFE"/>
    <w:rsid w:val="7F0C3BD0"/>
    <w:rsid w:val="7F303107"/>
    <w:rsid w:val="7F33157B"/>
    <w:rsid w:val="7F364DF4"/>
    <w:rsid w:val="7F3D1095"/>
    <w:rsid w:val="7F4327F8"/>
    <w:rsid w:val="7F480CEA"/>
    <w:rsid w:val="7F4E4945"/>
    <w:rsid w:val="7F593BCF"/>
    <w:rsid w:val="7F675F78"/>
    <w:rsid w:val="7F727385"/>
    <w:rsid w:val="7F7741D2"/>
    <w:rsid w:val="7F7C2FEC"/>
    <w:rsid w:val="7F801D46"/>
    <w:rsid w:val="7FBC103A"/>
    <w:rsid w:val="7FE20B4D"/>
    <w:rsid w:val="7FF20382"/>
    <w:rsid w:val="B77F19D3"/>
    <w:rsid w:val="DF6E69CF"/>
    <w:rsid w:val="ED7C43D2"/>
    <w:rsid w:val="F7EB0086"/>
    <w:rsid w:val="FD5FC4D6"/>
    <w:rsid w:val="FFE7245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qFormat="1" w:unhideWhenUsed="0" w:uiPriority="0" w:semiHidden="0" w:name="footnote text"/>
    <w:lsdException w:qFormat="1" w:unhideWhenUsed="0" w:uiPriority="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qFormat="1" w:unhideWhenUsed="0" w:uiPriority="0" w:semiHidden="0" w:name="toa heading"/>
    <w:lsdException w:qFormat="1" w:unhideWhenUsed="0" w:uiPriority="0" w:semiHidden="0" w:name="List"/>
    <w:lsdException w:unhideWhenUsed="0" w:uiPriority="0" w:semiHidden="0" w:name="List Bullet"/>
    <w:lsdException w:uiPriority="0" w:name="List Number"/>
    <w:lsdException w:qFormat="1" w:unhideWhenUsed="0" w:uiPriority="0" w:semiHidden="0" w:name="List 2"/>
    <w:lsdException w:qFormat="1" w:unhideWhenUsed="0" w:uiPriority="0" w:semiHidden="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nhideWhenUsed="0" w:uiPriority="0" w:semiHidden="0" w:name="Normal (Web)"/>
    <w:lsdException w:qFormat="1" w:unhideWhenUsed="0" w:uiPriority="0" w:semiHidden="0" w:name="HTML Acronym"/>
    <w:lsdException w:uiPriority="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4"/>
    <w:link w:val="56"/>
    <w:autoRedefine/>
    <w:qFormat/>
    <w:uiPriority w:val="9"/>
    <w:pPr>
      <w:keepNext/>
      <w:jc w:val="center"/>
      <w:outlineLvl w:val="0"/>
    </w:pPr>
    <w:rPr>
      <w:rFonts w:ascii="楷体_GB2312" w:hAnsi="楷体_GB2312"/>
      <w:b/>
      <w:sz w:val="32"/>
      <w:szCs w:val="32"/>
    </w:rPr>
  </w:style>
  <w:style w:type="paragraph" w:styleId="5">
    <w:name w:val="heading 2"/>
    <w:basedOn w:val="1"/>
    <w:next w:val="4"/>
    <w:link w:val="89"/>
    <w:autoRedefine/>
    <w:qFormat/>
    <w:uiPriority w:val="0"/>
    <w:pPr>
      <w:keepNext/>
      <w:keepLines/>
      <w:spacing w:before="200" w:after="200" w:line="480" w:lineRule="auto"/>
      <w:jc w:val="left"/>
      <w:outlineLvl w:val="1"/>
    </w:pPr>
    <w:rPr>
      <w:rFonts w:ascii="Arial" w:hAnsi="Arial" w:cs="Arial"/>
      <w:b/>
      <w:bCs/>
      <w:sz w:val="30"/>
      <w:szCs w:val="30"/>
    </w:rPr>
  </w:style>
  <w:style w:type="paragraph" w:styleId="6">
    <w:name w:val="heading 3"/>
    <w:basedOn w:val="1"/>
    <w:next w:val="4"/>
    <w:link w:val="84"/>
    <w:autoRedefine/>
    <w:qFormat/>
    <w:uiPriority w:val="0"/>
    <w:pPr>
      <w:keepNext/>
      <w:keepLines/>
      <w:spacing w:before="200" w:after="100" w:line="480" w:lineRule="auto"/>
      <w:jc w:val="left"/>
      <w:outlineLvl w:val="2"/>
    </w:pPr>
    <w:rPr>
      <w:b/>
      <w:bCs/>
      <w:sz w:val="28"/>
      <w:szCs w:val="32"/>
    </w:rPr>
  </w:style>
  <w:style w:type="paragraph" w:styleId="7">
    <w:name w:val="heading 4"/>
    <w:basedOn w:val="1"/>
    <w:next w:val="4"/>
    <w:link w:val="57"/>
    <w:autoRedefine/>
    <w:qFormat/>
    <w:uiPriority w:val="0"/>
    <w:pPr>
      <w:keepNext/>
      <w:keepLines/>
      <w:ind w:firstLine="420" w:firstLineChars="150"/>
      <w:outlineLvl w:val="3"/>
    </w:pPr>
    <w:rPr>
      <w:rFonts w:ascii="Arial" w:hAnsi="Arial" w:cs="Arial"/>
      <w:b/>
      <w:sz w:val="28"/>
      <w:szCs w:val="28"/>
    </w:rPr>
  </w:style>
  <w:style w:type="paragraph" w:styleId="8">
    <w:name w:val="heading 5"/>
    <w:basedOn w:val="1"/>
    <w:next w:val="4"/>
    <w:link w:val="94"/>
    <w:autoRedefine/>
    <w:qFormat/>
    <w:uiPriority w:val="0"/>
    <w:pPr>
      <w:keepNext/>
      <w:autoSpaceDE w:val="0"/>
      <w:autoSpaceDN w:val="0"/>
      <w:adjustRightInd w:val="0"/>
      <w:outlineLvl w:val="4"/>
    </w:pPr>
    <w:rPr>
      <w:rFonts w:ascii="宋体"/>
      <w:color w:val="000000"/>
      <w:kern w:val="0"/>
      <w:sz w:val="28"/>
      <w:szCs w:val="28"/>
    </w:rPr>
  </w:style>
  <w:style w:type="paragraph" w:styleId="9">
    <w:name w:val="heading 6"/>
    <w:basedOn w:val="1"/>
    <w:next w:val="1"/>
    <w:link w:val="85"/>
    <w:autoRedefine/>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styleId="10">
    <w:name w:val="heading 7"/>
    <w:basedOn w:val="1"/>
    <w:next w:val="1"/>
    <w:link w:val="65"/>
    <w:autoRedefine/>
    <w:qFormat/>
    <w:uiPriority w:val="0"/>
    <w:pPr>
      <w:keepNext/>
      <w:keepLines/>
      <w:numPr>
        <w:ilvl w:val="6"/>
        <w:numId w:val="1"/>
      </w:numPr>
      <w:spacing w:before="240" w:after="64" w:line="320" w:lineRule="auto"/>
      <w:outlineLvl w:val="6"/>
    </w:pPr>
    <w:rPr>
      <w:b/>
      <w:bCs/>
      <w:sz w:val="24"/>
      <w:szCs w:val="24"/>
    </w:rPr>
  </w:style>
  <w:style w:type="paragraph" w:styleId="11">
    <w:name w:val="heading 8"/>
    <w:basedOn w:val="1"/>
    <w:next w:val="1"/>
    <w:link w:val="66"/>
    <w:autoRedefine/>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2">
    <w:name w:val="heading 9"/>
    <w:basedOn w:val="1"/>
    <w:next w:val="1"/>
    <w:link w:val="60"/>
    <w:autoRedefine/>
    <w:qFormat/>
    <w:uiPriority w:val="0"/>
    <w:pPr>
      <w:keepNext/>
      <w:keepLines/>
      <w:numPr>
        <w:ilvl w:val="8"/>
        <w:numId w:val="1"/>
      </w:numPr>
      <w:spacing w:before="240" w:after="64" w:line="320" w:lineRule="auto"/>
      <w:outlineLvl w:val="8"/>
    </w:pPr>
    <w:rPr>
      <w:rFonts w:ascii="Arial" w:hAnsi="Arial" w:eastAsia="黑体"/>
    </w:rPr>
  </w:style>
  <w:style w:type="character" w:default="1" w:styleId="40">
    <w:name w:val="Default Paragraph Font"/>
    <w:autoRedefine/>
    <w:semiHidden/>
    <w:unhideWhenUsed/>
    <w:qFormat/>
    <w:uiPriority w:val="1"/>
  </w:style>
  <w:style w:type="table" w:default="1" w:styleId="38">
    <w:name w:val="Normal Table"/>
    <w:autoRedefine/>
    <w:semiHidden/>
    <w:unhideWhenUsed/>
    <w:qFormat/>
    <w:uiPriority w:val="99"/>
    <w:tblPr>
      <w:tblCellMar>
        <w:top w:w="0" w:type="dxa"/>
        <w:left w:w="108" w:type="dxa"/>
        <w:bottom w:w="0" w:type="dxa"/>
        <w:right w:w="108" w:type="dxa"/>
      </w:tblCellMar>
    </w:tblPr>
  </w:style>
  <w:style w:type="paragraph" w:styleId="2">
    <w:name w:val="footnote text"/>
    <w:basedOn w:val="1"/>
    <w:link w:val="206"/>
    <w:autoRedefine/>
    <w:qFormat/>
    <w:uiPriority w:val="0"/>
    <w:pPr>
      <w:snapToGrid w:val="0"/>
      <w:jc w:val="left"/>
    </w:pPr>
    <w:rPr>
      <w:sz w:val="18"/>
    </w:rPr>
  </w:style>
  <w:style w:type="paragraph" w:styleId="4">
    <w:name w:val="Normal Indent"/>
    <w:basedOn w:val="1"/>
    <w:next w:val="1"/>
    <w:link w:val="72"/>
    <w:autoRedefine/>
    <w:qFormat/>
    <w:uiPriority w:val="0"/>
    <w:pPr>
      <w:ind w:firstLine="420"/>
    </w:pPr>
  </w:style>
  <w:style w:type="paragraph" w:styleId="13">
    <w:name w:val="List 3"/>
    <w:basedOn w:val="1"/>
    <w:autoRedefine/>
    <w:qFormat/>
    <w:uiPriority w:val="0"/>
    <w:pPr>
      <w:ind w:left="100" w:leftChars="400" w:hanging="200" w:hangingChars="200"/>
    </w:pPr>
  </w:style>
  <w:style w:type="paragraph" w:styleId="14">
    <w:name w:val="Document Map"/>
    <w:basedOn w:val="1"/>
    <w:link w:val="91"/>
    <w:autoRedefine/>
    <w:semiHidden/>
    <w:qFormat/>
    <w:uiPriority w:val="0"/>
    <w:pPr>
      <w:shd w:val="clear" w:color="auto" w:fill="000080"/>
    </w:pPr>
  </w:style>
  <w:style w:type="paragraph" w:styleId="15">
    <w:name w:val="toa heading"/>
    <w:basedOn w:val="1"/>
    <w:next w:val="1"/>
    <w:autoRedefine/>
    <w:qFormat/>
    <w:uiPriority w:val="0"/>
    <w:pPr>
      <w:spacing w:before="120"/>
    </w:pPr>
    <w:rPr>
      <w:rFonts w:ascii="Cambria" w:hAnsi="Cambria"/>
      <w:sz w:val="24"/>
    </w:rPr>
  </w:style>
  <w:style w:type="paragraph" w:styleId="16">
    <w:name w:val="annotation text"/>
    <w:basedOn w:val="1"/>
    <w:link w:val="205"/>
    <w:autoRedefine/>
    <w:semiHidden/>
    <w:qFormat/>
    <w:uiPriority w:val="0"/>
    <w:pPr>
      <w:jc w:val="left"/>
    </w:pPr>
  </w:style>
  <w:style w:type="paragraph" w:styleId="17">
    <w:name w:val="Body Text 3"/>
    <w:basedOn w:val="1"/>
    <w:link w:val="68"/>
    <w:autoRedefine/>
    <w:qFormat/>
    <w:uiPriority w:val="0"/>
    <w:rPr>
      <w:rFonts w:ascii="仿宋_GB2312" w:hAnsi="Arial" w:eastAsia="仿宋_GB2312"/>
      <w:sz w:val="32"/>
      <w:szCs w:val="32"/>
    </w:rPr>
  </w:style>
  <w:style w:type="paragraph" w:styleId="18">
    <w:name w:val="Body Text"/>
    <w:basedOn w:val="1"/>
    <w:next w:val="1"/>
    <w:link w:val="64"/>
    <w:autoRedefine/>
    <w:qFormat/>
    <w:uiPriority w:val="0"/>
    <w:rPr>
      <w:rFonts w:ascii="楷体_GB2312" w:hAnsi="Arial" w:eastAsia="楷体_GB2312"/>
      <w:sz w:val="28"/>
      <w:szCs w:val="28"/>
    </w:rPr>
  </w:style>
  <w:style w:type="paragraph" w:styleId="19">
    <w:name w:val="Body Text Indent"/>
    <w:basedOn w:val="1"/>
    <w:next w:val="7"/>
    <w:link w:val="70"/>
    <w:autoRedefine/>
    <w:qFormat/>
    <w:uiPriority w:val="0"/>
    <w:pPr>
      <w:ind w:firstLine="645"/>
    </w:pPr>
    <w:rPr>
      <w:rFonts w:ascii="楷体_GB2312" w:eastAsia="楷体_GB2312"/>
      <w:sz w:val="32"/>
      <w:szCs w:val="32"/>
    </w:rPr>
  </w:style>
  <w:style w:type="paragraph" w:styleId="20">
    <w:name w:val="List 2"/>
    <w:basedOn w:val="1"/>
    <w:autoRedefine/>
    <w:qFormat/>
    <w:uiPriority w:val="0"/>
    <w:pPr>
      <w:ind w:left="100" w:leftChars="200" w:hanging="200" w:hangingChars="200"/>
    </w:pPr>
  </w:style>
  <w:style w:type="paragraph" w:styleId="21">
    <w:name w:val="toc 3"/>
    <w:basedOn w:val="22"/>
    <w:next w:val="1"/>
    <w:autoRedefine/>
    <w:qFormat/>
    <w:uiPriority w:val="39"/>
    <w:pPr>
      <w:ind w:left="840" w:leftChars="400"/>
    </w:pPr>
  </w:style>
  <w:style w:type="paragraph" w:styleId="22">
    <w:name w:val="toc 1"/>
    <w:basedOn w:val="1"/>
    <w:next w:val="1"/>
    <w:autoRedefine/>
    <w:unhideWhenUsed/>
    <w:qFormat/>
    <w:uiPriority w:val="39"/>
    <w:pPr>
      <w:widowControl/>
      <w:spacing w:after="100" w:line="259" w:lineRule="auto"/>
      <w:jc w:val="left"/>
    </w:pPr>
    <w:rPr>
      <w:rFonts w:ascii="Calibri" w:hAnsi="Calibri"/>
      <w:kern w:val="0"/>
      <w:sz w:val="22"/>
      <w:szCs w:val="22"/>
    </w:rPr>
  </w:style>
  <w:style w:type="paragraph" w:styleId="23">
    <w:name w:val="Plain Text"/>
    <w:basedOn w:val="1"/>
    <w:link w:val="93"/>
    <w:autoRedefine/>
    <w:qFormat/>
    <w:uiPriority w:val="0"/>
    <w:pPr>
      <w:jc w:val="center"/>
    </w:pPr>
    <w:rPr>
      <w:rFonts w:ascii="宋体" w:hAnsi="Courier New" w:cs="Courier New"/>
      <w:b/>
      <w:sz w:val="24"/>
      <w:szCs w:val="24"/>
    </w:rPr>
  </w:style>
  <w:style w:type="paragraph" w:styleId="24">
    <w:name w:val="Date"/>
    <w:basedOn w:val="1"/>
    <w:next w:val="1"/>
    <w:link w:val="76"/>
    <w:autoRedefine/>
    <w:qFormat/>
    <w:uiPriority w:val="0"/>
    <w:rPr>
      <w:sz w:val="24"/>
      <w:szCs w:val="24"/>
    </w:rPr>
  </w:style>
  <w:style w:type="paragraph" w:styleId="25">
    <w:name w:val="Body Text Indent 2"/>
    <w:basedOn w:val="1"/>
    <w:link w:val="71"/>
    <w:autoRedefine/>
    <w:qFormat/>
    <w:uiPriority w:val="0"/>
    <w:pPr>
      <w:ind w:left="630" w:firstLine="645"/>
    </w:pPr>
    <w:rPr>
      <w:rFonts w:ascii="Arial" w:hAnsi="Arial" w:eastAsia="仿宋_GB2312" w:cs="Arial"/>
      <w:sz w:val="32"/>
      <w:szCs w:val="32"/>
    </w:rPr>
  </w:style>
  <w:style w:type="paragraph" w:styleId="26">
    <w:name w:val="Balloon Text"/>
    <w:basedOn w:val="1"/>
    <w:link w:val="95"/>
    <w:autoRedefine/>
    <w:semiHidden/>
    <w:qFormat/>
    <w:uiPriority w:val="0"/>
    <w:rPr>
      <w:sz w:val="18"/>
      <w:szCs w:val="18"/>
    </w:rPr>
  </w:style>
  <w:style w:type="paragraph" w:styleId="27">
    <w:name w:val="footer"/>
    <w:basedOn w:val="1"/>
    <w:link w:val="69"/>
    <w:autoRedefine/>
    <w:qFormat/>
    <w:uiPriority w:val="99"/>
    <w:pPr>
      <w:tabs>
        <w:tab w:val="center" w:pos="4153"/>
        <w:tab w:val="right" w:pos="8306"/>
      </w:tabs>
      <w:snapToGrid w:val="0"/>
      <w:jc w:val="left"/>
    </w:pPr>
    <w:rPr>
      <w:rFonts w:cs="Symbol"/>
      <w:color w:val="000000" w:themeColor="text1"/>
      <w:sz w:val="18"/>
      <w:szCs w:val="18"/>
    </w:rPr>
  </w:style>
  <w:style w:type="paragraph" w:styleId="28">
    <w:name w:val="header"/>
    <w:basedOn w:val="1"/>
    <w:link w:val="87"/>
    <w:autoRedefine/>
    <w:qFormat/>
    <w:uiPriority w:val="99"/>
    <w:pPr>
      <w:pBdr>
        <w:bottom w:val="single" w:color="auto" w:sz="6" w:space="1"/>
      </w:pBdr>
      <w:tabs>
        <w:tab w:val="center" w:pos="4153"/>
        <w:tab w:val="right" w:pos="8306"/>
      </w:tabs>
      <w:snapToGrid w:val="0"/>
      <w:jc w:val="center"/>
    </w:pPr>
    <w:rPr>
      <w:sz w:val="18"/>
      <w:szCs w:val="18"/>
    </w:rPr>
  </w:style>
  <w:style w:type="paragraph" w:styleId="29">
    <w:name w:val="toc 4"/>
    <w:basedOn w:val="1"/>
    <w:next w:val="1"/>
    <w:autoRedefine/>
    <w:qFormat/>
    <w:uiPriority w:val="39"/>
    <w:pPr>
      <w:ind w:left="960"/>
      <w:jc w:val="left"/>
    </w:pPr>
    <w:rPr>
      <w:rFonts w:ascii="Calibri" w:hAnsi="Calibri"/>
      <w:sz w:val="18"/>
      <w:szCs w:val="18"/>
    </w:rPr>
  </w:style>
  <w:style w:type="paragraph" w:styleId="30">
    <w:name w:val="List"/>
    <w:basedOn w:val="1"/>
    <w:autoRedefine/>
    <w:qFormat/>
    <w:uiPriority w:val="0"/>
    <w:pPr>
      <w:ind w:left="200" w:hanging="200" w:hangingChars="200"/>
    </w:pPr>
  </w:style>
  <w:style w:type="paragraph" w:styleId="31">
    <w:name w:val="Body Text Indent 3"/>
    <w:basedOn w:val="1"/>
    <w:link w:val="86"/>
    <w:autoRedefine/>
    <w:qFormat/>
    <w:uiPriority w:val="0"/>
    <w:pPr>
      <w:ind w:left="645" w:firstLine="645"/>
    </w:pPr>
    <w:rPr>
      <w:rFonts w:ascii="Arial" w:hAnsi="Arial" w:eastAsia="仿宋_GB2312" w:cs="Arial"/>
      <w:color w:val="FFFF00"/>
      <w:sz w:val="32"/>
      <w:szCs w:val="32"/>
    </w:rPr>
  </w:style>
  <w:style w:type="paragraph" w:styleId="32">
    <w:name w:val="toc 2"/>
    <w:basedOn w:val="22"/>
    <w:next w:val="1"/>
    <w:autoRedefine/>
    <w:qFormat/>
    <w:uiPriority w:val="39"/>
    <w:pPr>
      <w:ind w:left="210"/>
    </w:pPr>
    <w:rPr>
      <w:smallCaps/>
      <w:szCs w:val="24"/>
    </w:rPr>
  </w:style>
  <w:style w:type="paragraph" w:styleId="33">
    <w:name w:val="Body Text 2"/>
    <w:basedOn w:val="1"/>
    <w:link w:val="92"/>
    <w:autoRedefine/>
    <w:qFormat/>
    <w:uiPriority w:val="0"/>
    <w:pPr>
      <w:widowControl/>
      <w:jc w:val="center"/>
    </w:pPr>
    <w:rPr>
      <w:rFonts w:ascii="楷体_GB2312" w:eastAsia="楷体_GB2312"/>
      <w:sz w:val="28"/>
      <w:szCs w:val="28"/>
    </w:rPr>
  </w:style>
  <w:style w:type="paragraph" w:styleId="34">
    <w:name w:val="Normal (Web)"/>
    <w:basedOn w:val="1"/>
    <w:next w:val="1"/>
    <w:autoRedefine/>
    <w:qFormat/>
    <w:uiPriority w:val="0"/>
    <w:pPr>
      <w:widowControl/>
      <w:spacing w:before="100" w:beforeAutospacing="1" w:after="100" w:afterAutospacing="1"/>
      <w:jc w:val="left"/>
    </w:pPr>
    <w:rPr>
      <w:rFonts w:ascii="宋体" w:hAnsi="宋体" w:cs="宋体"/>
      <w:kern w:val="0"/>
      <w:sz w:val="24"/>
      <w:szCs w:val="24"/>
    </w:rPr>
  </w:style>
  <w:style w:type="paragraph" w:styleId="35">
    <w:name w:val="annotation subject"/>
    <w:basedOn w:val="16"/>
    <w:next w:val="16"/>
    <w:link w:val="88"/>
    <w:autoRedefine/>
    <w:semiHidden/>
    <w:qFormat/>
    <w:uiPriority w:val="0"/>
    <w:rPr>
      <w:b/>
      <w:bCs/>
    </w:rPr>
  </w:style>
  <w:style w:type="paragraph" w:styleId="36">
    <w:name w:val="Body Text First Indent"/>
    <w:basedOn w:val="18"/>
    <w:link w:val="90"/>
    <w:autoRedefine/>
    <w:qFormat/>
    <w:uiPriority w:val="0"/>
    <w:pPr>
      <w:spacing w:line="360" w:lineRule="auto"/>
      <w:ind w:firstLine="200" w:firstLineChars="200"/>
    </w:pPr>
    <w:rPr>
      <w:rFonts w:ascii="仿宋_GB2312" w:eastAsia="仿宋_GB2312"/>
      <w:sz w:val="30"/>
      <w:szCs w:val="30"/>
    </w:rPr>
  </w:style>
  <w:style w:type="paragraph" w:styleId="37">
    <w:name w:val="Body Text First Indent 2"/>
    <w:basedOn w:val="19"/>
    <w:next w:val="18"/>
    <w:link w:val="73"/>
    <w:autoRedefine/>
    <w:qFormat/>
    <w:uiPriority w:val="0"/>
    <w:pPr>
      <w:spacing w:line="360" w:lineRule="auto"/>
      <w:ind w:firstLine="420" w:firstLineChars="200"/>
    </w:pPr>
    <w:rPr>
      <w:rFonts w:ascii="宋体" w:hAnsi="宋体" w:eastAsia="宋体"/>
      <w:sz w:val="21"/>
      <w:szCs w:val="20"/>
    </w:rPr>
  </w:style>
  <w:style w:type="table" w:styleId="39">
    <w:name w:val="Table Grid"/>
    <w:basedOn w:val="38"/>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1">
    <w:name w:val="Strong"/>
    <w:basedOn w:val="40"/>
    <w:autoRedefine/>
    <w:qFormat/>
    <w:uiPriority w:val="0"/>
    <w:rPr>
      <w:b/>
      <w:bCs/>
    </w:rPr>
  </w:style>
  <w:style w:type="character" w:styleId="42">
    <w:name w:val="page number"/>
    <w:basedOn w:val="40"/>
    <w:autoRedefine/>
    <w:qFormat/>
    <w:uiPriority w:val="0"/>
  </w:style>
  <w:style w:type="character" w:styleId="43">
    <w:name w:val="FollowedHyperlink"/>
    <w:autoRedefine/>
    <w:qFormat/>
    <w:uiPriority w:val="99"/>
    <w:rPr>
      <w:color w:val="800080"/>
      <w:u w:val="single"/>
    </w:rPr>
  </w:style>
  <w:style w:type="character" w:styleId="44">
    <w:name w:val="Emphasis"/>
    <w:basedOn w:val="40"/>
    <w:autoRedefine/>
    <w:qFormat/>
    <w:uiPriority w:val="0"/>
  </w:style>
  <w:style w:type="character" w:styleId="45">
    <w:name w:val="HTML Definition"/>
    <w:basedOn w:val="40"/>
    <w:autoRedefine/>
    <w:qFormat/>
    <w:uiPriority w:val="0"/>
  </w:style>
  <w:style w:type="character" w:styleId="46">
    <w:name w:val="HTML Typewriter"/>
    <w:basedOn w:val="40"/>
    <w:autoRedefine/>
    <w:qFormat/>
    <w:uiPriority w:val="0"/>
    <w:rPr>
      <w:rFonts w:hint="default" w:ascii="monospace" w:hAnsi="monospace" w:eastAsia="monospace" w:cs="monospace"/>
      <w:sz w:val="20"/>
    </w:rPr>
  </w:style>
  <w:style w:type="character" w:styleId="47">
    <w:name w:val="HTML Acronym"/>
    <w:basedOn w:val="40"/>
    <w:autoRedefine/>
    <w:qFormat/>
    <w:uiPriority w:val="0"/>
  </w:style>
  <w:style w:type="character" w:styleId="48">
    <w:name w:val="HTML Variable"/>
    <w:basedOn w:val="40"/>
    <w:autoRedefine/>
    <w:qFormat/>
    <w:uiPriority w:val="0"/>
  </w:style>
  <w:style w:type="character" w:styleId="49">
    <w:name w:val="Hyperlink"/>
    <w:autoRedefine/>
    <w:qFormat/>
    <w:uiPriority w:val="99"/>
    <w:rPr>
      <w:color w:val="0000FF"/>
      <w:u w:val="single"/>
    </w:rPr>
  </w:style>
  <w:style w:type="character" w:styleId="50">
    <w:name w:val="HTML Code"/>
    <w:basedOn w:val="40"/>
    <w:autoRedefine/>
    <w:qFormat/>
    <w:uiPriority w:val="0"/>
    <w:rPr>
      <w:rFonts w:hint="default" w:ascii="monospace" w:hAnsi="monospace" w:eastAsia="monospace" w:cs="monospace"/>
      <w:sz w:val="20"/>
    </w:rPr>
  </w:style>
  <w:style w:type="character" w:styleId="51">
    <w:name w:val="annotation reference"/>
    <w:autoRedefine/>
    <w:qFormat/>
    <w:uiPriority w:val="0"/>
    <w:rPr>
      <w:sz w:val="21"/>
      <w:szCs w:val="21"/>
    </w:rPr>
  </w:style>
  <w:style w:type="character" w:styleId="52">
    <w:name w:val="HTML Cite"/>
    <w:basedOn w:val="40"/>
    <w:autoRedefine/>
    <w:qFormat/>
    <w:uiPriority w:val="0"/>
  </w:style>
  <w:style w:type="character" w:styleId="53">
    <w:name w:val="HTML Keyboard"/>
    <w:basedOn w:val="40"/>
    <w:autoRedefine/>
    <w:qFormat/>
    <w:uiPriority w:val="0"/>
    <w:rPr>
      <w:rFonts w:hint="default" w:ascii="monospace" w:hAnsi="monospace" w:eastAsia="monospace" w:cs="monospace"/>
      <w:sz w:val="20"/>
    </w:rPr>
  </w:style>
  <w:style w:type="character" w:styleId="54">
    <w:name w:val="HTML Sample"/>
    <w:basedOn w:val="40"/>
    <w:autoRedefine/>
    <w:qFormat/>
    <w:uiPriority w:val="0"/>
    <w:rPr>
      <w:rFonts w:ascii="monospace" w:hAnsi="monospace" w:eastAsia="monospace" w:cs="monospace"/>
    </w:rPr>
  </w:style>
  <w:style w:type="paragraph" w:customStyle="1" w:styleId="55">
    <w:name w:val="Heading2"/>
    <w:basedOn w:val="1"/>
    <w:next w:val="1"/>
    <w:autoRedefine/>
    <w:qFormat/>
    <w:uiPriority w:val="0"/>
    <w:pPr>
      <w:keepNext/>
      <w:keepLines/>
      <w:numPr>
        <w:ilvl w:val="1"/>
        <w:numId w:val="2"/>
      </w:numPr>
      <w:spacing w:before="260" w:after="260" w:line="416" w:lineRule="auto"/>
    </w:pPr>
    <w:rPr>
      <w:rFonts w:ascii="宋体" w:hAnsi="宋体"/>
      <w:b/>
      <w:bCs/>
      <w:sz w:val="32"/>
      <w:szCs w:val="32"/>
    </w:rPr>
  </w:style>
  <w:style w:type="character" w:customStyle="1" w:styleId="56">
    <w:name w:val="标题 1 Char"/>
    <w:link w:val="3"/>
    <w:autoRedefine/>
    <w:qFormat/>
    <w:uiPriority w:val="9"/>
    <w:rPr>
      <w:rFonts w:ascii="楷体_GB2312" w:hAnsi="楷体_GB2312" w:eastAsia="宋体"/>
      <w:b/>
      <w:kern w:val="2"/>
      <w:sz w:val="32"/>
      <w:szCs w:val="32"/>
      <w:lang w:val="en-US" w:eastAsia="zh-CN" w:bidi="ar-SA"/>
    </w:rPr>
  </w:style>
  <w:style w:type="character" w:customStyle="1" w:styleId="57">
    <w:name w:val="标题 4 Char"/>
    <w:link w:val="7"/>
    <w:autoRedefine/>
    <w:qFormat/>
    <w:uiPriority w:val="0"/>
    <w:rPr>
      <w:rFonts w:ascii="Arial" w:hAnsi="Arial" w:eastAsia="宋体" w:cs="Arial"/>
      <w:b/>
      <w:kern w:val="2"/>
      <w:sz w:val="28"/>
      <w:szCs w:val="28"/>
      <w:lang w:val="en-US" w:eastAsia="zh-CN" w:bidi="ar-SA"/>
    </w:rPr>
  </w:style>
  <w:style w:type="paragraph" w:customStyle="1" w:styleId="58">
    <w:name w:val="标题 5（有编号）（绿盟科技）"/>
    <w:basedOn w:val="1"/>
    <w:next w:val="59"/>
    <w:autoRedefine/>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59">
    <w:name w:val="正文（绿盟科技）"/>
    <w:autoRedefine/>
    <w:qFormat/>
    <w:uiPriority w:val="0"/>
    <w:pPr>
      <w:spacing w:line="300" w:lineRule="auto"/>
    </w:pPr>
    <w:rPr>
      <w:rFonts w:ascii="Arial" w:hAnsi="Arial" w:eastAsia="宋体" w:cs="黑体"/>
      <w:sz w:val="21"/>
      <w:szCs w:val="21"/>
      <w:lang w:val="en-US" w:eastAsia="zh-CN" w:bidi="ar-SA"/>
    </w:rPr>
  </w:style>
  <w:style w:type="character" w:customStyle="1" w:styleId="60">
    <w:name w:val="标题 9 Char"/>
    <w:link w:val="12"/>
    <w:autoRedefine/>
    <w:qFormat/>
    <w:uiPriority w:val="0"/>
    <w:rPr>
      <w:rFonts w:ascii="Arial" w:hAnsi="Arial" w:eastAsia="黑体"/>
      <w:kern w:val="2"/>
      <w:sz w:val="21"/>
      <w:szCs w:val="21"/>
      <w:lang w:val="en-US" w:eastAsia="zh-CN" w:bidi="ar-SA"/>
    </w:rPr>
  </w:style>
  <w:style w:type="character" w:customStyle="1" w:styleId="61">
    <w:name w:val="正文缩进 Char"/>
    <w:autoRedefine/>
    <w:qFormat/>
    <w:uiPriority w:val="0"/>
    <w:rPr>
      <w:kern w:val="2"/>
      <w:sz w:val="21"/>
      <w:szCs w:val="21"/>
    </w:rPr>
  </w:style>
  <w:style w:type="character" w:customStyle="1" w:styleId="62">
    <w:name w:val="列出段落 Char"/>
    <w:link w:val="63"/>
    <w:autoRedefine/>
    <w:qFormat/>
    <w:locked/>
    <w:uiPriority w:val="0"/>
    <w:rPr>
      <w:rFonts w:ascii="Calibri" w:hAnsi="Calibri"/>
      <w:sz w:val="24"/>
      <w:szCs w:val="24"/>
      <w:lang w:eastAsia="en-US" w:bidi="en-US"/>
    </w:rPr>
  </w:style>
  <w:style w:type="paragraph" w:customStyle="1" w:styleId="63">
    <w:name w:val="列出段落11"/>
    <w:basedOn w:val="1"/>
    <w:link w:val="62"/>
    <w:autoRedefine/>
    <w:qFormat/>
    <w:uiPriority w:val="0"/>
    <w:pPr>
      <w:widowControl/>
      <w:ind w:left="720"/>
      <w:contextualSpacing/>
      <w:jc w:val="left"/>
    </w:pPr>
    <w:rPr>
      <w:rFonts w:ascii="Calibri" w:hAnsi="Calibri"/>
      <w:kern w:val="0"/>
      <w:sz w:val="24"/>
      <w:szCs w:val="24"/>
      <w:lang w:eastAsia="en-US" w:bidi="en-US"/>
    </w:rPr>
  </w:style>
  <w:style w:type="character" w:customStyle="1" w:styleId="64">
    <w:name w:val="正文文本 Char"/>
    <w:link w:val="18"/>
    <w:autoRedefine/>
    <w:qFormat/>
    <w:uiPriority w:val="0"/>
    <w:rPr>
      <w:rFonts w:ascii="楷体_GB2312" w:hAnsi="Arial" w:eastAsia="楷体_GB2312"/>
      <w:kern w:val="2"/>
      <w:sz w:val="28"/>
      <w:szCs w:val="28"/>
      <w:lang w:val="en-US" w:eastAsia="zh-CN" w:bidi="ar-SA"/>
    </w:rPr>
  </w:style>
  <w:style w:type="character" w:customStyle="1" w:styleId="65">
    <w:name w:val="标题 7 Char"/>
    <w:link w:val="10"/>
    <w:autoRedefine/>
    <w:qFormat/>
    <w:uiPriority w:val="0"/>
    <w:rPr>
      <w:rFonts w:eastAsia="宋体"/>
      <w:b/>
      <w:bCs/>
      <w:kern w:val="2"/>
      <w:sz w:val="24"/>
      <w:szCs w:val="24"/>
      <w:lang w:val="en-US" w:eastAsia="zh-CN" w:bidi="ar-SA"/>
    </w:rPr>
  </w:style>
  <w:style w:type="character" w:customStyle="1" w:styleId="66">
    <w:name w:val="标题 8 Char"/>
    <w:link w:val="11"/>
    <w:autoRedefine/>
    <w:qFormat/>
    <w:uiPriority w:val="0"/>
    <w:rPr>
      <w:rFonts w:ascii="Arial" w:hAnsi="Arial" w:eastAsia="黑体"/>
      <w:kern w:val="2"/>
      <w:sz w:val="24"/>
      <w:szCs w:val="24"/>
      <w:lang w:val="en-US" w:eastAsia="zh-CN" w:bidi="ar-SA"/>
    </w:rPr>
  </w:style>
  <w:style w:type="character" w:customStyle="1" w:styleId="67">
    <w:name w:val="正文首行缩进 Char"/>
    <w:autoRedefine/>
    <w:qFormat/>
    <w:uiPriority w:val="0"/>
    <w:rPr>
      <w:rFonts w:ascii="仿宋_GB2312" w:hAnsi="Times New Roman" w:eastAsia="仿宋_GB2312" w:cs="Times New Roman"/>
      <w:kern w:val="2"/>
      <w:sz w:val="30"/>
      <w:szCs w:val="30"/>
    </w:rPr>
  </w:style>
  <w:style w:type="character" w:customStyle="1" w:styleId="68">
    <w:name w:val="正文文本 3 Char"/>
    <w:link w:val="17"/>
    <w:autoRedefine/>
    <w:qFormat/>
    <w:uiPriority w:val="0"/>
    <w:rPr>
      <w:rFonts w:ascii="仿宋_GB2312" w:hAnsi="Arial" w:eastAsia="仿宋_GB2312"/>
      <w:kern w:val="2"/>
      <w:sz w:val="32"/>
      <w:szCs w:val="32"/>
      <w:lang w:val="en-US" w:eastAsia="zh-CN" w:bidi="ar-SA"/>
    </w:rPr>
  </w:style>
  <w:style w:type="character" w:customStyle="1" w:styleId="69">
    <w:name w:val="页脚 Char"/>
    <w:link w:val="27"/>
    <w:autoRedefine/>
    <w:qFormat/>
    <w:uiPriority w:val="99"/>
    <w:rPr>
      <w:rFonts w:eastAsia="宋体" w:cs="Symbol"/>
      <w:color w:val="000000" w:themeColor="text1"/>
      <w:kern w:val="2"/>
      <w:sz w:val="18"/>
      <w:szCs w:val="18"/>
      <w:lang w:bidi="ar-SA"/>
    </w:rPr>
  </w:style>
  <w:style w:type="character" w:customStyle="1" w:styleId="70">
    <w:name w:val="正文文本缩进 Char"/>
    <w:link w:val="19"/>
    <w:autoRedefine/>
    <w:qFormat/>
    <w:uiPriority w:val="0"/>
    <w:rPr>
      <w:rFonts w:ascii="楷体_GB2312" w:eastAsia="楷体_GB2312"/>
      <w:kern w:val="2"/>
      <w:sz w:val="32"/>
      <w:szCs w:val="32"/>
      <w:lang w:val="en-US" w:eastAsia="zh-CN" w:bidi="ar-SA"/>
    </w:rPr>
  </w:style>
  <w:style w:type="character" w:customStyle="1" w:styleId="71">
    <w:name w:val="正文文本缩进 2 Char"/>
    <w:link w:val="25"/>
    <w:autoRedefine/>
    <w:qFormat/>
    <w:uiPriority w:val="0"/>
    <w:rPr>
      <w:rFonts w:ascii="Arial" w:hAnsi="Arial" w:eastAsia="仿宋_GB2312" w:cs="Arial"/>
      <w:kern w:val="2"/>
      <w:sz w:val="32"/>
      <w:szCs w:val="32"/>
      <w:lang w:val="en-US" w:eastAsia="zh-CN" w:bidi="ar-SA"/>
    </w:rPr>
  </w:style>
  <w:style w:type="character" w:customStyle="1" w:styleId="72">
    <w:name w:val="正文缩进 Char1"/>
    <w:link w:val="4"/>
    <w:autoRedefine/>
    <w:qFormat/>
    <w:uiPriority w:val="0"/>
    <w:rPr>
      <w:rFonts w:eastAsia="宋体"/>
      <w:kern w:val="2"/>
      <w:sz w:val="21"/>
      <w:szCs w:val="21"/>
      <w:lang w:bidi="ar-SA"/>
    </w:rPr>
  </w:style>
  <w:style w:type="character" w:customStyle="1" w:styleId="73">
    <w:name w:val="正文首行缩进 2 Char"/>
    <w:link w:val="37"/>
    <w:autoRedefine/>
    <w:qFormat/>
    <w:uiPriority w:val="0"/>
    <w:rPr>
      <w:rFonts w:ascii="宋体" w:hAnsi="宋体" w:eastAsia="宋体"/>
      <w:kern w:val="2"/>
      <w:sz w:val="21"/>
      <w:lang w:val="en-US" w:eastAsia="zh-CN" w:bidi="ar-SA"/>
    </w:rPr>
  </w:style>
  <w:style w:type="character" w:customStyle="1" w:styleId="74">
    <w:name w:val="正文首行缩进（qhb） Char"/>
    <w:link w:val="75"/>
    <w:autoRedefine/>
    <w:qFormat/>
    <w:uiPriority w:val="0"/>
    <w:rPr>
      <w:rFonts w:ascii="Arial" w:hAnsi="Arial"/>
      <w:sz w:val="24"/>
      <w:szCs w:val="21"/>
    </w:rPr>
  </w:style>
  <w:style w:type="paragraph" w:customStyle="1" w:styleId="75">
    <w:name w:val="正文首行缩进（qhb）"/>
    <w:basedOn w:val="1"/>
    <w:link w:val="74"/>
    <w:autoRedefine/>
    <w:qFormat/>
    <w:uiPriority w:val="0"/>
    <w:pPr>
      <w:widowControl/>
      <w:spacing w:after="50" w:line="360" w:lineRule="auto"/>
      <w:ind w:firstLine="200" w:firstLineChars="200"/>
      <w:jc w:val="left"/>
    </w:pPr>
    <w:rPr>
      <w:rFonts w:ascii="Arial" w:hAnsi="Arial"/>
      <w:kern w:val="0"/>
      <w:sz w:val="24"/>
    </w:rPr>
  </w:style>
  <w:style w:type="character" w:customStyle="1" w:styleId="76">
    <w:name w:val="日期 Char"/>
    <w:link w:val="24"/>
    <w:autoRedefine/>
    <w:qFormat/>
    <w:uiPriority w:val="0"/>
    <w:rPr>
      <w:rFonts w:eastAsia="宋体"/>
      <w:kern w:val="2"/>
      <w:sz w:val="24"/>
      <w:szCs w:val="24"/>
      <w:lang w:val="en-US" w:eastAsia="zh-CN" w:bidi="ar-SA"/>
    </w:rPr>
  </w:style>
  <w:style w:type="character" w:customStyle="1" w:styleId="77">
    <w:name w:val="font5 Char"/>
    <w:autoRedefine/>
    <w:qFormat/>
    <w:uiPriority w:val="0"/>
    <w:rPr>
      <w:rFonts w:ascii="宋体" w:hAnsi="宋体" w:eastAsia="宋体"/>
      <w:sz w:val="28"/>
      <w:szCs w:val="28"/>
      <w:lang w:val="en-US" w:eastAsia="zh-CN" w:bidi="ar-SA"/>
    </w:rPr>
  </w:style>
  <w:style w:type="character" w:customStyle="1" w:styleId="78">
    <w:name w:val="Char Char2"/>
    <w:autoRedefine/>
    <w:qFormat/>
    <w:uiPriority w:val="0"/>
    <w:rPr>
      <w:rFonts w:ascii="Times New Roman" w:hAnsi="Times New Roman" w:eastAsia="宋体" w:cs="Times New Roman"/>
      <w:szCs w:val="21"/>
    </w:rPr>
  </w:style>
  <w:style w:type="character" w:customStyle="1" w:styleId="79">
    <w:name w:val="正文格式 Char"/>
    <w:link w:val="80"/>
    <w:autoRedefine/>
    <w:qFormat/>
    <w:uiPriority w:val="0"/>
    <w:rPr>
      <w:rFonts w:eastAsia="仿宋_GB2312"/>
      <w:sz w:val="28"/>
      <w:lang w:bidi="ar-SA"/>
    </w:rPr>
  </w:style>
  <w:style w:type="paragraph" w:customStyle="1" w:styleId="80">
    <w:name w:val="正文格式"/>
    <w:basedOn w:val="1"/>
    <w:link w:val="79"/>
    <w:autoRedefine/>
    <w:qFormat/>
    <w:uiPriority w:val="0"/>
    <w:pPr>
      <w:widowControl/>
      <w:adjustRightInd w:val="0"/>
      <w:snapToGrid w:val="0"/>
      <w:spacing w:before="100" w:beforeAutospacing="1" w:line="360" w:lineRule="auto"/>
      <w:ind w:firstLine="200" w:firstLineChars="200"/>
      <w:textAlignment w:val="baseline"/>
    </w:pPr>
    <w:rPr>
      <w:rFonts w:eastAsia="仿宋_GB2312"/>
      <w:kern w:val="0"/>
      <w:sz w:val="28"/>
      <w:szCs w:val="20"/>
    </w:rPr>
  </w:style>
  <w:style w:type="character" w:customStyle="1" w:styleId="81">
    <w:name w:val="二级目录 Char"/>
    <w:link w:val="82"/>
    <w:autoRedefine/>
    <w:qFormat/>
    <w:uiPriority w:val="0"/>
    <w:rPr>
      <w:rFonts w:eastAsia="Times New Roman"/>
      <w:b/>
      <w:kern w:val="2"/>
      <w:sz w:val="30"/>
      <w:szCs w:val="28"/>
      <w:lang w:val="en-US" w:eastAsia="zh-CN" w:bidi="ar-SA"/>
    </w:rPr>
  </w:style>
  <w:style w:type="paragraph" w:customStyle="1" w:styleId="82">
    <w:name w:val="二级目录"/>
    <w:next w:val="1"/>
    <w:link w:val="81"/>
    <w:autoRedefine/>
    <w:qFormat/>
    <w:uiPriority w:val="0"/>
    <w:pPr>
      <w:tabs>
        <w:tab w:val="left" w:pos="907"/>
        <w:tab w:val="left" w:pos="1145"/>
      </w:tabs>
      <w:ind w:left="907" w:hanging="907"/>
      <w:outlineLvl w:val="1"/>
    </w:pPr>
    <w:rPr>
      <w:rFonts w:ascii="Times New Roman" w:hAnsi="Times New Roman" w:eastAsia="Times New Roman" w:cs="Times New Roman"/>
      <w:b/>
      <w:kern w:val="2"/>
      <w:sz w:val="30"/>
      <w:szCs w:val="28"/>
      <w:lang w:val="en-US" w:eastAsia="zh-CN" w:bidi="ar-SA"/>
    </w:rPr>
  </w:style>
  <w:style w:type="character" w:customStyle="1" w:styleId="83">
    <w:name w:val="Char Char6"/>
    <w:autoRedefine/>
    <w:qFormat/>
    <w:uiPriority w:val="0"/>
    <w:rPr>
      <w:rFonts w:ascii="Times New Roman" w:hAnsi="Times New Roman" w:eastAsia="宋体" w:cs="Times New Roman"/>
      <w:sz w:val="18"/>
      <w:szCs w:val="18"/>
    </w:rPr>
  </w:style>
  <w:style w:type="character" w:customStyle="1" w:styleId="84">
    <w:name w:val="标题 3 Char"/>
    <w:link w:val="6"/>
    <w:autoRedefine/>
    <w:qFormat/>
    <w:uiPriority w:val="0"/>
    <w:rPr>
      <w:rFonts w:ascii="Times New Roman" w:hAnsi="Times New Roman" w:eastAsia="宋体"/>
      <w:b/>
      <w:bCs/>
      <w:kern w:val="2"/>
      <w:sz w:val="28"/>
      <w:szCs w:val="32"/>
      <w:lang w:val="en-US" w:eastAsia="zh-CN" w:bidi="ar-SA"/>
    </w:rPr>
  </w:style>
  <w:style w:type="character" w:customStyle="1" w:styleId="85">
    <w:name w:val="标题 6 Char"/>
    <w:link w:val="9"/>
    <w:autoRedefine/>
    <w:qFormat/>
    <w:uiPriority w:val="0"/>
    <w:rPr>
      <w:rFonts w:ascii="Arial" w:hAnsi="Arial" w:eastAsia="黑体"/>
      <w:b/>
      <w:bCs/>
      <w:kern w:val="2"/>
      <w:sz w:val="24"/>
      <w:szCs w:val="24"/>
      <w:lang w:val="en-US" w:eastAsia="zh-CN" w:bidi="ar-SA"/>
    </w:rPr>
  </w:style>
  <w:style w:type="character" w:customStyle="1" w:styleId="86">
    <w:name w:val="正文文本缩进 3 Char"/>
    <w:link w:val="31"/>
    <w:autoRedefine/>
    <w:qFormat/>
    <w:uiPriority w:val="0"/>
    <w:rPr>
      <w:rFonts w:ascii="Arial" w:hAnsi="Arial" w:eastAsia="仿宋_GB2312" w:cs="Arial"/>
      <w:color w:val="FFFF00"/>
      <w:kern w:val="2"/>
      <w:sz w:val="32"/>
      <w:szCs w:val="32"/>
      <w:lang w:val="en-US" w:eastAsia="zh-CN" w:bidi="ar-SA"/>
    </w:rPr>
  </w:style>
  <w:style w:type="character" w:customStyle="1" w:styleId="87">
    <w:name w:val="页眉 Char"/>
    <w:link w:val="28"/>
    <w:autoRedefine/>
    <w:qFormat/>
    <w:uiPriority w:val="99"/>
    <w:rPr>
      <w:rFonts w:eastAsia="宋体"/>
      <w:kern w:val="2"/>
      <w:sz w:val="18"/>
      <w:szCs w:val="18"/>
      <w:lang w:val="en-US" w:eastAsia="zh-CN" w:bidi="ar-SA"/>
    </w:rPr>
  </w:style>
  <w:style w:type="character" w:customStyle="1" w:styleId="88">
    <w:name w:val="批注主题 Char"/>
    <w:link w:val="35"/>
    <w:autoRedefine/>
    <w:semiHidden/>
    <w:qFormat/>
    <w:uiPriority w:val="0"/>
    <w:rPr>
      <w:rFonts w:eastAsia="宋体"/>
      <w:b/>
      <w:bCs/>
      <w:kern w:val="2"/>
      <w:sz w:val="21"/>
      <w:szCs w:val="21"/>
      <w:lang w:val="en-US" w:eastAsia="zh-CN" w:bidi="ar-SA"/>
    </w:rPr>
  </w:style>
  <w:style w:type="character" w:customStyle="1" w:styleId="89">
    <w:name w:val="标题 2 Char"/>
    <w:link w:val="5"/>
    <w:autoRedefine/>
    <w:qFormat/>
    <w:uiPriority w:val="0"/>
    <w:rPr>
      <w:rFonts w:ascii="Arial" w:hAnsi="Arial" w:eastAsia="宋体" w:cs="Arial"/>
      <w:b/>
      <w:bCs/>
      <w:kern w:val="2"/>
      <w:sz w:val="30"/>
      <w:szCs w:val="30"/>
      <w:lang w:val="en-US" w:eastAsia="zh-CN" w:bidi="ar-SA"/>
    </w:rPr>
  </w:style>
  <w:style w:type="character" w:customStyle="1" w:styleId="90">
    <w:name w:val="正文首行缩进 Char1"/>
    <w:link w:val="36"/>
    <w:autoRedefine/>
    <w:qFormat/>
    <w:uiPriority w:val="0"/>
    <w:rPr>
      <w:rFonts w:ascii="仿宋_GB2312" w:eastAsia="仿宋_GB2312"/>
      <w:kern w:val="2"/>
      <w:sz w:val="30"/>
      <w:szCs w:val="30"/>
      <w:lang w:val="en-US" w:eastAsia="zh-CN" w:bidi="ar-SA"/>
    </w:rPr>
  </w:style>
  <w:style w:type="character" w:customStyle="1" w:styleId="91">
    <w:name w:val="文档结构图 Char"/>
    <w:link w:val="14"/>
    <w:autoRedefine/>
    <w:semiHidden/>
    <w:qFormat/>
    <w:uiPriority w:val="0"/>
    <w:rPr>
      <w:rFonts w:eastAsia="宋体"/>
      <w:kern w:val="2"/>
      <w:sz w:val="21"/>
      <w:szCs w:val="21"/>
      <w:lang w:bidi="ar-SA"/>
    </w:rPr>
  </w:style>
  <w:style w:type="character" w:customStyle="1" w:styleId="92">
    <w:name w:val="正文文本 2 Char"/>
    <w:link w:val="33"/>
    <w:autoRedefine/>
    <w:qFormat/>
    <w:uiPriority w:val="0"/>
    <w:rPr>
      <w:rFonts w:ascii="楷体_GB2312" w:eastAsia="楷体_GB2312"/>
      <w:kern w:val="2"/>
      <w:sz w:val="28"/>
      <w:szCs w:val="28"/>
      <w:lang w:val="en-US" w:eastAsia="zh-CN" w:bidi="ar-SA"/>
    </w:rPr>
  </w:style>
  <w:style w:type="character" w:customStyle="1" w:styleId="93">
    <w:name w:val="纯文本 Char"/>
    <w:link w:val="23"/>
    <w:autoRedefine/>
    <w:qFormat/>
    <w:uiPriority w:val="0"/>
    <w:rPr>
      <w:rFonts w:ascii="宋体" w:hAnsi="Courier New" w:cs="Courier New"/>
      <w:b/>
      <w:kern w:val="2"/>
      <w:sz w:val="24"/>
      <w:szCs w:val="24"/>
    </w:rPr>
  </w:style>
  <w:style w:type="character" w:customStyle="1" w:styleId="94">
    <w:name w:val="标题 5 Char"/>
    <w:link w:val="8"/>
    <w:autoRedefine/>
    <w:qFormat/>
    <w:uiPriority w:val="0"/>
    <w:rPr>
      <w:rFonts w:ascii="宋体" w:eastAsia="宋体"/>
      <w:color w:val="000000"/>
      <w:sz w:val="28"/>
      <w:szCs w:val="28"/>
      <w:lang w:val="en-US" w:eastAsia="zh-CN" w:bidi="ar-SA"/>
    </w:rPr>
  </w:style>
  <w:style w:type="character" w:customStyle="1" w:styleId="95">
    <w:name w:val="批注框文本 Char"/>
    <w:link w:val="26"/>
    <w:autoRedefine/>
    <w:semiHidden/>
    <w:qFormat/>
    <w:uiPriority w:val="0"/>
    <w:rPr>
      <w:rFonts w:eastAsia="宋体"/>
      <w:kern w:val="2"/>
      <w:sz w:val="18"/>
      <w:szCs w:val="18"/>
      <w:lang w:val="en-US" w:eastAsia="zh-CN" w:bidi="ar-SA"/>
    </w:rPr>
  </w:style>
  <w:style w:type="paragraph" w:customStyle="1" w:styleId="96">
    <w:name w:val="font7"/>
    <w:basedOn w:val="1"/>
    <w:autoRedefine/>
    <w:qFormat/>
    <w:uiPriority w:val="0"/>
    <w:pPr>
      <w:widowControl/>
      <w:numPr>
        <w:ilvl w:val="0"/>
        <w:numId w:val="4"/>
      </w:numPr>
      <w:tabs>
        <w:tab w:val="clear" w:pos="709"/>
      </w:tabs>
      <w:spacing w:before="100" w:beforeAutospacing="1" w:after="100" w:afterAutospacing="1"/>
      <w:ind w:left="0" w:firstLine="0"/>
      <w:jc w:val="left"/>
    </w:pPr>
    <w:rPr>
      <w:rFonts w:hint="eastAsia" w:ascii="宋体" w:hAnsi="宋体"/>
      <w:kern w:val="0"/>
      <w:sz w:val="18"/>
      <w:szCs w:val="18"/>
    </w:rPr>
  </w:style>
  <w:style w:type="paragraph" w:customStyle="1" w:styleId="97">
    <w:name w:val="xl28"/>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98">
    <w:name w:val="p1"/>
    <w:basedOn w:val="1"/>
    <w:autoRedefine/>
    <w:qFormat/>
    <w:uiPriority w:val="0"/>
    <w:pPr>
      <w:spacing w:line="380" w:lineRule="atLeast"/>
      <w:jc w:val="left"/>
    </w:pPr>
    <w:rPr>
      <w:rFonts w:ascii="Helvetica Neue" w:hAnsi="Helvetica Neue" w:eastAsia="Helvetica Neue"/>
      <w:kern w:val="0"/>
      <w:sz w:val="26"/>
      <w:szCs w:val="26"/>
    </w:rPr>
  </w:style>
  <w:style w:type="paragraph" w:customStyle="1" w:styleId="99">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szCs w:val="24"/>
    </w:rPr>
  </w:style>
  <w:style w:type="paragraph" w:customStyle="1" w:styleId="100">
    <w:name w:val="标题3"/>
    <w:basedOn w:val="1"/>
    <w:next w:val="1"/>
    <w:autoRedefine/>
    <w:qFormat/>
    <w:uiPriority w:val="0"/>
    <w:pPr>
      <w:autoSpaceDE w:val="0"/>
      <w:autoSpaceDN w:val="0"/>
      <w:snapToGrid w:val="0"/>
      <w:spacing w:line="590" w:lineRule="atLeast"/>
      <w:ind w:firstLine="624"/>
    </w:pPr>
    <w:rPr>
      <w:rFonts w:ascii="方正黑体_GBK" w:eastAsia="方正黑体_GBK"/>
      <w:snapToGrid w:val="0"/>
      <w:kern w:val="0"/>
      <w:sz w:val="32"/>
      <w:szCs w:val="32"/>
    </w:rPr>
  </w:style>
  <w:style w:type="paragraph" w:customStyle="1" w:styleId="101">
    <w:name w:val="xl27"/>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szCs w:val="24"/>
    </w:rPr>
  </w:style>
  <w:style w:type="paragraph" w:customStyle="1" w:styleId="102">
    <w:name w:val="xl25"/>
    <w:basedOn w:val="1"/>
    <w:autoRedefine/>
    <w:qFormat/>
    <w:uiPriority w:val="0"/>
    <w:pPr>
      <w:widowControl/>
      <w:spacing w:before="100" w:beforeAutospacing="1" w:after="100" w:afterAutospacing="1"/>
      <w:jc w:val="center"/>
      <w:textAlignment w:val="center"/>
    </w:pPr>
    <w:rPr>
      <w:rFonts w:ascii="Arial Unicode MS" w:hAnsi="Arial Unicode MS" w:eastAsia="Arial Unicode MS" w:cs="Arial Unicode MS"/>
      <w:kern w:val="0"/>
      <w:sz w:val="24"/>
      <w:szCs w:val="24"/>
    </w:rPr>
  </w:style>
  <w:style w:type="paragraph" w:customStyle="1" w:styleId="103">
    <w:name w:val="font6"/>
    <w:basedOn w:val="1"/>
    <w:autoRedefine/>
    <w:qFormat/>
    <w:uiPriority w:val="0"/>
    <w:pPr>
      <w:widowControl/>
      <w:spacing w:before="100" w:beforeAutospacing="1" w:after="100" w:afterAutospacing="1"/>
      <w:jc w:val="left"/>
    </w:pPr>
    <w:rPr>
      <w:rFonts w:hint="eastAsia" w:ascii="宋体" w:hAnsi="宋体"/>
      <w:kern w:val="0"/>
      <w:sz w:val="28"/>
      <w:szCs w:val="28"/>
      <w:u w:val="single"/>
    </w:rPr>
  </w:style>
  <w:style w:type="paragraph" w:customStyle="1" w:styleId="104">
    <w:name w:val="Char Char Char Char Char Char Char Char Char Char"/>
    <w:basedOn w:val="1"/>
    <w:autoRedefine/>
    <w:qFormat/>
    <w:uiPriority w:val="0"/>
    <w:pPr>
      <w:adjustRightInd w:val="0"/>
      <w:spacing w:line="360" w:lineRule="auto"/>
    </w:pPr>
    <w:rPr>
      <w:kern w:val="0"/>
      <w:sz w:val="24"/>
      <w:szCs w:val="20"/>
    </w:rPr>
  </w:style>
  <w:style w:type="paragraph" w:customStyle="1" w:styleId="105">
    <w:name w:val="附录1"/>
    <w:autoRedefine/>
    <w:qFormat/>
    <w:uiPriority w:val="0"/>
    <w:pPr>
      <w:tabs>
        <w:tab w:val="left" w:pos="907"/>
      </w:tabs>
      <w:snapToGrid w:val="0"/>
      <w:spacing w:before="240" w:line="600" w:lineRule="atLeast"/>
      <w:ind w:left="907" w:hanging="907"/>
    </w:pPr>
    <w:rPr>
      <w:rFonts w:ascii="Times New Roman" w:hAnsi="Times New Roman" w:eastAsia="宋体" w:cs="Times New Roman"/>
      <w:b/>
      <w:i/>
      <w:sz w:val="28"/>
      <w:lang w:val="en-US" w:eastAsia="zh-CN" w:bidi="ar-SA"/>
    </w:rPr>
  </w:style>
  <w:style w:type="paragraph" w:customStyle="1" w:styleId="106">
    <w:name w:val="_Style 30"/>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107">
    <w:name w:val="图标"/>
    <w:basedOn w:val="1"/>
    <w:next w:val="1"/>
    <w:autoRedefine/>
    <w:qFormat/>
    <w:uiPriority w:val="0"/>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eastAsia="仿宋_GB2312"/>
      <w:kern w:val="0"/>
      <w:sz w:val="24"/>
      <w:szCs w:val="20"/>
    </w:rPr>
  </w:style>
  <w:style w:type="paragraph" w:customStyle="1" w:styleId="108">
    <w:name w:val="普通正文"/>
    <w:basedOn w:val="1"/>
    <w:autoRedefine/>
    <w:qFormat/>
    <w:uiPriority w:val="0"/>
    <w:pPr>
      <w:adjustRightInd w:val="0"/>
      <w:spacing w:before="120" w:after="120" w:line="360" w:lineRule="auto"/>
      <w:ind w:firstLine="480"/>
      <w:jc w:val="left"/>
      <w:textAlignment w:val="baseline"/>
    </w:pPr>
    <w:rPr>
      <w:rFonts w:ascii="Arial" w:hAnsi="Arial"/>
      <w:kern w:val="0"/>
      <w:sz w:val="24"/>
      <w:szCs w:val="24"/>
    </w:rPr>
  </w:style>
  <w:style w:type="paragraph" w:customStyle="1" w:styleId="109">
    <w:name w:val="列出段落1"/>
    <w:basedOn w:val="1"/>
    <w:autoRedefine/>
    <w:qFormat/>
    <w:uiPriority w:val="99"/>
    <w:pPr>
      <w:ind w:firstLine="420" w:firstLineChars="200"/>
    </w:pPr>
  </w:style>
  <w:style w:type="paragraph" w:customStyle="1" w:styleId="110">
    <w:name w:val="标题1"/>
    <w:basedOn w:val="1"/>
    <w:next w:val="1"/>
    <w:autoRedefine/>
    <w:qFormat/>
    <w:uiPriority w:val="0"/>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111">
    <w:name w:val="样式1"/>
    <w:basedOn w:val="1"/>
    <w:autoRedefine/>
    <w:qFormat/>
    <w:uiPriority w:val="0"/>
    <w:pPr>
      <w:tabs>
        <w:tab w:val="left" w:pos="709"/>
      </w:tabs>
      <w:adjustRightInd w:val="0"/>
      <w:ind w:left="709" w:hanging="709"/>
      <w:textAlignment w:val="baseline"/>
    </w:pPr>
    <w:rPr>
      <w:rFonts w:ascii="宋体" w:hAnsi="宋体"/>
      <w:kern w:val="0"/>
    </w:rPr>
  </w:style>
  <w:style w:type="paragraph" w:customStyle="1" w:styleId="112">
    <w:name w:val="Char"/>
    <w:basedOn w:val="1"/>
    <w:autoRedefine/>
    <w:qFormat/>
    <w:uiPriority w:val="0"/>
    <w:pPr>
      <w:tabs>
        <w:tab w:val="left" w:pos="360"/>
      </w:tabs>
      <w:ind w:firstLine="200" w:firstLineChars="200"/>
    </w:pPr>
    <w:rPr>
      <w:sz w:val="28"/>
      <w:szCs w:val="30"/>
    </w:rPr>
  </w:style>
  <w:style w:type="paragraph" w:customStyle="1" w:styleId="113">
    <w:name w:val="table_1stline"/>
    <w:basedOn w:val="1"/>
    <w:autoRedefine/>
    <w:qFormat/>
    <w:uiPriority w:val="0"/>
    <w:pPr>
      <w:widowControl/>
      <w:spacing w:before="120"/>
      <w:jc w:val="left"/>
    </w:pPr>
    <w:rPr>
      <w:bCs/>
      <w:kern w:val="0"/>
      <w:sz w:val="20"/>
      <w:szCs w:val="20"/>
      <w:lang w:val="de-DE" w:eastAsia="de-DE"/>
    </w:rPr>
  </w:style>
  <w:style w:type="paragraph" w:customStyle="1" w:styleId="114">
    <w:name w:val="table_lines"/>
    <w:basedOn w:val="1"/>
    <w:autoRedefine/>
    <w:qFormat/>
    <w:uiPriority w:val="0"/>
    <w:pPr>
      <w:widowControl/>
      <w:jc w:val="left"/>
    </w:pPr>
    <w:rPr>
      <w:kern w:val="0"/>
      <w:sz w:val="20"/>
      <w:szCs w:val="20"/>
      <w:lang w:val="de-DE" w:eastAsia="de-DE"/>
    </w:rPr>
  </w:style>
  <w:style w:type="paragraph" w:customStyle="1" w:styleId="115">
    <w:name w:val="xl30"/>
    <w:basedOn w:val="1"/>
    <w:autoRedefine/>
    <w:qFormat/>
    <w:uiPriority w:val="0"/>
    <w:pPr>
      <w:widowControl/>
      <w:spacing w:before="100" w:beforeAutospacing="1" w:after="100" w:afterAutospacing="1"/>
      <w:jc w:val="center"/>
    </w:pPr>
    <w:rPr>
      <w:rFonts w:ascii="宋体" w:hAnsi="宋体"/>
      <w:b/>
      <w:bCs/>
      <w:kern w:val="0"/>
      <w:sz w:val="36"/>
      <w:szCs w:val="36"/>
    </w:rPr>
  </w:style>
  <w:style w:type="paragraph" w:customStyle="1" w:styleId="116">
    <w:name w:val="Char Char Char Char1"/>
    <w:basedOn w:val="14"/>
    <w:autoRedefine/>
    <w:qFormat/>
    <w:uiPriority w:val="0"/>
    <w:pPr>
      <w:adjustRightInd w:val="0"/>
      <w:snapToGrid w:val="0"/>
      <w:spacing w:line="360" w:lineRule="auto"/>
    </w:pPr>
    <w:rPr>
      <w:rFonts w:ascii="Tahoma" w:hAnsi="Tahoma"/>
      <w:kern w:val="0"/>
      <w:sz w:val="24"/>
      <w:szCs w:val="24"/>
    </w:rPr>
  </w:style>
  <w:style w:type="paragraph" w:customStyle="1" w:styleId="117">
    <w:name w:val="font5"/>
    <w:basedOn w:val="1"/>
    <w:autoRedefine/>
    <w:qFormat/>
    <w:uiPriority w:val="0"/>
    <w:pPr>
      <w:widowControl/>
      <w:numPr>
        <w:ilvl w:val="0"/>
        <w:numId w:val="5"/>
      </w:numPr>
      <w:tabs>
        <w:tab w:val="clear" w:pos="907"/>
      </w:tabs>
      <w:spacing w:before="100" w:beforeAutospacing="1" w:after="100" w:afterAutospacing="1"/>
      <w:ind w:left="0" w:firstLine="0"/>
      <w:jc w:val="left"/>
    </w:pPr>
    <w:rPr>
      <w:rFonts w:hint="eastAsia" w:ascii="宋体" w:hAnsi="宋体"/>
      <w:kern w:val="0"/>
      <w:sz w:val="28"/>
      <w:szCs w:val="28"/>
    </w:rPr>
  </w:style>
  <w:style w:type="paragraph" w:customStyle="1" w:styleId="118">
    <w:name w:val="xl24"/>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kern w:val="0"/>
      <w:sz w:val="24"/>
      <w:szCs w:val="24"/>
    </w:rPr>
  </w:style>
  <w:style w:type="paragraph" w:customStyle="1" w:styleId="119">
    <w:name w:val="Char Char Char Char"/>
    <w:basedOn w:val="14"/>
    <w:autoRedefine/>
    <w:qFormat/>
    <w:uiPriority w:val="0"/>
    <w:pPr>
      <w:adjustRightInd w:val="0"/>
      <w:snapToGrid w:val="0"/>
      <w:spacing w:line="360" w:lineRule="auto"/>
    </w:pPr>
    <w:rPr>
      <w:rFonts w:ascii="Tahoma" w:hAnsi="Tahoma"/>
      <w:sz w:val="24"/>
      <w:szCs w:val="24"/>
    </w:rPr>
  </w:style>
  <w:style w:type="paragraph" w:customStyle="1" w:styleId="120">
    <w:name w:val="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21">
    <w:name w:val="Char Char Char Char Char Char Char Char1"/>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22">
    <w:name w:val="列表内容"/>
    <w:basedOn w:val="1"/>
    <w:next w:val="1"/>
    <w:autoRedefine/>
    <w:qFormat/>
    <w:uiPriority w:val="0"/>
    <w:pPr>
      <w:widowControl/>
      <w:numPr>
        <w:ilvl w:val="0"/>
        <w:numId w:val="6"/>
      </w:numPr>
      <w:tabs>
        <w:tab w:val="left" w:pos="840"/>
      </w:tabs>
      <w:jc w:val="left"/>
    </w:pPr>
    <w:rPr>
      <w:kern w:val="0"/>
      <w:sz w:val="18"/>
      <w:szCs w:val="24"/>
    </w:rPr>
  </w:style>
  <w:style w:type="paragraph" w:customStyle="1" w:styleId="123">
    <w:name w:val="Body Text(ch)"/>
    <w:basedOn w:val="1"/>
    <w:next w:val="18"/>
    <w:autoRedefine/>
    <w:qFormat/>
    <w:uiPriority w:val="0"/>
    <w:pPr>
      <w:spacing w:after="120"/>
    </w:pPr>
    <w:rPr>
      <w:rFonts w:ascii="宋体" w:hAnsi="Arial"/>
      <w:bCs/>
      <w:iCs/>
      <w:szCs w:val="24"/>
    </w:rPr>
  </w:style>
  <w:style w:type="paragraph" w:styleId="124">
    <w:name w:val="List Paragraph"/>
    <w:basedOn w:val="1"/>
    <w:autoRedefine/>
    <w:qFormat/>
    <w:uiPriority w:val="34"/>
    <w:pPr>
      <w:widowControl/>
      <w:ind w:left="432" w:right="130"/>
      <w:contextualSpacing/>
      <w:jc w:val="right"/>
    </w:pPr>
    <w:rPr>
      <w:rFonts w:ascii="宋体" w:hAnsi="宋体" w:cs="宋体"/>
      <w:color w:val="FF0000"/>
      <w:spacing w:val="10"/>
      <w:kern w:val="0"/>
      <w:sz w:val="24"/>
      <w:szCs w:val="24"/>
      <w:lang w:bidi="en-US"/>
    </w:rPr>
  </w:style>
  <w:style w:type="paragraph" w:customStyle="1" w:styleId="125">
    <w:name w:val="Char11"/>
    <w:basedOn w:val="14"/>
    <w:autoRedefine/>
    <w:qFormat/>
    <w:uiPriority w:val="0"/>
    <w:rPr>
      <w:rFonts w:ascii="Tahoma" w:hAnsi="Tahoma"/>
      <w:sz w:val="24"/>
      <w:szCs w:val="24"/>
    </w:rPr>
  </w:style>
  <w:style w:type="paragraph" w:customStyle="1" w:styleId="126">
    <w:name w:val="普通 (Web)"/>
    <w:basedOn w:val="1"/>
    <w:autoRedefine/>
    <w:qFormat/>
    <w:uiPriority w:val="0"/>
    <w:pPr>
      <w:widowControl/>
      <w:spacing w:before="100" w:beforeAutospacing="1" w:after="100" w:afterAutospacing="1"/>
      <w:jc w:val="left"/>
    </w:pPr>
    <w:rPr>
      <w:rFonts w:ascii="宋体" w:hAnsi="宋体"/>
      <w:kern w:val="0"/>
      <w:sz w:val="24"/>
      <w:szCs w:val="24"/>
    </w:rPr>
  </w:style>
  <w:style w:type="paragraph" w:customStyle="1" w:styleId="127">
    <w:name w:val="_Style 4"/>
    <w:basedOn w:val="14"/>
    <w:autoRedefine/>
    <w:qFormat/>
    <w:uiPriority w:val="0"/>
    <w:pPr>
      <w:shd w:val="clear" w:color="auto" w:fill="auto"/>
      <w:spacing w:line="360" w:lineRule="auto"/>
      <w:jc w:val="left"/>
    </w:pPr>
    <w:rPr>
      <w:kern w:val="0"/>
      <w:sz w:val="20"/>
      <w:szCs w:val="20"/>
    </w:rPr>
  </w:style>
  <w:style w:type="paragraph" w:customStyle="1" w:styleId="128">
    <w:name w:val="4"/>
    <w:basedOn w:val="1"/>
    <w:next w:val="31"/>
    <w:autoRedefine/>
    <w:qFormat/>
    <w:uiPriority w:val="0"/>
    <w:pPr>
      <w:spacing w:line="360" w:lineRule="auto"/>
      <w:ind w:firstLine="420"/>
    </w:pPr>
    <w:rPr>
      <w:color w:val="FF0000"/>
      <w:sz w:val="24"/>
      <w:szCs w:val="24"/>
    </w:rPr>
  </w:style>
  <w:style w:type="paragraph" w:customStyle="1" w:styleId="129">
    <w:name w:val="Char Char Char Char Char Char Char Char2"/>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30">
    <w:name w:val="TOC 标题1"/>
    <w:basedOn w:val="3"/>
    <w:next w:val="1"/>
    <w:autoRedefine/>
    <w:qFormat/>
    <w:uiPriority w:val="39"/>
    <w:pPr>
      <w:keepLines/>
      <w:widowControl/>
      <w:spacing w:before="480" w:line="276" w:lineRule="auto"/>
      <w:jc w:val="left"/>
      <w:outlineLvl w:val="9"/>
    </w:pPr>
    <w:rPr>
      <w:rFonts w:ascii="Cambria" w:hAnsi="Cambria"/>
      <w:bCs/>
      <w:color w:val="365F91"/>
      <w:kern w:val="0"/>
    </w:rPr>
  </w:style>
  <w:style w:type="paragraph" w:customStyle="1" w:styleId="131">
    <w:name w:val="xl29"/>
    <w:basedOn w:val="1"/>
    <w:autoRedefine/>
    <w:qFormat/>
    <w:uiPriority w:val="0"/>
    <w:pPr>
      <w:widowControl/>
      <w:pBdr>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132">
    <w:name w:val="Char1"/>
    <w:basedOn w:val="1"/>
    <w:autoRedefine/>
    <w:qFormat/>
    <w:uiPriority w:val="0"/>
    <w:pPr>
      <w:tabs>
        <w:tab w:val="left" w:pos="360"/>
      </w:tabs>
      <w:ind w:firstLine="200" w:firstLineChars="200"/>
    </w:pPr>
    <w:rPr>
      <w:sz w:val="28"/>
      <w:szCs w:val="30"/>
    </w:rPr>
  </w:style>
  <w:style w:type="paragraph" w:customStyle="1" w:styleId="133">
    <w:name w:val="Char2 Char1 Char"/>
    <w:basedOn w:val="1"/>
    <w:autoRedefine/>
    <w:qFormat/>
    <w:uiPriority w:val="0"/>
    <w:pPr>
      <w:tabs>
        <w:tab w:val="left" w:pos="360"/>
      </w:tabs>
    </w:pPr>
    <w:rPr>
      <w:rFonts w:eastAsia="方正仿宋简体"/>
      <w:sz w:val="24"/>
      <w:szCs w:val="32"/>
    </w:rPr>
  </w:style>
  <w:style w:type="paragraph" w:customStyle="1" w:styleId="134">
    <w:name w:val="正文 A"/>
    <w:autoRedefine/>
    <w:qFormat/>
    <w:uiPriority w:val="0"/>
    <w:pPr>
      <w:widowControl w:val="0"/>
      <w:jc w:val="both"/>
    </w:pPr>
    <w:rPr>
      <w:rFonts w:ascii="Times New Roman" w:hAnsi="Arial Unicode MS" w:eastAsia="Arial Unicode MS" w:cs="Arial Unicode MS"/>
      <w:color w:val="000000"/>
      <w:kern w:val="2"/>
      <w:sz w:val="21"/>
      <w:szCs w:val="21"/>
      <w:u w:color="000000"/>
      <w:lang w:val="en-US" w:eastAsia="zh-CN" w:bidi="ar-SA"/>
    </w:rPr>
  </w:style>
  <w:style w:type="paragraph" w:customStyle="1" w:styleId="135">
    <w:name w:val="Char Char Char Char2"/>
    <w:basedOn w:val="14"/>
    <w:autoRedefine/>
    <w:qFormat/>
    <w:uiPriority w:val="0"/>
    <w:pPr>
      <w:adjustRightInd w:val="0"/>
      <w:snapToGrid w:val="0"/>
      <w:spacing w:line="360" w:lineRule="auto"/>
    </w:pPr>
    <w:rPr>
      <w:rFonts w:ascii="Tahoma" w:hAnsi="Tahoma"/>
      <w:sz w:val="24"/>
      <w:szCs w:val="24"/>
    </w:rPr>
  </w:style>
  <w:style w:type="paragraph" w:customStyle="1" w:styleId="136">
    <w:name w:val="_Style 119"/>
    <w:basedOn w:val="1"/>
    <w:next w:val="124"/>
    <w:autoRedefine/>
    <w:qFormat/>
    <w:uiPriority w:val="34"/>
    <w:pPr>
      <w:widowControl/>
      <w:ind w:left="720"/>
      <w:contextualSpacing/>
      <w:jc w:val="left"/>
    </w:pPr>
    <w:rPr>
      <w:rFonts w:ascii="Calibri" w:hAnsi="Calibri"/>
      <w:kern w:val="0"/>
      <w:sz w:val="24"/>
      <w:szCs w:val="24"/>
      <w:lang w:eastAsia="en-US" w:bidi="en-US"/>
    </w:rPr>
  </w:style>
  <w:style w:type="paragraph" w:customStyle="1" w:styleId="137">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38">
    <w:name w:val="Table Paragraph"/>
    <w:basedOn w:val="1"/>
    <w:autoRedefine/>
    <w:qFormat/>
    <w:uiPriority w:val="1"/>
  </w:style>
  <w:style w:type="character" w:customStyle="1" w:styleId="139">
    <w:name w:val="纯文本 字符"/>
    <w:autoRedefine/>
    <w:qFormat/>
    <w:uiPriority w:val="0"/>
    <w:rPr>
      <w:rFonts w:ascii="宋体" w:hAnsi="Courier New" w:cs="Courier New"/>
      <w:kern w:val="2"/>
      <w:sz w:val="21"/>
      <w:szCs w:val="21"/>
    </w:rPr>
  </w:style>
  <w:style w:type="character" w:customStyle="1" w:styleId="140">
    <w:name w:val="正文缩进 字符"/>
    <w:autoRedefine/>
    <w:qFormat/>
    <w:uiPriority w:val="0"/>
    <w:rPr>
      <w:kern w:val="2"/>
      <w:sz w:val="21"/>
      <w:szCs w:val="21"/>
    </w:rPr>
  </w:style>
  <w:style w:type="paragraph" w:customStyle="1" w:styleId="141">
    <w:name w:val="缺省文本"/>
    <w:autoRedefine/>
    <w:qFormat/>
    <w:uiPriority w:val="0"/>
    <w:pPr>
      <w:widowControl w:val="0"/>
      <w:autoSpaceDE w:val="0"/>
      <w:autoSpaceDN w:val="0"/>
      <w:adjustRightInd w:val="0"/>
    </w:pPr>
    <w:rPr>
      <w:rFonts w:ascii="Calibri" w:hAnsi="Calibri" w:eastAsia="宋体" w:cs="Times New Roman"/>
      <w:color w:val="000000"/>
      <w:sz w:val="21"/>
      <w:szCs w:val="22"/>
      <w:lang w:val="en-US" w:eastAsia="zh-CN" w:bidi="ar-SA"/>
    </w:rPr>
  </w:style>
  <w:style w:type="paragraph" w:customStyle="1" w:styleId="142">
    <w:name w:val="xl70"/>
    <w:basedOn w:val="1"/>
    <w:autoRedefine/>
    <w:qFormat/>
    <w:uiPriority w:val="0"/>
    <w:pPr>
      <w:widowControl/>
      <w:spacing w:before="100" w:beforeAutospacing="1" w:after="100" w:afterAutospacing="1"/>
      <w:jc w:val="center"/>
    </w:pPr>
    <w:rPr>
      <w:rFonts w:ascii="宋体" w:hAnsi="宋体" w:cs="宋体"/>
      <w:kern w:val="0"/>
      <w:sz w:val="24"/>
      <w:szCs w:val="24"/>
    </w:rPr>
  </w:style>
  <w:style w:type="paragraph" w:customStyle="1" w:styleId="143">
    <w:name w:val="xl71"/>
    <w:basedOn w:val="1"/>
    <w:autoRedefine/>
    <w:qFormat/>
    <w:uiPriority w:val="0"/>
    <w:pPr>
      <w:widowControl/>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44">
    <w:name w:val="xl7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45">
    <w:name w:val="xl7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46">
    <w:name w:val="xl7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47">
    <w:name w:val="xl7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48">
    <w:name w:val="xl7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49">
    <w:name w:val="xl7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50">
    <w:name w:val="xl7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51">
    <w:name w:val="xl7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52">
    <w:name w:val="xl8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D0D0D"/>
      <w:kern w:val="0"/>
      <w:sz w:val="20"/>
      <w:szCs w:val="20"/>
    </w:rPr>
  </w:style>
  <w:style w:type="paragraph" w:customStyle="1" w:styleId="153">
    <w:name w:val="xl8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54">
    <w:name w:val="xl8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55">
    <w:name w:val="xl8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kern w:val="0"/>
      <w:sz w:val="20"/>
      <w:szCs w:val="20"/>
    </w:rPr>
  </w:style>
  <w:style w:type="paragraph" w:customStyle="1" w:styleId="156">
    <w:name w:val="xl8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57">
    <w:name w:val="xl8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158">
    <w:name w:val="xl8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59">
    <w:name w:val="xl8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60">
    <w:name w:val="xl8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61">
    <w:name w:val="xl8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D0D0D"/>
      <w:kern w:val="0"/>
      <w:sz w:val="20"/>
      <w:szCs w:val="20"/>
    </w:rPr>
  </w:style>
  <w:style w:type="paragraph" w:customStyle="1" w:styleId="162">
    <w:name w:val="xl9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D0D0D"/>
      <w:kern w:val="0"/>
      <w:sz w:val="20"/>
      <w:szCs w:val="20"/>
    </w:rPr>
  </w:style>
  <w:style w:type="paragraph" w:customStyle="1" w:styleId="163">
    <w:name w:val="xl9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kern w:val="0"/>
      <w:sz w:val="20"/>
      <w:szCs w:val="20"/>
    </w:rPr>
  </w:style>
  <w:style w:type="paragraph" w:customStyle="1" w:styleId="164">
    <w:name w:val="xl92"/>
    <w:basedOn w:val="1"/>
    <w:autoRedefine/>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65">
    <w:name w:val="xl93"/>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66">
    <w:name w:val="xl94"/>
    <w:basedOn w:val="1"/>
    <w:autoRedefine/>
    <w:qFormat/>
    <w:uiPriority w:val="0"/>
    <w:pPr>
      <w:widowControl/>
      <w:shd w:val="clear" w:color="000000" w:fill="FFFFFF"/>
      <w:spacing w:before="100" w:beforeAutospacing="1" w:after="100" w:afterAutospacing="1"/>
      <w:jc w:val="center"/>
    </w:pPr>
    <w:rPr>
      <w:rFonts w:ascii="宋体" w:hAnsi="宋体" w:cs="宋体"/>
      <w:b/>
      <w:bCs/>
      <w:kern w:val="0"/>
      <w:sz w:val="28"/>
      <w:szCs w:val="28"/>
    </w:rPr>
  </w:style>
  <w:style w:type="paragraph" w:customStyle="1" w:styleId="167">
    <w:name w:val="xl95"/>
    <w:basedOn w:val="1"/>
    <w:autoRedefine/>
    <w:qFormat/>
    <w:uiPriority w:val="0"/>
    <w:pPr>
      <w:widowControl/>
      <w:shd w:val="clear" w:color="000000" w:fill="FFFFFF"/>
      <w:spacing w:before="100" w:beforeAutospacing="1" w:after="100" w:afterAutospacing="1"/>
      <w:jc w:val="center"/>
    </w:pPr>
    <w:rPr>
      <w:rFonts w:ascii="宋体" w:hAnsi="宋体" w:cs="宋体"/>
      <w:b/>
      <w:bCs/>
      <w:kern w:val="0"/>
      <w:sz w:val="28"/>
      <w:szCs w:val="28"/>
    </w:rPr>
  </w:style>
  <w:style w:type="paragraph" w:customStyle="1" w:styleId="168">
    <w:name w:val="xl9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kern w:val="0"/>
      <w:sz w:val="20"/>
      <w:szCs w:val="20"/>
    </w:rPr>
  </w:style>
  <w:style w:type="paragraph" w:customStyle="1" w:styleId="169">
    <w:name w:val="xl97"/>
    <w:basedOn w:val="1"/>
    <w:autoRedefine/>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宋体" w:hAnsi="宋体" w:cs="宋体"/>
      <w:b/>
      <w:bCs/>
      <w:kern w:val="0"/>
      <w:sz w:val="20"/>
      <w:szCs w:val="20"/>
    </w:rPr>
  </w:style>
  <w:style w:type="paragraph" w:customStyle="1" w:styleId="170">
    <w:name w:val="xl98"/>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left"/>
    </w:pPr>
    <w:rPr>
      <w:rFonts w:ascii="宋体" w:hAnsi="宋体" w:cs="宋体"/>
      <w:kern w:val="0"/>
      <w:sz w:val="24"/>
      <w:szCs w:val="24"/>
    </w:rPr>
  </w:style>
  <w:style w:type="paragraph" w:customStyle="1" w:styleId="171">
    <w:name w:val="xl99"/>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4"/>
      <w:szCs w:val="24"/>
    </w:rPr>
  </w:style>
  <w:style w:type="paragraph" w:customStyle="1" w:styleId="172">
    <w:name w:val="xl100"/>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73">
    <w:name w:val="xl101"/>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74">
    <w:name w:val="xl102"/>
    <w:basedOn w:val="1"/>
    <w:autoRedefine/>
    <w:qFormat/>
    <w:uiPriority w:val="0"/>
    <w:pPr>
      <w:widowControl/>
      <w:shd w:val="clear" w:color="000000" w:fill="FFFFFF"/>
      <w:spacing w:before="100" w:beforeAutospacing="1" w:after="100" w:afterAutospacing="1"/>
      <w:jc w:val="center"/>
    </w:pPr>
    <w:rPr>
      <w:rFonts w:ascii="宋体" w:hAnsi="宋体" w:cs="宋体"/>
      <w:b/>
      <w:bCs/>
      <w:kern w:val="0"/>
      <w:sz w:val="28"/>
      <w:szCs w:val="28"/>
    </w:rPr>
  </w:style>
  <w:style w:type="paragraph" w:customStyle="1" w:styleId="175">
    <w:name w:val="xl103"/>
    <w:basedOn w:val="1"/>
    <w:autoRedefine/>
    <w:qFormat/>
    <w:uiPriority w:val="0"/>
    <w:pPr>
      <w:widowControl/>
      <w:shd w:val="clear" w:color="000000" w:fill="FFFFFF"/>
      <w:spacing w:before="100" w:beforeAutospacing="1" w:after="100" w:afterAutospacing="1"/>
      <w:jc w:val="center"/>
    </w:pPr>
    <w:rPr>
      <w:rFonts w:ascii="宋体" w:hAnsi="宋体" w:cs="宋体"/>
      <w:b/>
      <w:bCs/>
      <w:kern w:val="0"/>
      <w:sz w:val="28"/>
      <w:szCs w:val="28"/>
    </w:rPr>
  </w:style>
  <w:style w:type="paragraph" w:customStyle="1" w:styleId="176">
    <w:name w:val="xl104"/>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77">
    <w:name w:val="xl68"/>
    <w:basedOn w:val="1"/>
    <w:autoRedefine/>
    <w:qFormat/>
    <w:uiPriority w:val="0"/>
    <w:pPr>
      <w:widowControl/>
      <w:spacing w:before="100" w:beforeAutospacing="1" w:after="100" w:afterAutospacing="1"/>
      <w:jc w:val="left"/>
    </w:pPr>
    <w:rPr>
      <w:rFonts w:ascii="宋体" w:hAnsi="宋体" w:cs="宋体"/>
      <w:color w:val="000000"/>
      <w:kern w:val="0"/>
      <w:sz w:val="24"/>
      <w:szCs w:val="24"/>
    </w:rPr>
  </w:style>
  <w:style w:type="paragraph" w:customStyle="1" w:styleId="178">
    <w:name w:val="xl69"/>
    <w:basedOn w:val="1"/>
    <w:autoRedefine/>
    <w:qFormat/>
    <w:uiPriority w:val="0"/>
    <w:pPr>
      <w:widowControl/>
      <w:spacing w:before="100" w:beforeAutospacing="1" w:after="100" w:afterAutospacing="1"/>
      <w:jc w:val="left"/>
    </w:pPr>
    <w:rPr>
      <w:rFonts w:ascii="宋体" w:hAnsi="宋体" w:cs="宋体"/>
      <w:kern w:val="0"/>
      <w:sz w:val="20"/>
      <w:szCs w:val="20"/>
    </w:rPr>
  </w:style>
  <w:style w:type="character" w:customStyle="1" w:styleId="179">
    <w:name w:val="超链接_0"/>
    <w:autoRedefine/>
    <w:qFormat/>
    <w:uiPriority w:val="99"/>
    <w:rPr>
      <w:rFonts w:hint="default" w:ascii="Calibri" w:hAnsi="Calibri" w:cs="Calibri"/>
      <w:color w:val="0000FF"/>
      <w:u w:val="single"/>
    </w:rPr>
  </w:style>
  <w:style w:type="paragraph" w:customStyle="1" w:styleId="180">
    <w:name w:val="正文_0"/>
    <w:basedOn w:val="1"/>
    <w:next w:val="1"/>
    <w:autoRedefine/>
    <w:qFormat/>
    <w:uiPriority w:val="0"/>
    <w:pPr>
      <w:spacing w:after="200" w:line="276" w:lineRule="auto"/>
    </w:pPr>
    <w:rPr>
      <w:rFonts w:ascii="Calibri" w:hAnsi="Calibri"/>
      <w:szCs w:val="24"/>
    </w:rPr>
  </w:style>
  <w:style w:type="paragraph" w:customStyle="1" w:styleId="181">
    <w:name w:val="普通(网站)1"/>
    <w:basedOn w:val="1"/>
    <w:autoRedefine/>
    <w:qFormat/>
    <w:uiPriority w:val="0"/>
    <w:pPr>
      <w:spacing w:beforeAutospacing="1" w:afterAutospacing="1"/>
      <w:jc w:val="left"/>
    </w:pPr>
    <w:rPr>
      <w:rFonts w:ascii="Calibri" w:hAnsi="Calibri"/>
      <w:kern w:val="0"/>
      <w:sz w:val="24"/>
    </w:rPr>
  </w:style>
  <w:style w:type="character" w:customStyle="1" w:styleId="182">
    <w:name w:val="bookmark-item"/>
    <w:basedOn w:val="40"/>
    <w:autoRedefine/>
    <w:qFormat/>
    <w:uiPriority w:val="0"/>
  </w:style>
  <w:style w:type="paragraph" w:customStyle="1" w:styleId="183">
    <w:name w:val="表格"/>
    <w:basedOn w:val="30"/>
    <w:next w:val="1"/>
    <w:autoRedefine/>
    <w:qFormat/>
    <w:uiPriority w:val="0"/>
    <w:pPr>
      <w:adjustRightInd w:val="0"/>
      <w:snapToGrid w:val="0"/>
      <w:spacing w:before="20" w:after="20"/>
      <w:jc w:val="center"/>
      <w:textAlignment w:val="baseline"/>
    </w:pPr>
    <w:rPr>
      <w:rFonts w:ascii="Arial" w:hAnsi="Arial"/>
      <w:snapToGrid w:val="0"/>
    </w:rPr>
  </w:style>
  <w:style w:type="character" w:customStyle="1" w:styleId="184">
    <w:name w:val="btn-auto-1"/>
    <w:basedOn w:val="40"/>
    <w:autoRedefine/>
    <w:qFormat/>
    <w:uiPriority w:val="0"/>
  </w:style>
  <w:style w:type="character" w:customStyle="1" w:styleId="185">
    <w:name w:val="s1"/>
    <w:basedOn w:val="40"/>
    <w:autoRedefine/>
    <w:qFormat/>
    <w:uiPriority w:val="0"/>
    <w:rPr>
      <w:color w:val="DDDDDD"/>
      <w:sz w:val="14"/>
      <w:szCs w:val="14"/>
    </w:rPr>
  </w:style>
  <w:style w:type="character" w:customStyle="1" w:styleId="186">
    <w:name w:val="btn-task-gray2"/>
    <w:basedOn w:val="40"/>
    <w:autoRedefine/>
    <w:qFormat/>
    <w:uiPriority w:val="0"/>
    <w:rPr>
      <w:color w:val="FFFFFF"/>
      <w:u w:val="none"/>
      <w:shd w:val="clear" w:color="auto" w:fill="CCCCCC"/>
    </w:rPr>
  </w:style>
  <w:style w:type="character" w:customStyle="1" w:styleId="187">
    <w:name w:val="btn-task-gray3"/>
    <w:basedOn w:val="40"/>
    <w:autoRedefine/>
    <w:qFormat/>
    <w:uiPriority w:val="0"/>
  </w:style>
  <w:style w:type="character" w:customStyle="1" w:styleId="188">
    <w:name w:val="fontstyle01"/>
    <w:basedOn w:val="40"/>
    <w:autoRedefine/>
    <w:qFormat/>
    <w:uiPriority w:val="0"/>
    <w:rPr>
      <w:rFonts w:ascii="仿宋" w:hAnsi="仿宋" w:eastAsia="仿宋" w:cs="仿宋"/>
      <w:color w:val="000000"/>
      <w:sz w:val="32"/>
      <w:szCs w:val="32"/>
    </w:rPr>
  </w:style>
  <w:style w:type="paragraph" w:customStyle="1" w:styleId="189">
    <w:name w:val="修订1"/>
    <w:autoRedefine/>
    <w:hidden/>
    <w:semiHidden/>
    <w:qFormat/>
    <w:uiPriority w:val="99"/>
    <w:rPr>
      <w:rFonts w:ascii="Times New Roman" w:hAnsi="Times New Roman" w:eastAsia="宋体" w:cs="Times New Roman"/>
      <w:kern w:val="2"/>
      <w:sz w:val="21"/>
      <w:szCs w:val="21"/>
      <w:lang w:val="en-US" w:eastAsia="zh-CN" w:bidi="ar-SA"/>
    </w:rPr>
  </w:style>
  <w:style w:type="paragraph" w:customStyle="1" w:styleId="190">
    <w:name w:val="msonormal"/>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191">
    <w:name w:val="xl65"/>
    <w:basedOn w:val="1"/>
    <w:autoRedefine/>
    <w:qFormat/>
    <w:uiPriority w:val="0"/>
    <w:pPr>
      <w:widowControl/>
      <w:spacing w:before="100" w:beforeAutospacing="1" w:after="100" w:afterAutospacing="1"/>
      <w:jc w:val="center"/>
    </w:pPr>
    <w:rPr>
      <w:rFonts w:ascii="宋体" w:hAnsi="宋体" w:cs="宋体"/>
      <w:kern w:val="0"/>
      <w:sz w:val="24"/>
      <w:szCs w:val="24"/>
    </w:rPr>
  </w:style>
  <w:style w:type="paragraph" w:customStyle="1" w:styleId="192">
    <w:name w:val="xl6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193">
    <w:name w:val="xl6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szCs w:val="24"/>
    </w:rPr>
  </w:style>
  <w:style w:type="paragraph" w:customStyle="1" w:styleId="194">
    <w:name w:val="af17cgridlangnp1033langf"/>
    <w:autoRedefine/>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195">
    <w:name w:val="正文2"/>
    <w:basedOn w:val="1"/>
    <w:autoRedefine/>
    <w:qFormat/>
    <w:uiPriority w:val="0"/>
    <w:pPr>
      <w:spacing w:before="156" w:line="360" w:lineRule="auto"/>
      <w:ind w:firstLine="510" w:firstLineChars="200"/>
    </w:pPr>
    <w:rPr>
      <w:sz w:val="24"/>
    </w:rPr>
  </w:style>
  <w:style w:type="paragraph" w:customStyle="1" w:styleId="196">
    <w:name w:val="正文_0_1_1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97">
    <w:name w:val="正文文本缩进_2"/>
    <w:basedOn w:val="198"/>
    <w:autoRedefine/>
    <w:qFormat/>
    <w:uiPriority w:val="0"/>
    <w:pPr>
      <w:spacing w:line="500" w:lineRule="exact"/>
      <w:ind w:left="1588" w:leftChars="832" w:firstLine="433" w:firstLineChars="196"/>
    </w:pPr>
    <w:rPr>
      <w:kern w:val="0"/>
      <w:sz w:val="24"/>
    </w:rPr>
  </w:style>
  <w:style w:type="paragraph" w:customStyle="1" w:styleId="198">
    <w:name w:val="正文_14"/>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9">
    <w:name w:val="正文1"/>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character" w:customStyle="1" w:styleId="200">
    <w:name w:val="layui-layer-tabnow"/>
    <w:basedOn w:val="40"/>
    <w:autoRedefine/>
    <w:qFormat/>
    <w:uiPriority w:val="0"/>
    <w:rPr>
      <w:bdr w:val="single" w:color="CCCCCC" w:sz="4" w:space="0"/>
      <w:shd w:val="clear" w:color="auto" w:fill="FFFFFF"/>
    </w:rPr>
  </w:style>
  <w:style w:type="character" w:customStyle="1" w:styleId="201">
    <w:name w:val="first-child"/>
    <w:basedOn w:val="40"/>
    <w:autoRedefine/>
    <w:qFormat/>
    <w:uiPriority w:val="0"/>
  </w:style>
  <w:style w:type="paragraph" w:customStyle="1" w:styleId="202">
    <w:name w:val="正文（深信服）"/>
    <w:autoRedefine/>
    <w:qFormat/>
    <w:uiPriority w:val="0"/>
    <w:pPr>
      <w:adjustRightInd w:val="0"/>
      <w:snapToGrid w:val="0"/>
      <w:spacing w:line="360" w:lineRule="auto"/>
      <w:ind w:firstLine="480" w:firstLineChars="200"/>
    </w:pPr>
    <w:rPr>
      <w:rFonts w:ascii="Times New Roman" w:hAnsi="Times New Roman" w:eastAsia="宋体" w:cs="Times New Roman"/>
      <w:sz w:val="24"/>
      <w:szCs w:val="21"/>
      <w:lang w:val="en-US" w:eastAsia="zh-CN" w:bidi="ar-SA"/>
    </w:rPr>
  </w:style>
  <w:style w:type="paragraph" w:customStyle="1" w:styleId="203">
    <w:name w:val="正文2.25"/>
    <w:basedOn w:val="1"/>
    <w:autoRedefine/>
    <w:qFormat/>
    <w:uiPriority w:val="0"/>
    <w:pPr>
      <w:spacing w:line="360" w:lineRule="auto"/>
      <w:ind w:firstLine="540"/>
    </w:pPr>
    <w:rPr>
      <w:sz w:val="24"/>
      <w:szCs w:val="24"/>
    </w:rPr>
  </w:style>
  <w:style w:type="paragraph" w:customStyle="1" w:styleId="204">
    <w:name w:val="文档正文"/>
    <w:basedOn w:val="1"/>
    <w:autoRedefine/>
    <w:qFormat/>
    <w:uiPriority w:val="0"/>
    <w:pPr>
      <w:adjustRightInd w:val="0"/>
      <w:spacing w:before="60" w:after="60" w:line="360" w:lineRule="atLeast"/>
      <w:ind w:firstLine="482"/>
    </w:pPr>
    <w:rPr>
      <w:rFonts w:hAnsi="宋体" w:cs="宋体"/>
      <w:sz w:val="24"/>
    </w:rPr>
  </w:style>
  <w:style w:type="character" w:customStyle="1" w:styleId="205">
    <w:name w:val="批注文字 Char"/>
    <w:basedOn w:val="40"/>
    <w:link w:val="16"/>
    <w:autoRedefine/>
    <w:semiHidden/>
    <w:qFormat/>
    <w:uiPriority w:val="0"/>
    <w:rPr>
      <w:kern w:val="2"/>
      <w:sz w:val="21"/>
      <w:szCs w:val="21"/>
    </w:rPr>
  </w:style>
  <w:style w:type="character" w:customStyle="1" w:styleId="206">
    <w:name w:val="脚注文本 Char"/>
    <w:basedOn w:val="40"/>
    <w:link w:val="2"/>
    <w:autoRedefine/>
    <w:qFormat/>
    <w:uiPriority w:val="0"/>
    <w:rPr>
      <w:kern w:val="2"/>
      <w:sz w:val="18"/>
      <w:szCs w:val="21"/>
    </w:rPr>
  </w:style>
  <w:style w:type="character" w:customStyle="1" w:styleId="207">
    <w:name w:val="font01"/>
    <w:basedOn w:val="40"/>
    <w:autoRedefine/>
    <w:qFormat/>
    <w:uiPriority w:val="0"/>
    <w:rPr>
      <w:rFonts w:hint="default" w:ascii="Times New Roman" w:hAnsi="Times New Roman" w:cs="Times New Roman"/>
      <w:color w:val="000000"/>
      <w:sz w:val="24"/>
      <w:szCs w:val="24"/>
      <w:u w:val="none"/>
    </w:rPr>
  </w:style>
  <w:style w:type="character" w:customStyle="1" w:styleId="208">
    <w:name w:val="font21"/>
    <w:basedOn w:val="40"/>
    <w:autoRedefine/>
    <w:qFormat/>
    <w:uiPriority w:val="0"/>
    <w:rPr>
      <w:rFonts w:hint="eastAsia" w:ascii="宋体" w:hAnsi="宋体" w:eastAsia="宋体" w:cs="宋体"/>
      <w:color w:val="000000"/>
      <w:sz w:val="24"/>
      <w:szCs w:val="24"/>
      <w:u w:val="none"/>
    </w:rPr>
  </w:style>
  <w:style w:type="character" w:customStyle="1" w:styleId="209">
    <w:name w:val="font11"/>
    <w:basedOn w:val="40"/>
    <w:autoRedefine/>
    <w:qFormat/>
    <w:uiPriority w:val="0"/>
    <w:rPr>
      <w:rFonts w:hint="eastAsia" w:ascii="宋体" w:hAnsi="宋体" w:eastAsia="宋体" w:cs="宋体"/>
      <w:color w:val="000000"/>
      <w:sz w:val="24"/>
      <w:szCs w:val="24"/>
      <w:u w:val="none"/>
    </w:rPr>
  </w:style>
  <w:style w:type="table" w:customStyle="1" w:styleId="210">
    <w:name w:val="Table Normal"/>
    <w:autoRedefine/>
    <w:semiHidden/>
    <w:unhideWhenUsed/>
    <w:qFormat/>
    <w:uiPriority w:val="0"/>
    <w:tblPr>
      <w:tblCellMar>
        <w:top w:w="0" w:type="dxa"/>
        <w:left w:w="0" w:type="dxa"/>
        <w:bottom w:w="0" w:type="dxa"/>
        <w:right w:w="0" w:type="dxa"/>
      </w:tblCellMar>
    </w:tblPr>
  </w:style>
  <w:style w:type="character" w:customStyle="1" w:styleId="211">
    <w:name w:val="font31"/>
    <w:basedOn w:val="40"/>
    <w:autoRedefine/>
    <w:qFormat/>
    <w:uiPriority w:val="0"/>
    <w:rPr>
      <w:rFonts w:hint="eastAsia" w:ascii="宋体" w:hAnsi="宋体" w:eastAsia="宋体" w:cs="宋体"/>
      <w:color w:val="000000"/>
      <w:sz w:val="24"/>
      <w:szCs w:val="24"/>
      <w:u w:val="none"/>
    </w:rPr>
  </w:style>
  <w:style w:type="character" w:customStyle="1" w:styleId="212">
    <w:name w:val="font61"/>
    <w:basedOn w:val="40"/>
    <w:autoRedefine/>
    <w:qFormat/>
    <w:uiPriority w:val="0"/>
    <w:rPr>
      <w:rFonts w:hint="eastAsia" w:ascii="宋体" w:hAnsi="宋体" w:eastAsia="宋体" w:cs="宋体"/>
      <w:color w:val="FF0000"/>
      <w:sz w:val="20"/>
      <w:szCs w:val="20"/>
      <w:u w:val="none"/>
    </w:rPr>
  </w:style>
  <w:style w:type="character" w:customStyle="1" w:styleId="213">
    <w:name w:val="font51"/>
    <w:basedOn w:val="40"/>
    <w:autoRedefine/>
    <w:qFormat/>
    <w:uiPriority w:val="0"/>
    <w:rPr>
      <w:rFonts w:hint="default" w:ascii="方正黑体_GBK" w:hAnsi="方正黑体_GBK" w:eastAsia="方正黑体_GBK" w:cs="方正黑体_GBK"/>
      <w:color w:val="FF0000"/>
      <w:sz w:val="20"/>
      <w:szCs w:val="20"/>
      <w:u w:val="none"/>
    </w:rPr>
  </w:style>
  <w:style w:type="character" w:customStyle="1" w:styleId="214">
    <w:name w:val="font41"/>
    <w:basedOn w:val="40"/>
    <w:autoRedefine/>
    <w:qFormat/>
    <w:uiPriority w:val="0"/>
    <w:rPr>
      <w:rFonts w:hint="default" w:ascii="方正黑体_GBK" w:hAnsi="方正黑体_GBK" w:eastAsia="方正黑体_GBK" w:cs="方正黑体_GBK"/>
      <w:color w:val="000000"/>
      <w:sz w:val="20"/>
      <w:szCs w:val="20"/>
      <w:u w:val="none"/>
    </w:rPr>
  </w:style>
  <w:style w:type="character" w:customStyle="1" w:styleId="215">
    <w:name w:val="font81"/>
    <w:basedOn w:val="40"/>
    <w:autoRedefine/>
    <w:qFormat/>
    <w:uiPriority w:val="0"/>
    <w:rPr>
      <w:rFonts w:hint="eastAsia" w:ascii="黑体" w:hAnsi="宋体" w:eastAsia="黑体" w:cs="黑体"/>
      <w:color w:val="FF0000"/>
      <w:sz w:val="20"/>
      <w:szCs w:val="20"/>
      <w:u w:val="none"/>
    </w:rPr>
  </w:style>
  <w:style w:type="character" w:customStyle="1" w:styleId="216">
    <w:name w:val="font71"/>
    <w:basedOn w:val="40"/>
    <w:autoRedefine/>
    <w:qFormat/>
    <w:uiPriority w:val="0"/>
    <w:rPr>
      <w:rFonts w:hint="default" w:ascii="方正黑体_GBK" w:hAnsi="方正黑体_GBK" w:eastAsia="方正黑体_GBK" w:cs="方正黑体_GBK"/>
      <w:color w:val="000000"/>
      <w:sz w:val="20"/>
      <w:szCs w:val="20"/>
      <w:u w:val="none"/>
    </w:rPr>
  </w:style>
  <w:style w:type="character" w:customStyle="1" w:styleId="217">
    <w:name w:val="font91"/>
    <w:basedOn w:val="40"/>
    <w:autoRedefine/>
    <w:qFormat/>
    <w:uiPriority w:val="0"/>
    <w:rPr>
      <w:rFonts w:hint="default" w:ascii="方正黑体_GBK" w:hAnsi="方正黑体_GBK" w:eastAsia="方正黑体_GBK" w:cs="方正黑体_GBK"/>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1.jpeg"/><Relationship Id="rId14" Type="http://schemas.openxmlformats.org/officeDocument/2006/relationships/theme" Target="theme/theme1.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7"/>
    <customShpInfo spid="_x0000_s1025"/>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BD61B6D-C2C9-42CD-A656-61163F4E244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79</Pages>
  <Words>36753</Words>
  <Characters>38955</Characters>
  <Lines>316</Lines>
  <Paragraphs>89</Paragraphs>
  <TotalTime>1</TotalTime>
  <ScaleCrop>false</ScaleCrop>
  <LinksUpToDate>false</LinksUpToDate>
  <CharactersWithSpaces>41266</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2022-12-30T13:26:00Z</dcterms:created>
  <dc:creator>yinjian</dc:creator>
  <cp:lastModifiedBy>小幸福强</cp:lastModifiedBy>
  <cp:lastPrinted>2024-04-15T05:22:00Z</cp:lastPrinted>
  <dcterms:modified xsi:type="dcterms:W3CDTF">2024-05-09T10:56:44Z</dcterms:modified>
  <dc:title>招　标　文　件</dc:title>
  <cp:revision>217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3AEAD473F5FE40C59B0994FEA70CB618_13</vt:lpwstr>
  </property>
</Properties>
</file>