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numId w:val="0"/>
        </w:numPr>
        <w:tabs>
          <w:tab w:val="left" w:pos="7797"/>
        </w:tabs>
        <w:ind w:firstLine="2560" w:firstLineChars="800"/>
        <w:jc w:val="both"/>
        <w:rPr>
          <w:rFonts w:hint="eastAsia" w:ascii="宋体" w:hAnsi="宋体" w:eastAsia="宋体" w:cs="宋体"/>
          <w:sz w:val="32"/>
          <w:szCs w:val="32"/>
        </w:rPr>
      </w:pPr>
      <w:bookmarkStart w:id="5" w:name="_GoBack"/>
      <w:bookmarkEnd w:id="5"/>
      <w:r>
        <w:rPr>
          <w:rFonts w:hint="eastAsia" w:ascii="宋体" w:hAnsi="宋体" w:eastAsia="宋体" w:cs="宋体"/>
          <w:sz w:val="32"/>
          <w:szCs w:val="32"/>
        </w:rPr>
        <w:t>项目需求书</w:t>
      </w:r>
    </w:p>
    <w:p>
      <w:pPr>
        <w:pStyle w:val="2"/>
        <w:numPr>
          <w:ilvl w:val="0"/>
          <w:numId w:val="0"/>
        </w:numPr>
        <w:tabs>
          <w:tab w:val="left" w:pos="7797"/>
        </w:tabs>
        <w:jc w:val="center"/>
        <w:rPr>
          <w:rFonts w:hint="eastAsia" w:ascii="宋体" w:hAnsi="宋体" w:eastAsia="宋体" w:cs="宋体"/>
          <w:sz w:val="32"/>
          <w:szCs w:val="32"/>
          <w:lang w:eastAsia="zh-CN"/>
        </w:rPr>
      </w:pPr>
    </w:p>
    <w:tbl>
      <w:tblPr>
        <w:tblStyle w:val="6"/>
        <w:tblW w:w="8045" w:type="dxa"/>
        <w:jc w:val="center"/>
        <w:tblInd w:w="-4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7"/>
        <w:gridCol w:w="4281"/>
        <w:gridCol w:w="750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27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名称</w:t>
            </w:r>
          </w:p>
        </w:tc>
        <w:tc>
          <w:tcPr>
            <w:tcW w:w="4281" w:type="dxa"/>
            <w:vAlign w:val="center"/>
          </w:tcPr>
          <w:p>
            <w:pPr>
              <w:spacing w:line="22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基本要求</w:t>
            </w:r>
          </w:p>
        </w:tc>
        <w:tc>
          <w:tcPr>
            <w:tcW w:w="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38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  <w:jc w:val="center"/>
        </w:trPr>
        <w:tc>
          <w:tcPr>
            <w:tcW w:w="162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粉尘直读仪</w:t>
            </w:r>
          </w:p>
        </w:tc>
        <w:tc>
          <w:tcPr>
            <w:tcW w:w="4281" w:type="dxa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1.检测原理：光散射法，泵吸式采样方式；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2.量程：0-150mg/m3；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3.分辨率：0.001mg/m3，提供仪器显示界面截图；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4.测量精度：±10%；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5、续航能力：＞8h；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6、显示屏：双屏显示，主屏为触摸式液晶屏；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7、数据存储：＞1万条；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8.防爆型式：本安防爆，Exib IIC T4/ExibD 21 T130℃；Exib I Mb防爆认证，提供防爆合格证复印件；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9.防护等级：防护等级IP68，提供检测报告；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10、显示内容：TWA数值、平均值、实时曲线、历史曲线，可对检测数据进行实时曲线显示，提供仪器界面显示照片截图；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11、粒径：可更换多种粒径切割头，可分别对PM2.5、PM10或TSP等多种粒径进行测量，提供仪器界面显示照片截图；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12、传输方式：RS485，云平台远程传输；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13、主要配置：测试主机、粉尘切割器、滤膜、硅油、硅油刮板、便携箱。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14、内置40mm采样夹，可通过采样法，进行粉尘实际修正系数。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15、提供省市级计量院出具的计量证书。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工作场所监测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  <w:jc w:val="center"/>
        </w:trPr>
        <w:tc>
          <w:tcPr>
            <w:tcW w:w="162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个体粉尘采样器（防爆）</w:t>
            </w:r>
          </w:p>
        </w:tc>
        <w:tc>
          <w:tcPr>
            <w:tcW w:w="4281" w:type="dxa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bookmarkStart w:id="0" w:name="_Hlk118191763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1.流量范围：1000-5000ml/min；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2.流量精度控制：优于设定值的±5%；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3.电池续航：最大流量及4KPa阻力下连续运行时间大于8小时；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4.抗阻力能力：2000ml/min流量和25KPa阻力下，流量误差优于±5%；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5.显示内容：采样流量、采样阻力、采样体积、采样时间、电池剩余采样时间、环境温度、压力、标准状态下的采样体积等；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6.实时温度压力补偿：采样时每秒采样体积转换为标准体积（20℃、101.3KPa），而后累加得到总标准体积；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7.采样模式：手动、定时、定容、编程四种采样模式；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8.防爆等级：Ex ia IIB T5 Gb、Ex Ib I Mb，具有矿用产品安全标志证书，提供防爆合格证及矿用产品安全标志证书；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9.防护等级：IP54，提供检测报告扫描件；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10.具有计量器具型式批准证书（CPA）。</w:t>
            </w:r>
          </w:p>
          <w:bookmarkEnd w:id="0"/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配相关耗材滤膜、滤膜夹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12.提供省市级计量院出具的计量证书。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工作场所监测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  <w:jc w:val="center"/>
        </w:trPr>
        <w:tc>
          <w:tcPr>
            <w:tcW w:w="162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粉尘采样器</w:t>
            </w:r>
          </w:p>
        </w:tc>
        <w:tc>
          <w:tcPr>
            <w:tcW w:w="4281" w:type="dxa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1、流量范围：5-30L/min；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2、流量精度控制：优于设定值的±5%；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3、电池续航：最大流量及4KPa阻力下连续运行时间大于4小时；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4、抗阻力能力：15L/min流量和6.6KPa阻力下，流量误差优于±5%；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5、显示内容：采样流量、采样阻力、采样体积、采样时间、电池剩余采样时间、环境温度、压力、标准状态下的采样体积等；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6、实时温度压力补偿：采样时每秒采样体积转换为标准体积（20℃、101.3KPa），而后累加得到总标准体积；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7、采样模式：手动、定时、定容、编程四种采样模式；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8、防护等级：IP54，跌落：1.5m，提供检测报告扫描件；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9、防爆等级：Ex ia IIB T4 Gb、Ex Ib I Mb，具有矿用产品安全标志证书，提供防爆合格证及矿用产品安全标志证书；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10、具有电磁抗干扰性，提供检测报告复印件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11、具有计量器具型式批准证书（CPA）。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4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其中一台配六级微生物采样装置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34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提供省市级计量院出具的计量证书。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工作场所监测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62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赶酸仪</w:t>
            </w:r>
          </w:p>
        </w:tc>
        <w:tc>
          <w:tcPr>
            <w:tcW w:w="4281" w:type="dxa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1.电源.AC 220 V，50 ~ 60 Hz； 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2.功率:3000W； 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3.尺寸: 535x290x305mm（长X宽X高） 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4.重量.27Kg；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5.最大样品位数40 位；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6.孔径.29mm；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7.孔深.170mm；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8.温控范围.室温—200℃；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9.控温精度. ±0.5℃；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10.孔间温差. ±0.5℃；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11.控温时间. 0 - 999 分钟；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16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一氧化碳、二氧化碳检测仪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二合一分析仪</w:t>
            </w:r>
          </w:p>
        </w:tc>
        <w:tc>
          <w:tcPr>
            <w:tcW w:w="4281" w:type="dxa"/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测量原理：不分光红外分析法/非分散红外法（NDIR）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采样方式：内置泵吸式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测量范围：0~50.0×10-6CO，0~0.500%CO2或0~200.0×10-6CO，0~1.000%CO2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分 辨 率：0.1×10-6 CO；0.001% CO2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重 复 性：≤1% 满刻度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零点漂移：≤±2% 满刻度/h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跨度漂移：≤±2% 满刻度/3h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线性偏差：≤±2% 满刻度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温度附加误差：（在10℃～45℃）≤±2% 满刻度/10℃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一氧化碳干扰：1250mg/m3CO≤±0.3% 满刻度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预热时间：≤30min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响应时间：CO：t0～t90≤45S；CO2：t0～t90≤15S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13.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流量范围：（0.5-1.2）L/min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14.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标准配置：主机、取样器、电池、充电器、技术文件、便携箱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15.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供电电源：交直流两用，220AVC（±10%）或机内充电电池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16.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外形尺寸：260×210×90（mm）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17.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重    量：≤3.5kg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18.提供省市级计量院出具的计量证书。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教学环境监测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162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环境级剂量率仪</w:t>
            </w:r>
          </w:p>
        </w:tc>
        <w:tc>
          <w:tcPr>
            <w:tcW w:w="4281" w:type="dxa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*仪器有连续辐射剂量率、短期辐射剂量率、脉冲辐射、搜索放射源四种测量模式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1.检测体 塑料闪烁体(重金属混合物)：30×15 mm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2.环境剂量当量 ：10 nSv - 10 Sv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*3</w:t>
            </w:r>
            <w:bookmarkStart w:id="1" w:name="OLE_LINK2"/>
            <w:bookmarkStart w:id="2" w:name="OLE_LINK1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.连续辐射的环境剂量率当量 ：50 nSv/h - 10 Sv/h</w:t>
            </w:r>
            <w:bookmarkEnd w:id="1"/>
            <w:bookmarkEnd w:id="2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  短时辐射的环境剂量率当量 ：5 µSv/h-10 Sv/h </w:t>
            </w:r>
          </w:p>
          <w:p>
            <w:pPr>
              <w:ind w:firstLine="360" w:firstLineChars="15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脉冲辐射的环境剂量率当量：0.1μv/h - 10 Sv/h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*4.最小脉冲时间：10ns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*5.能量范围 ：0.015 –10MeV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6.137Cs能量响应灵敏度 </w:t>
            </w:r>
          </w:p>
          <w:p>
            <w:pPr>
              <w:spacing w:line="360" w:lineRule="auto"/>
              <w:ind w:firstLine="240" w:firstLineChars="10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from 15 keV to 60 keV ±35% </w:t>
            </w:r>
          </w:p>
          <w:p>
            <w:pPr>
              <w:spacing w:line="360" w:lineRule="auto"/>
              <w:ind w:firstLine="240" w:firstLineChars="10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from 60 keV to 3 MeV ±25% </w:t>
            </w:r>
          </w:p>
          <w:p>
            <w:pPr>
              <w:spacing w:line="360" w:lineRule="auto"/>
              <w:ind w:firstLine="240" w:firstLineChars="10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from 3 MeV to 10 MeV ±50%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7.137Cs灵敏度 70 cps/μSv h-1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bookmarkStart w:id="3" w:name="OLE_LINK3"/>
            <w:bookmarkStart w:id="4" w:name="OLE_LINK4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8.伴随性β辐射灵敏度:</w:t>
            </w:r>
            <w:bookmarkEnd w:id="3"/>
            <w:bookmarkEnd w:id="4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 xml:space="preserve"> 3·10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vertAlign w:val="superscript"/>
              </w:rPr>
              <w:t>-7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µSv/h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vertAlign w:val="superscript"/>
              </w:rPr>
              <w:t>-1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·Bq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vertAlign w:val="superscript"/>
              </w:rPr>
              <w:t>-1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9.操作模式设置时间：1min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10.连续操作时间 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交流电或直流电 不少于24h 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内置蓄电池 不少于24h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11.操作温度范围 ： -30 - +50℃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12.操作温度范围内补偿误差 ±10%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13.相对湿度(+ 35°C)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≤95%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*14. 可依据不同场景或平台手动选择不同的统计算法及自动记录，该算法可以编辑（PF.1-PF.8）。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*15. 测量过程中可以使用重滤过保护帽屏蔽可能存在的伴生β射线源。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16.防护等级 IP54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17.重量： 0.9 kg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18.尺寸： 233×85×67 mm 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*19. 需出具原厂家或总代理针对本项目授权</w:t>
            </w:r>
          </w:p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20.提供省市级计量院出具的计量证书。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eastAsia="zh-CN"/>
              </w:rPr>
              <w:t>工作场所监测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DC013"/>
    <w:multiLevelType w:val="singleLevel"/>
    <w:tmpl w:val="42ADC01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1A4532"/>
    <w:rsid w:val="431A453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rPr>
      <w:rFonts w:ascii="仿宋_GB2312" w:eastAsia="仿宋_GB2312"/>
      <w:sz w:val="30"/>
    </w:rPr>
  </w:style>
  <w:style w:type="paragraph" w:styleId="3">
    <w:name w:val="Normal (Web)"/>
    <w:basedOn w:val="1"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apple-converted-space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2023-12-06T06:29:00Z</dcterms:created>
  <dc:creator>哈哈一笑</dc:creator>
  <cp:lastModifiedBy>哈哈一笑</cp:lastModifiedBy>
  <dcterms:modified xsi:type="dcterms:W3CDTF">2023-12-06T06:29:29Z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