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第十八标段</w:t>
      </w:r>
      <w:bookmarkStart w:id="143" w:name="_GoBack"/>
      <w:bookmarkEnd w:id="143"/>
      <w:r>
        <w:rPr>
          <w:rFonts w:hint="eastAsia" w:ascii="宋体" w:hAnsi="宋体" w:eastAsia="宋体" w:cs="宋体"/>
          <w:b/>
          <w:color w:val="auto"/>
          <w:kern w:val="2"/>
          <w:sz w:val="52"/>
          <w:szCs w:val="24"/>
          <w:highlight w:val="none"/>
          <w:lang w:val="en-US" w:eastAsia="zh-CN" w:bidi="ar-SA"/>
        </w:rPr>
        <w:t xml:space="preserve">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-18</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31787"/>
      <w:bookmarkStart w:id="2" w:name="_Toc17385"/>
      <w:bookmarkStart w:id="3" w:name="_Toc8474"/>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_Toc5103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_Toc32539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_Toc28515 \h </w:instrText>
          </w:r>
          <w:r>
            <w:rPr>
              <w:rFonts w:hint="eastAsia" w:ascii="宋体" w:hAnsi="宋体" w:eastAsia="宋体" w:cs="宋体"/>
              <w:sz w:val="28"/>
              <w:szCs w:val="28"/>
            </w:rPr>
            <w:fldChar w:fldCharType="separate"/>
          </w:r>
          <w:r>
            <w:rPr>
              <w:rFonts w:hint="eastAsia" w:ascii="宋体" w:hAnsi="宋体" w:eastAsia="宋体" w:cs="宋体"/>
              <w:sz w:val="28"/>
              <w:szCs w:val="28"/>
            </w:rPr>
            <w:t>24</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rPr>
            <w:t>第四章 合同条款（参考格式）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_Toc32413 \h </w:instrText>
          </w:r>
          <w:r>
            <w:rPr>
              <w:rFonts w:hint="eastAsia" w:ascii="宋体" w:hAnsi="宋体" w:eastAsia="宋体" w:cs="宋体"/>
              <w:sz w:val="28"/>
              <w:szCs w:val="28"/>
            </w:rPr>
            <w:fldChar w:fldCharType="separate"/>
          </w:r>
          <w:r>
            <w:rPr>
              <w:rFonts w:hint="eastAsia" w:ascii="宋体" w:hAnsi="宋体" w:eastAsia="宋体" w:cs="宋体"/>
              <w:sz w:val="28"/>
              <w:szCs w:val="28"/>
            </w:rPr>
            <w:t>30</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rPr>
            <w:t xml:space="preserve">第五章 </w:t>
          </w:r>
          <w:r>
            <w:rPr>
              <w:rFonts w:hint="eastAsia" w:ascii="宋体" w:hAnsi="宋体" w:eastAsia="宋体" w:cs="宋体"/>
              <w:sz w:val="28"/>
              <w:szCs w:val="28"/>
              <w:highlight w:val="none"/>
            </w:rPr>
            <w:t>技术需求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_Toc9767 \h </w:instrText>
          </w:r>
          <w:r>
            <w:rPr>
              <w:rFonts w:hint="eastAsia" w:ascii="宋体" w:hAnsi="宋体" w:eastAsia="宋体" w:cs="宋体"/>
              <w:sz w:val="28"/>
              <w:szCs w:val="28"/>
            </w:rPr>
            <w:fldChar w:fldCharType="separate"/>
          </w:r>
          <w:r>
            <w:rPr>
              <w:rFonts w:hint="eastAsia" w:ascii="宋体" w:hAnsi="宋体" w:eastAsia="宋体" w:cs="宋体"/>
              <w:sz w:val="28"/>
              <w:szCs w:val="28"/>
            </w:rPr>
            <w:t>53</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_Toc32331 \h </w:instrText>
          </w:r>
          <w:r>
            <w:rPr>
              <w:rFonts w:hint="eastAsia" w:ascii="宋体" w:hAnsi="宋体" w:eastAsia="宋体" w:cs="宋体"/>
              <w:sz w:val="28"/>
              <w:szCs w:val="28"/>
            </w:rPr>
            <w:fldChar w:fldCharType="separate"/>
          </w:r>
          <w:r>
            <w:rPr>
              <w:rFonts w:hint="eastAsia" w:ascii="宋体" w:hAnsi="宋体" w:eastAsia="宋体" w:cs="宋体"/>
              <w:sz w:val="28"/>
              <w:szCs w:val="28"/>
            </w:rPr>
            <w:t>54</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35393790"/>
      <w:bookmarkStart w:id="7" w:name="_Toc35393621"/>
      <w:bookmarkStart w:id="8" w:name="_Toc28359002"/>
      <w:bookmarkStart w:id="9" w:name="_Toc28359079"/>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28359003"/>
      <w:bookmarkStart w:id="12" w:name="_Toc28359080"/>
      <w:bookmarkStart w:id="13" w:name="_Toc35393622"/>
      <w:bookmarkStart w:id="14" w:name="_Toc35393791"/>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81"/>
      <w:bookmarkStart w:id="16" w:name="_Toc28359004"/>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623"/>
      <w:bookmarkStart w:id="18" w:name="_Toc35393792"/>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82"/>
      <w:bookmarkStart w:id="20" w:name="_Toc28359005"/>
      <w:bookmarkStart w:id="21" w:name="_Toc35393624"/>
      <w:bookmarkStart w:id="22" w:name="_Toc35393793"/>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35393794"/>
      <w:bookmarkStart w:id="24" w:name="_Toc28359007"/>
      <w:bookmarkStart w:id="25" w:name="_Toc35393625"/>
      <w:bookmarkStart w:id="26" w:name="_Toc28359084"/>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795"/>
      <w:bookmarkStart w:id="28" w:name="_Toc35393626"/>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35393796"/>
      <w:bookmarkStart w:id="30" w:name="_Toc28359085"/>
      <w:bookmarkStart w:id="31" w:name="_Toc35393627"/>
      <w:bookmarkStart w:id="32" w:name="_Toc28359008"/>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86"/>
      <w:bookmarkStart w:id="34" w:name="_Toc28359009"/>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87"/>
      <w:bookmarkStart w:id="36" w:name="_Toc28359010"/>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35393814"/>
      <w:bookmarkStart w:id="39" w:name="_Toc28359104"/>
      <w:bookmarkStart w:id="40" w:name="_Toc28359027"/>
      <w:bookmarkStart w:id="41" w:name="_Toc35393645"/>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28359105"/>
      <w:bookmarkStart w:id="43" w:name="_Toc35393646"/>
      <w:bookmarkStart w:id="44" w:name="_Toc28359028"/>
      <w:bookmarkStart w:id="45" w:name="_Toc35393815"/>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816"/>
      <w:bookmarkStart w:id="47" w:name="_Toc35393647"/>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28359106"/>
      <w:bookmarkStart w:id="49" w:name="_Toc35393817"/>
      <w:bookmarkStart w:id="50" w:name="_Toc35393648"/>
      <w:bookmarkStart w:id="51" w:name="_Toc28359029"/>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十八</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00" w:themeColor="text1"/>
                <w:spacing w:val="6"/>
                <w:sz w:val="24"/>
                <w:highlight w:val="none"/>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1.满足《中华人民共和国政府采购法》第二十二条规定</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1）具有独立承担民事责任的能力；</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2）</w:t>
            </w:r>
            <w:r>
              <w:rPr>
                <w:rFonts w:hint="eastAsia" w:ascii="宋体" w:hAnsi="宋体" w:eastAsia="宋体" w:cs="宋体"/>
                <w:bCs/>
                <w:color w:val="000000" w:themeColor="text1"/>
                <w:sz w:val="24"/>
                <w:highlight w:val="none"/>
                <w14:textFill>
                  <w14:solidFill>
                    <w14:schemeClr w14:val="tx1"/>
                  </w14:solidFill>
                </w14:textFill>
              </w:rPr>
              <w:t>具有良好的商业信誉和健全的财务会计制度{</w:t>
            </w:r>
            <w:r>
              <w:rPr>
                <w:rFonts w:hint="eastAsia" w:ascii="宋体" w:hAnsi="宋体" w:eastAsia="宋体" w:cs="宋体"/>
                <w:color w:val="000000" w:themeColor="text1"/>
                <w:sz w:val="24"/>
                <w:highlight w:val="none"/>
                <w:lang w:eastAsia="zh-CN"/>
                <w14:textFill>
                  <w14:solidFill>
                    <w14:schemeClr w14:val="tx1"/>
                  </w14:solidFill>
                </w14:textFill>
              </w:rPr>
              <w:t>提供近三年（20</w:t>
            </w:r>
            <w:r>
              <w:rPr>
                <w:rFonts w:hint="eastAsia" w:ascii="宋体" w:hAnsi="宋体" w:eastAsia="宋体" w:cs="宋体"/>
                <w:color w:val="000000" w:themeColor="text1"/>
                <w:sz w:val="24"/>
                <w:highlight w:val="none"/>
                <w:lang w:val="en-US" w:eastAsia="zh-CN"/>
                <w14:textFill>
                  <w14:solidFill>
                    <w14:schemeClr w14:val="tx1"/>
                  </w14:solidFill>
                </w14:textFill>
              </w:rPr>
              <w:t>20</w:t>
            </w:r>
            <w:r>
              <w:rPr>
                <w:rFonts w:hint="eastAsia" w:ascii="宋体" w:hAnsi="宋体" w:eastAsia="宋体" w:cs="宋体"/>
                <w:color w:val="000000" w:themeColor="text1"/>
                <w:sz w:val="24"/>
                <w:highlight w:val="none"/>
                <w:lang w:eastAsia="zh-CN"/>
                <w14:textFill>
                  <w14:solidFill>
                    <w14:schemeClr w14:val="tx1"/>
                  </w14:solidFill>
                </w14:textFill>
              </w:rPr>
              <w:t>年-20</w:t>
            </w:r>
            <w:r>
              <w:rPr>
                <w:rFonts w:hint="eastAsia" w:ascii="宋体" w:hAnsi="宋体" w:eastAsia="宋体" w:cs="宋体"/>
                <w:color w:val="000000" w:themeColor="text1"/>
                <w:sz w:val="24"/>
                <w:highlight w:val="none"/>
                <w:lang w:val="en-US" w:eastAsia="zh-CN"/>
                <w14:textFill>
                  <w14:solidFill>
                    <w14:schemeClr w14:val="tx1"/>
                  </w14:solidFill>
                </w14:textFill>
              </w:rPr>
              <w:t>22</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经会计师事务所出具的财务审计报告。</w:t>
            </w:r>
            <w:r>
              <w:rPr>
                <w:rFonts w:hint="eastAsia" w:ascii="宋体" w:hAnsi="宋体" w:eastAsia="宋体" w:cs="宋体"/>
                <w:color w:val="000000" w:themeColor="text1"/>
                <w:sz w:val="24"/>
                <w:highlight w:val="none"/>
                <w:lang w:eastAsia="zh-CN"/>
                <w14:textFill>
                  <w14:solidFill>
                    <w14:schemeClr w14:val="tx1"/>
                  </w14:solidFill>
                </w14:textFill>
              </w:rPr>
              <w:t>（若投标人为20</w:t>
            </w:r>
            <w:r>
              <w:rPr>
                <w:rFonts w:hint="eastAsia" w:ascii="宋体" w:hAnsi="宋体" w:eastAsia="宋体" w:cs="宋体"/>
                <w:color w:val="000000" w:themeColor="text1"/>
                <w:sz w:val="24"/>
                <w:highlight w:val="none"/>
                <w:lang w:val="en-US" w:eastAsia="zh-CN"/>
                <w14:textFill>
                  <w14:solidFill>
                    <w14:schemeClr w14:val="tx1"/>
                  </w14:solidFill>
                </w14:textFill>
              </w:rPr>
              <w:t>20</w:t>
            </w:r>
            <w:r>
              <w:rPr>
                <w:rFonts w:hint="eastAsia" w:ascii="宋体" w:hAnsi="宋体" w:eastAsia="宋体" w:cs="宋体"/>
                <w:color w:val="000000" w:themeColor="text1"/>
                <w:sz w:val="24"/>
                <w:highlight w:val="none"/>
                <w:lang w:eastAsia="zh-CN"/>
                <w14:textFill>
                  <w14:solidFill>
                    <w14:schemeClr w14:val="tx1"/>
                  </w14:solidFill>
                </w14:textFill>
              </w:rPr>
              <w:t>年以后注册成立的公司，即需提供从成立日期起的财务审计报告；若投标人为202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年以后注册成立的公司，即需提供一份银行资信证明）</w:t>
            </w:r>
            <w:r>
              <w:rPr>
                <w:rFonts w:hint="eastAsia" w:ascii="宋体" w:hAnsi="宋体" w:eastAsia="宋体" w:cs="宋体"/>
                <w:bCs/>
                <w:color w:val="000000" w:themeColor="text1"/>
                <w:sz w:val="24"/>
                <w:highlight w:val="none"/>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3）具有履行合同所必需的设备和专业技术能力（可以提供类似业绩合同或者可以提供承诺书</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&lt;</w:t>
            </w:r>
            <w:r>
              <w:rPr>
                <w:rFonts w:hint="eastAsia" w:ascii="宋体" w:hAnsi="宋体" w:eastAsia="宋体" w:cs="宋体"/>
                <w:b w:val="0"/>
                <w:bCs w:val="0"/>
                <w:color w:val="000000" w:themeColor="text1"/>
                <w:spacing w:val="6"/>
                <w:sz w:val="24"/>
                <w:highlight w:val="none"/>
                <w14:textFill>
                  <w14:solidFill>
                    <w14:schemeClr w14:val="tx1"/>
                  </w14:solidFill>
                </w14:textFill>
              </w:rPr>
              <w:t>格式自拟</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&gt;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4）有依法缴纳税收和社会保障资金的良好记录</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提供近一年（202</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年</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月以后）任意两个月的依法缴纳税收</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记录</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和社会保障资金的相关材料（</w:t>
            </w:r>
            <w:r>
              <w:rPr>
                <w:rFonts w:hint="eastAsia" w:ascii="宋体" w:hAnsi="宋体" w:eastAsia="宋体" w:cs="宋体"/>
                <w:b w:val="0"/>
                <w:bCs w:val="0"/>
                <w:color w:val="000000" w:themeColor="text1"/>
                <w:spacing w:val="6"/>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pacing w:val="6"/>
                <w:sz w:val="24"/>
                <w:highlight w:val="none"/>
                <w14:textFill>
                  <w14:solidFill>
                    <w14:schemeClr w14:val="tx1"/>
                  </w14:solidFill>
                </w14:textFill>
              </w:rPr>
              <w:t>，应提供相应文件证明其依法免税或不需要缴纳社会保障资金）</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5）参加政府采购活动前三年内</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在经营活动中没有重大违法记录的书面声明（</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声明函格式自拟</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6）法律、行政法规规定的其他条件。</w:t>
            </w:r>
          </w:p>
          <w:p>
            <w:pPr>
              <w:spacing w:line="240" w:lineRule="auto"/>
              <w:rPr>
                <w:rFonts w:hint="eastAsia" w:ascii="宋体" w:hAnsi="宋体" w:eastAsia="宋体" w:cs="宋体"/>
                <w:b/>
                <w:bCs/>
                <w:color w:val="000000" w:themeColor="text1"/>
                <w:spacing w:val="6"/>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落实政府采购政策需满足的资格要求：</w:t>
            </w:r>
            <w:r>
              <w:rPr>
                <w:rFonts w:hint="eastAsia" w:ascii="宋体" w:hAnsi="宋体" w:eastAsia="宋体" w:cs="宋体"/>
                <w:b/>
                <w:bCs/>
                <w:color w:val="000000" w:themeColor="text1"/>
                <w:spacing w:val="6"/>
                <w:sz w:val="24"/>
                <w:highlight w:val="none"/>
                <w:lang w:eastAsia="zh-CN"/>
                <w14:textFill>
                  <w14:solidFill>
                    <w14:schemeClr w14:val="tx1"/>
                  </w14:solidFill>
                </w14:textFill>
              </w:rPr>
              <w:t>第</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17</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21</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30</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32</w:t>
            </w:r>
            <w:r>
              <w:rPr>
                <w:rFonts w:hint="eastAsia" w:ascii="宋体" w:hAnsi="宋体" w:eastAsia="宋体" w:cs="宋体"/>
                <w:b/>
                <w:bCs/>
                <w:color w:val="000000" w:themeColor="text1"/>
                <w:spacing w:val="6"/>
                <w:sz w:val="24"/>
                <w:highlight w:val="none"/>
                <w:lang w:eastAsia="zh-CN"/>
                <w14:textFill>
                  <w14:solidFill>
                    <w14:schemeClr w14:val="tx1"/>
                  </w14:solidFill>
                </w14:textFill>
              </w:rPr>
              <w:t>标段</w:t>
            </w:r>
            <w:r>
              <w:rPr>
                <w:rFonts w:hint="eastAsia" w:ascii="宋体" w:hAnsi="宋体" w:eastAsia="宋体" w:cs="宋体"/>
                <w:b/>
                <w:bCs/>
                <w:color w:val="000000" w:themeColor="text1"/>
                <w:spacing w:val="6"/>
                <w:sz w:val="24"/>
                <w:highlight w:val="none"/>
                <w14:textFill>
                  <w14:solidFill>
                    <w14:schemeClr w14:val="tx1"/>
                  </w14:solidFill>
                </w14:textFill>
              </w:rPr>
              <w:t>专门面向中小企业采购</w:t>
            </w:r>
            <w:r>
              <w:rPr>
                <w:rFonts w:hint="eastAsia" w:ascii="宋体" w:hAnsi="宋体" w:eastAsia="宋体" w:cs="宋体"/>
                <w:b/>
                <w:bCs/>
                <w:color w:val="000000" w:themeColor="text1"/>
                <w:spacing w:val="6"/>
                <w:sz w:val="24"/>
                <w:highlight w:val="none"/>
                <w:lang w:eastAsia="zh-CN"/>
                <w14:textFill>
                  <w14:solidFill>
                    <w14:schemeClr w14:val="tx1"/>
                  </w14:solidFill>
                </w14:textFill>
              </w:rPr>
              <w:t>；第</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15</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16</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18</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22</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23</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28</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37</w:t>
            </w:r>
            <w:r>
              <w:rPr>
                <w:rFonts w:hint="eastAsia" w:ascii="宋体" w:hAnsi="宋体" w:eastAsia="宋体" w:cs="宋体"/>
                <w:b/>
                <w:bCs/>
                <w:color w:val="000000" w:themeColor="text1"/>
                <w:spacing w:val="6"/>
                <w:sz w:val="24"/>
                <w:highlight w:val="none"/>
                <w:lang w:eastAsia="zh-CN"/>
                <w14:textFill>
                  <w14:solidFill>
                    <w14:schemeClr w14:val="tx1"/>
                  </w14:solidFill>
                </w14:textFill>
              </w:rPr>
              <w:t>标段</w:t>
            </w:r>
            <w:r>
              <w:rPr>
                <w:rFonts w:hint="eastAsia" w:ascii="宋体" w:hAnsi="宋体" w:eastAsia="宋体" w:cs="宋体"/>
                <w:b/>
                <w:bCs/>
                <w:color w:val="000000" w:themeColor="text1"/>
                <w:spacing w:val="6"/>
                <w:sz w:val="24"/>
                <w:highlight w:val="none"/>
                <w14:textFill>
                  <w14:solidFill>
                    <w14:schemeClr w14:val="tx1"/>
                  </w14:solidFill>
                </w14:textFill>
              </w:rPr>
              <w:t>专门面向小微企业采购；其余标段非专门面向中小企业采购</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本项目的特定资格要求：</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000000" w:themeColor="text1"/>
                <w:spacing w:val="6"/>
                <w:sz w:val="24"/>
                <w:highlight w:val="none"/>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2</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单位负责人为同一人或存在直接控股、管理关系的不同</w:t>
            </w:r>
            <w:r>
              <w:rPr>
                <w:rFonts w:hint="eastAsia" w:ascii="宋体" w:hAnsi="宋体" w:eastAsia="宋体" w:cs="宋体"/>
                <w:color w:val="000000" w:themeColor="text1"/>
                <w:sz w:val="24"/>
                <w:highlight w:val="none"/>
                <w:lang w:val="en-US" w:eastAsia="zh-CN"/>
                <w14:textFill>
                  <w14:solidFill>
                    <w14:schemeClr w14:val="tx1"/>
                  </w14:solidFill>
                </w14:textFill>
              </w:rPr>
              <w:t>供应商</w:t>
            </w:r>
            <w:r>
              <w:rPr>
                <w:rFonts w:hint="eastAsia" w:ascii="宋体" w:hAnsi="宋体" w:eastAsia="宋体" w:cs="宋体"/>
                <w:b w:val="0"/>
                <w:bCs w:val="0"/>
                <w:color w:val="000000" w:themeColor="text1"/>
                <w:spacing w:val="6"/>
                <w:sz w:val="24"/>
                <w:highlight w:val="none"/>
                <w14:textFill>
                  <w14:solidFill>
                    <w14:schemeClr w14:val="tx1"/>
                  </w14:solidFill>
                </w14:textFill>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详见招标公告1.</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6</w:t>
            </w:r>
            <w:r>
              <w:rPr>
                <w:rFonts w:hint="eastAsia" w:ascii="宋体" w:hAnsi="宋体" w:eastAsia="宋体" w:cs="宋体"/>
                <w:b w:val="0"/>
                <w:bCs w:val="0"/>
                <w:color w:val="000000" w:themeColor="text1"/>
                <w:sz w:val="24"/>
                <w:highlight w:val="none"/>
                <w14:textFill>
                  <w14:solidFill>
                    <w14:schemeClr w14:val="tx1"/>
                  </w14:solidFill>
                </w14:textFill>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投标人应符合</w:t>
            </w:r>
            <w:r>
              <w:rPr>
                <w:rFonts w:hint="eastAsia" w:ascii="宋体" w:hAnsi="宋体" w:eastAsia="宋体" w:cs="宋体"/>
                <w:b w:val="0"/>
                <w:bCs w:val="0"/>
                <w:color w:val="000000" w:themeColor="text1"/>
                <w:sz w:val="24"/>
                <w:highlight w:val="none"/>
                <w:lang w:eastAsia="zh-CN"/>
                <w14:textFill>
                  <w14:solidFill>
                    <w14:schemeClr w14:val="tx1"/>
                  </w14:solidFill>
                </w14:textFill>
              </w:rPr>
              <w:t>招标公告</w:t>
            </w:r>
            <w:r>
              <w:rPr>
                <w:rFonts w:hint="eastAsia" w:ascii="宋体" w:hAnsi="宋体" w:eastAsia="宋体" w:cs="宋体"/>
                <w:b w:val="0"/>
                <w:bCs w:val="0"/>
                <w:color w:val="000000" w:themeColor="text1"/>
                <w:sz w:val="24"/>
                <w:highlight w:val="none"/>
                <w14:textFill>
                  <w14:solidFill>
                    <w14:schemeClr w14:val="tx1"/>
                  </w14:solidFill>
                </w14:textFill>
              </w:rPr>
              <w:t>中投标人资格要求，</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并</w:t>
            </w:r>
            <w:r>
              <w:rPr>
                <w:rFonts w:hint="eastAsia" w:ascii="宋体" w:hAnsi="宋体" w:eastAsia="宋体" w:cs="宋体"/>
                <w:b w:val="0"/>
                <w:bCs w:val="0"/>
                <w:color w:val="000000" w:themeColor="text1"/>
                <w:sz w:val="24"/>
                <w:highlight w:val="none"/>
                <w14:textFill>
                  <w14:solidFill>
                    <w14:schemeClr w14:val="tx1"/>
                  </w14:solidFill>
                </w14:textFill>
              </w:rPr>
              <w:t>将以下资料的</w:t>
            </w:r>
            <w:r>
              <w:rPr>
                <w:rFonts w:hint="eastAsia" w:ascii="宋体" w:hAnsi="宋体" w:eastAsia="宋体" w:cs="宋体"/>
                <w:b w:val="0"/>
                <w:bCs w:val="0"/>
                <w:color w:val="000000" w:themeColor="text1"/>
                <w:sz w:val="24"/>
                <w:highlight w:val="none"/>
                <w:lang w:eastAsia="zh-CN"/>
                <w14:textFill>
                  <w14:solidFill>
                    <w14:schemeClr w14:val="tx1"/>
                  </w14:solidFill>
                </w14:textFill>
              </w:rPr>
              <w:t>加盖公章</w:t>
            </w:r>
            <w:r>
              <w:rPr>
                <w:rFonts w:hint="eastAsia" w:ascii="宋体" w:hAnsi="宋体" w:eastAsia="宋体" w:cs="宋体"/>
                <w:b w:val="0"/>
                <w:bCs w:val="0"/>
                <w:color w:val="000000" w:themeColor="text1"/>
                <w:sz w:val="24"/>
                <w:highlight w:val="none"/>
                <w14:textFill>
                  <w14:solidFill>
                    <w14:schemeClr w14:val="tx1"/>
                  </w14:solidFill>
                </w14:textFill>
              </w:rPr>
              <w:t>复印件装订到投标文件中：</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1 ）营业执照副本；</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3 ）具有履行合同所必需的设备和专业技术能力的证明材料（可以提供类似业绩合同或者可以提供承诺书</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&lt;</w:t>
            </w:r>
            <w:r>
              <w:rPr>
                <w:rFonts w:hint="eastAsia" w:ascii="宋体" w:hAnsi="宋体" w:eastAsia="宋体" w:cs="宋体"/>
                <w:b w:val="0"/>
                <w:bCs w:val="0"/>
                <w:color w:val="000000" w:themeColor="text1"/>
                <w:sz w:val="24"/>
                <w:highlight w:val="none"/>
                <w14:textFill>
                  <w14:solidFill>
                    <w14:schemeClr w14:val="tx1"/>
                  </w14:solidFill>
                </w14:textFill>
              </w:rPr>
              <w:t>格式自拟</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&gt;</w:t>
            </w:r>
            <w:r>
              <w:rPr>
                <w:rFonts w:hint="eastAsia" w:ascii="宋体" w:hAnsi="宋体" w:eastAsia="宋体" w:cs="宋体"/>
                <w:b w:val="0"/>
                <w:bCs w:val="0"/>
                <w:color w:val="000000" w:themeColor="text1"/>
                <w:sz w:val="24"/>
                <w:highlight w:val="none"/>
                <w14:textFill>
                  <w14:solidFill>
                    <w14:schemeClr w14:val="tx1"/>
                  </w14:solidFill>
                </w14:textFill>
              </w:rPr>
              <w:t>）；</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4 ）参加政府采购活动前三年内在经营活动中没有重大违法记录的书面声明；</w:t>
            </w:r>
            <w:r>
              <w:rPr>
                <w:rFonts w:hint="eastAsia" w:ascii="宋体" w:hAnsi="宋体" w:eastAsia="宋体" w:cs="宋体"/>
                <w:b w:val="0"/>
                <w:bCs w:val="0"/>
                <w:color w:val="000000" w:themeColor="text1"/>
                <w:sz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声明函格式自拟</w:t>
            </w:r>
            <w:r>
              <w:rPr>
                <w:rFonts w:hint="eastAsia" w:ascii="宋体" w:hAnsi="宋体" w:eastAsia="宋体" w:cs="宋体"/>
                <w:b w:val="0"/>
                <w:bCs w:val="0"/>
                <w:color w:val="000000" w:themeColor="text1"/>
                <w:sz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highlight w:val="none"/>
                <w14:textFill>
                  <w14:solidFill>
                    <w14:schemeClr w14:val="tx1"/>
                  </w14:solidFill>
                </w14:textFill>
              </w:rPr>
              <w:t>；</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5 ）</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z w:val="24"/>
                <w:highlight w:val="none"/>
                <w:lang w:eastAsia="zh-CN"/>
                <w14:textFill>
                  <w14:solidFill>
                    <w14:schemeClr w14:val="tx1"/>
                  </w14:solidFill>
                </w14:textFill>
              </w:rPr>
              <w:t>提供近三年（20</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20</w:t>
            </w:r>
            <w:r>
              <w:rPr>
                <w:rFonts w:hint="eastAsia" w:ascii="宋体" w:hAnsi="宋体" w:eastAsia="宋体" w:cs="宋体"/>
                <w:b w:val="0"/>
                <w:bCs w:val="0"/>
                <w:color w:val="000000" w:themeColor="text1"/>
                <w:sz w:val="24"/>
                <w:highlight w:val="none"/>
                <w:lang w:eastAsia="zh-CN"/>
                <w14:textFill>
                  <w14:solidFill>
                    <w14:schemeClr w14:val="tx1"/>
                  </w14:solidFill>
                </w14:textFill>
              </w:rPr>
              <w:t>年-202</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highlight w:val="none"/>
                <w:lang w:eastAsia="zh-CN"/>
                <w14:textFill>
                  <w14:solidFill>
                    <w14:schemeClr w14:val="tx1"/>
                  </w14:solidFill>
                </w14:textFill>
              </w:rPr>
              <w:t>年）经会计师事务所或审计机构出具的财务审计报告。（若投标人为20</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20</w:t>
            </w:r>
            <w:r>
              <w:rPr>
                <w:rFonts w:hint="eastAsia" w:ascii="宋体" w:hAnsi="宋体" w:eastAsia="宋体" w:cs="宋体"/>
                <w:b w:val="0"/>
                <w:bCs w:val="0"/>
                <w:color w:val="000000" w:themeColor="text1"/>
                <w:sz w:val="24"/>
                <w:highlight w:val="none"/>
                <w:lang w:eastAsia="zh-CN"/>
                <w14:textFill>
                  <w14:solidFill>
                    <w14:schemeClr w14:val="tx1"/>
                  </w14:solidFill>
                </w14:textFill>
              </w:rPr>
              <w:t>年以后注册成立的公司，即需提供从成立日期起的财务审计报告；若投标人为202</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highlight w:val="none"/>
                <w:lang w:eastAsia="zh-CN"/>
                <w14:textFill>
                  <w14:solidFill>
                    <w14:schemeClr w14:val="tx1"/>
                  </w14:solidFill>
                </w14:textFill>
              </w:rPr>
              <w:t>年以后注册成立的公司，即需提供一份银行资信证明）</w:t>
            </w:r>
            <w:r>
              <w:rPr>
                <w:rFonts w:hint="eastAsia" w:ascii="宋体" w:hAnsi="宋体" w:eastAsia="宋体" w:cs="宋体"/>
                <w:b w:val="0"/>
                <w:bCs w:val="0"/>
                <w:color w:val="000000" w:themeColor="text1"/>
                <w:sz w:val="24"/>
                <w:highlight w:val="none"/>
                <w14:textFill>
                  <w14:solidFill>
                    <w14:schemeClr w14:val="tx1"/>
                  </w14:solidFill>
                </w14:textFill>
              </w:rPr>
              <w:t>、</w:t>
            </w:r>
            <w:r>
              <w:rPr>
                <w:rFonts w:hint="eastAsia" w:ascii="宋体" w:hAnsi="宋体" w:eastAsia="宋体" w:cs="宋体"/>
                <w:b w:val="0"/>
                <w:bCs w:val="0"/>
                <w:color w:val="000000" w:themeColor="text1"/>
                <w:sz w:val="24"/>
                <w:highlight w:val="none"/>
                <w:lang w:eastAsia="zh-CN"/>
                <w14:textFill>
                  <w14:solidFill>
                    <w14:schemeClr w14:val="tx1"/>
                  </w14:solidFill>
                </w14:textFill>
              </w:rPr>
              <w:t>提供近一年（202</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highlight w:val="none"/>
                <w:lang w:eastAsia="zh-CN"/>
                <w14:textFill>
                  <w14:solidFill>
                    <w14:schemeClr w14:val="tx1"/>
                  </w14:solidFill>
                </w14:textFill>
              </w:rPr>
              <w:t>年</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highlight w:val="none"/>
                <w:lang w:eastAsia="zh-CN"/>
                <w14:textFill>
                  <w14:solidFill>
                    <w14:schemeClr w14:val="tx1"/>
                  </w14:solidFill>
                </w14:textFill>
              </w:rPr>
              <w:t>月以后）任意两个月的依法缴纳税收和社会保障资金的相关材料</w:t>
            </w:r>
            <w:r>
              <w:rPr>
                <w:rFonts w:hint="eastAsia" w:ascii="宋体" w:hAnsi="宋体" w:eastAsia="宋体" w:cs="宋体"/>
                <w:b w:val="0"/>
                <w:bCs w:val="0"/>
                <w:color w:val="000000" w:themeColor="text1"/>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z w:val="24"/>
                <w:highlight w:val="none"/>
                <w14:textFill>
                  <w14:solidFill>
                    <w14:schemeClr w14:val="tx1"/>
                  </w14:solidFill>
                </w14:textFill>
              </w:rPr>
              <w:t>，应提供相应文件证明其依法免税或不需要缴纳社会保障资金）；</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6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十八</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b w:val="0"/>
                <w:bCs w:val="0"/>
                <w:color w:val="auto"/>
                <w:sz w:val="24"/>
                <w:highlight w:val="none"/>
                <w:lang w:val="en-US" w:eastAsia="zh-CN"/>
              </w:rPr>
              <w:t>209.60</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穿刺式破拆水枪</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0.80</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262</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209.60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十八</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20018元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04</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25</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yellow"/>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spacing w:line="240" w:lineRule="auto"/>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2、截止时点：2024年04月2</w:t>
            </w:r>
            <w:r>
              <w:rPr>
                <w:rFonts w:hint="eastAsia" w:ascii="宋体" w:hAnsi="宋体" w:cs="宋体"/>
                <w:b w:val="0"/>
                <w:bCs w:val="0"/>
                <w:color w:val="0000FF"/>
                <w:sz w:val="24"/>
                <w:highlight w:val="none"/>
                <w:lang w:val="en-US" w:eastAsia="zh-CN"/>
              </w:rPr>
              <w:t>5</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提供近一年（</w:t>
      </w:r>
      <w:r>
        <w:rPr>
          <w:rFonts w:hint="eastAsia" w:ascii="宋体" w:hAnsi="宋体" w:eastAsia="宋体" w:cs="宋体"/>
          <w:color w:val="3314F4"/>
          <w:sz w:val="24"/>
          <w:highlight w:val="none"/>
          <w:lang w:eastAsia="zh-CN"/>
        </w:rPr>
        <w:t>202</w:t>
      </w:r>
      <w:r>
        <w:rPr>
          <w:rFonts w:hint="eastAsia" w:ascii="宋体" w:hAnsi="宋体" w:eastAsia="宋体" w:cs="宋体"/>
          <w:color w:val="3314F4"/>
          <w:sz w:val="24"/>
          <w:highlight w:val="none"/>
          <w:lang w:val="en-US" w:eastAsia="zh-CN"/>
        </w:rPr>
        <w:t>3</w:t>
      </w:r>
      <w:r>
        <w:rPr>
          <w:rFonts w:hint="eastAsia" w:ascii="宋体" w:hAnsi="宋体" w:eastAsia="宋体" w:cs="宋体"/>
          <w:color w:val="3314F4"/>
          <w:sz w:val="24"/>
          <w:highlight w:val="none"/>
          <w:lang w:eastAsia="zh-CN"/>
        </w:rPr>
        <w:t>年</w:t>
      </w:r>
      <w:r>
        <w:rPr>
          <w:rFonts w:hint="eastAsia" w:ascii="宋体" w:hAnsi="宋体" w:eastAsia="宋体" w:cs="宋体"/>
          <w:color w:val="3314F4"/>
          <w:sz w:val="24"/>
          <w:highlight w:val="none"/>
          <w:lang w:val="en-US" w:eastAsia="zh-CN"/>
        </w:rPr>
        <w:t>3</w:t>
      </w:r>
      <w:r>
        <w:rPr>
          <w:rFonts w:hint="eastAsia" w:ascii="宋体" w:hAnsi="宋体" w:eastAsia="宋体" w:cs="宋体"/>
          <w:color w:val="3314F4"/>
          <w:sz w:val="24"/>
          <w:highlight w:val="none"/>
          <w:lang w:eastAsia="zh-CN"/>
        </w:rPr>
        <w:t>月</w:t>
      </w:r>
      <w:r>
        <w:rPr>
          <w:rFonts w:hint="eastAsia" w:ascii="宋体" w:hAnsi="宋体" w:eastAsia="宋体" w:cs="宋体"/>
          <w:color w:val="auto"/>
          <w:sz w:val="24"/>
          <w:highlight w:val="none"/>
          <w:lang w:eastAsia="zh-CN"/>
        </w:rPr>
        <w:t>以后）任意两个月的依法缴纳税收和社会保障资金的相关材料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4.有依法缴纳税收和社会保障资金的良好记录</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提供近一年（202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月以后）任意两个月的依法缴纳税收</w:t>
            </w:r>
            <w:r>
              <w:rPr>
                <w:rFonts w:hint="eastAsia" w:ascii="宋体" w:hAnsi="宋体" w:eastAsia="宋体" w:cs="宋体"/>
                <w:color w:val="000000" w:themeColor="text1"/>
                <w:sz w:val="24"/>
                <w:highlight w:val="none"/>
                <w:lang w:val="en-US" w:eastAsia="zh-CN"/>
                <w14:textFill>
                  <w14:solidFill>
                    <w14:schemeClr w14:val="tx1"/>
                  </w14:solidFill>
                </w14:textFill>
              </w:rPr>
              <w:t>记录</w:t>
            </w:r>
            <w:r>
              <w:rPr>
                <w:rFonts w:hint="eastAsia" w:ascii="宋体" w:hAnsi="宋体" w:eastAsia="宋体" w:cs="宋体"/>
                <w:color w:val="000000" w:themeColor="text1"/>
                <w:sz w:val="24"/>
                <w:highlight w:val="none"/>
                <w:lang w:eastAsia="zh-CN"/>
                <w14:textFill>
                  <w14:solidFill>
                    <w14:schemeClr w14:val="tx1"/>
                  </w14:solidFill>
                </w14:textFill>
              </w:rPr>
              <w:t>和社会保障资金的相关材料（</w:t>
            </w:r>
            <w:r>
              <w:rPr>
                <w:rFonts w:hint="eastAsia" w:ascii="宋体" w:hAnsi="宋体" w:eastAsia="宋体" w:cs="宋体"/>
                <w:color w:val="000000" w:themeColor="text1"/>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highlight w:val="none"/>
                <w14:textFill>
                  <w14:solidFill>
                    <w14:schemeClr w14:val="tx1"/>
                  </w14:solidFill>
                </w14:textFill>
              </w:rPr>
              <w:t>，应提供相应文件证明其依法免税或不需要缴纳社会保障资金）</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5.参加政府采购活动前三年内在经营活动中没有重大违法记录的书面声明；</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声明函格式自拟</w:t>
            </w:r>
            <w:r>
              <w:rPr>
                <w:rFonts w:hint="eastAsia" w:ascii="宋体" w:hAnsi="宋体" w:eastAsia="宋体" w:cs="宋体"/>
                <w:color w:val="000000" w:themeColor="text1"/>
                <w:sz w:val="24"/>
                <w:highlight w:val="none"/>
                <w:lang w:eastAsia="zh-CN"/>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6.投标人应当通过“信用中国”网站（www.creditchina.gov.cn）、中国政府采购网（www.ccgp.gov.cn）等渠道查询相关主体信用记录，未被列入失信被执行人、重大税收违法失信主体、政府采购严重违法失信行为记录名单。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7.单位负责人为同一人或存在直接控股、管理关系的不同</w:t>
            </w:r>
            <w:r>
              <w:rPr>
                <w:rFonts w:hint="eastAsia" w:ascii="宋体" w:hAnsi="宋体" w:eastAsia="宋体" w:cs="宋体"/>
                <w:color w:val="000000" w:themeColor="text1"/>
                <w:sz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highlight w:val="none"/>
                <w14:textFill>
                  <w14:solidFill>
                    <w14:schemeClr w14:val="tx1"/>
                  </w14:solidFill>
                </w14:textFill>
              </w:rPr>
              <w:t>，不得参加同一合同项下的政府采购活动(提供声明</w:t>
            </w:r>
            <w:r>
              <w:rPr>
                <w:rFonts w:hint="eastAsia" w:ascii="宋体" w:hAnsi="宋体" w:eastAsia="宋体" w:cs="宋体"/>
                <w:color w:val="000000" w:themeColor="text1"/>
                <w:sz w:val="24"/>
                <w:highlight w:val="none"/>
                <w:lang w:val="en-US" w:eastAsia="zh-CN"/>
                <w14:textFill>
                  <w14:solidFill>
                    <w14:schemeClr w14:val="tx1"/>
                  </w14:solidFill>
                </w14:textFill>
              </w:rPr>
              <w:t>函</w:t>
            </w:r>
            <w:r>
              <w:rPr>
                <w:rFonts w:hint="eastAsia" w:ascii="宋体" w:hAnsi="宋体" w:eastAsia="宋体" w:cs="宋体"/>
                <w:color w:val="000000" w:themeColor="text1"/>
                <w:sz w:val="24"/>
                <w:highlight w:val="none"/>
                <w14:textFill>
                  <w14:solidFill>
                    <w14:schemeClr w14:val="tx1"/>
                  </w14:solidFill>
                </w14:textFill>
              </w:rPr>
              <w:t>，格式自拟)</w:t>
            </w:r>
            <w:r>
              <w:rPr>
                <w:rFonts w:hint="eastAsia" w:ascii="宋体" w:hAnsi="宋体" w:eastAsia="宋体" w:cs="宋体"/>
                <w:color w:val="000000" w:themeColor="text1"/>
                <w:sz w:val="24"/>
                <w:highlight w:val="none"/>
                <w:lang w:eastAsia="zh-CN"/>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32"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8.提供有效的中小企业声明函加盖投标单位公章。</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见公告招标代理公司信息）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rPr>
      </w:pPr>
      <w:bookmarkStart w:id="74" w:name="_Toc28515"/>
      <w:r>
        <w:rPr>
          <w:rFonts w:hint="eastAsia" w:ascii="宋体" w:hAnsi="宋体" w:eastAsia="宋体" w:cs="宋体"/>
          <w:color w:val="auto"/>
          <w:highlight w:val="none"/>
        </w:rPr>
        <w:t>第三章评标办法</w:t>
      </w:r>
      <w:bookmarkEnd w:id="74"/>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778"/>
        <w:gridCol w:w="7082"/>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评分项</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名称</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评分标准（同一指标不得重复打分，*代表实质性指标，不满足该指标项将导致投标被拒绝）</w:t>
            </w:r>
          </w:p>
        </w:tc>
        <w:tc>
          <w:tcPr>
            <w:tcW w:w="823"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价格评审指标</w:t>
            </w:r>
          </w:p>
        </w:tc>
        <w:tc>
          <w:tcPr>
            <w:tcW w:w="778"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kern w:val="0"/>
                <w:sz w:val="24"/>
                <w:szCs w:val="24"/>
              </w:rPr>
              <w:t>报价</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满足招标文件要求且投标价格最低的投标报价为评标基准价，其价格分为满分。其他投标人的价格分统一按照下列公式计算（保留两位小数）：投标报价得分=（评标基准价/投标报价）×44%×100</w:t>
            </w:r>
          </w:p>
        </w:tc>
        <w:tc>
          <w:tcPr>
            <w:tcW w:w="823"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915" w:type="dxa"/>
            <w:vMerge w:val="restart"/>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企业</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实力</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业绩</w:t>
            </w:r>
          </w:p>
        </w:tc>
        <w:tc>
          <w:tcPr>
            <w:tcW w:w="7082" w:type="dxa"/>
            <w:vAlign w:val="center"/>
          </w:tcPr>
          <w:p>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vertAlign w:val="baseline"/>
                <w:lang w:val="en-US" w:eastAsia="zh-CN"/>
              </w:rPr>
              <w:t>投标人或制造商2021年1月1日至今完成的</w:t>
            </w:r>
            <w:r>
              <w:rPr>
                <w:rFonts w:hint="eastAsia" w:ascii="宋体" w:hAnsi="宋体" w:eastAsia="宋体" w:cs="宋体"/>
                <w:b/>
                <w:bCs/>
                <w:sz w:val="24"/>
                <w:szCs w:val="24"/>
                <w:highlight w:val="none"/>
                <w:vertAlign w:val="baseline"/>
                <w:lang w:val="en-US" w:eastAsia="zh-CN"/>
              </w:rPr>
              <w:t>所投产品</w:t>
            </w:r>
            <w:r>
              <w:rPr>
                <w:rFonts w:hint="eastAsia" w:ascii="宋体" w:hAnsi="宋体" w:eastAsia="宋体" w:cs="宋体"/>
                <w:sz w:val="24"/>
                <w:szCs w:val="24"/>
                <w:highlight w:val="none"/>
                <w:vertAlign w:val="baseline"/>
                <w:lang w:val="en-US" w:eastAsia="zh-CN"/>
              </w:rPr>
              <w:t>的业绩，每提供一项得1分，最高得5分。</w:t>
            </w:r>
            <w:r>
              <w:rPr>
                <w:rFonts w:hint="eastAsia" w:ascii="宋体" w:hAnsi="宋体" w:eastAsia="宋体" w:cs="宋体"/>
                <w:sz w:val="24"/>
                <w:szCs w:val="24"/>
              </w:rPr>
              <w:t>每份业绩的证明材料须齐</w:t>
            </w:r>
            <w:r>
              <w:rPr>
                <w:rFonts w:hint="eastAsia" w:ascii="宋体" w:hAnsi="宋体" w:eastAsia="宋体" w:cs="宋体"/>
                <w:sz w:val="24"/>
                <w:szCs w:val="24"/>
                <w:highlight w:val="none"/>
              </w:rPr>
              <w:t>全，否则该份业绩不予计分。</w:t>
            </w:r>
          </w:p>
          <w:p>
            <w:pPr>
              <w:spacing w:line="240" w:lineRule="auto"/>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评分依据：</w:t>
            </w:r>
            <w:r>
              <w:rPr>
                <w:rFonts w:hint="eastAsia" w:ascii="宋体" w:hAnsi="宋体" w:eastAsia="宋体" w:cs="宋体"/>
                <w:sz w:val="24"/>
                <w:szCs w:val="24"/>
                <w:highlight w:val="none"/>
              </w:rPr>
              <w:t>投标人需提供每份业绩的</w:t>
            </w:r>
            <w:r>
              <w:rPr>
                <w:rFonts w:hint="eastAsia" w:ascii="宋体" w:hAnsi="宋体" w:eastAsia="宋体" w:cs="宋体"/>
                <w:b/>
                <w:bCs/>
                <w:sz w:val="24"/>
                <w:szCs w:val="24"/>
                <w:highlight w:val="none"/>
              </w:rPr>
              <w:t>中标通知书、中标</w:t>
            </w:r>
            <w:r>
              <w:rPr>
                <w:rFonts w:hint="eastAsia" w:ascii="宋体" w:hAnsi="宋体" w:eastAsia="宋体" w:cs="宋体"/>
                <w:b/>
                <w:bCs/>
                <w:sz w:val="24"/>
                <w:szCs w:val="24"/>
                <w:highlight w:val="none"/>
                <w:lang w:eastAsia="zh-CN"/>
              </w:rPr>
              <w:t>结果</w:t>
            </w:r>
            <w:r>
              <w:rPr>
                <w:rFonts w:hint="eastAsia" w:ascii="宋体" w:hAnsi="宋体" w:eastAsia="宋体" w:cs="宋体"/>
                <w:b/>
                <w:bCs/>
                <w:sz w:val="24"/>
                <w:szCs w:val="24"/>
                <w:highlight w:val="none"/>
              </w:rPr>
              <w:t>公示</w:t>
            </w:r>
            <w:r>
              <w:rPr>
                <w:rFonts w:hint="eastAsia" w:ascii="宋体" w:hAnsi="宋体" w:eastAsia="宋体" w:cs="宋体"/>
                <w:b/>
                <w:bCs/>
                <w:sz w:val="24"/>
                <w:szCs w:val="24"/>
                <w:highlight w:val="none"/>
                <w:lang w:eastAsia="zh-CN"/>
              </w:rPr>
              <w:t>在网站发布的</w:t>
            </w:r>
            <w:r>
              <w:rPr>
                <w:rFonts w:hint="eastAsia" w:ascii="宋体" w:hAnsi="宋体" w:eastAsia="宋体" w:cs="宋体"/>
                <w:b/>
                <w:bCs/>
                <w:sz w:val="24"/>
                <w:szCs w:val="24"/>
                <w:highlight w:val="none"/>
              </w:rPr>
              <w:t>截图</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销售合同、发票及验收合格证明</w:t>
            </w:r>
            <w:r>
              <w:rPr>
                <w:rFonts w:hint="eastAsia" w:ascii="宋体" w:hAnsi="宋体" w:eastAsia="宋体" w:cs="宋体"/>
                <w:sz w:val="24"/>
                <w:szCs w:val="24"/>
                <w:highlight w:val="none"/>
              </w:rPr>
              <w:t>的复印件加盖公章。</w:t>
            </w:r>
          </w:p>
          <w:p>
            <w:pPr>
              <w:spacing w:line="240" w:lineRule="auto"/>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注：如业绩为集采项目，提供同一中标通知书及分项合同，业绩仅计为1项。</w:t>
            </w:r>
          </w:p>
        </w:tc>
        <w:tc>
          <w:tcPr>
            <w:tcW w:w="823"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restart"/>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所投产品的制造商的专业技术生产能力</w:t>
            </w: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根据以下内容进行综合评审：</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①自主研发能力、产品设计、加工设备、生产工艺；</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23"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continue"/>
            <w:vAlign w:val="center"/>
          </w:tcPr>
          <w:p>
            <w:pPr>
              <w:jc w:val="center"/>
              <w:rPr>
                <w:rFonts w:hint="eastAsia" w:ascii="宋体" w:hAnsi="宋体" w:eastAsia="宋体" w:cs="宋体"/>
                <w:sz w:val="24"/>
                <w:szCs w:val="24"/>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②生产车间环境以及详细的实际生产情况、产品检验及产品质量控制；</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23"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continue"/>
            <w:vAlign w:val="center"/>
          </w:tcPr>
          <w:p>
            <w:pPr>
              <w:jc w:val="center"/>
              <w:rPr>
                <w:rFonts w:hint="eastAsia" w:ascii="宋体" w:hAnsi="宋体" w:eastAsia="宋体" w:cs="宋体"/>
                <w:sz w:val="24"/>
                <w:szCs w:val="24"/>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③专业技术人员配备情况及组织架构、工作年限；</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23"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915" w:type="dxa"/>
            <w:vMerge w:val="restart"/>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技术</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部分</w:t>
            </w:r>
          </w:p>
        </w:tc>
        <w:tc>
          <w:tcPr>
            <w:tcW w:w="778"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技术参数评审</w:t>
            </w:r>
          </w:p>
        </w:tc>
        <w:tc>
          <w:tcPr>
            <w:tcW w:w="7082" w:type="dxa"/>
            <w:vAlign w:val="center"/>
          </w:tcPr>
          <w:p>
            <w:pPr>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就投标文件对招标文件技术需求书中技术参数的响应进行评审，每有一项</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vertAlign w:val="baseline"/>
              </w:rPr>
              <w:t>条款负偏离扣</w:t>
            </w:r>
            <w:r>
              <w:rPr>
                <w:rFonts w:hint="eastAsia" w:ascii="宋体" w:hAnsi="宋体" w:eastAsia="宋体" w:cs="宋体"/>
                <w:color w:val="auto"/>
                <w:sz w:val="24"/>
                <w:szCs w:val="24"/>
                <w:highlight w:val="none"/>
                <w:vertAlign w:val="baseline"/>
                <w:lang w:val="en-US" w:eastAsia="zh-CN"/>
              </w:rPr>
              <w:t>5</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非★条款每有一项负偏离扣</w:t>
            </w:r>
            <w:r>
              <w:rPr>
                <w:rFonts w:hint="eastAsia" w:ascii="宋体" w:hAnsi="宋体" w:eastAsia="宋体" w:cs="宋体"/>
                <w:color w:val="auto"/>
                <w:sz w:val="24"/>
                <w:szCs w:val="24"/>
                <w:highlight w:val="none"/>
                <w:vertAlign w:val="baseline"/>
                <w:lang w:val="en-US" w:eastAsia="zh-CN"/>
              </w:rPr>
              <w:t>3</w:t>
            </w:r>
            <w:r>
              <w:rPr>
                <w:rFonts w:hint="eastAsia" w:ascii="宋体" w:hAnsi="宋体" w:eastAsia="宋体" w:cs="宋体"/>
                <w:color w:val="auto"/>
                <w:sz w:val="24"/>
                <w:szCs w:val="24"/>
                <w:highlight w:val="none"/>
                <w:vertAlign w:val="baseline"/>
              </w:rPr>
              <w:t>分，最低得0分。“1项”包括技术需求书中最低层级的序号项。</w:t>
            </w:r>
          </w:p>
          <w:p>
            <w:pPr>
              <w:pStyle w:val="2"/>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技术参数偏离表中的响应内容，应提供佐证材料，有检测报告的，应提供检测报告；无检测报告的，应提供产品说明的官方截图；无前两项的，应提供经发行的市场产品宣传册。</w:t>
            </w:r>
          </w:p>
          <w:p>
            <w:pPr>
              <w:pStyle w:val="2"/>
              <w:rPr>
                <w:rFonts w:hint="eastAsia" w:ascii="宋体" w:hAnsi="宋体" w:eastAsia="宋体" w:cs="宋体"/>
                <w:b/>
                <w:bCs/>
                <w:color w:val="FF0000"/>
                <w:kern w:val="0"/>
                <w:sz w:val="24"/>
                <w:szCs w:val="24"/>
                <w:lang w:bidi="ar"/>
              </w:rPr>
            </w:pPr>
            <w:r>
              <w:rPr>
                <w:rFonts w:hint="eastAsia" w:ascii="宋体" w:hAnsi="宋体" w:eastAsia="宋体" w:cs="宋体"/>
                <w:b/>
                <w:bCs/>
                <w:color w:val="FF0000"/>
                <w:kern w:val="0"/>
                <w:sz w:val="24"/>
                <w:szCs w:val="24"/>
                <w:lang w:bidi="ar"/>
              </w:rPr>
              <w:t xml:space="preserve">注： </w:t>
            </w:r>
          </w:p>
          <w:p>
            <w:pPr>
              <w:pStyle w:val="2"/>
              <w:rPr>
                <w:rFonts w:hint="eastAsia" w:ascii="宋体" w:hAnsi="宋体" w:eastAsia="宋体" w:cs="宋体"/>
                <w:color w:val="FF0000"/>
                <w:sz w:val="24"/>
                <w:szCs w:val="24"/>
              </w:rPr>
            </w:pPr>
            <w:r>
              <w:rPr>
                <w:rFonts w:hint="eastAsia" w:ascii="宋体" w:hAnsi="宋体" w:eastAsia="宋体" w:cs="宋体"/>
                <w:b/>
                <w:bCs/>
                <w:color w:val="FF0000"/>
                <w:kern w:val="0"/>
                <w:sz w:val="24"/>
                <w:szCs w:val="24"/>
                <w:lang w:bidi="ar"/>
              </w:rPr>
              <w:t xml:space="preserve">1.技术参数响应条款如有缺、漏项的，则该项视为负偏离； </w:t>
            </w:r>
          </w:p>
          <w:p>
            <w:pPr>
              <w:jc w:val="left"/>
              <w:rPr>
                <w:rFonts w:hint="eastAsia" w:ascii="宋体" w:hAnsi="宋体" w:eastAsia="宋体" w:cs="宋体"/>
                <w:color w:val="auto"/>
                <w:sz w:val="24"/>
                <w:szCs w:val="24"/>
                <w:highlight w:val="none"/>
                <w:vertAlign w:val="baseline"/>
              </w:rPr>
            </w:pPr>
            <w:r>
              <w:rPr>
                <w:rFonts w:hint="eastAsia" w:ascii="宋体" w:hAnsi="宋体" w:eastAsia="宋体" w:cs="宋体"/>
                <w:b/>
                <w:bCs/>
                <w:color w:val="FF0000"/>
                <w:kern w:val="0"/>
                <w:sz w:val="24"/>
                <w:szCs w:val="24"/>
                <w:lang w:bidi="ar"/>
              </w:rPr>
              <w:t>2.技术参数中指标性数值完全复制招标文件要求的属于负偏离，文字性描述复制的不属于负偏离，技术参数响应指标与检测报告（采购需求中若要求提供时）不一致的属于负偏离。</w:t>
            </w:r>
          </w:p>
        </w:tc>
        <w:tc>
          <w:tcPr>
            <w:tcW w:w="823"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915" w:type="dxa"/>
            <w:vMerge w:val="continue"/>
            <w:vAlign w:val="center"/>
          </w:tcPr>
          <w:p>
            <w:pPr>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样品</w:t>
            </w:r>
          </w:p>
        </w:tc>
        <w:tc>
          <w:tcPr>
            <w:tcW w:w="7082" w:type="dxa"/>
            <w:vAlign w:val="center"/>
          </w:tcPr>
          <w:p>
            <w:pPr>
              <w:numPr>
                <w:ilvl w:val="0"/>
                <w:numId w:val="0"/>
              </w:numPr>
              <w:jc w:val="left"/>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投标人须按照所投标段提供符合招标文件要求的样品（全新所投产品）。</w:t>
            </w:r>
          </w:p>
          <w:p>
            <w:pPr>
              <w:numPr>
                <w:ilvl w:val="0"/>
                <w:numId w:val="0"/>
              </w:num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开关灵活</w:t>
            </w:r>
            <w:r>
              <w:rPr>
                <w:rFonts w:hint="eastAsia" w:ascii="宋体" w:hAnsi="宋体" w:eastAsia="宋体" w:cs="宋体"/>
                <w:b w:val="0"/>
                <w:bCs w:val="0"/>
                <w:color w:val="auto"/>
                <w:sz w:val="24"/>
                <w:szCs w:val="24"/>
                <w:highlight w:val="none"/>
                <w:vertAlign w:val="baseline"/>
                <w:lang w:eastAsia="zh-CN"/>
              </w:rPr>
              <w:t>；</w:t>
            </w:r>
          </w:p>
          <w:p>
            <w:pPr>
              <w:numPr>
                <w:ilvl w:val="0"/>
                <w:numId w:val="0"/>
              </w:numPr>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color w:val="auto"/>
                <w:sz w:val="24"/>
                <w:szCs w:val="24"/>
                <w:highlight w:val="none"/>
              </w:rPr>
              <w:t>材质：金属材质，</w:t>
            </w:r>
            <w:r>
              <w:rPr>
                <w:rFonts w:hint="eastAsia" w:ascii="宋体" w:hAnsi="宋体" w:eastAsia="宋体" w:cs="宋体"/>
                <w:b w:val="0"/>
                <w:bCs w:val="0"/>
                <w:color w:val="auto"/>
                <w:sz w:val="24"/>
                <w:szCs w:val="24"/>
                <w:highlight w:val="none"/>
                <w:vertAlign w:val="baseline"/>
                <w:lang w:val="en-US" w:eastAsia="zh-CN"/>
              </w:rPr>
              <w:t>无锈蚀</w:t>
            </w:r>
            <w:r>
              <w:rPr>
                <w:rFonts w:hint="eastAsia" w:ascii="宋体" w:hAnsi="宋体" w:eastAsia="宋体" w:cs="宋体"/>
                <w:color w:val="auto"/>
                <w:sz w:val="24"/>
                <w:szCs w:val="24"/>
                <w:highlight w:val="none"/>
                <w:lang w:eastAsia="zh-CN"/>
              </w:rPr>
              <w:t>；</w:t>
            </w:r>
          </w:p>
          <w:p>
            <w:pPr>
              <w:pStyle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3.枪头锋利；</w:t>
            </w:r>
          </w:p>
          <w:p>
            <w:pPr>
              <w:pStyle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4.方便拿握，设计合理</w:t>
            </w:r>
            <w:r>
              <w:rPr>
                <w:rFonts w:hint="eastAsia" w:ascii="宋体" w:hAnsi="宋体" w:eastAsia="宋体" w:cs="宋体"/>
                <w:color w:val="auto"/>
                <w:sz w:val="24"/>
                <w:szCs w:val="24"/>
                <w:highlight w:val="none"/>
                <w:lang w:eastAsia="zh-CN"/>
              </w:rPr>
              <w:t>；</w:t>
            </w:r>
          </w:p>
          <w:p>
            <w:pPr>
              <w:pStyle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5.喷射功能：多孔位喷射；</w:t>
            </w:r>
          </w:p>
          <w:p>
            <w:pPr>
              <w:pStyle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进水口径：65mm</w:t>
            </w:r>
            <w:r>
              <w:rPr>
                <w:rFonts w:hint="eastAsia" w:ascii="宋体" w:hAnsi="宋体" w:eastAsia="宋体" w:cs="宋体"/>
                <w:color w:val="auto"/>
                <w:sz w:val="24"/>
                <w:szCs w:val="24"/>
                <w:highlight w:val="none"/>
                <w:lang w:val="en-US" w:eastAsia="zh-CN"/>
              </w:rPr>
              <w:t>；</w:t>
            </w:r>
          </w:p>
          <w:p>
            <w:pPr>
              <w:pStyle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7.具有防腐处理；</w:t>
            </w:r>
          </w:p>
          <w:p>
            <w:pPr>
              <w:pStyle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枪体与水带角度可呈180°和90°，并能够随意转换</w:t>
            </w:r>
            <w:r>
              <w:rPr>
                <w:rFonts w:hint="eastAsia" w:ascii="宋体" w:hAnsi="宋体" w:eastAsia="宋体" w:cs="宋体"/>
                <w:color w:val="auto"/>
                <w:sz w:val="24"/>
                <w:szCs w:val="24"/>
                <w:highlight w:val="none"/>
                <w:lang w:val="en-US" w:eastAsia="zh-CN"/>
              </w:rPr>
              <w:t>；</w:t>
            </w:r>
          </w:p>
          <w:p>
            <w:pPr>
              <w:jc w:val="left"/>
              <w:rPr>
                <w:rFonts w:hint="eastAsia" w:ascii="宋体" w:hAnsi="宋体" w:eastAsia="宋体" w:cs="宋体"/>
                <w:b/>
                <w:bCs/>
                <w:color w:val="auto"/>
                <w:kern w:val="2"/>
                <w:sz w:val="24"/>
                <w:szCs w:val="24"/>
                <w:highlight w:val="none"/>
                <w:vertAlign w:val="baseline"/>
                <w:lang w:val="en-US" w:eastAsia="zh-CN" w:bidi="ar-SA"/>
              </w:rPr>
            </w:pPr>
            <w:r>
              <w:rPr>
                <w:rFonts w:hint="eastAsia" w:ascii="宋体" w:hAnsi="宋体" w:eastAsia="宋体" w:cs="宋体"/>
                <w:b/>
                <w:bCs/>
                <w:color w:val="auto"/>
                <w:sz w:val="24"/>
                <w:szCs w:val="24"/>
                <w:highlight w:val="none"/>
                <w:vertAlign w:val="baseline"/>
                <w:lang w:val="en-US" w:eastAsia="zh-CN"/>
              </w:rPr>
              <w:t>样品得分=（样品满足项数量/样品要求项总数）×8，得分保留两位小数。</w:t>
            </w:r>
          </w:p>
        </w:tc>
        <w:tc>
          <w:tcPr>
            <w:tcW w:w="823" w:type="dxa"/>
            <w:vAlign w:val="center"/>
          </w:tcPr>
          <w:p>
            <w:pPr>
              <w:jc w:val="center"/>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sz w:val="24"/>
                <w:szCs w:val="24"/>
                <w:highlight w:val="none"/>
                <w:vertAlign w:val="baseli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915" w:type="dxa"/>
            <w:vMerge w:val="restart"/>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服务部分</w:t>
            </w: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质保期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lang w:eastAsia="zh-CN"/>
              </w:rPr>
              <w:t>质保期响应招标文件要求，在招标文件要求基础上每增加</w:t>
            </w:r>
            <w:r>
              <w:rPr>
                <w:rFonts w:hint="eastAsia" w:ascii="宋体" w:hAnsi="宋体" w:eastAsia="宋体" w:cs="宋体"/>
                <w:sz w:val="24"/>
                <w:szCs w:val="24"/>
                <w:lang w:val="en-US" w:eastAsia="zh-CN"/>
              </w:rPr>
              <w:t>1年</w:t>
            </w:r>
            <w:r>
              <w:rPr>
                <w:rFonts w:hint="eastAsia" w:ascii="宋体" w:hAnsi="宋体" w:eastAsia="宋体" w:cs="宋体"/>
                <w:sz w:val="24"/>
                <w:szCs w:val="24"/>
                <w:lang w:eastAsia="zh-CN"/>
              </w:rPr>
              <w:t>得</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分，满分</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分，</w:t>
            </w:r>
            <w:r>
              <w:rPr>
                <w:rFonts w:hint="eastAsia" w:ascii="宋体" w:hAnsi="宋体" w:eastAsia="宋体" w:cs="宋体"/>
                <w:sz w:val="24"/>
                <w:szCs w:val="24"/>
                <w:lang w:val="en-US" w:eastAsia="zh-CN"/>
              </w:rPr>
              <w:t>未提供不得分</w:t>
            </w:r>
            <w:r>
              <w:rPr>
                <w:rFonts w:hint="eastAsia" w:ascii="宋体" w:hAnsi="宋体" w:eastAsia="宋体" w:cs="宋体"/>
                <w:sz w:val="24"/>
                <w:szCs w:val="24"/>
                <w:lang w:eastAsia="zh-CN"/>
              </w:rPr>
              <w:t>。</w:t>
            </w:r>
          </w:p>
        </w:tc>
        <w:tc>
          <w:tcPr>
            <w:tcW w:w="823"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保修期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提供保修期内耗材清单及保修期内价格不超过该清单价格的承诺。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23"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提供保修期内人工工时费清单及保修期内价格不超过该清单价格的承诺。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23"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提供零部件供应周期、备品备件（替换件）以及零部件的供应方式。</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23"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结合本项目采购需求，对投标人的履约方案进行综合评审：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①针对本项目的生产线设置及流水线生产图片、提供进度计划表；</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23"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②针对本项目的原材料到场时间、各关键节点的时间及驻场验收时间；</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23"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定期巡检</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定期安排技术人员针对产品的使用环境、使用频率及更新等进行回访、巡检并提供巡检方案。保修期内提供基础巡检1次，在此基础上，每增加一次定期巡检得2分，满分4分，未提供不得分。</w:t>
            </w:r>
          </w:p>
        </w:tc>
        <w:tc>
          <w:tcPr>
            <w:tcW w:w="823"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应急事故响应及处理方案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结合本项目实际应用、环境等情况，对投标人的应急事故响应及处理方案进行评审：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①如可能发生的应急事故情况分析；</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②发生应急事故时，建立联勤联动机制、应急处理响应时间及紧急安全保障措施；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③投标人提前储备替换装备，避免采购人装备在维修标定过程中存在装备使用空白点，在自身备件不足的情况下，提供装备应急筹措供应方案；</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23" w:type="dxa"/>
            <w:vAlign w:val="center"/>
          </w:tcPr>
          <w:p>
            <w:pPr>
              <w:spacing w:line="240" w:lineRule="auto"/>
              <w:jc w:val="center"/>
              <w:rPr>
                <w:rFonts w:hint="eastAsia" w:ascii="宋体" w:hAnsi="宋体" w:eastAsia="宋体" w:cs="宋体"/>
                <w:color w:val="auto"/>
                <w:sz w:val="24"/>
                <w:szCs w:val="24"/>
                <w:highlight w:val="yellow"/>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bl>
    <w:p>
      <w:pPr>
        <w:pStyle w:val="3"/>
        <w:adjustRightInd w:val="0"/>
        <w:snapToGrid w:val="0"/>
        <w:spacing w:before="0" w:after="0" w:line="240" w:lineRule="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4"/>
          <w:highlight w:val="none"/>
          <w:lang w:val="zh-CN"/>
        </w:rPr>
        <w:t>注：</w:t>
      </w:r>
      <w:r>
        <w:rPr>
          <w:rFonts w:hint="eastAsia" w:ascii="宋体" w:hAnsi="宋体" w:eastAsia="宋体" w:cs="宋体"/>
          <w:color w:val="auto"/>
          <w:sz w:val="24"/>
          <w:szCs w:val="24"/>
          <w:highlight w:val="none"/>
        </w:rPr>
        <w:t>（1）样品须标记项目名称、标段号、产品名称、投标单位名称。</w:t>
      </w:r>
    </w:p>
    <w:p>
      <w:pPr>
        <w:pStyle w:val="3"/>
        <w:adjustRightInd w:val="0"/>
        <w:snapToGrid w:val="0"/>
        <w:spacing w:before="0" w:after="0" w:line="240" w:lineRule="auto"/>
        <w:ind w:firstLine="482" w:firstLineChars="200"/>
        <w:rPr>
          <w:rFonts w:hint="eastAsia" w:ascii="宋体" w:hAnsi="宋体" w:eastAsia="宋体" w:cs="宋体"/>
          <w:b w:val="0"/>
          <w:bCs/>
          <w:color w:val="auto"/>
          <w:kern w:val="2"/>
          <w:sz w:val="24"/>
          <w:szCs w:val="24"/>
          <w:highlight w:val="none"/>
          <w:lang w:val="zh-CN"/>
        </w:rPr>
      </w:pPr>
      <w:bookmarkStart w:id="75" w:name="_Toc22803"/>
      <w:bookmarkStart w:id="76" w:name="_Toc32514"/>
      <w:bookmarkStart w:id="77" w:name="_Toc5568"/>
      <w:r>
        <w:rPr>
          <w:rFonts w:hint="eastAsia" w:ascii="宋体" w:hAnsi="宋体" w:eastAsia="宋体" w:cs="宋体"/>
          <w:color w:val="auto"/>
          <w:sz w:val="24"/>
          <w:szCs w:val="24"/>
          <w:highlight w:val="none"/>
        </w:rPr>
        <w:t>（2）采购活动结束后，中标人提供的样品采购人将统一保管封存，并作为履约验收的参考，未中标人提供样品须在接到返还通知后5个工作日内到采购代理机构领取，逾期未领取的样品采购代理机构有权自行处理。</w:t>
      </w:r>
      <w:bookmarkEnd w:id="75"/>
      <w:bookmarkEnd w:id="76"/>
      <w:bookmarkEnd w:id="7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（5）根据财库【20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19</w:t>
      </w:r>
      <w:r>
        <w:rPr>
          <w:rFonts w:hint="eastAsia" w:ascii="宋体" w:hAnsi="宋体" w:eastAsia="宋体" w:cs="宋体"/>
          <w:color w:val="auto"/>
          <w:sz w:val="24"/>
          <w:highlight w:val="none"/>
        </w:rPr>
        <w:t>号文件规定，对小型和微型企业的产品给予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%的价格扣除，并按照扣除后的价格参加排序。</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）价格扣除的依据：第（1）至（4）条提供投标货物相关认证证书复印件加盖投标人公章。第（5）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条提供《中小企业声明函》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《残疾人福利性单位声明函》。</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1.4编写评标报告，推荐中标候选</w:t>
      </w:r>
      <w:r>
        <w:rPr>
          <w:rFonts w:hint="eastAsia" w:ascii="宋体" w:hAnsi="宋体" w:eastAsia="宋体" w:cs="宋体"/>
          <w:color w:val="auto"/>
          <w:kern w:val="2"/>
          <w:highlight w:val="none"/>
          <w:lang w:val="en-US" w:eastAsia="zh-CN"/>
        </w:rPr>
        <w:t>人</w:t>
      </w:r>
      <w:r>
        <w:rPr>
          <w:rFonts w:hint="eastAsia" w:ascii="宋体" w:hAnsi="宋体" w:eastAsia="宋体" w:cs="宋体"/>
          <w:color w:val="auto"/>
          <w:kern w:val="2"/>
          <w:highlight w:val="none"/>
        </w:rPr>
        <w:t>名单：3名。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8" w:name="_Toc32413"/>
      <w:bookmarkStart w:id="79" w:name="_Toc7895"/>
      <w:r>
        <w:rPr>
          <w:rFonts w:hint="eastAsia" w:ascii="宋体" w:hAnsi="宋体" w:eastAsia="宋体" w:cs="宋体"/>
          <w:b/>
          <w:sz w:val="36"/>
          <w:szCs w:val="36"/>
          <w:highlight w:val="none"/>
        </w:rPr>
        <w:t>第四章 合同条款（参考格式）</w:t>
      </w:r>
      <w:bookmarkEnd w:id="78"/>
      <w:bookmarkEnd w:id="79"/>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80" w:name="_Toc26975"/>
      <w:bookmarkStart w:id="81" w:name="_Toc13414"/>
      <w:r>
        <w:rPr>
          <w:rFonts w:hint="eastAsia" w:ascii="宋体" w:hAnsi="宋体" w:eastAsia="宋体" w:cs="宋体"/>
          <w:b/>
          <w:color w:val="0000FF"/>
          <w:sz w:val="36"/>
          <w:szCs w:val="36"/>
          <w:highlight w:val="none"/>
          <w:u w:val="single"/>
        </w:rPr>
        <w:t>品种：XXXX</w:t>
      </w:r>
      <w:bookmarkEnd w:id="80"/>
      <w:bookmarkEnd w:id="81"/>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5.甲方根据国家现行质量标准及行业标准规定接收</w:t>
      </w:r>
      <w:r>
        <w:rPr>
          <w:rFonts w:hint="eastAsia" w:ascii="宋体" w:hAnsi="宋体" w:eastAsia="宋体" w:cs="宋体"/>
          <w:kern w:val="0"/>
          <w:sz w:val="24"/>
          <w:szCs w:val="24"/>
          <w:highlight w:val="none"/>
          <w:lang w:val="en-US" w:eastAsia="zh-CN"/>
        </w:rPr>
        <w:t>货</w:t>
      </w:r>
      <w:r>
        <w:rPr>
          <w:rFonts w:hint="eastAsia" w:ascii="宋体" w:hAnsi="宋体" w:eastAsia="宋体" w:cs="宋体"/>
          <w:kern w:val="0"/>
          <w:sz w:val="24"/>
          <w:szCs w:val="24"/>
          <w:highlight w:val="none"/>
        </w:rPr>
        <w:t>物，</w:t>
      </w:r>
      <w:r>
        <w:rPr>
          <w:rFonts w:hint="eastAsia" w:ascii="宋体" w:hAnsi="宋体" w:eastAsia="宋体" w:cs="宋体"/>
          <w:color w:val="auto"/>
          <w:kern w:val="0"/>
          <w:sz w:val="24"/>
          <w:szCs w:val="24"/>
          <w:highlight w:val="none"/>
        </w:rPr>
        <w:t>验收标准以中标人的投标文件技术参数资料为标准进行验收，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82" w:name="_Toc6135"/>
      <w:bookmarkStart w:id="83" w:name="_Toc24374"/>
      <w:r>
        <w:rPr>
          <w:rFonts w:hint="eastAsia" w:ascii="宋体" w:hAnsi="宋体" w:eastAsia="宋体" w:cs="宋体"/>
          <w:b w:val="0"/>
          <w:kern w:val="0"/>
          <w:sz w:val="28"/>
          <w:szCs w:val="28"/>
          <w:highlight w:val="none"/>
        </w:rPr>
        <w:t>附件一</w:t>
      </w:r>
      <w:bookmarkEnd w:id="82"/>
      <w:bookmarkEnd w:id="83"/>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4" w:name="_Toc22275"/>
      <w:bookmarkStart w:id="85" w:name="_Toc17914"/>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4"/>
      <w:bookmarkEnd w:id="85"/>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lang w:eastAsia="zh-Hans"/>
        </w:rPr>
      </w:pPr>
      <w:bookmarkStart w:id="86" w:name="_Toc13078"/>
      <w:bookmarkStart w:id="87" w:name="_Toc793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6"/>
      <w:bookmarkEnd w:id="87"/>
    </w:p>
    <w:p>
      <w:pPr>
        <w:rPr>
          <w:rFonts w:hint="eastAsia" w:ascii="宋体" w:hAnsi="宋体" w:eastAsia="宋体" w:cs="宋体"/>
          <w:sz w:val="24"/>
          <w:lang w:eastAsia="zh-Hans"/>
        </w:rPr>
      </w:pPr>
    </w:p>
    <w:p>
      <w:pPr>
        <w:pStyle w:val="4"/>
        <w:outlineLvl w:val="9"/>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8" w:name="_Toc9767"/>
      <w:r>
        <w:rPr>
          <w:rFonts w:hint="eastAsia" w:ascii="宋体" w:hAnsi="宋体" w:eastAsia="宋体" w:cs="宋体"/>
          <w:b/>
          <w:color w:val="auto"/>
          <w:sz w:val="36"/>
          <w:szCs w:val="36"/>
          <w:highlight w:val="none"/>
        </w:rPr>
        <w:t>技术</w:t>
      </w:r>
      <w:bookmarkStart w:id="89" w:name="_Toc419230801"/>
      <w:bookmarkStart w:id="90" w:name="_Toc155544236"/>
      <w:bookmarkStart w:id="91" w:name="_Toc356283733"/>
      <w:bookmarkStart w:id="92" w:name="_Toc137493721"/>
      <w:bookmarkStart w:id="93" w:name="_Toc142819438"/>
      <w:r>
        <w:rPr>
          <w:rFonts w:hint="eastAsia" w:ascii="宋体" w:hAnsi="宋体" w:eastAsia="宋体" w:cs="宋体"/>
          <w:b/>
          <w:color w:val="auto"/>
          <w:sz w:val="36"/>
          <w:szCs w:val="36"/>
          <w:highlight w:val="none"/>
        </w:rPr>
        <w:t>需求</w:t>
      </w:r>
      <w:bookmarkEnd w:id="88"/>
    </w:p>
    <w:p>
      <w:pPr>
        <w:pStyle w:val="3"/>
        <w:bidi w:val="0"/>
        <w:spacing w:line="360" w:lineRule="auto"/>
        <w:rPr>
          <w:rFonts w:hint="eastAsia" w:ascii="宋体" w:hAnsi="宋体" w:eastAsia="宋体" w:cs="宋体"/>
          <w:lang w:val="en-US" w:eastAsia="zh-CN"/>
        </w:rPr>
      </w:pPr>
      <w:r>
        <w:rPr>
          <w:rFonts w:hint="eastAsia" w:ascii="宋体" w:hAnsi="宋体" w:eastAsia="宋体" w:cs="宋体"/>
        </w:rPr>
        <w:t>01</w:t>
      </w:r>
      <w:r>
        <w:rPr>
          <w:rFonts w:hint="eastAsia" w:ascii="宋体" w:hAnsi="宋体" w:eastAsia="宋体" w:cs="宋体"/>
          <w:color w:val="auto"/>
          <w:highlight w:val="none"/>
        </w:rPr>
        <w:t>穿刺式破拆水枪</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一、总体要求</w:t>
      </w:r>
    </w:p>
    <w:p>
      <w:pPr>
        <w:pStyle w:val="51"/>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1、技术性能符合《消防水枪》GB8181-2005的规定</w:t>
      </w:r>
      <w:r>
        <w:rPr>
          <w:rFonts w:hint="eastAsia" w:ascii="宋体" w:hAnsi="宋体" w:eastAsia="宋体" w:cs="宋体"/>
          <w:color w:val="auto"/>
          <w:sz w:val="24"/>
          <w:szCs w:val="24"/>
          <w:highlight w:val="none"/>
          <w:lang w:val="en-US" w:eastAsia="zh-CN"/>
        </w:rPr>
        <w:t>,提供带有CMA的</w:t>
      </w:r>
      <w:r>
        <w:rPr>
          <w:rFonts w:hint="eastAsia" w:ascii="宋体" w:hAnsi="宋体" w:eastAsia="宋体" w:cs="宋体"/>
          <w:color w:val="auto"/>
          <w:sz w:val="24"/>
          <w:szCs w:val="24"/>
          <w:highlight w:val="none"/>
        </w:rPr>
        <w:t>检测报告</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2、主要功能：枪头具有穿刺破拆和射水功能，可直接穿透棉垛、草垛、木垛、粮垛、纸垛、固体阴燃物质从内部射水灭火。</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二、技术要求</w:t>
      </w:r>
    </w:p>
    <w:p>
      <w:pPr>
        <w:pStyle w:val="51"/>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1.额定工作压力：0.6-0.8</w:t>
      </w:r>
      <w:r>
        <w:rPr>
          <w:rFonts w:hint="eastAsia" w:ascii="宋体" w:hAnsi="宋体" w:eastAsia="宋体" w:cs="宋体"/>
          <w:color w:val="auto"/>
          <w:sz w:val="24"/>
          <w:szCs w:val="24"/>
          <w:highlight w:val="none"/>
          <w:lang w:eastAsia="zh-CN"/>
        </w:rPr>
        <w:t>MPa</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2.流量：≥8L/S</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3.进水口径：65mm</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4.射程：≥8米</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5.喷雾半径：≥4米</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6、材质：金属材质，耐用，防腐蚀、防生锈</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7、枪头硬度：≥55HRC</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8、枪体与水带角度可呈180°和90°，并能够随意转换。</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三、其他要求</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、供货时须提供使用说明书、产品品牌、生产厂家详细地址、联络方式及代理商的详细地址和售后服务联络方式。</w:t>
      </w:r>
    </w:p>
    <w:p>
      <w:pPr>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可能采取的验收办法</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4.1现场对</w:t>
      </w:r>
      <w:r>
        <w:rPr>
          <w:rFonts w:hint="eastAsia" w:ascii="宋体" w:hAnsi="宋体" w:eastAsia="宋体" w:cs="宋体"/>
          <w:color w:val="auto"/>
          <w:sz w:val="24"/>
          <w:szCs w:val="24"/>
          <w:highlight w:val="none"/>
        </w:rPr>
        <w:t>流量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射程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喷雾半径</w:t>
      </w:r>
      <w:r>
        <w:rPr>
          <w:rFonts w:hint="eastAsia" w:ascii="宋体" w:hAnsi="宋体" w:eastAsia="宋体" w:cs="宋体"/>
          <w:color w:val="auto"/>
          <w:sz w:val="24"/>
          <w:szCs w:val="24"/>
          <w:highlight w:val="none"/>
          <w:lang w:val="en-US" w:eastAsia="zh-CN"/>
        </w:rPr>
        <w:t>进行</w:t>
      </w:r>
      <w:r>
        <w:rPr>
          <w:rFonts w:hint="eastAsia" w:ascii="宋体" w:hAnsi="宋体" w:eastAsia="宋体" w:cs="宋体"/>
          <w:bCs/>
          <w:color w:val="auto"/>
          <w:sz w:val="24"/>
          <w:szCs w:val="24"/>
          <w:highlight w:val="none"/>
          <w:lang w:val="en-US" w:eastAsia="zh-CN"/>
        </w:rPr>
        <w:t>测试</w:t>
      </w:r>
      <w:r>
        <w:rPr>
          <w:rFonts w:hint="eastAsia" w:ascii="宋体" w:hAnsi="宋体" w:eastAsia="宋体" w:cs="宋体"/>
          <w:color w:val="auto"/>
          <w:sz w:val="24"/>
          <w:szCs w:val="24"/>
          <w:highlight w:val="none"/>
          <w:lang w:val="en-US" w:eastAsia="zh-CN"/>
        </w:rPr>
        <w:t>。</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4.2聘请未中标人员进行验收。</w:t>
      </w:r>
    </w:p>
    <w:bookmarkEnd w:id="89"/>
    <w:bookmarkEnd w:id="90"/>
    <w:bookmarkEnd w:id="91"/>
    <w:bookmarkEnd w:id="92"/>
    <w:bookmarkEnd w:id="93"/>
    <w:p>
      <w:pPr>
        <w:pStyle w:val="33"/>
        <w:numPr>
          <w:ilvl w:val="0"/>
          <w:numId w:val="0"/>
        </w:numPr>
        <w:spacing w:line="360" w:lineRule="auto"/>
        <w:rPr>
          <w:rFonts w:hint="eastAsia" w:ascii="宋体" w:hAnsi="宋体" w:eastAsia="宋体" w:cs="宋体"/>
          <w:b/>
          <w:bCs/>
          <w:color w:val="0000FF"/>
          <w:kern w:val="0"/>
          <w:sz w:val="24"/>
          <w:highlight w:val="yellow"/>
          <w:lang w:eastAsia="zh-CN" w:bidi="ar"/>
        </w:rPr>
      </w:pP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94" w:name="_Toc32331"/>
      <w:r>
        <w:rPr>
          <w:rFonts w:hint="eastAsia" w:ascii="宋体" w:hAnsi="宋体" w:eastAsia="宋体" w:cs="宋体"/>
          <w:b/>
          <w:color w:val="auto"/>
          <w:sz w:val="36"/>
          <w:szCs w:val="36"/>
          <w:highlight w:val="none"/>
        </w:rPr>
        <w:t>第六章投标文件构成及格式</w:t>
      </w:r>
      <w:bookmarkEnd w:id="94"/>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5" w:name="_Toc19528"/>
      <w:r>
        <w:rPr>
          <w:rFonts w:hint="eastAsia" w:ascii="宋体" w:hAnsi="宋体" w:eastAsia="宋体" w:cs="宋体"/>
          <w:bCs/>
          <w:color w:val="auto"/>
          <w:szCs w:val="24"/>
          <w:highlight w:val="none"/>
        </w:rPr>
        <w:t>采购人特别声明：</w:t>
      </w:r>
      <w:bookmarkEnd w:id="95"/>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6" w:name="_Toc24519"/>
      <w:r>
        <w:rPr>
          <w:rFonts w:hint="eastAsia" w:ascii="宋体" w:hAnsi="宋体" w:eastAsia="宋体" w:cs="宋体"/>
          <w:color w:val="auto"/>
          <w:sz w:val="24"/>
          <w:highlight w:val="none"/>
        </w:rPr>
        <w:t>4.此表可根据需要自行拉长加宽。（可根据实际情况调整）</w:t>
      </w:r>
      <w:bookmarkEnd w:id="96"/>
    </w:p>
    <w:p>
      <w:pPr>
        <w:spacing w:line="360" w:lineRule="auto"/>
        <w:ind w:firstLine="480" w:firstLineChars="200"/>
        <w:outlineLvl w:val="0"/>
        <w:rPr>
          <w:rFonts w:hint="eastAsia" w:ascii="宋体" w:hAnsi="宋体" w:eastAsia="宋体" w:cs="宋体"/>
          <w:color w:val="auto"/>
          <w:sz w:val="24"/>
          <w:highlight w:val="none"/>
        </w:rPr>
      </w:pPr>
      <w:bookmarkStart w:id="97"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7"/>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8" w:name="_Toc32569"/>
      <w:r>
        <w:rPr>
          <w:rFonts w:hint="eastAsia" w:ascii="宋体" w:hAnsi="宋体" w:eastAsia="宋体" w:cs="宋体"/>
          <w:b/>
          <w:bCs/>
          <w:color w:val="auto"/>
          <w:szCs w:val="28"/>
          <w:highlight w:val="none"/>
        </w:rPr>
        <w:t>投标函（格式）</w:t>
      </w:r>
      <w:bookmarkEnd w:id="98"/>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9" w:name="_Toc20182"/>
      <w:r>
        <w:rPr>
          <w:rFonts w:hint="eastAsia" w:ascii="宋体" w:hAnsi="宋体" w:eastAsia="宋体" w:cs="宋体"/>
          <w:color w:val="auto"/>
          <w:kern w:val="0"/>
          <w:szCs w:val="24"/>
          <w:highlight w:val="none"/>
        </w:rPr>
        <w:t>致：</w:t>
      </w:r>
      <w:bookmarkEnd w:id="99"/>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100"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100"/>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101" w:name="chapter7"/>
      <w:bookmarkEnd w:id="101"/>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2" w:name="_Toc28379"/>
      <w:r>
        <w:rPr>
          <w:rFonts w:hint="eastAsia" w:ascii="宋体" w:hAnsi="宋体" w:eastAsia="宋体" w:cs="宋体"/>
          <w:color w:val="auto"/>
          <w:sz w:val="24"/>
          <w:highlight w:val="none"/>
        </w:rPr>
        <w:t>5.此表可根据需要自行拉长加宽。</w:t>
      </w:r>
      <w:bookmarkEnd w:id="102"/>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3"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3"/>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4" w:name="_Toc24919"/>
            <w:r>
              <w:rPr>
                <w:rFonts w:hint="eastAsia" w:ascii="宋体" w:hAnsi="宋体" w:eastAsia="宋体" w:cs="宋体"/>
                <w:color w:val="auto"/>
                <w:sz w:val="24"/>
                <w:highlight w:val="none"/>
              </w:rPr>
              <w:t>序号</w:t>
            </w:r>
            <w:bookmarkEnd w:id="104"/>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5" w:name="_Toc26696"/>
            <w:r>
              <w:rPr>
                <w:rFonts w:hint="eastAsia" w:ascii="宋体" w:hAnsi="宋体" w:eastAsia="宋体" w:cs="宋体"/>
                <w:color w:val="auto"/>
                <w:sz w:val="24"/>
                <w:highlight w:val="none"/>
              </w:rPr>
              <w:t>货物名称</w:t>
            </w:r>
            <w:bookmarkEnd w:id="105"/>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6" w:name="_Toc22219"/>
            <w:r>
              <w:rPr>
                <w:rFonts w:hint="eastAsia" w:ascii="宋体" w:hAnsi="宋体" w:eastAsia="宋体" w:cs="宋体"/>
                <w:color w:val="auto"/>
                <w:sz w:val="24"/>
                <w:highlight w:val="none"/>
              </w:rPr>
              <w:t>招标文件规定的货物需求、技术规格</w:t>
            </w:r>
            <w:bookmarkEnd w:id="106"/>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7" w:name="_Toc5484"/>
            <w:r>
              <w:rPr>
                <w:rFonts w:hint="eastAsia" w:ascii="宋体" w:hAnsi="宋体" w:eastAsia="宋体" w:cs="宋体"/>
                <w:color w:val="auto"/>
                <w:sz w:val="24"/>
                <w:highlight w:val="none"/>
              </w:rPr>
              <w:t>投标文件对应的货物情况、技术规格</w:t>
            </w:r>
            <w:bookmarkEnd w:id="107"/>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8" w:name="_Toc15994"/>
            <w:r>
              <w:rPr>
                <w:rFonts w:hint="eastAsia" w:ascii="宋体" w:hAnsi="宋体" w:eastAsia="宋体" w:cs="宋体"/>
                <w:color w:val="auto"/>
                <w:sz w:val="24"/>
                <w:highlight w:val="none"/>
              </w:rPr>
              <w:t>是否偏离</w:t>
            </w:r>
            <w:bookmarkEnd w:id="108"/>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9" w:name="_Toc18988"/>
            <w:r>
              <w:rPr>
                <w:rFonts w:hint="eastAsia" w:ascii="宋体" w:hAnsi="宋体" w:eastAsia="宋体" w:cs="宋体"/>
                <w:color w:val="auto"/>
                <w:sz w:val="24"/>
                <w:highlight w:val="none"/>
              </w:rPr>
              <w:t>备注</w:t>
            </w:r>
            <w:bookmarkEnd w:id="10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10" w:name="_Toc12661"/>
      <w:r>
        <w:rPr>
          <w:rFonts w:hint="eastAsia" w:ascii="宋体" w:hAnsi="宋体" w:eastAsia="宋体" w:cs="宋体"/>
          <w:color w:val="auto"/>
          <w:sz w:val="24"/>
          <w:highlight w:val="none"/>
        </w:rPr>
        <w:t>3.采购人要求投标人认真填写本表。</w:t>
      </w:r>
      <w:bookmarkEnd w:id="110"/>
    </w:p>
    <w:p>
      <w:pPr>
        <w:spacing w:line="360" w:lineRule="auto"/>
        <w:ind w:firstLine="480" w:firstLineChars="200"/>
        <w:outlineLvl w:val="0"/>
        <w:rPr>
          <w:rFonts w:hint="eastAsia" w:ascii="宋体" w:hAnsi="宋体" w:eastAsia="宋体" w:cs="宋体"/>
          <w:color w:val="auto"/>
          <w:sz w:val="24"/>
          <w:highlight w:val="none"/>
        </w:rPr>
      </w:pPr>
      <w:bookmarkStart w:id="111" w:name="_Toc16301"/>
      <w:r>
        <w:rPr>
          <w:rFonts w:hint="eastAsia" w:ascii="宋体" w:hAnsi="宋体" w:eastAsia="宋体" w:cs="宋体"/>
          <w:color w:val="auto"/>
          <w:sz w:val="24"/>
          <w:highlight w:val="none"/>
        </w:rPr>
        <w:t>4.此表可根据需要自行拉长加宽。</w:t>
      </w:r>
      <w:bookmarkEnd w:id="111"/>
    </w:p>
    <w:p>
      <w:pPr>
        <w:spacing w:line="360" w:lineRule="auto"/>
        <w:ind w:firstLine="480" w:firstLineChars="200"/>
        <w:outlineLvl w:val="0"/>
        <w:rPr>
          <w:rFonts w:hint="eastAsia" w:ascii="宋体" w:hAnsi="宋体" w:eastAsia="宋体" w:cs="宋体"/>
          <w:color w:val="auto"/>
          <w:sz w:val="24"/>
          <w:highlight w:val="none"/>
        </w:rPr>
      </w:pPr>
      <w:bookmarkStart w:id="112"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12"/>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3"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3"/>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4" w:name="_Toc19945"/>
            <w:r>
              <w:rPr>
                <w:rFonts w:hint="eastAsia" w:ascii="宋体" w:hAnsi="宋体" w:eastAsia="宋体" w:cs="宋体"/>
                <w:color w:val="auto"/>
                <w:sz w:val="24"/>
                <w:highlight w:val="none"/>
              </w:rPr>
              <w:t>序号</w:t>
            </w:r>
            <w:bookmarkEnd w:id="114"/>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5" w:name="_Toc13926"/>
            <w:r>
              <w:rPr>
                <w:rFonts w:hint="eastAsia" w:ascii="宋体" w:hAnsi="宋体" w:eastAsia="宋体" w:cs="宋体"/>
                <w:color w:val="auto"/>
                <w:sz w:val="24"/>
                <w:highlight w:val="none"/>
              </w:rPr>
              <w:t>货物名称</w:t>
            </w:r>
            <w:bookmarkEnd w:id="115"/>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6" w:name="_Toc19652"/>
            <w:r>
              <w:rPr>
                <w:rFonts w:hint="eastAsia" w:ascii="宋体" w:hAnsi="宋体" w:eastAsia="宋体" w:cs="宋体"/>
                <w:color w:val="auto"/>
                <w:sz w:val="24"/>
                <w:highlight w:val="none"/>
              </w:rPr>
              <w:t>招标文件规定的商务条款</w:t>
            </w:r>
            <w:bookmarkEnd w:id="116"/>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7" w:name="_Toc6384"/>
            <w:r>
              <w:rPr>
                <w:rFonts w:hint="eastAsia" w:ascii="宋体" w:hAnsi="宋体" w:eastAsia="宋体" w:cs="宋体"/>
                <w:color w:val="auto"/>
                <w:sz w:val="24"/>
                <w:highlight w:val="none"/>
              </w:rPr>
              <w:t>投标文件对应的商务条款</w:t>
            </w:r>
            <w:bookmarkEnd w:id="117"/>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8" w:name="_Toc17750"/>
            <w:r>
              <w:rPr>
                <w:rFonts w:hint="eastAsia" w:ascii="宋体" w:hAnsi="宋体" w:eastAsia="宋体" w:cs="宋体"/>
                <w:color w:val="auto"/>
                <w:sz w:val="24"/>
                <w:highlight w:val="none"/>
              </w:rPr>
              <w:t>是否偏离</w:t>
            </w:r>
            <w:bookmarkEnd w:id="118"/>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9" w:name="_Toc27935"/>
            <w:r>
              <w:rPr>
                <w:rFonts w:hint="eastAsia" w:ascii="宋体" w:hAnsi="宋体" w:eastAsia="宋体" w:cs="宋体"/>
                <w:color w:val="auto"/>
                <w:sz w:val="24"/>
                <w:highlight w:val="none"/>
              </w:rPr>
              <w:t>备注</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20" w:name="_Toc24259"/>
      <w:r>
        <w:rPr>
          <w:rFonts w:hint="eastAsia" w:ascii="宋体" w:hAnsi="宋体" w:eastAsia="宋体" w:cs="宋体"/>
          <w:color w:val="auto"/>
          <w:sz w:val="24"/>
          <w:highlight w:val="none"/>
        </w:rPr>
        <w:t>4.采购人要求投标人认真填写本表。</w:t>
      </w:r>
      <w:bookmarkEnd w:id="120"/>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21" w:name="_Toc16140"/>
      <w:r>
        <w:rPr>
          <w:rFonts w:hint="eastAsia" w:ascii="宋体" w:hAnsi="宋体" w:eastAsia="宋体" w:cs="宋体"/>
          <w:color w:val="auto"/>
          <w:sz w:val="24"/>
          <w:highlight w:val="none"/>
        </w:rPr>
        <w:t>5.此表可根据需要自行拉长加宽。</w:t>
      </w:r>
      <w:bookmarkEnd w:id="121"/>
    </w:p>
    <w:p>
      <w:pPr>
        <w:spacing w:line="360" w:lineRule="auto"/>
        <w:ind w:firstLine="480" w:firstLineChars="200"/>
        <w:rPr>
          <w:rFonts w:hint="eastAsia" w:ascii="宋体" w:hAnsi="宋体" w:eastAsia="宋体" w:cs="宋体"/>
          <w:color w:val="auto"/>
          <w:sz w:val="24"/>
          <w:highlight w:val="none"/>
        </w:rPr>
      </w:pPr>
      <w:bookmarkStart w:id="122"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22"/>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jc w:val="center"/>
        <w:rPr>
          <w:rFonts w:hint="eastAsia" w:ascii="宋体" w:hAnsi="宋体" w:eastAsia="宋体" w:cs="宋体"/>
          <w:b/>
          <w:bCs/>
          <w:color w:val="auto"/>
          <w:sz w:val="24"/>
          <w:szCs w:val="24"/>
          <w:highlight w:val="none"/>
        </w:rPr>
      </w:pPr>
      <w:bookmarkStart w:id="123" w:name="_Toc25436"/>
      <w:r>
        <w:rPr>
          <w:rFonts w:hint="eastAsia" w:ascii="宋体" w:hAnsi="宋体" w:eastAsia="宋体" w:cs="宋体"/>
          <w:b/>
          <w:bCs/>
          <w:color w:val="auto"/>
          <w:sz w:val="24"/>
          <w:szCs w:val="24"/>
          <w:highlight w:val="none"/>
        </w:rPr>
        <w:t>投标产品实物三视图</w:t>
      </w:r>
    </w:p>
    <w:p>
      <w:pPr>
        <w:pStyle w:val="2"/>
        <w:rPr>
          <w:rFonts w:hint="eastAsia" w:ascii="宋体" w:hAnsi="宋体" w:eastAsia="宋体" w:cs="宋体"/>
          <w:b/>
          <w:bCs/>
          <w:color w:val="auto"/>
          <w:sz w:val="24"/>
          <w:szCs w:val="24"/>
          <w:highlight w:val="none"/>
        </w:rPr>
      </w:pPr>
    </w:p>
    <w:p>
      <w:pPr>
        <w:spacing w:line="360" w:lineRule="auto"/>
        <w:rPr>
          <w:rFonts w:hint="eastAsia" w:ascii="宋体" w:hAnsi="宋体" w:eastAsia="宋体" w:cs="宋体"/>
          <w:b/>
          <w:color w:val="auto"/>
          <w:szCs w:val="28"/>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3"/>
    </w:p>
    <w:p>
      <w:pPr>
        <w:spacing w:line="360" w:lineRule="auto"/>
        <w:jc w:val="center"/>
        <w:outlineLvl w:val="0"/>
        <w:rPr>
          <w:rFonts w:hint="eastAsia" w:ascii="宋体" w:hAnsi="宋体" w:eastAsia="宋体" w:cs="宋体"/>
          <w:b/>
          <w:color w:val="auto"/>
          <w:sz w:val="24"/>
          <w:szCs w:val="28"/>
          <w:highlight w:val="none"/>
        </w:rPr>
      </w:pPr>
      <w:bookmarkStart w:id="124" w:name="_Toc26504"/>
      <w:r>
        <w:rPr>
          <w:rFonts w:hint="eastAsia" w:ascii="宋体" w:hAnsi="宋体" w:eastAsia="宋体" w:cs="宋体"/>
          <w:b/>
          <w:color w:val="auto"/>
          <w:sz w:val="24"/>
          <w:szCs w:val="28"/>
          <w:highlight w:val="none"/>
        </w:rPr>
        <w:t>售后服务承诺书（格式）</w:t>
      </w:r>
      <w:bookmarkEnd w:id="124"/>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5"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5"/>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1.自货物最终验收合格之日起质保</w:t>
      </w:r>
      <w:r>
        <w:rPr>
          <w:rFonts w:hint="eastAsia" w:ascii="宋体" w:hAnsi="宋体" w:eastAsia="宋体" w:cs="宋体"/>
          <w:sz w:val="24"/>
          <w:u w:val="single"/>
        </w:rPr>
        <w:t xml:space="preserve">   </w:t>
      </w:r>
      <w:r>
        <w:rPr>
          <w:rFonts w:hint="eastAsia" w:ascii="宋体" w:hAnsi="宋体" w:eastAsia="宋体" w:cs="宋体"/>
          <w:sz w:val="24"/>
        </w:rPr>
        <w:t>年，质保期自验收合格之日起计算，保修期</w:t>
      </w:r>
      <w:r>
        <w:rPr>
          <w:rFonts w:hint="eastAsia" w:ascii="宋体" w:hAnsi="宋体" w:eastAsia="宋体" w:cs="宋体"/>
          <w:sz w:val="24"/>
          <w:u w:val="single"/>
        </w:rPr>
        <w:t xml:space="preserve">  </w:t>
      </w:r>
      <w:r>
        <w:rPr>
          <w:rFonts w:hint="eastAsia" w:ascii="宋体" w:hAnsi="宋体" w:eastAsia="宋体" w:cs="宋体"/>
          <w:sz w:val="24"/>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rPr>
        <w:t>（此项内容投标单位应按照实际情况填写）</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2.投标人对消防救援队伍提出的维修需求,要及时响应、远程指导修复。对远程指导不能修复的,要派技术人员</w:t>
      </w:r>
      <w:r>
        <w:rPr>
          <w:rFonts w:hint="eastAsia" w:ascii="宋体" w:hAnsi="宋体" w:eastAsia="宋体" w:cs="宋体"/>
          <w:sz w:val="24"/>
          <w:u w:val="single"/>
        </w:rPr>
        <w:t xml:space="preserve">    </w:t>
      </w:r>
      <w:r>
        <w:rPr>
          <w:rFonts w:hint="eastAsia" w:ascii="宋体" w:hAnsi="宋体" w:eastAsia="宋体" w:cs="宋体"/>
          <w:sz w:val="24"/>
        </w:rPr>
        <w:t>小时内到场维修。国内有配件的一般故障在</w:t>
      </w:r>
      <w:r>
        <w:rPr>
          <w:rFonts w:hint="eastAsia" w:ascii="宋体" w:hAnsi="宋体" w:eastAsia="宋体" w:cs="宋体"/>
          <w:sz w:val="24"/>
          <w:u w:val="single"/>
        </w:rPr>
        <w:t xml:space="preserve">  </w:t>
      </w:r>
      <w:r>
        <w:rPr>
          <w:rFonts w:hint="eastAsia" w:ascii="宋体" w:hAnsi="宋体" w:eastAsia="宋体" w:cs="宋体"/>
          <w:sz w:val="24"/>
        </w:rPr>
        <w:t>小时内修复,较大故障</w:t>
      </w:r>
      <w:r>
        <w:rPr>
          <w:rFonts w:hint="eastAsia" w:ascii="宋体" w:hAnsi="宋体" w:eastAsia="宋体" w:cs="宋体"/>
          <w:sz w:val="24"/>
          <w:u w:val="single"/>
        </w:rPr>
        <w:t xml:space="preserve">   </w:t>
      </w:r>
      <w:r>
        <w:rPr>
          <w:rFonts w:hint="eastAsia" w:ascii="宋体" w:hAnsi="宋体" w:eastAsia="宋体" w:cs="宋体"/>
          <w:sz w:val="24"/>
        </w:rPr>
        <w:t xml:space="preserve">内修复。国内没有配件的,应在60日内提供配件并修复。同时设立24小时值守电话（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b/>
          <w:bCs/>
          <w:sz w:val="24"/>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rPr>
        <w:t>3.售后服务其他相关要求内容</w:t>
      </w:r>
      <w:r>
        <w:rPr>
          <w:rFonts w:hint="eastAsia" w:ascii="宋体" w:hAnsi="宋体" w:eastAsia="宋体" w:cs="宋体"/>
          <w:b/>
          <w:bCs/>
          <w:sz w:val="24"/>
          <w:szCs w:val="24"/>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6" w:name="_Toc9788"/>
      <w:r>
        <w:rPr>
          <w:rFonts w:hint="eastAsia" w:ascii="宋体" w:hAnsi="宋体" w:eastAsia="宋体" w:cs="宋体"/>
          <w:color w:val="auto"/>
          <w:sz w:val="24"/>
          <w:highlight w:val="none"/>
        </w:rPr>
        <w:t>投标单位全称（公章）：</w:t>
      </w:r>
      <w:bookmarkEnd w:id="126"/>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7" w:name="_Toc21657"/>
      <w:r>
        <w:rPr>
          <w:rFonts w:hint="eastAsia" w:ascii="宋体" w:hAnsi="宋体" w:eastAsia="宋体" w:cs="宋体"/>
          <w:color w:val="auto"/>
          <w:sz w:val="24"/>
          <w:highlight w:val="none"/>
        </w:rPr>
        <w:t>法定代表人或授权代理人签字：</w:t>
      </w:r>
      <w:bookmarkEnd w:id="127"/>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8"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8"/>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9"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9"/>
    </w:p>
    <w:p>
      <w:pPr>
        <w:spacing w:line="360" w:lineRule="auto"/>
        <w:jc w:val="center"/>
        <w:outlineLvl w:val="0"/>
        <w:rPr>
          <w:rFonts w:hint="eastAsia" w:ascii="宋体" w:hAnsi="宋体" w:eastAsia="宋体" w:cs="宋体"/>
          <w:b/>
          <w:color w:val="auto"/>
          <w:sz w:val="24"/>
          <w:szCs w:val="28"/>
          <w:highlight w:val="none"/>
        </w:rPr>
      </w:pPr>
      <w:bookmarkStart w:id="130" w:name="_Toc28720"/>
      <w:r>
        <w:rPr>
          <w:rFonts w:hint="eastAsia" w:ascii="宋体" w:hAnsi="宋体" w:eastAsia="宋体" w:cs="宋体"/>
          <w:b/>
          <w:color w:val="auto"/>
          <w:sz w:val="24"/>
          <w:szCs w:val="28"/>
          <w:highlight w:val="none"/>
        </w:rPr>
        <w:t>法人身份证明（格式）</w:t>
      </w:r>
      <w:bookmarkEnd w:id="130"/>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31"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2443"/>
      <w:r>
        <w:rPr>
          <w:rFonts w:hint="eastAsia" w:ascii="宋体" w:hAnsi="宋体" w:eastAsia="宋体" w:cs="宋体"/>
          <w:color w:val="auto"/>
          <w:sz w:val="24"/>
          <w:highlight w:val="none"/>
        </w:rPr>
        <w:t>特此证明。</w:t>
      </w:r>
      <w:bookmarkEnd w:id="132"/>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1442"/>
      <w:r>
        <w:rPr>
          <w:rFonts w:hint="eastAsia" w:ascii="宋体" w:hAnsi="宋体" w:eastAsia="宋体" w:cs="宋体"/>
          <w:color w:val="auto"/>
          <w:sz w:val="24"/>
          <w:highlight w:val="none"/>
        </w:rPr>
        <w:t>投标单位全称（公章）：</w:t>
      </w:r>
      <w:bookmarkEnd w:id="133"/>
    </w:p>
    <w:p>
      <w:pPr>
        <w:spacing w:line="360" w:lineRule="auto"/>
        <w:ind w:firstLine="480" w:firstLineChars="200"/>
        <w:outlineLvl w:val="0"/>
        <w:rPr>
          <w:rFonts w:hint="eastAsia" w:ascii="宋体" w:hAnsi="宋体" w:eastAsia="宋体" w:cs="宋体"/>
          <w:color w:val="auto"/>
          <w:sz w:val="24"/>
          <w:highlight w:val="none"/>
        </w:rPr>
      </w:pPr>
      <w:bookmarkStart w:id="134" w:name="_Toc15411"/>
      <w:r>
        <w:rPr>
          <w:rFonts w:hint="eastAsia" w:ascii="宋体" w:hAnsi="宋体" w:eastAsia="宋体" w:cs="宋体"/>
          <w:color w:val="auto"/>
          <w:sz w:val="24"/>
          <w:highlight w:val="none"/>
        </w:rPr>
        <w:t>地址：</w:t>
      </w:r>
      <w:bookmarkEnd w:id="134"/>
    </w:p>
    <w:p>
      <w:pPr>
        <w:spacing w:line="360" w:lineRule="auto"/>
        <w:ind w:firstLine="480" w:firstLineChars="200"/>
        <w:outlineLvl w:val="0"/>
        <w:rPr>
          <w:rFonts w:hint="eastAsia" w:ascii="宋体" w:hAnsi="宋体" w:eastAsia="宋体" w:cs="宋体"/>
          <w:color w:val="auto"/>
          <w:sz w:val="24"/>
          <w:highlight w:val="none"/>
        </w:rPr>
      </w:pPr>
      <w:bookmarkStart w:id="135" w:name="_Toc11951"/>
      <w:r>
        <w:rPr>
          <w:rFonts w:hint="eastAsia" w:ascii="宋体" w:hAnsi="宋体" w:eastAsia="宋体" w:cs="宋体"/>
          <w:color w:val="auto"/>
          <w:sz w:val="24"/>
          <w:highlight w:val="none"/>
        </w:rPr>
        <w:t>被证明人签字：</w:t>
      </w:r>
      <w:bookmarkEnd w:id="135"/>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6"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6"/>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7"/>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8" w:name="_Toc6079"/>
      <w:r>
        <w:rPr>
          <w:rFonts w:hint="eastAsia" w:ascii="宋体" w:hAnsi="宋体" w:eastAsia="宋体" w:cs="宋体"/>
          <w:b/>
          <w:color w:val="auto"/>
          <w:szCs w:val="28"/>
          <w:highlight w:val="none"/>
        </w:rPr>
        <w:t>格式七：</w:t>
      </w:r>
      <w:bookmarkEnd w:id="138"/>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9" w:name="_Toc11329"/>
      <w:r>
        <w:rPr>
          <w:rFonts w:hint="eastAsia" w:ascii="宋体" w:hAnsi="宋体" w:eastAsia="宋体" w:cs="宋体"/>
          <w:b/>
          <w:color w:val="auto"/>
          <w:sz w:val="24"/>
          <w:szCs w:val="28"/>
          <w:highlight w:val="none"/>
        </w:rPr>
        <w:t>法定代表人授权书（格式）</w:t>
      </w:r>
      <w:bookmarkEnd w:id="139"/>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40" w:name="_Toc29577"/>
      <w:r>
        <w:rPr>
          <w:rFonts w:hint="eastAsia" w:ascii="宋体" w:hAnsi="宋体" w:eastAsia="宋体" w:cs="宋体"/>
          <w:color w:val="auto"/>
          <w:szCs w:val="24"/>
          <w:highlight w:val="none"/>
        </w:rPr>
        <w:t>被授权人身份证粘帖处</w:t>
      </w:r>
      <w:bookmarkEnd w:id="140"/>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41"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41"/>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42" w:name="_Toc20734"/>
      <w:r>
        <w:rPr>
          <w:rFonts w:hint="eastAsia" w:ascii="宋体" w:hAnsi="宋体" w:eastAsia="宋体" w:cs="宋体"/>
          <w:b/>
          <w:color w:val="auto"/>
          <w:spacing w:val="0"/>
          <w:position w:val="0"/>
          <w:sz w:val="24"/>
          <w:highlight w:val="none"/>
          <w:shd w:val="clear" w:fill="auto"/>
        </w:rPr>
        <w:t>残疾人福利性单位声明函</w:t>
      </w:r>
      <w:bookmarkEnd w:id="142"/>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282DDA"/>
    <w:rsid w:val="033D1953"/>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7666"/>
    <w:rsid w:val="075E0113"/>
    <w:rsid w:val="07692CEA"/>
    <w:rsid w:val="076D5A73"/>
    <w:rsid w:val="078A03D3"/>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6F5AD2"/>
    <w:rsid w:val="09840E52"/>
    <w:rsid w:val="0988000E"/>
    <w:rsid w:val="099F12A5"/>
    <w:rsid w:val="09A10630"/>
    <w:rsid w:val="09B039F5"/>
    <w:rsid w:val="09BA4874"/>
    <w:rsid w:val="09C33728"/>
    <w:rsid w:val="09D04097"/>
    <w:rsid w:val="09D27E0F"/>
    <w:rsid w:val="09DE3D12"/>
    <w:rsid w:val="09E12345"/>
    <w:rsid w:val="09E518F1"/>
    <w:rsid w:val="0A025187"/>
    <w:rsid w:val="0A046516"/>
    <w:rsid w:val="0A132C02"/>
    <w:rsid w:val="0A14667A"/>
    <w:rsid w:val="0A171CC6"/>
    <w:rsid w:val="0A1C5AFB"/>
    <w:rsid w:val="0A1E3055"/>
    <w:rsid w:val="0A252635"/>
    <w:rsid w:val="0A2A7852"/>
    <w:rsid w:val="0A46326B"/>
    <w:rsid w:val="0A4972F7"/>
    <w:rsid w:val="0A4E1BC9"/>
    <w:rsid w:val="0A767E31"/>
    <w:rsid w:val="0A7C6506"/>
    <w:rsid w:val="0A8A2498"/>
    <w:rsid w:val="0A8A427A"/>
    <w:rsid w:val="0A995807"/>
    <w:rsid w:val="0AA01CBB"/>
    <w:rsid w:val="0AA20035"/>
    <w:rsid w:val="0AA25A34"/>
    <w:rsid w:val="0AA3524B"/>
    <w:rsid w:val="0AAC066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F0EA7"/>
    <w:rsid w:val="0C143C92"/>
    <w:rsid w:val="0C175FAD"/>
    <w:rsid w:val="0C2D57D1"/>
    <w:rsid w:val="0C3D718F"/>
    <w:rsid w:val="0C3E178C"/>
    <w:rsid w:val="0C3F131E"/>
    <w:rsid w:val="0C402AA0"/>
    <w:rsid w:val="0C5911D0"/>
    <w:rsid w:val="0C5B0DF3"/>
    <w:rsid w:val="0C6274FE"/>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F5231E"/>
    <w:rsid w:val="0DFE11D3"/>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6A5BFD"/>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166833"/>
    <w:rsid w:val="11194576"/>
    <w:rsid w:val="113E3FDC"/>
    <w:rsid w:val="11422D28"/>
    <w:rsid w:val="114916A6"/>
    <w:rsid w:val="114E421F"/>
    <w:rsid w:val="11537A88"/>
    <w:rsid w:val="116C0B49"/>
    <w:rsid w:val="11785740"/>
    <w:rsid w:val="118C679D"/>
    <w:rsid w:val="11925C70"/>
    <w:rsid w:val="11977CE3"/>
    <w:rsid w:val="119E6CF5"/>
    <w:rsid w:val="11A227BD"/>
    <w:rsid w:val="11BB562D"/>
    <w:rsid w:val="11CE552C"/>
    <w:rsid w:val="11DA38D8"/>
    <w:rsid w:val="11E06E41"/>
    <w:rsid w:val="11ED1C8A"/>
    <w:rsid w:val="11F13B4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0F5C30"/>
    <w:rsid w:val="131D046B"/>
    <w:rsid w:val="13272BE8"/>
    <w:rsid w:val="13427DB4"/>
    <w:rsid w:val="134A5690"/>
    <w:rsid w:val="135B0E75"/>
    <w:rsid w:val="135F3AE8"/>
    <w:rsid w:val="13645F7C"/>
    <w:rsid w:val="136923D7"/>
    <w:rsid w:val="13767A5D"/>
    <w:rsid w:val="13771151"/>
    <w:rsid w:val="137837D5"/>
    <w:rsid w:val="137D5290"/>
    <w:rsid w:val="13852BA3"/>
    <w:rsid w:val="138A3509"/>
    <w:rsid w:val="13985C26"/>
    <w:rsid w:val="13A02D2C"/>
    <w:rsid w:val="13C659CD"/>
    <w:rsid w:val="13CF471A"/>
    <w:rsid w:val="13E96481"/>
    <w:rsid w:val="13F32136"/>
    <w:rsid w:val="13F96139"/>
    <w:rsid w:val="140137CB"/>
    <w:rsid w:val="14024910"/>
    <w:rsid w:val="14092680"/>
    <w:rsid w:val="14213E6D"/>
    <w:rsid w:val="1432417D"/>
    <w:rsid w:val="14456D19"/>
    <w:rsid w:val="147246C9"/>
    <w:rsid w:val="14792A17"/>
    <w:rsid w:val="147E12BF"/>
    <w:rsid w:val="148B578A"/>
    <w:rsid w:val="148F527B"/>
    <w:rsid w:val="14B4753E"/>
    <w:rsid w:val="14BC5944"/>
    <w:rsid w:val="14C01186"/>
    <w:rsid w:val="14C12F5A"/>
    <w:rsid w:val="14C52A4A"/>
    <w:rsid w:val="14CE4E21"/>
    <w:rsid w:val="14DA401C"/>
    <w:rsid w:val="14DE1D5E"/>
    <w:rsid w:val="14DF6D1B"/>
    <w:rsid w:val="14E1184E"/>
    <w:rsid w:val="14EA0703"/>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DD695B"/>
    <w:rsid w:val="15E72E94"/>
    <w:rsid w:val="15F92F7E"/>
    <w:rsid w:val="16086AE5"/>
    <w:rsid w:val="161C27C9"/>
    <w:rsid w:val="16215468"/>
    <w:rsid w:val="1628375A"/>
    <w:rsid w:val="162B0FD3"/>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155A97"/>
    <w:rsid w:val="183103F7"/>
    <w:rsid w:val="184316FF"/>
    <w:rsid w:val="18576141"/>
    <w:rsid w:val="186407CC"/>
    <w:rsid w:val="186865CE"/>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E118C"/>
    <w:rsid w:val="1A246A2C"/>
    <w:rsid w:val="1A2A3350"/>
    <w:rsid w:val="1A38088E"/>
    <w:rsid w:val="1A404921"/>
    <w:rsid w:val="1A4E703E"/>
    <w:rsid w:val="1A5328A6"/>
    <w:rsid w:val="1A563640"/>
    <w:rsid w:val="1A620D3B"/>
    <w:rsid w:val="1A676352"/>
    <w:rsid w:val="1A6C3968"/>
    <w:rsid w:val="1A8B2040"/>
    <w:rsid w:val="1A9412B3"/>
    <w:rsid w:val="1A943AF7"/>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B22884"/>
    <w:rsid w:val="1BBA79BA"/>
    <w:rsid w:val="1BBE01F3"/>
    <w:rsid w:val="1BDF4B6E"/>
    <w:rsid w:val="1BE539D2"/>
    <w:rsid w:val="1BF1169D"/>
    <w:rsid w:val="1BF73705"/>
    <w:rsid w:val="1BFE15F2"/>
    <w:rsid w:val="1BFF5A71"/>
    <w:rsid w:val="1C00080C"/>
    <w:rsid w:val="1C00267E"/>
    <w:rsid w:val="1C0E15A4"/>
    <w:rsid w:val="1C156098"/>
    <w:rsid w:val="1C1C4F1A"/>
    <w:rsid w:val="1C1F5136"/>
    <w:rsid w:val="1C28769B"/>
    <w:rsid w:val="1C2E5379"/>
    <w:rsid w:val="1C3F493B"/>
    <w:rsid w:val="1C420E24"/>
    <w:rsid w:val="1C4306F9"/>
    <w:rsid w:val="1C454471"/>
    <w:rsid w:val="1C4E6E53"/>
    <w:rsid w:val="1C5470A3"/>
    <w:rsid w:val="1C5E5533"/>
    <w:rsid w:val="1C69015F"/>
    <w:rsid w:val="1C6D6807"/>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193E07"/>
    <w:rsid w:val="1E2644A4"/>
    <w:rsid w:val="1E3353B1"/>
    <w:rsid w:val="1E430E84"/>
    <w:rsid w:val="1E4B3A52"/>
    <w:rsid w:val="1E4F15D7"/>
    <w:rsid w:val="1E546BED"/>
    <w:rsid w:val="1E585755"/>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7961F5"/>
    <w:rsid w:val="218D114E"/>
    <w:rsid w:val="21A12149"/>
    <w:rsid w:val="21A41C3A"/>
    <w:rsid w:val="21A659B2"/>
    <w:rsid w:val="21A812C1"/>
    <w:rsid w:val="21BA145D"/>
    <w:rsid w:val="21C422DC"/>
    <w:rsid w:val="21D249F9"/>
    <w:rsid w:val="21F93D33"/>
    <w:rsid w:val="21FC28D6"/>
    <w:rsid w:val="21FE134A"/>
    <w:rsid w:val="220B1CB9"/>
    <w:rsid w:val="220F3557"/>
    <w:rsid w:val="22123047"/>
    <w:rsid w:val="221C125D"/>
    <w:rsid w:val="221E4FCE"/>
    <w:rsid w:val="22244B28"/>
    <w:rsid w:val="22396826"/>
    <w:rsid w:val="22431452"/>
    <w:rsid w:val="224C3750"/>
    <w:rsid w:val="224D26CF"/>
    <w:rsid w:val="224F6049"/>
    <w:rsid w:val="22511DC1"/>
    <w:rsid w:val="22535DAF"/>
    <w:rsid w:val="226129BC"/>
    <w:rsid w:val="22721D38"/>
    <w:rsid w:val="2280475D"/>
    <w:rsid w:val="22823C2A"/>
    <w:rsid w:val="22A31EF1"/>
    <w:rsid w:val="22B14EA2"/>
    <w:rsid w:val="22BB723B"/>
    <w:rsid w:val="22C72083"/>
    <w:rsid w:val="22CA1B74"/>
    <w:rsid w:val="22DA76D9"/>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554E"/>
    <w:rsid w:val="264F6618"/>
    <w:rsid w:val="265C2AE3"/>
    <w:rsid w:val="26657A8F"/>
    <w:rsid w:val="26995AE5"/>
    <w:rsid w:val="26B20955"/>
    <w:rsid w:val="26BA342F"/>
    <w:rsid w:val="26BC60C2"/>
    <w:rsid w:val="26C1503C"/>
    <w:rsid w:val="26C4244D"/>
    <w:rsid w:val="26C568DA"/>
    <w:rsid w:val="26C94DFB"/>
    <w:rsid w:val="26D7660D"/>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657F00"/>
    <w:rsid w:val="29670395"/>
    <w:rsid w:val="297F6EC9"/>
    <w:rsid w:val="29AB416D"/>
    <w:rsid w:val="29AE7AF9"/>
    <w:rsid w:val="29B5668F"/>
    <w:rsid w:val="29C24711"/>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CD2201"/>
    <w:rsid w:val="2AD25A69"/>
    <w:rsid w:val="2AE578A2"/>
    <w:rsid w:val="2AF0728F"/>
    <w:rsid w:val="2AF94DA4"/>
    <w:rsid w:val="2AFF40F2"/>
    <w:rsid w:val="2B0C0F7B"/>
    <w:rsid w:val="2B116592"/>
    <w:rsid w:val="2B1A4D1A"/>
    <w:rsid w:val="2B1C0A93"/>
    <w:rsid w:val="2B1C6CE5"/>
    <w:rsid w:val="2B261D0D"/>
    <w:rsid w:val="2B2838DB"/>
    <w:rsid w:val="2B3E4EAD"/>
    <w:rsid w:val="2B4B591D"/>
    <w:rsid w:val="2B500845"/>
    <w:rsid w:val="2B592249"/>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913038"/>
    <w:rsid w:val="2D941B88"/>
    <w:rsid w:val="2D9663C0"/>
    <w:rsid w:val="2D9D3448"/>
    <w:rsid w:val="2DA21723"/>
    <w:rsid w:val="2DA25F2E"/>
    <w:rsid w:val="2DAE631A"/>
    <w:rsid w:val="2DAE6EC1"/>
    <w:rsid w:val="2DB31B82"/>
    <w:rsid w:val="2DB32614"/>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C38BE"/>
    <w:rsid w:val="30226B4B"/>
    <w:rsid w:val="30314FE0"/>
    <w:rsid w:val="30395C43"/>
    <w:rsid w:val="304331AF"/>
    <w:rsid w:val="30466CDD"/>
    <w:rsid w:val="304765B2"/>
    <w:rsid w:val="30556F21"/>
    <w:rsid w:val="30580762"/>
    <w:rsid w:val="305A22D9"/>
    <w:rsid w:val="305D7B83"/>
    <w:rsid w:val="305E56A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9108F"/>
    <w:rsid w:val="31A46155"/>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6585"/>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2015F4"/>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4F3754"/>
    <w:rsid w:val="385264CE"/>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C7C85"/>
    <w:rsid w:val="3CA845FA"/>
    <w:rsid w:val="3CCA23A9"/>
    <w:rsid w:val="3CD1792F"/>
    <w:rsid w:val="3CEB2A8A"/>
    <w:rsid w:val="3CF7310E"/>
    <w:rsid w:val="3D0A2E41"/>
    <w:rsid w:val="3D0C0967"/>
    <w:rsid w:val="3D0F66A9"/>
    <w:rsid w:val="3D1B6DFC"/>
    <w:rsid w:val="3D2739F3"/>
    <w:rsid w:val="3D281519"/>
    <w:rsid w:val="3D363C36"/>
    <w:rsid w:val="3D393726"/>
    <w:rsid w:val="3D3F626A"/>
    <w:rsid w:val="3D453E79"/>
    <w:rsid w:val="3D475E43"/>
    <w:rsid w:val="3D4A37C3"/>
    <w:rsid w:val="3D54332A"/>
    <w:rsid w:val="3D5642D8"/>
    <w:rsid w:val="3D7B3D3F"/>
    <w:rsid w:val="3D882D2D"/>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81EE7"/>
    <w:rsid w:val="3F4407F1"/>
    <w:rsid w:val="3F5B3E28"/>
    <w:rsid w:val="3F5E1222"/>
    <w:rsid w:val="3F713C52"/>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866EE7"/>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D7815"/>
    <w:rsid w:val="42537038"/>
    <w:rsid w:val="426254CD"/>
    <w:rsid w:val="426D39C1"/>
    <w:rsid w:val="426D71A6"/>
    <w:rsid w:val="42752F30"/>
    <w:rsid w:val="427E569F"/>
    <w:rsid w:val="428E1E1E"/>
    <w:rsid w:val="42955390"/>
    <w:rsid w:val="429A6A1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B6785F"/>
    <w:rsid w:val="43BA1EB5"/>
    <w:rsid w:val="43CF26EE"/>
    <w:rsid w:val="43D146B8"/>
    <w:rsid w:val="43D63A7D"/>
    <w:rsid w:val="43D917BF"/>
    <w:rsid w:val="43DB1093"/>
    <w:rsid w:val="43F634F5"/>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26024E"/>
    <w:rsid w:val="4537679D"/>
    <w:rsid w:val="453D3A02"/>
    <w:rsid w:val="455E33FA"/>
    <w:rsid w:val="455E7A88"/>
    <w:rsid w:val="456E3985"/>
    <w:rsid w:val="457E261E"/>
    <w:rsid w:val="4582210E"/>
    <w:rsid w:val="459A10E5"/>
    <w:rsid w:val="45AE38C2"/>
    <w:rsid w:val="45BE6EBE"/>
    <w:rsid w:val="45C049E4"/>
    <w:rsid w:val="45CA417D"/>
    <w:rsid w:val="45CA7611"/>
    <w:rsid w:val="45E701C3"/>
    <w:rsid w:val="45E85CE9"/>
    <w:rsid w:val="45EC3A2B"/>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23C1D"/>
    <w:rsid w:val="485625B0"/>
    <w:rsid w:val="485B6C46"/>
    <w:rsid w:val="485D29BF"/>
    <w:rsid w:val="48724A9C"/>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221D"/>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900C8"/>
    <w:rsid w:val="49C317D1"/>
    <w:rsid w:val="49C45860"/>
    <w:rsid w:val="49C56A6D"/>
    <w:rsid w:val="49CF3448"/>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774F7"/>
    <w:rsid w:val="4B3A2B43"/>
    <w:rsid w:val="4B3F75D4"/>
    <w:rsid w:val="4B4B6AFE"/>
    <w:rsid w:val="4B4D6D1A"/>
    <w:rsid w:val="4B7C7600"/>
    <w:rsid w:val="4B835B73"/>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766FE"/>
    <w:rsid w:val="4C59524B"/>
    <w:rsid w:val="4C65211D"/>
    <w:rsid w:val="4C79769B"/>
    <w:rsid w:val="4C884529"/>
    <w:rsid w:val="4C92075D"/>
    <w:rsid w:val="4CA30BBC"/>
    <w:rsid w:val="4CD474A8"/>
    <w:rsid w:val="4CD80866"/>
    <w:rsid w:val="4CDF5113"/>
    <w:rsid w:val="4CE0596C"/>
    <w:rsid w:val="4CE3746E"/>
    <w:rsid w:val="4CEE77C7"/>
    <w:rsid w:val="4D027691"/>
    <w:rsid w:val="4D0549EA"/>
    <w:rsid w:val="4D061AD3"/>
    <w:rsid w:val="4D1A0E7E"/>
    <w:rsid w:val="4D2824E1"/>
    <w:rsid w:val="4D4128AF"/>
    <w:rsid w:val="4D422183"/>
    <w:rsid w:val="4D453A21"/>
    <w:rsid w:val="4D4B7289"/>
    <w:rsid w:val="4D521266"/>
    <w:rsid w:val="4D714816"/>
    <w:rsid w:val="4D7A7B6F"/>
    <w:rsid w:val="4D7D31BB"/>
    <w:rsid w:val="4D8B1D7C"/>
    <w:rsid w:val="4D8E53C8"/>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A68F3"/>
    <w:rsid w:val="4E3C6BD2"/>
    <w:rsid w:val="4E6525CD"/>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47C38"/>
    <w:rsid w:val="50F54C60"/>
    <w:rsid w:val="50F934A0"/>
    <w:rsid w:val="51071719"/>
    <w:rsid w:val="5107796B"/>
    <w:rsid w:val="510B0DE7"/>
    <w:rsid w:val="510F5D14"/>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A5E2C"/>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3842E0"/>
    <w:rsid w:val="54564027"/>
    <w:rsid w:val="545840B3"/>
    <w:rsid w:val="54627485"/>
    <w:rsid w:val="546D5D37"/>
    <w:rsid w:val="54734966"/>
    <w:rsid w:val="54810B40"/>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B440F1"/>
    <w:rsid w:val="56B51C18"/>
    <w:rsid w:val="56CA3838"/>
    <w:rsid w:val="56D227CA"/>
    <w:rsid w:val="56D71B8E"/>
    <w:rsid w:val="56DA342C"/>
    <w:rsid w:val="56E85B49"/>
    <w:rsid w:val="56ED12D7"/>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B54BE"/>
    <w:rsid w:val="58EA1E4D"/>
    <w:rsid w:val="58FE78A6"/>
    <w:rsid w:val="59017F65"/>
    <w:rsid w:val="591173F8"/>
    <w:rsid w:val="591730EE"/>
    <w:rsid w:val="591F781C"/>
    <w:rsid w:val="59266DFD"/>
    <w:rsid w:val="593037D7"/>
    <w:rsid w:val="5937287E"/>
    <w:rsid w:val="593C217C"/>
    <w:rsid w:val="593E7CA2"/>
    <w:rsid w:val="59571349"/>
    <w:rsid w:val="59596CAE"/>
    <w:rsid w:val="595C45CC"/>
    <w:rsid w:val="596173AF"/>
    <w:rsid w:val="596A6CE9"/>
    <w:rsid w:val="596B480F"/>
    <w:rsid w:val="597E3727"/>
    <w:rsid w:val="59804AD3"/>
    <w:rsid w:val="59835FFD"/>
    <w:rsid w:val="598429A4"/>
    <w:rsid w:val="5986716D"/>
    <w:rsid w:val="598E7E44"/>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8027F4"/>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73885"/>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413D91"/>
    <w:rsid w:val="5E53131C"/>
    <w:rsid w:val="5E6C3479"/>
    <w:rsid w:val="5E6D4B86"/>
    <w:rsid w:val="5E72408D"/>
    <w:rsid w:val="5E77028A"/>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F559B"/>
    <w:rsid w:val="5FE84E0C"/>
    <w:rsid w:val="5FEC48FC"/>
    <w:rsid w:val="5FED5F7E"/>
    <w:rsid w:val="5FEF1CF6"/>
    <w:rsid w:val="5FF90DC7"/>
    <w:rsid w:val="5FFB4B3F"/>
    <w:rsid w:val="60006022"/>
    <w:rsid w:val="600650AC"/>
    <w:rsid w:val="600D4872"/>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FB0B6F"/>
    <w:rsid w:val="61025A59"/>
    <w:rsid w:val="6116641A"/>
    <w:rsid w:val="612302FE"/>
    <w:rsid w:val="61285FC3"/>
    <w:rsid w:val="612B4C93"/>
    <w:rsid w:val="614D13CA"/>
    <w:rsid w:val="614E5143"/>
    <w:rsid w:val="615269E1"/>
    <w:rsid w:val="61692210"/>
    <w:rsid w:val="616C4DE5"/>
    <w:rsid w:val="616D381B"/>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2026A"/>
    <w:rsid w:val="640A4042"/>
    <w:rsid w:val="6412215E"/>
    <w:rsid w:val="641937E6"/>
    <w:rsid w:val="642A14F1"/>
    <w:rsid w:val="64432611"/>
    <w:rsid w:val="644F0FB6"/>
    <w:rsid w:val="6453553C"/>
    <w:rsid w:val="6454481E"/>
    <w:rsid w:val="64610CE9"/>
    <w:rsid w:val="646D768E"/>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806025"/>
    <w:rsid w:val="67915D89"/>
    <w:rsid w:val="679D64DC"/>
    <w:rsid w:val="67A535E2"/>
    <w:rsid w:val="67A55390"/>
    <w:rsid w:val="67A755AC"/>
    <w:rsid w:val="67A770D3"/>
    <w:rsid w:val="67B33F51"/>
    <w:rsid w:val="67B60F3A"/>
    <w:rsid w:val="67BE52D5"/>
    <w:rsid w:val="67C717AB"/>
    <w:rsid w:val="67D07FE2"/>
    <w:rsid w:val="67D30150"/>
    <w:rsid w:val="67E934CF"/>
    <w:rsid w:val="67EE4F89"/>
    <w:rsid w:val="6812496D"/>
    <w:rsid w:val="681C1AF7"/>
    <w:rsid w:val="681D761D"/>
    <w:rsid w:val="68531098"/>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B108F9"/>
    <w:rsid w:val="69B67D29"/>
    <w:rsid w:val="69BB1D1F"/>
    <w:rsid w:val="69BD10B7"/>
    <w:rsid w:val="69BE3E37"/>
    <w:rsid w:val="69C00663"/>
    <w:rsid w:val="69C7584A"/>
    <w:rsid w:val="69D50113"/>
    <w:rsid w:val="69E95A0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67770"/>
    <w:rsid w:val="6B7B6B34"/>
    <w:rsid w:val="6B855C05"/>
    <w:rsid w:val="6B8F438D"/>
    <w:rsid w:val="6B910106"/>
    <w:rsid w:val="6B9F6CC6"/>
    <w:rsid w:val="6BA0262E"/>
    <w:rsid w:val="6BB24526"/>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A2BED"/>
    <w:rsid w:val="6C691082"/>
    <w:rsid w:val="6C6C59FA"/>
    <w:rsid w:val="6C787517"/>
    <w:rsid w:val="6C953C26"/>
    <w:rsid w:val="6C97174C"/>
    <w:rsid w:val="6C9768B4"/>
    <w:rsid w:val="6C9E6F7E"/>
    <w:rsid w:val="6CBC5656"/>
    <w:rsid w:val="6CD52274"/>
    <w:rsid w:val="6CD86C36"/>
    <w:rsid w:val="6CDC3982"/>
    <w:rsid w:val="6CDE737B"/>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3A4A84"/>
    <w:rsid w:val="6E3D27C7"/>
    <w:rsid w:val="6E54119B"/>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F3387"/>
    <w:rsid w:val="6F71472B"/>
    <w:rsid w:val="6F78548A"/>
    <w:rsid w:val="6F7E1D89"/>
    <w:rsid w:val="6F857F81"/>
    <w:rsid w:val="6F8B1310"/>
    <w:rsid w:val="6FA36659"/>
    <w:rsid w:val="6FA36ACE"/>
    <w:rsid w:val="6FAC2B64"/>
    <w:rsid w:val="6FAD74D8"/>
    <w:rsid w:val="6FB95E7D"/>
    <w:rsid w:val="6FBD2CA3"/>
    <w:rsid w:val="6FC025F4"/>
    <w:rsid w:val="6FC54822"/>
    <w:rsid w:val="6FCA1077"/>
    <w:rsid w:val="6FCA1E38"/>
    <w:rsid w:val="6FE80510"/>
    <w:rsid w:val="6FE85E1F"/>
    <w:rsid w:val="6FEF7AF1"/>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DB657E"/>
    <w:rsid w:val="71E35433"/>
    <w:rsid w:val="71F15DA2"/>
    <w:rsid w:val="71F65166"/>
    <w:rsid w:val="71FE04BF"/>
    <w:rsid w:val="72085BC5"/>
    <w:rsid w:val="72190E55"/>
    <w:rsid w:val="721E646B"/>
    <w:rsid w:val="722A12B4"/>
    <w:rsid w:val="722A4E10"/>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D60E7"/>
    <w:rsid w:val="74324450"/>
    <w:rsid w:val="74455F31"/>
    <w:rsid w:val="744F375E"/>
    <w:rsid w:val="74597C2E"/>
    <w:rsid w:val="745D7787"/>
    <w:rsid w:val="74726B6E"/>
    <w:rsid w:val="74830CC4"/>
    <w:rsid w:val="74842EFD"/>
    <w:rsid w:val="74856C75"/>
    <w:rsid w:val="748922C2"/>
    <w:rsid w:val="749173C8"/>
    <w:rsid w:val="74B35591"/>
    <w:rsid w:val="74BF515B"/>
    <w:rsid w:val="74C432FA"/>
    <w:rsid w:val="74CA2729"/>
    <w:rsid w:val="74D55507"/>
    <w:rsid w:val="74E76FE8"/>
    <w:rsid w:val="74EC4EA4"/>
    <w:rsid w:val="74FE034B"/>
    <w:rsid w:val="750951B1"/>
    <w:rsid w:val="750D2EF3"/>
    <w:rsid w:val="750E0A19"/>
    <w:rsid w:val="75104791"/>
    <w:rsid w:val="751B1A72"/>
    <w:rsid w:val="753164B5"/>
    <w:rsid w:val="755C79D6"/>
    <w:rsid w:val="75614FED"/>
    <w:rsid w:val="75625434"/>
    <w:rsid w:val="756B19C7"/>
    <w:rsid w:val="75722F66"/>
    <w:rsid w:val="75866801"/>
    <w:rsid w:val="758962F1"/>
    <w:rsid w:val="758A3585"/>
    <w:rsid w:val="75932CCC"/>
    <w:rsid w:val="759E350B"/>
    <w:rsid w:val="75A35605"/>
    <w:rsid w:val="75B45286"/>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7A5ABE"/>
    <w:rsid w:val="767B51A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C7FD5"/>
    <w:rsid w:val="782D2ACB"/>
    <w:rsid w:val="783469E8"/>
    <w:rsid w:val="78393BDC"/>
    <w:rsid w:val="783B7D77"/>
    <w:rsid w:val="7840538D"/>
    <w:rsid w:val="784116AF"/>
    <w:rsid w:val="784604CA"/>
    <w:rsid w:val="784D3606"/>
    <w:rsid w:val="7856695F"/>
    <w:rsid w:val="78656BA2"/>
    <w:rsid w:val="787212BF"/>
    <w:rsid w:val="7880578A"/>
    <w:rsid w:val="7885276D"/>
    <w:rsid w:val="78853F6C"/>
    <w:rsid w:val="78886285"/>
    <w:rsid w:val="78A54E3F"/>
    <w:rsid w:val="78B47B29"/>
    <w:rsid w:val="78BD058C"/>
    <w:rsid w:val="78CB76BC"/>
    <w:rsid w:val="78D747B9"/>
    <w:rsid w:val="78E0091E"/>
    <w:rsid w:val="78E33F6B"/>
    <w:rsid w:val="78EA5225"/>
    <w:rsid w:val="78F93137"/>
    <w:rsid w:val="78FF6FF6"/>
    <w:rsid w:val="79020895"/>
    <w:rsid w:val="790424FD"/>
    <w:rsid w:val="790D6F0A"/>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823E69"/>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9D2FB2"/>
    <w:rsid w:val="7DC223A1"/>
    <w:rsid w:val="7DCA5ED3"/>
    <w:rsid w:val="7DD57DC1"/>
    <w:rsid w:val="7DD81BC4"/>
    <w:rsid w:val="7DEA1C21"/>
    <w:rsid w:val="7E1F3C97"/>
    <w:rsid w:val="7E235506"/>
    <w:rsid w:val="7E244E09"/>
    <w:rsid w:val="7E310E83"/>
    <w:rsid w:val="7E3A5EC5"/>
    <w:rsid w:val="7E411F3D"/>
    <w:rsid w:val="7E465103"/>
    <w:rsid w:val="7E53749D"/>
    <w:rsid w:val="7E543940"/>
    <w:rsid w:val="7E582D05"/>
    <w:rsid w:val="7E5A62C9"/>
    <w:rsid w:val="7E6873EC"/>
    <w:rsid w:val="7E7576FB"/>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86A29"/>
    <w:rsid w:val="7EF96296"/>
    <w:rsid w:val="7EFB3DBC"/>
    <w:rsid w:val="7F231565"/>
    <w:rsid w:val="7F4F263F"/>
    <w:rsid w:val="7F54171E"/>
    <w:rsid w:val="7F590AE3"/>
    <w:rsid w:val="7F6F0306"/>
    <w:rsid w:val="7F791185"/>
    <w:rsid w:val="7F7D0C75"/>
    <w:rsid w:val="7F875650"/>
    <w:rsid w:val="7F8C2C66"/>
    <w:rsid w:val="7F9B734D"/>
    <w:rsid w:val="7F9E0801"/>
    <w:rsid w:val="7FA13A80"/>
    <w:rsid w:val="7FAC572F"/>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 w:type="paragraph" w:styleId="51">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70</Pages>
  <Words>40702</Words>
  <Characters>43534</Characters>
  <Lines>179</Lines>
  <Paragraphs>50</Paragraphs>
  <TotalTime>1</TotalTime>
  <ScaleCrop>false</ScaleCrop>
  <LinksUpToDate>false</LinksUpToDate>
  <CharactersWithSpaces>45293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2024-04-18T08:29:20Z</cp:lastPrinted>
  <dcterms:modified xsi:type="dcterms:W3CDTF">2024-04-18T08:48:59Z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