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color w:val="auto"/>
          <w:sz w:val="52"/>
          <w:highlight w:val="none"/>
          <w:lang w:eastAsia="zh-CN"/>
        </w:rPr>
      </w:pPr>
    </w:p>
    <w:p>
      <w:pPr>
        <w:spacing w:line="360" w:lineRule="auto"/>
        <w:jc w:val="center"/>
        <w:rPr>
          <w:rFonts w:hint="eastAsia" w:ascii="宋体" w:hAnsi="宋体" w:eastAsia="宋体" w:cs="宋体"/>
          <w:b/>
          <w:color w:val="auto"/>
          <w:sz w:val="52"/>
          <w:highlight w:val="none"/>
        </w:rPr>
      </w:pPr>
      <w:r>
        <w:rPr>
          <w:rFonts w:hint="eastAsia" w:ascii="宋体" w:hAnsi="宋体" w:eastAsia="宋体" w:cs="宋体"/>
          <w:b/>
          <w:color w:val="auto"/>
          <w:sz w:val="52"/>
          <w:highlight w:val="none"/>
          <w:lang w:val="en-US" w:eastAsia="zh-CN"/>
        </w:rPr>
        <w:t xml:space="preserve">吉林省消防救援总队“自然灾害应急能力提升工程”装备配备项目（地震化工装备） </w:t>
      </w:r>
    </w:p>
    <w:p>
      <w:pPr>
        <w:pStyle w:val="10"/>
        <w:spacing w:line="360" w:lineRule="auto"/>
        <w:jc w:val="center"/>
        <w:outlineLvl w:val="0"/>
        <w:rPr>
          <w:rFonts w:hint="eastAsia" w:ascii="宋体" w:hAnsi="宋体" w:eastAsia="宋体" w:cs="宋体"/>
          <w:b/>
          <w:color w:val="auto"/>
          <w:kern w:val="2"/>
          <w:sz w:val="52"/>
          <w:szCs w:val="24"/>
          <w:highlight w:val="none"/>
          <w:lang w:val="en-US" w:eastAsia="zh-CN" w:bidi="ar-SA"/>
        </w:rPr>
      </w:pPr>
      <w:bookmarkStart w:id="0" w:name="_Toc258"/>
      <w:r>
        <w:rPr>
          <w:rFonts w:hint="eastAsia" w:ascii="宋体" w:hAnsi="宋体" w:eastAsia="宋体" w:cs="宋体"/>
          <w:b/>
          <w:color w:val="auto"/>
          <w:kern w:val="2"/>
          <w:sz w:val="52"/>
          <w:szCs w:val="24"/>
          <w:highlight w:val="none"/>
          <w:lang w:val="en-US" w:eastAsia="zh-CN" w:bidi="ar-SA"/>
        </w:rPr>
        <w:t xml:space="preserve">第十七标段 </w:t>
      </w:r>
      <w:bookmarkEnd w:id="0"/>
      <w:r>
        <w:rPr>
          <w:rFonts w:hint="eastAsia" w:ascii="宋体" w:hAnsi="宋体" w:eastAsia="宋体" w:cs="宋体"/>
          <w:b/>
          <w:color w:val="auto"/>
          <w:kern w:val="2"/>
          <w:sz w:val="52"/>
          <w:szCs w:val="24"/>
          <w:highlight w:val="none"/>
          <w:lang w:val="en-US" w:eastAsia="zh-CN" w:bidi="ar-SA"/>
        </w:rPr>
        <w:t xml:space="preserve"> </w:t>
      </w:r>
    </w:p>
    <w:p>
      <w:pPr>
        <w:pStyle w:val="10"/>
        <w:rPr>
          <w:rFonts w:hint="eastAsia" w:ascii="宋体" w:hAnsi="宋体" w:eastAsia="宋体" w:cs="宋体"/>
          <w:color w:val="auto"/>
          <w:highlight w:val="none"/>
        </w:rPr>
      </w:pPr>
    </w:p>
    <w:p>
      <w:pPr>
        <w:pStyle w:val="10"/>
        <w:rPr>
          <w:rFonts w:hint="eastAsia" w:ascii="宋体" w:hAnsi="宋体" w:eastAsia="宋体" w:cs="宋体"/>
          <w:b/>
          <w:color w:val="auto"/>
          <w:sz w:val="52"/>
          <w:szCs w:val="52"/>
          <w:highlight w:val="none"/>
        </w:rPr>
      </w:pPr>
    </w:p>
    <w:p>
      <w:pPr>
        <w:pStyle w:val="10"/>
        <w:rPr>
          <w:rFonts w:hint="eastAsia" w:ascii="宋体" w:hAnsi="宋体" w:eastAsia="宋体" w:cs="宋体"/>
          <w:b/>
          <w:color w:val="auto"/>
          <w:sz w:val="52"/>
          <w:szCs w:val="52"/>
          <w:highlight w:val="none"/>
        </w:rPr>
      </w:pPr>
    </w:p>
    <w:p>
      <w:pPr>
        <w:jc w:val="center"/>
        <w:rPr>
          <w:rFonts w:hint="eastAsia" w:ascii="宋体" w:hAnsi="宋体" w:eastAsia="宋体" w:cs="宋体"/>
          <w:color w:val="auto"/>
          <w:spacing w:val="48"/>
          <w:sz w:val="48"/>
          <w:highlight w:val="none"/>
        </w:rPr>
      </w:pPr>
      <w:r>
        <w:rPr>
          <w:rFonts w:hint="eastAsia" w:ascii="宋体" w:hAnsi="宋体" w:eastAsia="宋体" w:cs="宋体"/>
          <w:b/>
          <w:color w:val="auto"/>
          <w:spacing w:val="48"/>
          <w:sz w:val="72"/>
          <w:szCs w:val="72"/>
          <w:highlight w:val="none"/>
        </w:rPr>
        <w:t>招标文件</w:t>
      </w:r>
    </w:p>
    <w:p>
      <w:pPr>
        <w:spacing w:before="100"/>
        <w:jc w:val="center"/>
        <w:rPr>
          <w:rFonts w:hint="eastAsia" w:ascii="宋体" w:hAnsi="宋体" w:eastAsia="宋体" w:cs="宋体"/>
          <w:b/>
          <w:color w:val="auto"/>
          <w:sz w:val="30"/>
          <w:highlight w:val="none"/>
          <w:lang w:val="en-US" w:eastAsia="zh-CN"/>
        </w:rPr>
      </w:pPr>
      <w:r>
        <w:rPr>
          <w:rFonts w:hint="eastAsia" w:ascii="宋体" w:hAnsi="宋体" w:eastAsia="宋体" w:cs="宋体"/>
          <w:b/>
          <w:color w:val="auto"/>
          <w:sz w:val="30"/>
          <w:highlight w:val="none"/>
        </w:rPr>
        <w:t>项目编号：ZKGSF(ZB)-20240350</w:t>
      </w:r>
      <w:r>
        <w:rPr>
          <w:rFonts w:hint="eastAsia" w:ascii="宋体" w:hAnsi="宋体" w:eastAsia="宋体" w:cs="宋体"/>
          <w:b/>
          <w:color w:val="auto"/>
          <w:sz w:val="30"/>
          <w:highlight w:val="none"/>
          <w:lang w:val="en-US" w:eastAsia="zh-CN"/>
        </w:rPr>
        <w:t>-17</w:t>
      </w:r>
    </w:p>
    <w:p>
      <w:pPr>
        <w:spacing w:before="100"/>
        <w:ind w:firstLine="2988" w:firstLineChars="992"/>
        <w:rPr>
          <w:rFonts w:hint="eastAsia" w:ascii="宋体" w:hAnsi="宋体" w:eastAsia="宋体" w:cs="宋体"/>
          <w:b/>
          <w:color w:val="auto"/>
          <w:sz w:val="30"/>
          <w:highlight w:val="none"/>
        </w:rPr>
      </w:pPr>
    </w:p>
    <w:p>
      <w:pPr>
        <w:spacing w:before="100"/>
        <w:ind w:firstLine="2235"/>
        <w:rPr>
          <w:rFonts w:hint="eastAsia" w:ascii="宋体" w:hAnsi="宋体" w:eastAsia="宋体" w:cs="宋体"/>
          <w:b/>
          <w:color w:val="auto"/>
          <w:sz w:val="32"/>
          <w:highlight w:val="none"/>
        </w:rPr>
      </w:pPr>
    </w:p>
    <w:p>
      <w:pPr>
        <w:spacing w:before="100"/>
        <w:rPr>
          <w:rFonts w:hint="eastAsia" w:ascii="宋体" w:hAnsi="宋体" w:eastAsia="宋体" w:cs="宋体"/>
          <w:b/>
          <w:color w:val="auto"/>
          <w:sz w:val="32"/>
          <w:highlight w:val="none"/>
        </w:rPr>
      </w:pPr>
    </w:p>
    <w:p>
      <w:pPr>
        <w:spacing w:before="100"/>
        <w:ind w:firstLine="2235"/>
        <w:rPr>
          <w:rFonts w:hint="eastAsia" w:ascii="宋体" w:hAnsi="宋体" w:eastAsia="宋体" w:cs="宋体"/>
          <w:b/>
          <w:color w:val="auto"/>
          <w:sz w:val="32"/>
          <w:highlight w:val="none"/>
        </w:rPr>
      </w:pPr>
    </w:p>
    <w:p>
      <w:pPr>
        <w:pStyle w:val="7"/>
        <w:outlineLvl w:val="9"/>
        <w:rPr>
          <w:rFonts w:hint="eastAsia" w:ascii="宋体" w:hAnsi="宋体" w:eastAsia="宋体" w:cs="宋体"/>
          <w:color w:val="auto"/>
          <w:highlight w:val="none"/>
        </w:rPr>
      </w:pPr>
    </w:p>
    <w:p>
      <w:pPr>
        <w:spacing w:before="10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lang w:eastAsia="zh-CN"/>
        </w:rPr>
        <w:t>采购</w:t>
      </w:r>
      <w:r>
        <w:rPr>
          <w:rFonts w:hint="eastAsia" w:ascii="宋体" w:hAnsi="宋体" w:eastAsia="宋体" w:cs="宋体"/>
          <w:b/>
          <w:color w:val="auto"/>
          <w:sz w:val="32"/>
          <w:highlight w:val="none"/>
        </w:rPr>
        <w:t>人：吉林省消防救援总队</w:t>
      </w:r>
    </w:p>
    <w:p>
      <w:pPr>
        <w:spacing w:before="100"/>
        <w:jc w:val="center"/>
        <w:rPr>
          <w:rFonts w:hint="eastAsia" w:ascii="宋体" w:hAnsi="宋体" w:eastAsia="宋体" w:cs="宋体"/>
          <w:b/>
          <w:color w:val="auto"/>
          <w:sz w:val="32"/>
          <w:highlight w:val="none"/>
        </w:rPr>
      </w:pPr>
    </w:p>
    <w:p>
      <w:pPr>
        <w:spacing w:before="100"/>
        <w:jc w:val="center"/>
        <w:outlineLvl w:val="0"/>
        <w:rPr>
          <w:rFonts w:hint="eastAsia" w:ascii="宋体" w:hAnsi="宋体" w:eastAsia="宋体" w:cs="宋体"/>
          <w:b/>
          <w:i/>
          <w:iCs/>
          <w:color w:val="auto"/>
          <w:sz w:val="32"/>
          <w:highlight w:val="none"/>
        </w:rPr>
      </w:pPr>
      <w:bookmarkStart w:id="1" w:name="_Toc31787"/>
      <w:bookmarkStart w:id="2" w:name="_Toc8474"/>
      <w:bookmarkStart w:id="3" w:name="_Toc17385"/>
      <w:r>
        <w:rPr>
          <w:rFonts w:hint="eastAsia" w:ascii="宋体" w:hAnsi="宋体" w:eastAsia="宋体" w:cs="宋体"/>
          <w:b/>
          <w:color w:val="auto"/>
          <w:sz w:val="32"/>
          <w:highlight w:val="none"/>
          <w:lang w:eastAsia="zh-CN"/>
        </w:rPr>
        <w:t>采购</w:t>
      </w:r>
      <w:r>
        <w:rPr>
          <w:rFonts w:hint="eastAsia" w:ascii="宋体" w:hAnsi="宋体" w:eastAsia="宋体" w:cs="宋体"/>
          <w:b/>
          <w:color w:val="auto"/>
          <w:sz w:val="32"/>
          <w:highlight w:val="none"/>
        </w:rPr>
        <w:t>代理机构：</w:t>
      </w:r>
      <w:bookmarkEnd w:id="1"/>
      <w:bookmarkEnd w:id="2"/>
      <w:bookmarkEnd w:id="3"/>
      <w:r>
        <w:rPr>
          <w:rFonts w:hint="eastAsia" w:ascii="宋体" w:hAnsi="宋体" w:eastAsia="宋体" w:cs="宋体"/>
          <w:b/>
          <w:color w:val="auto"/>
          <w:sz w:val="32"/>
          <w:highlight w:val="none"/>
          <w:lang w:eastAsia="zh-CN"/>
        </w:rPr>
        <w:t>中科高盛咨询集团有限公司</w:t>
      </w:r>
    </w:p>
    <w:p>
      <w:pPr>
        <w:spacing w:before="100"/>
        <w:jc w:val="center"/>
        <w:rPr>
          <w:rFonts w:hint="eastAsia" w:ascii="宋体" w:hAnsi="宋体" w:eastAsia="宋体" w:cs="宋体"/>
          <w:b/>
          <w:i/>
          <w:iCs/>
          <w:color w:val="auto"/>
          <w:sz w:val="32"/>
          <w:highlight w:val="none"/>
        </w:rPr>
      </w:pPr>
    </w:p>
    <w:p>
      <w:pPr>
        <w:spacing w:before="10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二零二</w:t>
      </w:r>
      <w:r>
        <w:rPr>
          <w:rFonts w:hint="eastAsia" w:ascii="宋体" w:hAnsi="宋体" w:eastAsia="宋体" w:cs="宋体"/>
          <w:b/>
          <w:color w:val="auto"/>
          <w:sz w:val="32"/>
          <w:highlight w:val="none"/>
          <w:lang w:val="en-US" w:eastAsia="zh-CN"/>
        </w:rPr>
        <w:t>四</w:t>
      </w:r>
      <w:r>
        <w:rPr>
          <w:rFonts w:hint="eastAsia" w:ascii="宋体" w:hAnsi="宋体" w:eastAsia="宋体" w:cs="宋体"/>
          <w:b/>
          <w:color w:val="auto"/>
          <w:sz w:val="32"/>
          <w:highlight w:val="none"/>
        </w:rPr>
        <w:t>年</w:t>
      </w:r>
      <w:r>
        <w:rPr>
          <w:rFonts w:hint="eastAsia" w:ascii="宋体" w:hAnsi="宋体" w:eastAsia="宋体" w:cs="宋体"/>
          <w:b/>
          <w:color w:val="auto"/>
          <w:sz w:val="32"/>
          <w:highlight w:val="none"/>
          <w:lang w:val="en-US" w:eastAsia="zh-CN"/>
        </w:rPr>
        <w:t>四</w:t>
      </w:r>
      <w:r>
        <w:rPr>
          <w:rFonts w:hint="eastAsia" w:ascii="宋体" w:hAnsi="宋体" w:eastAsia="宋体" w:cs="宋体"/>
          <w:b/>
          <w:color w:val="auto"/>
          <w:sz w:val="32"/>
          <w:highlight w:val="none"/>
        </w:rPr>
        <w:t>月</w:t>
      </w:r>
    </w:p>
    <w:p>
      <w:pPr>
        <w:widowControl/>
        <w:jc w:val="left"/>
        <w:rPr>
          <w:rFonts w:hint="eastAsia" w:ascii="宋体" w:hAnsi="宋体" w:eastAsia="宋体" w:cs="宋体"/>
          <w:color w:val="auto"/>
          <w:highlight w:val="none"/>
        </w:rPr>
      </w:pPr>
    </w:p>
    <w:p>
      <w:pPr>
        <w:spacing w:line="360" w:lineRule="auto"/>
        <w:rPr>
          <w:rFonts w:hint="eastAsia" w:ascii="宋体" w:hAnsi="宋体" w:eastAsia="宋体" w:cs="宋体"/>
          <w:b/>
          <w:color w:val="auto"/>
          <w:kern w:val="0"/>
          <w:sz w:val="28"/>
          <w:szCs w:val="28"/>
          <w:highlight w:val="none"/>
        </w:rPr>
        <w:sectPr>
          <w:footerReference r:id="rId3" w:type="even"/>
          <w:pgSz w:w="11906" w:h="16838"/>
          <w:pgMar w:top="1361" w:right="1304" w:bottom="1247" w:left="1304" w:header="680" w:footer="680" w:gutter="0"/>
          <w:cols w:space="720" w:num="1"/>
          <w:docGrid w:linePitch="312" w:charSpace="0"/>
        </w:sectPr>
      </w:pPr>
      <w:bookmarkStart w:id="4" w:name="OLE_LINK4"/>
    </w:p>
    <w:p>
      <w:pPr>
        <w:spacing w:line="360" w:lineRule="auto"/>
        <w:rPr>
          <w:rFonts w:hint="eastAsia" w:ascii="宋体" w:hAnsi="宋体" w:eastAsia="宋体" w:cs="宋体"/>
          <w:b/>
          <w:color w:val="auto"/>
          <w:kern w:val="0"/>
          <w:sz w:val="28"/>
          <w:szCs w:val="28"/>
          <w:highlight w:val="none"/>
        </w:rPr>
      </w:pPr>
    </w:p>
    <w:p>
      <w:pPr>
        <w:spacing w:line="360" w:lineRule="auto"/>
        <w:jc w:val="center"/>
        <w:rPr>
          <w:rFonts w:hint="eastAsia" w:ascii="宋体" w:hAnsi="宋体" w:eastAsia="宋体" w:cs="宋体"/>
          <w:b/>
          <w:color w:val="auto"/>
          <w:kern w:val="0"/>
          <w:sz w:val="44"/>
          <w:szCs w:val="44"/>
          <w:highlight w:val="none"/>
        </w:rPr>
      </w:pPr>
      <w:r>
        <w:rPr>
          <w:rFonts w:hint="eastAsia" w:ascii="宋体" w:hAnsi="宋体" w:eastAsia="宋体" w:cs="宋体"/>
          <w:b/>
          <w:color w:val="auto"/>
          <w:kern w:val="0"/>
          <w:sz w:val="44"/>
          <w:szCs w:val="44"/>
          <w:highlight w:val="none"/>
        </w:rPr>
        <w:t>目</w:t>
      </w:r>
      <w:r>
        <w:rPr>
          <w:rFonts w:hint="eastAsia" w:ascii="宋体" w:hAnsi="宋体" w:eastAsia="宋体" w:cs="宋体"/>
          <w:b/>
          <w:color w:val="auto"/>
          <w:kern w:val="0"/>
          <w:sz w:val="44"/>
          <w:szCs w:val="44"/>
          <w:highlight w:val="none"/>
          <w:lang w:val="en-US" w:eastAsia="zh-CN"/>
        </w:rPr>
        <w:t xml:space="preserve">  </w:t>
      </w:r>
      <w:r>
        <w:rPr>
          <w:rFonts w:hint="eastAsia" w:ascii="宋体" w:hAnsi="宋体" w:eastAsia="宋体" w:cs="宋体"/>
          <w:b/>
          <w:color w:val="auto"/>
          <w:kern w:val="0"/>
          <w:sz w:val="44"/>
          <w:szCs w:val="44"/>
          <w:highlight w:val="none"/>
        </w:rPr>
        <w:t>录</w:t>
      </w:r>
    </w:p>
    <w:bookmarkEnd w:id="4"/>
    <w:sdt>
      <w:sdtPr>
        <w:rPr>
          <w:rFonts w:hint="eastAsia" w:ascii="宋体" w:hAnsi="宋体" w:eastAsia="宋体" w:cs="宋体"/>
          <w:kern w:val="2"/>
          <w:sz w:val="21"/>
          <w:szCs w:val="24"/>
          <w:lang w:val="en-US" w:eastAsia="zh-CN" w:bidi="ar-SA"/>
        </w:rPr>
        <w:id w:val="147476640"/>
        <w15:color w:val="DBDBDB"/>
        <w:docPartObj>
          <w:docPartGallery w:val="Table of Contents"/>
          <w:docPartUnique/>
        </w:docPartObj>
      </w:sdtPr>
      <w:sdtEndPr>
        <w:rPr>
          <w:rFonts w:hint="eastAsia" w:ascii="宋体" w:hAnsi="宋体" w:eastAsia="宋体" w:cs="宋体"/>
          <w:color w:val="auto"/>
          <w:kern w:val="0"/>
          <w:sz w:val="21"/>
          <w:szCs w:val="44"/>
          <w:highlight w:val="none"/>
          <w:lang w:val="en-US" w:eastAsia="zh-CN" w:bidi="ar-SA"/>
        </w:rPr>
      </w:sdtEndPr>
      <w:sdtContent>
        <w:p>
          <w:pPr>
            <w:pStyle w:val="48"/>
            <w:tabs>
              <w:tab w:val="right" w:leader="dot" w:pos="9298"/>
            </w:tabs>
            <w:rPr>
              <w:rFonts w:hint="eastAsia" w:ascii="宋体" w:hAnsi="宋体" w:eastAsia="宋体" w:cs="宋体"/>
            </w:rPr>
          </w:pPr>
          <w:r>
            <w:rPr>
              <w:rFonts w:hint="eastAsia" w:ascii="宋体" w:hAnsi="宋体" w:eastAsia="宋体" w:cs="宋体"/>
              <w:b/>
              <w:color w:val="auto"/>
              <w:kern w:val="0"/>
              <w:sz w:val="44"/>
              <w:szCs w:val="44"/>
              <w:highlight w:val="none"/>
            </w:rPr>
            <w:fldChar w:fldCharType="begin"/>
          </w:r>
          <w:r>
            <w:rPr>
              <w:rFonts w:hint="eastAsia" w:ascii="宋体" w:hAnsi="宋体" w:eastAsia="宋体" w:cs="宋体"/>
              <w:b/>
              <w:color w:val="auto"/>
              <w:kern w:val="0"/>
              <w:sz w:val="44"/>
              <w:szCs w:val="44"/>
              <w:highlight w:val="none"/>
            </w:rPr>
            <w:instrText xml:space="preserve">TOC \o "1-1" \h \u </w:instrText>
          </w:r>
          <w:r>
            <w:rPr>
              <w:rFonts w:hint="eastAsia" w:ascii="宋体" w:hAnsi="宋体" w:eastAsia="宋体" w:cs="宋体"/>
              <w:b/>
              <w:color w:val="auto"/>
              <w:kern w:val="0"/>
              <w:sz w:val="44"/>
              <w:szCs w:val="44"/>
              <w:highlight w:val="none"/>
            </w:rPr>
            <w:fldChar w:fldCharType="separate"/>
          </w:r>
        </w:p>
        <w:p>
          <w:pPr>
            <w:pStyle w:val="48"/>
            <w:tabs>
              <w:tab w:val="right" w:leader="dot" w:pos="9298"/>
            </w:tabs>
            <w:spacing w:line="360" w:lineRule="auto"/>
            <w:rPr>
              <w:rFonts w:hint="eastAsia" w:ascii="宋体" w:hAnsi="宋体" w:eastAsia="宋体" w:cs="宋体"/>
              <w:sz w:val="28"/>
              <w:szCs w:val="28"/>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_Toc5103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第一章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招标公告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_Toc5103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_Toc32539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第二章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投标人须知</w:t>
          </w:r>
          <w:r>
            <w:rPr>
              <w:rFonts w:hint="eastAsia" w:ascii="宋体" w:hAnsi="宋体" w:eastAsia="宋体" w:cs="宋体"/>
              <w:sz w:val="28"/>
              <w:szCs w:val="28"/>
              <w:highlight w:val="none"/>
              <w:lang w:eastAsia="zh-CN"/>
            </w:rPr>
            <w:t>前附表</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_Toc32539 \h </w:instrText>
          </w:r>
          <w:r>
            <w:rPr>
              <w:rFonts w:hint="eastAsia" w:ascii="宋体" w:hAnsi="宋体" w:eastAsia="宋体" w:cs="宋体"/>
              <w:sz w:val="28"/>
              <w:szCs w:val="28"/>
            </w:rPr>
            <w:fldChar w:fldCharType="separate"/>
          </w:r>
          <w:r>
            <w:rPr>
              <w:rFonts w:hint="eastAsia"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_Toc28515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第三章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评标办法</w:t>
          </w:r>
          <w:bookmarkStart w:id="140" w:name="_GoBack"/>
          <w:bookmarkEnd w:id="140"/>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_Toc28515 \h </w:instrText>
          </w:r>
          <w:r>
            <w:rPr>
              <w:rFonts w:hint="eastAsia" w:ascii="宋体" w:hAnsi="宋体" w:eastAsia="宋体" w:cs="宋体"/>
              <w:sz w:val="28"/>
              <w:szCs w:val="28"/>
            </w:rPr>
            <w:fldChar w:fldCharType="separate"/>
          </w:r>
          <w:r>
            <w:rPr>
              <w:rFonts w:hint="eastAsia" w:ascii="宋体" w:hAnsi="宋体" w:eastAsia="宋体" w:cs="宋体"/>
              <w:sz w:val="28"/>
              <w:szCs w:val="28"/>
            </w:rPr>
            <w:t>24</w:t>
          </w:r>
          <w:r>
            <w:rPr>
              <w:rFonts w:hint="eastAsia" w:ascii="宋体" w:hAnsi="宋体" w:eastAsia="宋体" w:cs="宋体"/>
              <w:sz w:val="28"/>
              <w:szCs w:val="28"/>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_Toc32413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rPr>
            <w:t>第四章 合同条款（参考格式）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_Toc32413 \h </w:instrText>
          </w:r>
          <w:r>
            <w:rPr>
              <w:rFonts w:hint="eastAsia" w:ascii="宋体" w:hAnsi="宋体" w:eastAsia="宋体" w:cs="宋体"/>
              <w:sz w:val="28"/>
              <w:szCs w:val="28"/>
            </w:rPr>
            <w:fldChar w:fldCharType="separate"/>
          </w:r>
          <w:r>
            <w:rPr>
              <w:rFonts w:hint="eastAsia" w:ascii="宋体" w:hAnsi="宋体" w:eastAsia="宋体" w:cs="宋体"/>
              <w:sz w:val="28"/>
              <w:szCs w:val="28"/>
            </w:rPr>
            <w:t>30</w:t>
          </w:r>
          <w:r>
            <w:rPr>
              <w:rFonts w:hint="eastAsia" w:ascii="宋体" w:hAnsi="宋体" w:eastAsia="宋体" w:cs="宋体"/>
              <w:sz w:val="28"/>
              <w:szCs w:val="28"/>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_Toc9767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rPr>
            <w:t xml:space="preserve">第五章 </w:t>
          </w:r>
          <w:r>
            <w:rPr>
              <w:rFonts w:hint="eastAsia" w:ascii="宋体" w:hAnsi="宋体" w:eastAsia="宋体" w:cs="宋体"/>
              <w:sz w:val="28"/>
              <w:szCs w:val="28"/>
              <w:highlight w:val="none"/>
            </w:rPr>
            <w:t>技术需求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_Toc9767 \h </w:instrText>
          </w:r>
          <w:r>
            <w:rPr>
              <w:rFonts w:hint="eastAsia" w:ascii="宋体" w:hAnsi="宋体" w:eastAsia="宋体" w:cs="宋体"/>
              <w:sz w:val="28"/>
              <w:szCs w:val="28"/>
            </w:rPr>
            <w:fldChar w:fldCharType="separate"/>
          </w:r>
          <w:r>
            <w:rPr>
              <w:rFonts w:hint="eastAsia" w:ascii="宋体" w:hAnsi="宋体" w:eastAsia="宋体" w:cs="宋体"/>
              <w:sz w:val="28"/>
              <w:szCs w:val="28"/>
            </w:rPr>
            <w:t>53</w:t>
          </w:r>
          <w:r>
            <w:rPr>
              <w:rFonts w:hint="eastAsia" w:ascii="宋体" w:hAnsi="宋体" w:eastAsia="宋体" w:cs="宋体"/>
              <w:sz w:val="28"/>
              <w:szCs w:val="28"/>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_Toc32331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第六章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投标文件构成及格式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_Toc32331 \h </w:instrText>
          </w:r>
          <w:r>
            <w:rPr>
              <w:rFonts w:hint="eastAsia" w:ascii="宋体" w:hAnsi="宋体" w:eastAsia="宋体" w:cs="宋体"/>
              <w:sz w:val="28"/>
              <w:szCs w:val="28"/>
            </w:rPr>
            <w:fldChar w:fldCharType="separate"/>
          </w:r>
          <w:r>
            <w:rPr>
              <w:rFonts w:hint="eastAsia" w:ascii="宋体" w:hAnsi="宋体" w:eastAsia="宋体" w:cs="宋体"/>
              <w:sz w:val="28"/>
              <w:szCs w:val="28"/>
            </w:rPr>
            <w:t>54</w:t>
          </w:r>
          <w:r>
            <w:rPr>
              <w:rFonts w:hint="eastAsia" w:ascii="宋体" w:hAnsi="宋体" w:eastAsia="宋体" w:cs="宋体"/>
              <w:sz w:val="28"/>
              <w:szCs w:val="28"/>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rPr>
          </w:pPr>
        </w:p>
        <w:p>
          <w:pPr>
            <w:spacing w:line="360" w:lineRule="auto"/>
            <w:jc w:val="center"/>
            <w:rPr>
              <w:rFonts w:hint="eastAsia" w:ascii="宋体" w:hAnsi="宋体" w:eastAsia="宋体" w:cs="宋体"/>
              <w:b/>
              <w:color w:val="auto"/>
              <w:kern w:val="0"/>
              <w:sz w:val="44"/>
              <w:szCs w:val="44"/>
              <w:highlight w:val="none"/>
            </w:rPr>
          </w:pPr>
          <w:r>
            <w:rPr>
              <w:rFonts w:hint="eastAsia" w:ascii="宋体" w:hAnsi="宋体" w:eastAsia="宋体" w:cs="宋体"/>
              <w:color w:val="auto"/>
              <w:kern w:val="0"/>
              <w:szCs w:val="44"/>
              <w:highlight w:val="none"/>
            </w:rPr>
            <w:fldChar w:fldCharType="end"/>
          </w:r>
        </w:p>
      </w:sdtContent>
    </w:sdt>
    <w:p>
      <w:pPr>
        <w:spacing w:line="360" w:lineRule="auto"/>
        <w:ind w:firstLine="622" w:firstLineChars="295"/>
        <w:rPr>
          <w:rFonts w:hint="eastAsia" w:ascii="宋体" w:hAnsi="宋体" w:eastAsia="宋体" w:cs="宋体"/>
          <w:b/>
          <w:color w:val="auto"/>
          <w:highlight w:val="none"/>
        </w:rPr>
      </w:pPr>
    </w:p>
    <w:p>
      <w:pPr>
        <w:spacing w:line="640" w:lineRule="exact"/>
        <w:rPr>
          <w:rFonts w:hint="eastAsia" w:ascii="宋体" w:hAnsi="宋体" w:eastAsia="宋体" w:cs="宋体"/>
          <w:b/>
          <w:color w:val="auto"/>
          <w:sz w:val="44"/>
          <w:szCs w:val="44"/>
          <w:highlight w:val="none"/>
        </w:rPr>
      </w:pPr>
    </w:p>
    <w:p>
      <w:pPr>
        <w:spacing w:line="360" w:lineRule="auto"/>
        <w:ind w:firstLine="2667" w:firstLineChars="738"/>
        <w:rPr>
          <w:rFonts w:hint="eastAsia" w:ascii="宋体" w:hAnsi="宋体" w:eastAsia="宋体" w:cs="宋体"/>
          <w:b/>
          <w:color w:val="auto"/>
          <w:sz w:val="36"/>
          <w:szCs w:val="36"/>
          <w:highlight w:val="none"/>
        </w:rPr>
        <w:sectPr>
          <w:footerReference r:id="rId4" w:type="default"/>
          <w:pgSz w:w="11906" w:h="16838"/>
          <w:pgMar w:top="1361" w:right="1304" w:bottom="1247" w:left="1304" w:header="680" w:footer="680" w:gutter="0"/>
          <w:pgNumType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0"/>
        <w:rPr>
          <w:rFonts w:hint="eastAsia" w:ascii="宋体" w:hAnsi="宋体" w:eastAsia="宋体" w:cs="宋体"/>
          <w:b/>
          <w:color w:val="auto"/>
          <w:sz w:val="36"/>
          <w:szCs w:val="36"/>
          <w:highlight w:val="none"/>
        </w:rPr>
      </w:pPr>
      <w:bookmarkStart w:id="5" w:name="_Toc5103"/>
      <w:r>
        <w:rPr>
          <w:rFonts w:hint="eastAsia" w:ascii="宋体" w:hAnsi="宋体" w:eastAsia="宋体" w:cs="宋体"/>
          <w:b/>
          <w:color w:val="auto"/>
          <w:sz w:val="36"/>
          <w:szCs w:val="36"/>
          <w:highlight w:val="none"/>
        </w:rPr>
        <w:t>第一章</w:t>
      </w:r>
      <w:r>
        <w:rPr>
          <w:rFonts w:hint="eastAsia" w:ascii="宋体" w:hAnsi="宋体" w:eastAsia="宋体" w:cs="宋体"/>
          <w:b/>
          <w:color w:val="auto"/>
          <w:sz w:val="36"/>
          <w:szCs w:val="36"/>
          <w:highlight w:val="none"/>
          <w:lang w:val="en-US" w:eastAsia="zh-CN"/>
        </w:rPr>
        <w:t xml:space="preserve"> </w:t>
      </w:r>
      <w:bookmarkEnd w:id="5"/>
      <w:r>
        <w:rPr>
          <w:rFonts w:hint="eastAsia" w:ascii="宋体" w:hAnsi="宋体" w:eastAsia="宋体" w:cs="宋体"/>
          <w:b/>
          <w:color w:val="auto"/>
          <w:sz w:val="36"/>
          <w:szCs w:val="36"/>
          <w:highlight w:val="none"/>
        </w:rPr>
        <w:t>招标公告</w:t>
      </w:r>
    </w:p>
    <w:tbl>
      <w:tblPr>
        <w:tblStyle w:val="25"/>
        <w:tblW w:w="9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trPr>
        <w:tc>
          <w:tcPr>
            <w:tcW w:w="9920" w:type="dxa"/>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项目概况</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吉林省消防救援总队“自然灾害应急能力提升工程”装备配备项目（地震化工装备） ，潜在投标人应按照</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公告内容及方式获取</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文件。</w:t>
            </w:r>
            <w:r>
              <w:rPr>
                <w:rFonts w:hint="eastAsia" w:ascii="宋体" w:hAnsi="宋体" w:eastAsia="宋体" w:cs="宋体"/>
                <w:color w:val="auto"/>
                <w:sz w:val="24"/>
                <w:highlight w:val="none"/>
                <w:lang w:val="en-US" w:eastAsia="zh-CN"/>
              </w:rPr>
              <w:t>第1-7标段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00</w:t>
            </w:r>
            <w:r>
              <w:rPr>
                <w:rFonts w:hint="eastAsia" w:ascii="宋体" w:hAnsi="宋体" w:eastAsia="宋体" w:cs="宋体"/>
                <w:color w:val="auto"/>
                <w:sz w:val="24"/>
                <w:highlight w:val="none"/>
              </w:rPr>
              <w:t>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第8-13标段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23</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第14-19标段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25</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第20-26标段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28</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第27-32标段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07</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第33-38标段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0分（北京时间）前递交投标文件。</w:t>
            </w:r>
          </w:p>
        </w:tc>
      </w:tr>
    </w:tbl>
    <w:p>
      <w:pPr>
        <w:spacing w:line="360" w:lineRule="auto"/>
        <w:rPr>
          <w:rFonts w:hint="eastAsia" w:ascii="宋体" w:hAnsi="宋体" w:eastAsia="宋体" w:cs="宋体"/>
          <w:bCs/>
          <w:color w:val="auto"/>
          <w:sz w:val="24"/>
          <w:highlight w:val="none"/>
        </w:rPr>
      </w:pPr>
      <w:bookmarkStart w:id="6" w:name="_Toc28359079"/>
      <w:bookmarkStart w:id="7" w:name="_Toc35393621"/>
      <w:bookmarkStart w:id="8" w:name="_Toc28359002"/>
      <w:bookmarkStart w:id="9" w:name="_Toc35393790"/>
      <w:bookmarkStart w:id="10" w:name="_Hlk24379207"/>
      <w:r>
        <w:rPr>
          <w:rFonts w:hint="eastAsia" w:ascii="宋体" w:hAnsi="宋体" w:eastAsia="宋体" w:cs="宋体"/>
          <w:bCs/>
          <w:color w:val="auto"/>
          <w:sz w:val="24"/>
          <w:highlight w:val="none"/>
        </w:rPr>
        <w:t>一、项目基本情况</w:t>
      </w:r>
      <w:bookmarkEnd w:id="6"/>
      <w:bookmarkEnd w:id="7"/>
      <w:bookmarkEnd w:id="8"/>
      <w:bookmarkEnd w:id="9"/>
    </w:p>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1.1项目编号：ZKGSF(ZB)-20240350</w:t>
      </w:r>
      <w:r>
        <w:rPr>
          <w:rFonts w:hint="eastAsia" w:ascii="宋体" w:hAnsi="宋体" w:eastAsia="宋体" w:cs="宋体"/>
          <w:bCs/>
          <w:color w:val="auto"/>
          <w:sz w:val="24"/>
          <w:highlight w:val="none"/>
          <w:lang w:val="en-US" w:eastAsia="zh-CN"/>
        </w:rPr>
        <w:t xml:space="preserve"> </w:t>
      </w:r>
    </w:p>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1.2项目名称：</w:t>
      </w:r>
      <w:bookmarkEnd w:id="10"/>
      <w:r>
        <w:rPr>
          <w:rFonts w:hint="eastAsia" w:ascii="宋体" w:hAnsi="宋体" w:eastAsia="宋体" w:cs="宋体"/>
          <w:bCs/>
          <w:color w:val="auto"/>
          <w:sz w:val="24"/>
          <w:highlight w:val="none"/>
        </w:rPr>
        <w:t xml:space="preserve">吉林省消防救援总队“自然灾害应急能力提升工程”装备配备项目（地震化工装备） </w:t>
      </w:r>
    </w:p>
    <w:p>
      <w:pPr>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1.3预算金额：人民币15031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9880万元</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1.4最高限价：人民币15031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9880万元</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1.5采购方式：公开招标  </w:t>
      </w:r>
    </w:p>
    <w:p>
      <w:pPr>
        <w:widowControl/>
        <w:spacing w:line="360" w:lineRule="auto"/>
        <w:jc w:val="left"/>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1.6采购需求：</w:t>
      </w:r>
    </w:p>
    <w:tbl>
      <w:tblPr>
        <w:tblStyle w:val="24"/>
        <w:tblW w:w="9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80"/>
        <w:gridCol w:w="2355"/>
        <w:gridCol w:w="1445"/>
        <w:gridCol w:w="923"/>
        <w:gridCol w:w="841"/>
        <w:gridCol w:w="1591"/>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品种</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预算</w:t>
            </w:r>
          </w:p>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（万元）</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数量</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单位</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金额</w:t>
            </w:r>
          </w:p>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（万元）</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小计</w:t>
            </w:r>
          </w:p>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支撑保护套具</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515.00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重型支撑套具</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12.00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26</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312.00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3标段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堵漏工具组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325.00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起重气垫</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171.60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余震监测仪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9.00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342.00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核辐射探测仪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0.80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8.80</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636.80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军事毒剂检测仪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340.00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生物快速检测仪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288.00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复合气体检测仪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192.00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现场空气监测仪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1.20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21.60</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可燃气体探测仪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51.60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有毒气体探测仪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48.30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9标段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测距仪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0.45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199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89.55</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测温仪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0.25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29.25</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气象仪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0.28</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3.08</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电子气象仪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0.60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10标段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热成像仪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8.20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198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1623.60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1623.60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雷达生命探测仪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24.25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1527.75</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1527.75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红外生命探测仪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159.60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951.30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视频生命探测仪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5.80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568.40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音频生命探测仪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7.70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223.30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13标段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水深探测仪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0.99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47.52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水温仪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水质分析仪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1.10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13.20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水质检测仪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1.20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9.60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便携式流速仪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1.80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72.00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14标段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化学氧自救呼吸器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 xml:space="preserve">0.3460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453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156.7380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156.7380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rPr>
              <w:t>15标段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简易洗消喷淋器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0.38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3.42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单人洗消帐篷</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28.00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公众洗消站</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8.50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59.50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高倍数泡沫发生器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1.80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120</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216.00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216.00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移动式消防炮</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122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366.00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穿刺式破拆水枪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0.80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262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209.60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19标段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多功能消防水枪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0.60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574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344.40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344.40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20标段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电动破拆工具组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166</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1660.00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电动液压剪扩组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510.00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玻璃破碎器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134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40.20</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手动破拆工具组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0.35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50.75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23</w:t>
            </w:r>
            <w:r>
              <w:rPr>
                <w:rFonts w:hint="eastAsia" w:ascii="宋体" w:hAnsi="宋体" w:eastAsia="宋体" w:cs="宋体"/>
                <w:i w:val="0"/>
                <w:iCs w:val="0"/>
                <w:color w:val="000000"/>
                <w:kern w:val="0"/>
                <w:sz w:val="24"/>
                <w:szCs w:val="24"/>
                <w:highlight w:val="none"/>
                <w:u w:val="none"/>
                <w:lang w:val="en-US" w:eastAsia="zh-CN" w:bidi="ar"/>
              </w:rPr>
              <w:t>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哈利根铁铤</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0.40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372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148.80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24</w:t>
            </w:r>
            <w:r>
              <w:rPr>
                <w:rFonts w:hint="eastAsia" w:ascii="宋体" w:hAnsi="宋体" w:eastAsia="宋体" w:cs="宋体"/>
                <w:i w:val="0"/>
                <w:iCs w:val="0"/>
                <w:color w:val="000000"/>
                <w:kern w:val="0"/>
                <w:sz w:val="24"/>
                <w:szCs w:val="24"/>
                <w:highlight w:val="none"/>
                <w:u w:val="none"/>
                <w:lang w:val="en-US" w:eastAsia="zh-CN" w:bidi="ar"/>
              </w:rPr>
              <w:t>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毁锁器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0.48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100</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48.00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开缝器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2.20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72.60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门锁破拆工具组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96</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57.60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气动切割刀</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0.24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19.44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无电切割刀</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1.70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81.60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金属弧水陆切割器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4.30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47.30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水泥切割机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40.00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氧炔气焊切割设备</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双轮异向切割锯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181.90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电动链锯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0.30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11.10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76.29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木锯切割机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0.24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1.92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机动链锯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0.37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63.27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无齿锯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1.70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355.30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355.30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绳锯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4.40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206.80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206.80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电动钢筋速断器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62.40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62.40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33标段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液压破拆工具组A</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19.50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1462.50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1462.50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液压破拆工具组B</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136.00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136.00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液压万向剪切钳</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5.50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665.50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665.50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液压钻孔机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248.00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248.00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凿岩机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134.00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134.00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等离子切割机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10.00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330.00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330.00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980"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合计</w:t>
            </w:r>
          </w:p>
        </w:tc>
        <w:tc>
          <w:tcPr>
            <w:tcW w:w="176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5503</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Cs/>
                <w:color w:val="auto"/>
                <w:sz w:val="24"/>
                <w:highlight w:val="none"/>
              </w:rPr>
              <w:t>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Cs/>
                <w:color w:val="auto"/>
                <w:sz w:val="24"/>
                <w:highlight w:val="none"/>
              </w:rPr>
              <w:t>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w:t>
            </w:r>
          </w:p>
        </w:tc>
      </w:tr>
    </w:tbl>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1.7合同履行期限（交货期）：合同签订后</w:t>
      </w:r>
      <w:r>
        <w:rPr>
          <w:rFonts w:hint="eastAsia" w:ascii="宋体" w:hAnsi="宋体" w:eastAsia="宋体" w:cs="宋体"/>
          <w:bCs/>
          <w:color w:val="auto"/>
          <w:sz w:val="24"/>
          <w:highlight w:val="none"/>
          <w:lang w:val="en-US" w:eastAsia="zh-CN"/>
        </w:rPr>
        <w:t>四</w:t>
      </w:r>
      <w:r>
        <w:rPr>
          <w:rFonts w:hint="eastAsia" w:ascii="宋体" w:hAnsi="宋体" w:eastAsia="宋体" w:cs="宋体"/>
          <w:bCs/>
          <w:color w:val="auto"/>
          <w:sz w:val="24"/>
          <w:highlight w:val="none"/>
        </w:rPr>
        <w:t>个月内履行完毕。</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1.8本项目不接受联合体投标。</w:t>
      </w:r>
    </w:p>
    <w:p>
      <w:pPr>
        <w:widowControl/>
        <w:jc w:val="left"/>
        <w:rPr>
          <w:rFonts w:hint="eastAsia" w:ascii="宋体" w:hAnsi="宋体" w:eastAsia="宋体" w:cs="宋体"/>
          <w:bCs/>
          <w:color w:val="auto"/>
          <w:sz w:val="24"/>
          <w:highlight w:val="none"/>
        </w:rPr>
      </w:pPr>
      <w:bookmarkStart w:id="11" w:name="_Toc35393791"/>
      <w:bookmarkStart w:id="12" w:name="_Toc28359003"/>
      <w:bookmarkStart w:id="13" w:name="_Toc35393622"/>
      <w:bookmarkStart w:id="14" w:name="_Toc28359080"/>
      <w:r>
        <w:rPr>
          <w:rFonts w:hint="eastAsia" w:ascii="宋体" w:hAnsi="宋体" w:eastAsia="宋体" w:cs="宋体"/>
          <w:bCs/>
          <w:color w:val="auto"/>
          <w:sz w:val="24"/>
          <w:highlight w:val="none"/>
        </w:rPr>
        <w:t>二、</w:t>
      </w:r>
      <w:r>
        <w:rPr>
          <w:rFonts w:hint="eastAsia" w:ascii="宋体" w:hAnsi="宋体" w:eastAsia="宋体" w:cs="宋体"/>
          <w:bCs/>
          <w:color w:val="auto"/>
          <w:sz w:val="24"/>
          <w:highlight w:val="none"/>
          <w:lang w:val="en-US" w:eastAsia="zh-CN"/>
        </w:rPr>
        <w:t>投标</w:t>
      </w:r>
      <w:r>
        <w:rPr>
          <w:rFonts w:hint="eastAsia" w:ascii="宋体" w:hAnsi="宋体" w:eastAsia="宋体" w:cs="宋体"/>
          <w:bCs/>
          <w:color w:val="auto"/>
          <w:sz w:val="24"/>
          <w:highlight w:val="none"/>
        </w:rPr>
        <w:t>人的资格要求：</w:t>
      </w:r>
      <w:bookmarkEnd w:id="11"/>
      <w:bookmarkEnd w:id="12"/>
      <w:bookmarkEnd w:id="13"/>
      <w:bookmarkEnd w:id="14"/>
      <w:bookmarkStart w:id="15" w:name="_Toc28359081"/>
      <w:bookmarkStart w:id="16" w:name="_Toc28359004"/>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2.1.满足《中华人民共和国政府采购法》第二十二条规定：</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1）具有独立承担民事责任的能力；</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2）具有良好的商业信誉和健全的财务会计制度{</w:t>
      </w:r>
      <w:r>
        <w:rPr>
          <w:rFonts w:hint="eastAsia" w:ascii="宋体" w:hAnsi="宋体" w:eastAsia="宋体" w:cs="宋体"/>
          <w:color w:val="auto"/>
          <w:sz w:val="24"/>
          <w:highlight w:val="none"/>
          <w:lang w:eastAsia="zh-CN"/>
        </w:rPr>
        <w:t>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年-20</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lang w:eastAsia="zh-CN"/>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年以后注册成立的公司，即需提供一份银行资信证明）</w:t>
      </w:r>
      <w:r>
        <w:rPr>
          <w:rFonts w:hint="eastAsia" w:ascii="宋体" w:hAnsi="宋体" w:eastAsia="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3）具有履行合同所必需的设备和专业技术能力</w:t>
      </w:r>
      <w:r>
        <w:rPr>
          <w:rFonts w:hint="eastAsia" w:ascii="宋体" w:hAnsi="宋体" w:eastAsia="宋体" w:cs="宋体"/>
          <w:color w:val="auto"/>
          <w:sz w:val="24"/>
          <w:highlight w:val="none"/>
        </w:rPr>
        <w:t>（可以提供同类业绩合同或者可以提供</w:t>
      </w:r>
      <w:r>
        <w:rPr>
          <w:rFonts w:hint="eastAsia" w:ascii="宋体" w:hAnsi="宋体" w:eastAsia="宋体" w:cs="宋体"/>
          <w:color w:val="auto"/>
          <w:sz w:val="24"/>
          <w:highlight w:val="none"/>
          <w:lang w:val="en-US" w:eastAsia="zh-CN"/>
        </w:rPr>
        <w:t>声明函</w:t>
      </w:r>
      <w:r>
        <w:rPr>
          <w:rFonts w:hint="eastAsia" w:ascii="宋体" w:hAnsi="宋体" w:eastAsia="宋体" w:cs="宋体"/>
          <w:color w:val="auto"/>
          <w:sz w:val="24"/>
          <w:highlight w:val="none"/>
        </w:rPr>
        <w:t>&lt;格式自拟&gt;）</w:t>
      </w:r>
      <w:r>
        <w:rPr>
          <w:rFonts w:hint="eastAsia" w:ascii="宋体" w:hAnsi="宋体" w:eastAsia="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4）有依法缴纳税收和社会保障资金的良好记录{</w:t>
      </w:r>
      <w:r>
        <w:rPr>
          <w:rFonts w:hint="eastAsia" w:ascii="宋体" w:hAnsi="宋体" w:eastAsia="宋体" w:cs="宋体"/>
          <w:color w:val="auto"/>
          <w:sz w:val="24"/>
          <w:highlight w:val="none"/>
          <w:lang w:eastAsia="zh-CN"/>
        </w:rPr>
        <w:t>提供近一年（202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月以后）任意两个月的依法缴纳税</w:t>
      </w:r>
      <w:r>
        <w:rPr>
          <w:rFonts w:hint="eastAsia" w:ascii="宋体" w:hAnsi="宋体" w:eastAsia="宋体" w:cs="宋体"/>
          <w:color w:val="auto"/>
          <w:sz w:val="24"/>
          <w:highlight w:val="none"/>
        </w:rPr>
        <w:t>收</w:t>
      </w:r>
      <w:r>
        <w:rPr>
          <w:rFonts w:hint="eastAsia" w:ascii="宋体" w:hAnsi="宋体" w:eastAsia="宋体" w:cs="宋体"/>
          <w:color w:val="auto"/>
          <w:sz w:val="24"/>
          <w:highlight w:val="none"/>
          <w:lang w:val="en-US" w:eastAsia="zh-CN"/>
        </w:rPr>
        <w:t>记录</w:t>
      </w:r>
      <w:r>
        <w:rPr>
          <w:rFonts w:hint="eastAsia" w:ascii="宋体" w:hAnsi="宋体" w:eastAsia="宋体" w:cs="宋体"/>
          <w:color w:val="auto"/>
          <w:sz w:val="24"/>
          <w:highlight w:val="none"/>
        </w:rPr>
        <w:t>和社会保障资金的相关材料（依法免税或不需要缴纳社会保障资金的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，应提供相应文件证明其依法免税或不需要缴纳社会保障资金）</w:t>
      </w:r>
      <w:r>
        <w:rPr>
          <w:rFonts w:hint="eastAsia" w:ascii="宋体" w:hAnsi="宋体" w:eastAsia="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5）参加政府采购活动前三年内在经营活动中没有重大违法记录的书面声明；</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6）法律、行政法规规定的其他条件。</w:t>
      </w:r>
    </w:p>
    <w:p>
      <w:pPr>
        <w:widowControl/>
        <w:spacing w:line="360" w:lineRule="auto"/>
        <w:jc w:val="left"/>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2.2落实政府采购政策需满足的资格要求：</w:t>
      </w:r>
      <w:r>
        <w:rPr>
          <w:rFonts w:hint="eastAsia" w:ascii="宋体" w:hAnsi="宋体" w:eastAsia="宋体" w:cs="宋体"/>
          <w:b/>
          <w:bCs/>
          <w:spacing w:val="6"/>
          <w:sz w:val="24"/>
          <w:highlight w:val="none"/>
          <w:lang w:eastAsia="zh-CN"/>
        </w:rPr>
        <w:t>第</w:t>
      </w:r>
      <w:r>
        <w:rPr>
          <w:rFonts w:hint="eastAsia" w:ascii="宋体" w:hAnsi="宋体" w:eastAsia="宋体" w:cs="宋体"/>
          <w:b/>
          <w:bCs/>
          <w:spacing w:val="6"/>
          <w:sz w:val="24"/>
          <w:highlight w:val="none"/>
          <w:lang w:val="en-US" w:eastAsia="zh-CN"/>
        </w:rPr>
        <w:t>1</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17</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21</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30</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32</w:t>
      </w:r>
      <w:r>
        <w:rPr>
          <w:rFonts w:hint="eastAsia" w:ascii="宋体" w:hAnsi="宋体" w:eastAsia="宋体" w:cs="宋体"/>
          <w:b/>
          <w:bCs/>
          <w:spacing w:val="6"/>
          <w:sz w:val="24"/>
          <w:highlight w:val="none"/>
          <w:lang w:eastAsia="zh-CN"/>
        </w:rPr>
        <w:t>标段</w:t>
      </w:r>
      <w:r>
        <w:rPr>
          <w:rFonts w:hint="eastAsia" w:ascii="宋体" w:hAnsi="宋体" w:eastAsia="宋体" w:cs="宋体"/>
          <w:b/>
          <w:bCs/>
          <w:spacing w:val="6"/>
          <w:sz w:val="24"/>
          <w:highlight w:val="none"/>
        </w:rPr>
        <w:t>专门面向中小企业采购</w:t>
      </w:r>
      <w:r>
        <w:rPr>
          <w:rFonts w:hint="eastAsia" w:ascii="宋体" w:hAnsi="宋体" w:eastAsia="宋体" w:cs="宋体"/>
          <w:b/>
          <w:bCs/>
          <w:spacing w:val="6"/>
          <w:sz w:val="24"/>
          <w:highlight w:val="none"/>
          <w:lang w:eastAsia="zh-CN"/>
        </w:rPr>
        <w:t>；第</w:t>
      </w:r>
      <w:r>
        <w:rPr>
          <w:rFonts w:hint="eastAsia" w:ascii="宋体" w:hAnsi="宋体" w:eastAsia="宋体" w:cs="宋体"/>
          <w:b/>
          <w:bCs/>
          <w:spacing w:val="6"/>
          <w:sz w:val="24"/>
          <w:highlight w:val="none"/>
          <w:lang w:val="en-US" w:eastAsia="zh-CN"/>
        </w:rPr>
        <w:t>2</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4</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9</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15</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16</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18</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19</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22</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23</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24</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28</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29</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34</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37</w:t>
      </w:r>
      <w:r>
        <w:rPr>
          <w:rFonts w:hint="eastAsia" w:ascii="宋体" w:hAnsi="宋体" w:eastAsia="宋体" w:cs="宋体"/>
          <w:b/>
          <w:bCs/>
          <w:spacing w:val="6"/>
          <w:sz w:val="24"/>
          <w:highlight w:val="none"/>
          <w:lang w:eastAsia="zh-CN"/>
        </w:rPr>
        <w:t>标段</w:t>
      </w:r>
      <w:r>
        <w:rPr>
          <w:rFonts w:hint="eastAsia" w:ascii="宋体" w:hAnsi="宋体" w:eastAsia="宋体" w:cs="宋体"/>
          <w:b/>
          <w:bCs/>
          <w:spacing w:val="6"/>
          <w:sz w:val="24"/>
          <w:highlight w:val="none"/>
        </w:rPr>
        <w:t>专门面向小微企业采购；其余标段非专门面向中小企业采购</w:t>
      </w:r>
      <w:r>
        <w:rPr>
          <w:rFonts w:hint="eastAsia" w:ascii="宋体" w:hAnsi="宋体" w:eastAsia="宋体" w:cs="宋体"/>
          <w:b/>
          <w:bCs/>
          <w:spacing w:val="6"/>
          <w:sz w:val="24"/>
          <w:highlight w:val="none"/>
          <w:lang w:val="en-US" w:eastAsia="zh-CN"/>
        </w:rPr>
        <w:t>。</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2.3本项目的特定资格要求：</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1）投标人应当通过“信用中国”网站（www.creditchina.gov.cn）、中国政府采购网（www.ccgp.gov.cn）等渠道查询相关主体信用记录，未被列入失信被执行人、重大税收违法失信主体、政府采购严重违法失信行为记录名单</w:t>
      </w:r>
      <w:r>
        <w:rPr>
          <w:rFonts w:hint="eastAsia" w:ascii="宋体" w:hAnsi="宋体" w:eastAsia="宋体" w:cs="宋体"/>
          <w:bCs/>
          <w:color w:val="auto"/>
          <w:sz w:val="24"/>
          <w:highlight w:val="none"/>
          <w:lang w:eastAsia="zh-CN"/>
        </w:rPr>
        <w:t>。</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2）单位负责人为同一人或存在直接控股、管理关系的不同</w:t>
      </w:r>
      <w:r>
        <w:rPr>
          <w:rFonts w:hint="eastAsia" w:ascii="宋体" w:hAnsi="宋体" w:eastAsia="宋体" w:cs="宋体"/>
          <w:color w:val="auto"/>
          <w:sz w:val="24"/>
          <w:highlight w:val="none"/>
          <w:lang w:val="en-US" w:eastAsia="zh-CN"/>
        </w:rPr>
        <w:t>供应商</w:t>
      </w:r>
      <w:r>
        <w:rPr>
          <w:rFonts w:hint="eastAsia" w:ascii="宋体" w:hAnsi="宋体" w:eastAsia="宋体" w:cs="宋体"/>
          <w:bCs/>
          <w:color w:val="auto"/>
          <w:sz w:val="24"/>
          <w:highlight w:val="none"/>
        </w:rPr>
        <w:t>，不得参加同一合同项下的政府采购活动。</w:t>
      </w:r>
    </w:p>
    <w:p>
      <w:pPr>
        <w:rPr>
          <w:rFonts w:hint="eastAsia" w:ascii="宋体" w:hAnsi="宋体" w:eastAsia="宋体" w:cs="宋体"/>
          <w:bCs/>
          <w:color w:val="auto"/>
          <w:sz w:val="24"/>
          <w:highlight w:val="none"/>
        </w:rPr>
      </w:pPr>
      <w:bookmarkStart w:id="17" w:name="_Toc35393623"/>
      <w:bookmarkStart w:id="18" w:name="_Toc35393792"/>
      <w:r>
        <w:rPr>
          <w:rFonts w:hint="eastAsia" w:ascii="宋体" w:hAnsi="宋体" w:eastAsia="宋体" w:cs="宋体"/>
          <w:bCs/>
          <w:color w:val="auto"/>
          <w:sz w:val="24"/>
          <w:highlight w:val="none"/>
        </w:rPr>
        <w:t>三、获取招标文件</w:t>
      </w:r>
      <w:bookmarkEnd w:id="15"/>
      <w:bookmarkEnd w:id="16"/>
      <w:bookmarkEnd w:id="17"/>
      <w:bookmarkEnd w:id="18"/>
    </w:p>
    <w:p>
      <w:pPr>
        <w:spacing w:line="360" w:lineRule="auto"/>
        <w:ind w:firstLine="480" w:firstLineChars="200"/>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lang w:val="en-US" w:eastAsia="zh-CN"/>
        </w:rPr>
        <w:t>凡有意参加投标者，请于2024年04月02日至2024年04月09日(法定公休日、法定节假日除外)，每天上午</w:t>
      </w:r>
      <w:r>
        <w:rPr>
          <w:rFonts w:hint="eastAsia" w:ascii="宋体" w:hAnsi="宋体" w:eastAsia="宋体" w:cs="宋体"/>
          <w:sz w:val="24"/>
          <w:szCs w:val="24"/>
          <w:highlight w:val="none"/>
          <w:u w:val="single"/>
          <w:lang w:val="en-US" w:eastAsia="zh-CN"/>
        </w:rPr>
        <w:t>08：30</w:t>
      </w:r>
      <w:r>
        <w:rPr>
          <w:rFonts w:hint="eastAsia" w:ascii="宋体" w:hAnsi="宋体" w:eastAsia="宋体" w:cs="宋体"/>
          <w:sz w:val="24"/>
          <w:szCs w:val="24"/>
          <w:highlight w:val="none"/>
          <w:lang w:val="en-US" w:eastAsia="zh-CN"/>
        </w:rPr>
        <w:t>至下午</w:t>
      </w:r>
      <w:r>
        <w:rPr>
          <w:rFonts w:hint="eastAsia" w:ascii="宋体" w:hAnsi="宋体" w:eastAsia="宋体" w:cs="宋体"/>
          <w:sz w:val="24"/>
          <w:szCs w:val="24"/>
          <w:highlight w:val="none"/>
          <w:u w:val="single"/>
          <w:lang w:val="en-US" w:eastAsia="zh-CN"/>
        </w:rPr>
        <w:t>16：00</w:t>
      </w:r>
      <w:r>
        <w:rPr>
          <w:rFonts w:hint="eastAsia" w:ascii="宋体" w:hAnsi="宋体" w:eastAsia="宋体" w:cs="宋体"/>
          <w:sz w:val="24"/>
          <w:szCs w:val="24"/>
          <w:highlight w:val="none"/>
          <w:lang w:val="en-US" w:eastAsia="zh-CN"/>
        </w:rPr>
        <w:t>(北京时间，下同)，潜在投标人将以下材料以扫描件形式发送至代理机构邮箱（1053935487@qq.com）。资料如下：1.</w:t>
      </w:r>
      <w:r>
        <w:rPr>
          <w:rFonts w:hint="eastAsia" w:ascii="宋体" w:hAnsi="宋体" w:eastAsia="宋体" w:cs="宋体"/>
          <w:bCs/>
          <w:color w:val="auto"/>
          <w:sz w:val="24"/>
          <w:highlight w:val="none"/>
          <w:lang w:val="en-US" w:eastAsia="zh-CN"/>
        </w:rPr>
        <w:t>营业执照副本（或相关证明材料）</w:t>
      </w:r>
      <w:r>
        <w:rPr>
          <w:rFonts w:hint="eastAsia" w:ascii="宋体" w:hAnsi="宋体" w:eastAsia="宋体" w:cs="宋体"/>
          <w:sz w:val="24"/>
          <w:szCs w:val="24"/>
          <w:highlight w:val="none"/>
          <w:lang w:val="en-US" w:eastAsia="zh-CN"/>
        </w:rPr>
        <w:t>；2.</w:t>
      </w:r>
      <w:r>
        <w:rPr>
          <w:rFonts w:hint="eastAsia" w:ascii="宋体" w:hAnsi="宋体" w:eastAsia="宋体" w:cs="宋体"/>
          <w:bCs/>
          <w:color w:val="auto"/>
          <w:sz w:val="24"/>
          <w:highlight w:val="none"/>
          <w:lang w:val="en-US" w:eastAsia="zh-CN"/>
        </w:rPr>
        <w:t>法人身份证明书或法人授权委托书</w:t>
      </w:r>
      <w:r>
        <w:rPr>
          <w:rFonts w:hint="eastAsia" w:ascii="宋体" w:hAnsi="宋体" w:eastAsia="宋体" w:cs="宋体"/>
          <w:sz w:val="24"/>
          <w:szCs w:val="24"/>
          <w:highlight w:val="none"/>
          <w:lang w:val="en-US" w:eastAsia="zh-CN"/>
        </w:rPr>
        <w:t>；3.</w:t>
      </w:r>
      <w:r>
        <w:rPr>
          <w:rFonts w:hint="eastAsia" w:ascii="宋体" w:hAnsi="宋体" w:eastAsia="宋体" w:cs="宋体"/>
          <w:bCs/>
          <w:color w:val="auto"/>
          <w:sz w:val="24"/>
          <w:highlight w:val="none"/>
          <w:lang w:val="en-US" w:eastAsia="zh-CN"/>
        </w:rPr>
        <w:t>法定代表人及被授权人身份证</w:t>
      </w:r>
      <w:r>
        <w:rPr>
          <w:rFonts w:hint="eastAsia" w:ascii="宋体" w:hAnsi="宋体" w:eastAsia="宋体" w:cs="宋体"/>
          <w:sz w:val="24"/>
          <w:szCs w:val="24"/>
          <w:highlight w:val="none"/>
          <w:lang w:val="en-US" w:eastAsia="zh-CN"/>
        </w:rPr>
        <w:t>；</w:t>
      </w:r>
      <w:r>
        <w:rPr>
          <w:rFonts w:hint="eastAsia" w:ascii="宋体" w:hAnsi="宋体" w:eastAsia="宋体" w:cs="宋体"/>
          <w:b/>
          <w:bCs/>
          <w:sz w:val="24"/>
          <w:szCs w:val="24"/>
          <w:highlight w:val="none"/>
          <w:lang w:val="en-US" w:eastAsia="zh-CN"/>
        </w:rPr>
        <w:t>邮件附件：需采用A4纸幅面，将报名材料加盖企业鲜章，制作成1个PDF格式文件,写明标段号。</w:t>
      </w:r>
      <w:bookmarkStart w:id="19" w:name="_Toc28359005"/>
      <w:bookmarkStart w:id="20" w:name="_Toc28359082"/>
      <w:bookmarkStart w:id="21" w:name="_Toc35393624"/>
      <w:bookmarkStart w:id="22" w:name="_Toc35393793"/>
    </w:p>
    <w:p>
      <w:pPr>
        <w:spacing w:line="360" w:lineRule="auto"/>
        <w:ind w:firstLine="480" w:firstLineChars="200"/>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四、提交投标文件</w:t>
      </w:r>
      <w:bookmarkEnd w:id="19"/>
      <w:bookmarkEnd w:id="20"/>
      <w:r>
        <w:rPr>
          <w:rFonts w:hint="eastAsia" w:ascii="宋体" w:hAnsi="宋体" w:eastAsia="宋体" w:cs="宋体"/>
          <w:b w:val="0"/>
          <w:color w:val="auto"/>
          <w:sz w:val="24"/>
          <w:szCs w:val="24"/>
          <w:highlight w:val="none"/>
        </w:rPr>
        <w:t>截止时间、开标时间和地点</w:t>
      </w:r>
      <w:bookmarkEnd w:id="21"/>
      <w:bookmarkEnd w:id="22"/>
    </w:p>
    <w:p>
      <w:pPr>
        <w:spacing w:line="360" w:lineRule="auto"/>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4.1提交投标文件截止时间（开标时间）：</w:t>
      </w:r>
      <w:r>
        <w:rPr>
          <w:rFonts w:hint="eastAsia" w:ascii="宋体" w:hAnsi="宋体" w:eastAsia="宋体" w:cs="宋体"/>
          <w:color w:val="auto"/>
          <w:sz w:val="24"/>
          <w:highlight w:val="none"/>
          <w:lang w:val="en-US" w:eastAsia="zh-CN"/>
        </w:rPr>
        <w:t>第1-7标段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00</w:t>
      </w:r>
      <w:r>
        <w:rPr>
          <w:rFonts w:hint="eastAsia" w:ascii="宋体" w:hAnsi="宋体" w:eastAsia="宋体" w:cs="宋体"/>
          <w:color w:val="auto"/>
          <w:sz w:val="24"/>
          <w:highlight w:val="none"/>
        </w:rPr>
        <w:t>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第8-13标段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23</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第14-19标段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25</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第20-26标段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28</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第27-32标段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07</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第33-38标段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bCs/>
          <w:color w:val="auto"/>
          <w:sz w:val="24"/>
          <w:highlight w:val="none"/>
          <w:lang w:val="en-US" w:eastAsia="zh-CN"/>
        </w:rPr>
        <w:t>开标。</w:t>
      </w:r>
    </w:p>
    <w:p>
      <w:pPr>
        <w:spacing w:line="360" w:lineRule="auto"/>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4.2地点：</w:t>
      </w:r>
      <w:r>
        <w:rPr>
          <w:rFonts w:hint="eastAsia" w:ascii="宋体" w:hAnsi="宋体" w:eastAsia="宋体" w:cs="宋体"/>
          <w:bCs/>
          <w:color w:val="auto"/>
          <w:sz w:val="24"/>
          <w:highlight w:val="none"/>
          <w:lang w:eastAsia="zh-CN"/>
        </w:rPr>
        <w:t>东北亚国际金融中心（人民大街与谊民路交汇东行100米）3号楼1楼（仅开放东门、从东门进入）</w:t>
      </w:r>
    </w:p>
    <w:p>
      <w:pPr>
        <w:pStyle w:val="4"/>
        <w:spacing w:line="360" w:lineRule="auto"/>
        <w:rPr>
          <w:rFonts w:hint="eastAsia" w:ascii="宋体" w:hAnsi="宋体" w:eastAsia="宋体" w:cs="宋体"/>
          <w:b w:val="0"/>
          <w:color w:val="auto"/>
          <w:sz w:val="24"/>
          <w:szCs w:val="24"/>
          <w:highlight w:val="none"/>
        </w:rPr>
      </w:pPr>
      <w:bookmarkStart w:id="23" w:name="_Toc35393625"/>
      <w:bookmarkStart w:id="24" w:name="_Toc28359007"/>
      <w:bookmarkStart w:id="25" w:name="_Toc35393794"/>
      <w:bookmarkStart w:id="26" w:name="_Toc28359084"/>
      <w:r>
        <w:rPr>
          <w:rFonts w:hint="eastAsia" w:ascii="宋体" w:hAnsi="宋体" w:eastAsia="宋体" w:cs="宋体"/>
          <w:b w:val="0"/>
          <w:color w:val="auto"/>
          <w:sz w:val="24"/>
          <w:szCs w:val="24"/>
          <w:highlight w:val="none"/>
        </w:rPr>
        <w:t>五、公告期限</w:t>
      </w:r>
      <w:bookmarkEnd w:id="23"/>
      <w:bookmarkEnd w:id="24"/>
      <w:bookmarkEnd w:id="25"/>
      <w:bookmarkEnd w:id="26"/>
    </w:p>
    <w:p>
      <w:pPr>
        <w:spacing w:line="360" w:lineRule="auto"/>
        <w:ind w:firstLine="480" w:firstLineChars="200"/>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自本公告发布之日起5个工作日。</w:t>
      </w:r>
    </w:p>
    <w:p>
      <w:pPr>
        <w:pStyle w:val="4"/>
        <w:spacing w:line="360" w:lineRule="auto"/>
        <w:rPr>
          <w:rFonts w:hint="eastAsia" w:ascii="宋体" w:hAnsi="宋体" w:eastAsia="宋体" w:cs="宋体"/>
          <w:bCs/>
          <w:color w:val="auto"/>
          <w:sz w:val="24"/>
          <w:szCs w:val="24"/>
          <w:highlight w:val="none"/>
        </w:rPr>
      </w:pPr>
      <w:bookmarkStart w:id="27" w:name="_Toc35393626"/>
      <w:bookmarkStart w:id="28" w:name="_Toc35393795"/>
      <w:r>
        <w:rPr>
          <w:rFonts w:hint="eastAsia" w:ascii="宋体" w:hAnsi="宋体" w:eastAsia="宋体" w:cs="宋体"/>
          <w:b w:val="0"/>
          <w:color w:val="auto"/>
          <w:sz w:val="24"/>
          <w:szCs w:val="24"/>
          <w:highlight w:val="none"/>
        </w:rPr>
        <w:t>六、其他补充事宜</w:t>
      </w:r>
      <w:bookmarkEnd w:id="27"/>
      <w:bookmarkEnd w:id="28"/>
    </w:p>
    <w:p>
      <w:pPr>
        <w:pStyle w:val="4"/>
        <w:widowControl/>
        <w:autoSpaceDE w:val="0"/>
        <w:autoSpaceDN w:val="0"/>
        <w:spacing w:line="360" w:lineRule="auto"/>
        <w:textAlignment w:val="bottom"/>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1.</w:t>
      </w:r>
      <w:r>
        <w:rPr>
          <w:rFonts w:hint="eastAsia" w:ascii="宋体" w:hAnsi="宋体" w:eastAsia="宋体" w:cs="宋体"/>
          <w:b w:val="0"/>
          <w:color w:val="auto"/>
          <w:sz w:val="24"/>
          <w:szCs w:val="24"/>
          <w:highlight w:val="none"/>
        </w:rPr>
        <w:t>发布招标公告媒体：中国政府采购网、</w:t>
      </w:r>
      <w:r>
        <w:rPr>
          <w:rFonts w:hint="eastAsia" w:ascii="宋体" w:hAnsi="宋体" w:eastAsia="宋体" w:cs="宋体"/>
          <w:b w:val="0"/>
          <w:color w:val="auto"/>
          <w:sz w:val="24"/>
          <w:szCs w:val="24"/>
          <w:highlight w:val="none"/>
          <w:lang w:val="en-US" w:eastAsia="zh-CN"/>
        </w:rPr>
        <w:t>中国采购与招标网、</w:t>
      </w:r>
      <w:r>
        <w:rPr>
          <w:rFonts w:hint="eastAsia" w:ascii="宋体" w:hAnsi="宋体" w:eastAsia="宋体" w:cs="宋体"/>
          <w:b w:val="0"/>
          <w:color w:val="auto"/>
          <w:sz w:val="24"/>
          <w:szCs w:val="24"/>
          <w:highlight w:val="none"/>
        </w:rPr>
        <w:t>中国财经报网</w:t>
      </w:r>
      <w:r>
        <w:rPr>
          <w:rFonts w:hint="eastAsia" w:ascii="宋体" w:hAnsi="宋体" w:eastAsia="宋体" w:cs="宋体"/>
          <w:b w:val="0"/>
          <w:color w:val="auto"/>
          <w:sz w:val="24"/>
          <w:szCs w:val="24"/>
          <w:highlight w:val="none"/>
          <w:lang w:eastAsia="zh-CN"/>
        </w:rPr>
        <w:t>。</w:t>
      </w:r>
    </w:p>
    <w:p>
      <w:pPr>
        <w:pStyle w:val="34"/>
        <w:numPr>
          <w:ilvl w:val="255"/>
          <w:numId w:val="0"/>
        </w:num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采购项目需要落实的政府采购政策:《政府采购促进中小企业发展管理办法》（财库[2020]46号）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关于政府采购支持监狱企业发展有关问题的通知》(财库[2014]68号)、《关于促进残疾人就业政府采购政策的通知》(财库[2017]141号)、《关于调整优化节能产品、环境标志产品政府采购执行机制的通知》(财库[2019]9号)、《关于运用政府采购政策支持脱贫攻坚的通知》（财库〔2019〕27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《关于进一步加大政府采购支持中小企业力度的通知》财库【2022】19号等相关政策文件。</w:t>
      </w:r>
    </w:p>
    <w:p>
      <w:pPr>
        <w:pStyle w:val="4"/>
        <w:spacing w:line="360" w:lineRule="auto"/>
        <w:rPr>
          <w:rFonts w:hint="eastAsia" w:ascii="宋体" w:hAnsi="宋体" w:eastAsia="宋体" w:cs="宋体"/>
          <w:b w:val="0"/>
          <w:color w:val="auto"/>
          <w:sz w:val="24"/>
          <w:szCs w:val="24"/>
          <w:highlight w:val="none"/>
        </w:rPr>
      </w:pPr>
      <w:bookmarkStart w:id="29" w:name="_Toc28359008"/>
      <w:bookmarkStart w:id="30" w:name="_Toc28359085"/>
      <w:bookmarkStart w:id="31" w:name="_Toc35393627"/>
      <w:bookmarkStart w:id="32" w:name="_Toc35393796"/>
      <w:r>
        <w:rPr>
          <w:rFonts w:hint="eastAsia" w:ascii="宋体" w:hAnsi="宋体" w:eastAsia="宋体" w:cs="宋体"/>
          <w:b w:val="0"/>
          <w:color w:val="auto"/>
          <w:sz w:val="24"/>
          <w:szCs w:val="24"/>
          <w:highlight w:val="none"/>
          <w:lang w:val="en-US" w:eastAsia="zh-CN"/>
        </w:rPr>
        <w:t>七、</w:t>
      </w:r>
      <w:r>
        <w:rPr>
          <w:rFonts w:hint="eastAsia" w:ascii="宋体" w:hAnsi="宋体" w:eastAsia="宋体" w:cs="宋体"/>
          <w:b w:val="0"/>
          <w:color w:val="auto"/>
          <w:sz w:val="24"/>
          <w:szCs w:val="24"/>
          <w:highlight w:val="none"/>
        </w:rPr>
        <w:t>对本次招标提出询问，请按以下方式联系。</w:t>
      </w:r>
      <w:bookmarkEnd w:id="29"/>
      <w:bookmarkEnd w:id="30"/>
      <w:bookmarkEnd w:id="31"/>
      <w:bookmarkEnd w:id="32"/>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1.采购人信息</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bookmarkStart w:id="33" w:name="_Toc28359086"/>
      <w:bookmarkStart w:id="34" w:name="_Toc28359009"/>
      <w:r>
        <w:rPr>
          <w:rFonts w:hint="eastAsia" w:ascii="宋体" w:hAnsi="宋体" w:eastAsia="宋体" w:cs="宋体"/>
          <w:color w:val="auto"/>
          <w:sz w:val="24"/>
          <w:highlight w:val="none"/>
        </w:rPr>
        <w:t>采购单位名称：吉林省消防救援总队</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采购单位地址：吉林省长春市二道区自由大路6699号</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采购单位联系人：吴忪          </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联系电话：0431-84895193                 </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2.采购代理机构信息</w:t>
      </w:r>
      <w:bookmarkEnd w:id="33"/>
      <w:bookmarkEnd w:id="34"/>
    </w:p>
    <w:p>
      <w:pPr>
        <w:spacing w:line="360" w:lineRule="auto"/>
        <w:ind w:firstLine="480" w:firstLineChars="200"/>
        <w:rPr>
          <w:rFonts w:hint="eastAsia" w:ascii="宋体" w:hAnsi="宋体" w:eastAsia="宋体" w:cs="宋体"/>
          <w:sz w:val="24"/>
          <w:highlight w:val="none"/>
          <w:lang w:val="en-US" w:eastAsia="zh-CN"/>
        </w:rPr>
      </w:pPr>
      <w:bookmarkStart w:id="35" w:name="_Toc28359087"/>
      <w:bookmarkStart w:id="36" w:name="_Toc28359010"/>
      <w:r>
        <w:rPr>
          <w:rFonts w:hint="eastAsia" w:ascii="宋体" w:hAnsi="宋体" w:eastAsia="宋体" w:cs="宋体"/>
          <w:sz w:val="24"/>
          <w:highlight w:val="none"/>
          <w:lang w:val="en-US" w:eastAsia="zh-CN"/>
        </w:rPr>
        <w:t>采购代理机构名称：中科高盛咨询集团有限公司</w:t>
      </w:r>
    </w:p>
    <w:p>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地      址：长春市环球贸易中心一期2号楼25楼</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sz w:val="24"/>
          <w:highlight w:val="none"/>
          <w:lang w:val="en-US" w:eastAsia="zh-CN"/>
        </w:rPr>
        <w:t>联  系  人：王玲莉；0431-84916666、13514491583</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3.项目联系方式</w:t>
      </w:r>
      <w:bookmarkEnd w:id="35"/>
      <w:bookmarkEnd w:id="36"/>
    </w:p>
    <w:p>
      <w:pPr>
        <w:pStyle w:val="13"/>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color w:val="auto"/>
          <w:sz w:val="24"/>
          <w:szCs w:val="24"/>
          <w:highlight w:val="none"/>
        </w:rPr>
        <w:t>项目联系人：</w:t>
      </w:r>
      <w:r>
        <w:rPr>
          <w:rFonts w:hint="eastAsia" w:ascii="宋体" w:hAnsi="宋体" w:eastAsia="宋体" w:cs="宋体"/>
          <w:sz w:val="24"/>
          <w:highlight w:val="none"/>
          <w:lang w:val="en-US" w:eastAsia="zh-CN"/>
        </w:rPr>
        <w:t>王玲莉</w:t>
      </w:r>
    </w:p>
    <w:p>
      <w:pPr>
        <w:spacing w:line="240" w:lineRule="auto"/>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color w:val="auto"/>
          <w:sz w:val="24"/>
          <w:highlight w:val="none"/>
        </w:rPr>
        <w:t>电　话：</w:t>
      </w:r>
      <w:r>
        <w:rPr>
          <w:rFonts w:hint="eastAsia" w:ascii="宋体" w:hAnsi="宋体" w:eastAsia="宋体" w:cs="宋体"/>
          <w:sz w:val="24"/>
          <w:highlight w:val="none"/>
          <w:lang w:val="en-US" w:eastAsia="zh-CN"/>
        </w:rPr>
        <w:t>0431-84916666、13514491583</w:t>
      </w:r>
    </w:p>
    <w:p>
      <w:pPr>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br w:type="page"/>
      </w:r>
    </w:p>
    <w:p>
      <w:pPr>
        <w:pStyle w:val="3"/>
        <w:tabs>
          <w:tab w:val="left" w:pos="0"/>
        </w:tabs>
        <w:autoSpaceDE w:val="0"/>
        <w:autoSpaceDN w:val="0"/>
        <w:adjustRightInd w:val="0"/>
        <w:spacing w:before="0" w:after="0" w:line="360" w:lineRule="auto"/>
        <w:jc w:val="center"/>
        <w:rPr>
          <w:rFonts w:hint="eastAsia" w:ascii="宋体" w:hAnsi="宋体" w:eastAsia="宋体" w:cs="宋体"/>
          <w:lang w:eastAsia="zh-CN"/>
        </w:rPr>
      </w:pPr>
      <w:bookmarkStart w:id="37" w:name="_Toc35393813"/>
      <w:r>
        <w:rPr>
          <w:rFonts w:hint="eastAsia" w:ascii="宋体" w:hAnsi="宋体" w:eastAsia="宋体" w:cs="宋体"/>
          <w:lang w:eastAsia="zh-CN"/>
        </w:rPr>
        <w:t>吉林省消防救援总队“自然灾害应急能力提升工程”装备配备项目（地震化工装备）</w:t>
      </w:r>
    </w:p>
    <w:p>
      <w:pPr>
        <w:pStyle w:val="3"/>
        <w:tabs>
          <w:tab w:val="left" w:pos="0"/>
        </w:tabs>
        <w:autoSpaceDE w:val="0"/>
        <w:autoSpaceDN w:val="0"/>
        <w:adjustRightInd w:val="0"/>
        <w:spacing w:before="0" w:after="0" w:line="360" w:lineRule="auto"/>
        <w:jc w:val="center"/>
        <w:rPr>
          <w:rFonts w:hint="eastAsia" w:ascii="宋体" w:hAnsi="宋体" w:eastAsia="宋体" w:cs="宋体"/>
        </w:rPr>
      </w:pPr>
      <w:r>
        <w:rPr>
          <w:rFonts w:hint="eastAsia" w:ascii="宋体" w:hAnsi="宋体" w:eastAsia="宋体" w:cs="宋体"/>
        </w:rPr>
        <w:t>更正公告</w:t>
      </w:r>
      <w:bookmarkEnd w:id="37"/>
    </w:p>
    <w:p>
      <w:pPr>
        <w:pStyle w:val="4"/>
        <w:spacing w:line="360" w:lineRule="auto"/>
        <w:rPr>
          <w:rFonts w:hint="eastAsia" w:ascii="宋体" w:hAnsi="宋体" w:eastAsia="宋体" w:cs="宋体"/>
          <w:b w:val="0"/>
          <w:sz w:val="28"/>
          <w:szCs w:val="28"/>
        </w:rPr>
      </w:pPr>
      <w:bookmarkStart w:id="38" w:name="_Toc28359027"/>
      <w:bookmarkStart w:id="39" w:name="_Toc35393814"/>
      <w:bookmarkStart w:id="40" w:name="_Toc35393645"/>
      <w:bookmarkStart w:id="41" w:name="_Toc28359104"/>
      <w:r>
        <w:rPr>
          <w:rFonts w:hint="eastAsia" w:ascii="宋体" w:hAnsi="宋体" w:eastAsia="宋体" w:cs="宋体"/>
          <w:b w:val="0"/>
          <w:sz w:val="28"/>
          <w:szCs w:val="28"/>
        </w:rPr>
        <w:t>一、项目基本情况</w:t>
      </w:r>
      <w:bookmarkEnd w:id="38"/>
      <w:bookmarkEnd w:id="39"/>
      <w:bookmarkEnd w:id="40"/>
      <w:bookmarkEnd w:id="41"/>
    </w:p>
    <w:p>
      <w:pPr>
        <w:ind w:firstLine="560" w:firstLineChars="200"/>
        <w:rPr>
          <w:rFonts w:hint="eastAsia" w:ascii="宋体" w:hAnsi="宋体" w:eastAsia="宋体" w:cs="宋体"/>
          <w:sz w:val="28"/>
          <w:szCs w:val="28"/>
          <w:lang w:val="en-US"/>
        </w:rPr>
      </w:pPr>
      <w:r>
        <w:rPr>
          <w:rFonts w:hint="eastAsia" w:ascii="宋体" w:hAnsi="宋体" w:eastAsia="宋体" w:cs="宋体"/>
          <w:sz w:val="28"/>
          <w:szCs w:val="28"/>
        </w:rPr>
        <w:t>原公告的采购项目编号：ZKGSF(ZB)-20240350</w:t>
      </w: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原公告的采购项目名称：</w:t>
      </w:r>
      <w:r>
        <w:rPr>
          <w:rFonts w:hint="eastAsia" w:ascii="宋体" w:hAnsi="宋体" w:eastAsia="宋体" w:cs="宋体"/>
          <w:sz w:val="28"/>
          <w:szCs w:val="28"/>
          <w:lang w:eastAsia="zh-CN"/>
        </w:rPr>
        <w:t>吉林省消防救援总队“自然灾害应急能力提升工程”装备配备项目（地震化工装备）</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首次公告日期：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01</w:t>
      </w:r>
      <w:r>
        <w:rPr>
          <w:rFonts w:hint="eastAsia" w:ascii="宋体" w:hAnsi="宋体" w:eastAsia="宋体" w:cs="宋体"/>
          <w:sz w:val="28"/>
          <w:szCs w:val="28"/>
        </w:rPr>
        <w:t>日</w:t>
      </w:r>
    </w:p>
    <w:p>
      <w:pPr>
        <w:pStyle w:val="4"/>
        <w:spacing w:line="360" w:lineRule="auto"/>
        <w:rPr>
          <w:rFonts w:hint="eastAsia" w:ascii="宋体" w:hAnsi="宋体" w:eastAsia="宋体" w:cs="宋体"/>
          <w:b w:val="0"/>
          <w:sz w:val="28"/>
          <w:szCs w:val="28"/>
        </w:rPr>
      </w:pPr>
      <w:bookmarkStart w:id="42" w:name="_Toc28359105"/>
      <w:bookmarkStart w:id="43" w:name="_Toc28359028"/>
      <w:bookmarkStart w:id="44" w:name="_Toc35393815"/>
      <w:bookmarkStart w:id="45" w:name="_Toc35393646"/>
      <w:r>
        <w:rPr>
          <w:rFonts w:hint="eastAsia" w:ascii="宋体" w:hAnsi="宋体" w:eastAsia="宋体" w:cs="宋体"/>
          <w:b w:val="0"/>
          <w:sz w:val="28"/>
          <w:szCs w:val="28"/>
        </w:rPr>
        <w:t>二、更正信息</w:t>
      </w:r>
      <w:bookmarkEnd w:id="42"/>
      <w:bookmarkEnd w:id="43"/>
      <w:bookmarkEnd w:id="44"/>
      <w:bookmarkEnd w:id="45"/>
    </w:p>
    <w:p>
      <w:pPr>
        <w:ind w:firstLine="560" w:firstLineChars="200"/>
        <w:rPr>
          <w:rFonts w:hint="eastAsia" w:ascii="宋体" w:hAnsi="宋体" w:eastAsia="宋体" w:cs="宋体"/>
          <w:sz w:val="28"/>
          <w:szCs w:val="28"/>
        </w:rPr>
      </w:pPr>
      <w:r>
        <w:rPr>
          <w:rFonts w:hint="eastAsia" w:ascii="宋体" w:hAnsi="宋体" w:eastAsia="宋体" w:cs="宋体"/>
          <w:sz w:val="28"/>
          <w:szCs w:val="28"/>
        </w:rPr>
        <w:t>更正事项：采购文件</w:t>
      </w:r>
      <w:r>
        <w:rPr>
          <w:rFonts w:hint="eastAsia" w:ascii="宋体" w:hAnsi="宋体" w:eastAsia="宋体" w:cs="宋体"/>
          <w:sz w:val="28"/>
          <w:szCs w:val="28"/>
          <w:lang w:val="en-US" w:eastAsia="zh-CN"/>
        </w:rPr>
        <w:t>(第一至第三十八标段）</w:t>
      </w:r>
      <w:r>
        <w:rPr>
          <w:rFonts w:hint="eastAsia" w:ascii="宋体" w:hAnsi="宋体" w:eastAsia="宋体" w:cs="宋体"/>
          <w:sz w:val="28"/>
          <w:szCs w:val="28"/>
        </w:rPr>
        <w:t xml:space="preserve">    </w:t>
      </w:r>
    </w:p>
    <w:p>
      <w:pPr>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rPr>
        <w:t>更正内容</w:t>
      </w:r>
      <w:r>
        <w:rPr>
          <w:rFonts w:hint="eastAsia" w:ascii="宋体" w:hAnsi="宋体" w:eastAsia="宋体" w:cs="宋体"/>
          <w:sz w:val="28"/>
          <w:szCs w:val="28"/>
        </w:rPr>
        <w:t>：</w:t>
      </w:r>
      <w:r>
        <w:rPr>
          <w:rFonts w:hint="eastAsia" w:ascii="宋体" w:hAnsi="宋体" w:eastAsia="宋体" w:cs="宋体"/>
          <w:sz w:val="28"/>
          <w:szCs w:val="28"/>
          <w:lang w:val="en-US" w:eastAsia="zh-CN"/>
        </w:rPr>
        <w:t>将招标文件中“提供带有CMA标识的检测报告”、“技术参数偏离表中关于产品优势的响应内容，须提供带有CMA标识的检测报告，否则不予认定。”</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更正为“提供带有CMA或CNAS标识的检测报告”、“技术参数偏离表中关于产品优势的响应内容，须提供带有CMA或CNAS标识的检测报告，否则不予认定。”</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澄清或者修改的内容不影响投标文件编制，如有疑问，请咨询采购代理机构。</w:t>
      </w:r>
    </w:p>
    <w:p>
      <w:pPr>
        <w:ind w:firstLine="560" w:firstLineChars="200"/>
        <w:rPr>
          <w:rFonts w:hint="eastAsia" w:ascii="宋体" w:hAnsi="宋体" w:eastAsia="宋体" w:cs="宋体"/>
          <w:sz w:val="28"/>
          <w:szCs w:val="28"/>
          <w:u w:val="single"/>
        </w:rPr>
      </w:pPr>
      <w:r>
        <w:rPr>
          <w:rFonts w:hint="eastAsia" w:ascii="宋体" w:hAnsi="宋体" w:eastAsia="宋体" w:cs="宋体"/>
          <w:sz w:val="28"/>
          <w:szCs w:val="28"/>
        </w:rPr>
        <w:t>更正日期：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11</w:t>
      </w:r>
      <w:r>
        <w:rPr>
          <w:rFonts w:hint="eastAsia" w:ascii="宋体" w:hAnsi="宋体" w:eastAsia="宋体" w:cs="宋体"/>
          <w:sz w:val="28"/>
          <w:szCs w:val="28"/>
        </w:rPr>
        <w:t>日</w:t>
      </w:r>
    </w:p>
    <w:p>
      <w:pPr>
        <w:pStyle w:val="4"/>
        <w:spacing w:line="360" w:lineRule="auto"/>
        <w:rPr>
          <w:rFonts w:hint="eastAsia" w:ascii="宋体" w:hAnsi="宋体" w:eastAsia="宋体" w:cs="宋体"/>
          <w:b w:val="0"/>
          <w:sz w:val="28"/>
          <w:szCs w:val="28"/>
        </w:rPr>
      </w:pPr>
      <w:bookmarkStart w:id="46" w:name="_Toc35393816"/>
      <w:bookmarkStart w:id="47" w:name="_Toc35393647"/>
      <w:r>
        <w:rPr>
          <w:rFonts w:hint="eastAsia" w:ascii="宋体" w:hAnsi="宋体" w:eastAsia="宋体" w:cs="宋体"/>
          <w:b w:val="0"/>
          <w:sz w:val="28"/>
          <w:szCs w:val="28"/>
        </w:rPr>
        <w:t>三、其他补充事宜</w:t>
      </w:r>
      <w:bookmarkEnd w:id="46"/>
      <w:bookmarkEnd w:id="47"/>
    </w:p>
    <w:p>
      <w:pPr>
        <w:pStyle w:val="4"/>
        <w:widowControl/>
        <w:autoSpaceDE w:val="0"/>
        <w:autoSpaceDN w:val="0"/>
        <w:spacing w:line="360" w:lineRule="auto"/>
        <w:ind w:firstLine="560" w:firstLineChars="200"/>
        <w:textAlignment w:val="bottom"/>
        <w:rPr>
          <w:rFonts w:hint="eastAsia" w:ascii="宋体" w:hAnsi="宋体" w:eastAsia="宋体" w:cs="宋体"/>
          <w:sz w:val="28"/>
          <w:szCs w:val="28"/>
        </w:rPr>
      </w:pPr>
      <w:r>
        <w:rPr>
          <w:rFonts w:hint="eastAsia" w:ascii="宋体" w:hAnsi="宋体" w:eastAsia="宋体" w:cs="宋体"/>
          <w:b w:val="0"/>
          <w:bCs w:val="0"/>
          <w:kern w:val="2"/>
          <w:sz w:val="28"/>
          <w:szCs w:val="28"/>
          <w:lang w:val="en-US" w:eastAsia="zh-CN" w:bidi="ar-SA"/>
        </w:rPr>
        <w:t>发布媒体：中国政府采购网、采购与招标网。</w:t>
      </w:r>
    </w:p>
    <w:p>
      <w:pPr>
        <w:pStyle w:val="4"/>
        <w:spacing w:line="360" w:lineRule="auto"/>
        <w:rPr>
          <w:rFonts w:hint="eastAsia" w:ascii="宋体" w:hAnsi="宋体" w:eastAsia="宋体" w:cs="宋体"/>
          <w:b w:val="0"/>
          <w:sz w:val="28"/>
          <w:szCs w:val="28"/>
        </w:rPr>
      </w:pPr>
      <w:bookmarkStart w:id="48" w:name="_Toc35393648"/>
      <w:bookmarkStart w:id="49" w:name="_Toc28359029"/>
      <w:bookmarkStart w:id="50" w:name="_Toc28359106"/>
      <w:bookmarkStart w:id="51" w:name="_Toc35393817"/>
      <w:r>
        <w:rPr>
          <w:rFonts w:hint="eastAsia" w:ascii="宋体" w:hAnsi="宋体" w:eastAsia="宋体" w:cs="宋体"/>
          <w:b w:val="0"/>
          <w:sz w:val="28"/>
          <w:szCs w:val="28"/>
        </w:rPr>
        <w:t>四、凡对本次公告内容提出询问，请按以下方式联系。</w:t>
      </w:r>
      <w:bookmarkEnd w:id="48"/>
      <w:bookmarkEnd w:id="49"/>
      <w:bookmarkEnd w:id="50"/>
      <w:bookmarkEnd w:id="51"/>
    </w:p>
    <w:p>
      <w:pPr>
        <w:ind w:firstLine="560" w:firstLineChars="200"/>
        <w:rPr>
          <w:rFonts w:hint="eastAsia" w:ascii="宋体" w:hAnsi="宋体" w:eastAsia="宋体" w:cs="宋体"/>
          <w:sz w:val="28"/>
          <w:szCs w:val="28"/>
        </w:rPr>
      </w:pPr>
      <w:r>
        <w:rPr>
          <w:rFonts w:hint="eastAsia" w:ascii="宋体" w:hAnsi="宋体" w:eastAsia="宋体" w:cs="宋体"/>
          <w:sz w:val="28"/>
          <w:szCs w:val="28"/>
        </w:rPr>
        <w:t>1.采购人信息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采购单位名称：吉林省消防救援总队</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采购单位地址：吉林省长春市二道区自由大路6699号</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采购单位联系人：吴忪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联系电话：0431-84895193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2.采购代理机构信息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采购代理机构名称：中科高盛咨询集团有限公司</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地      址：长春市环球贸易中心一期2号楼25楼</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联  系  人：王玲莉；0431-84916666、13514491583</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3.项目联系方式</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项目联系人：王玲莉</w:t>
      </w:r>
    </w:p>
    <w:p>
      <w:pPr>
        <w:ind w:firstLine="560" w:firstLineChars="200"/>
        <w:rPr>
          <w:rFonts w:hint="eastAsia" w:ascii="宋体" w:hAnsi="宋体" w:eastAsia="宋体" w:cs="宋体"/>
        </w:rPr>
      </w:pPr>
      <w:r>
        <w:rPr>
          <w:rFonts w:hint="eastAsia" w:ascii="宋体" w:hAnsi="宋体" w:eastAsia="宋体" w:cs="宋体"/>
          <w:sz w:val="28"/>
          <w:szCs w:val="28"/>
        </w:rPr>
        <w:t>电　话：0431-84916666、13514491583</w:t>
      </w:r>
    </w:p>
    <w:p>
      <w:pPr>
        <w:spacing w:line="240" w:lineRule="auto"/>
        <w:jc w:val="left"/>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pPr>
        <w:spacing w:line="360" w:lineRule="auto"/>
        <w:jc w:val="center"/>
        <w:outlineLvl w:val="0"/>
        <w:rPr>
          <w:rFonts w:hint="eastAsia" w:ascii="宋体" w:hAnsi="宋体" w:eastAsia="宋体" w:cs="宋体"/>
          <w:b/>
          <w:color w:val="auto"/>
          <w:sz w:val="36"/>
          <w:szCs w:val="36"/>
          <w:highlight w:val="none"/>
          <w:lang w:eastAsia="zh-CN"/>
        </w:rPr>
      </w:pPr>
      <w:bookmarkStart w:id="52" w:name="_Toc32539"/>
      <w:r>
        <w:rPr>
          <w:rFonts w:hint="eastAsia" w:ascii="宋体" w:hAnsi="宋体" w:eastAsia="宋体" w:cs="宋体"/>
          <w:b/>
          <w:color w:val="auto"/>
          <w:sz w:val="36"/>
          <w:szCs w:val="36"/>
          <w:highlight w:val="none"/>
        </w:rPr>
        <w:t>第二章</w:t>
      </w:r>
      <w:r>
        <w:rPr>
          <w:rFonts w:hint="eastAsia" w:ascii="宋体" w:hAnsi="宋体" w:eastAsia="宋体" w:cs="宋体"/>
          <w:b/>
          <w:color w:val="auto"/>
          <w:sz w:val="36"/>
          <w:szCs w:val="36"/>
          <w:highlight w:val="none"/>
          <w:lang w:val="en-US" w:eastAsia="zh-CN"/>
        </w:rPr>
        <w:t xml:space="preserve"> </w:t>
      </w:r>
      <w:r>
        <w:rPr>
          <w:rFonts w:hint="eastAsia" w:ascii="宋体" w:hAnsi="宋体" w:eastAsia="宋体" w:cs="宋体"/>
          <w:b/>
          <w:color w:val="auto"/>
          <w:sz w:val="36"/>
          <w:szCs w:val="36"/>
          <w:highlight w:val="none"/>
        </w:rPr>
        <w:t>投标人须知</w:t>
      </w:r>
      <w:r>
        <w:rPr>
          <w:rFonts w:hint="eastAsia" w:ascii="宋体" w:hAnsi="宋体" w:eastAsia="宋体" w:cs="宋体"/>
          <w:b/>
          <w:color w:val="auto"/>
          <w:sz w:val="36"/>
          <w:szCs w:val="36"/>
          <w:highlight w:val="none"/>
          <w:lang w:eastAsia="zh-CN"/>
        </w:rPr>
        <w:t>前附表</w:t>
      </w:r>
      <w:bookmarkEnd w:id="52"/>
    </w:p>
    <w:p>
      <w:pPr>
        <w:spacing w:line="360" w:lineRule="exact"/>
        <w:ind w:firstLine="480" w:firstLineChars="2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本表的内容是对投标人须知的具体补充，如有矛盾，以本表为准。</w:t>
      </w:r>
    </w:p>
    <w:tbl>
      <w:tblPr>
        <w:tblStyle w:val="24"/>
        <w:tblW w:w="103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04"/>
        <w:gridCol w:w="1456"/>
        <w:gridCol w:w="816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0" w:hRule="atLeast"/>
          <w:jc w:val="center"/>
        </w:trPr>
        <w:tc>
          <w:tcPr>
            <w:tcW w:w="2160" w:type="dxa"/>
            <w:gridSpan w:val="2"/>
            <w:tcBorders>
              <w:top w:val="single" w:color="auto" w:sz="12"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条款号</w:t>
            </w:r>
          </w:p>
        </w:tc>
        <w:tc>
          <w:tcPr>
            <w:tcW w:w="8169" w:type="dxa"/>
            <w:tcBorders>
              <w:top w:val="single" w:color="auto" w:sz="12"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5"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说明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77" w:hRule="atLeast"/>
          <w:jc w:val="center"/>
        </w:trPr>
        <w:tc>
          <w:tcPr>
            <w:tcW w:w="2160" w:type="dxa"/>
            <w:gridSpan w:val="2"/>
            <w:tcBorders>
              <w:bottom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项目标段名称</w:t>
            </w:r>
          </w:p>
        </w:tc>
        <w:tc>
          <w:tcPr>
            <w:tcW w:w="8169" w:type="dxa"/>
            <w:tcBorders>
              <w:bottom w:val="single" w:color="auto" w:sz="4" w:space="0"/>
            </w:tcBorders>
            <w:vAlign w:val="center"/>
          </w:tcPr>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吉林省消防救援总队“自然灾害应急能力提升工程”装备配备项目（地震化工装备）第</w:t>
            </w:r>
            <w:r>
              <w:rPr>
                <w:rFonts w:hint="eastAsia" w:ascii="宋体" w:hAnsi="宋体" w:eastAsia="宋体" w:cs="宋体"/>
                <w:b w:val="0"/>
                <w:bCs w:val="0"/>
                <w:color w:val="auto"/>
                <w:sz w:val="24"/>
                <w:highlight w:val="none"/>
                <w:lang w:val="en-US" w:eastAsia="zh-CN"/>
              </w:rPr>
              <w:t>十七</w:t>
            </w:r>
            <w:r>
              <w:rPr>
                <w:rFonts w:hint="eastAsia" w:ascii="宋体" w:hAnsi="宋体" w:eastAsia="宋体" w:cs="宋体"/>
                <w:b w:val="0"/>
                <w:bCs w:val="0"/>
                <w:color w:val="auto"/>
                <w:sz w:val="24"/>
                <w:highlight w:val="none"/>
                <w:lang w:eastAsia="zh-CN"/>
              </w:rPr>
              <w:t>标段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2160" w:type="dxa"/>
            <w:gridSpan w:val="2"/>
            <w:tcBorders>
              <w:top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en-US" w:eastAsia="zh-CN"/>
              </w:rPr>
              <w:t>项目标段编号</w:t>
            </w:r>
          </w:p>
        </w:tc>
        <w:tc>
          <w:tcPr>
            <w:tcW w:w="8169" w:type="dxa"/>
            <w:tcBorders>
              <w:top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ZKGSF(ZB)-20240350-17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资金来源</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lang w:val="en-US" w:eastAsia="zh-CN"/>
              </w:rPr>
              <w:t>出资比例及落实情况</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eastAsia="zh-CN"/>
              </w:rPr>
              <w:t>财政资金，</w:t>
            </w:r>
            <w:r>
              <w:rPr>
                <w:rFonts w:hint="eastAsia" w:ascii="宋体" w:hAnsi="宋体" w:eastAsia="宋体" w:cs="宋体"/>
                <w:b w:val="0"/>
                <w:bCs w:val="0"/>
                <w:color w:val="auto"/>
                <w:sz w:val="24"/>
                <w:highlight w:val="none"/>
                <w:lang w:val="en-US" w:eastAsia="zh-CN"/>
              </w:rPr>
              <w:t>100%，已落实。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2</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采购人</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吉林省消防救援总队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7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3</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采购代理机构</w:t>
            </w:r>
          </w:p>
        </w:tc>
        <w:tc>
          <w:tcPr>
            <w:tcW w:w="8169" w:type="dxa"/>
            <w:vAlign w:val="center"/>
          </w:tcPr>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采购代理机构名称：中科高盛咨询集团有限公司</w:t>
            </w:r>
          </w:p>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地      址：长春市环球贸易中心一期2号楼25楼</w:t>
            </w:r>
          </w:p>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联  系  人：王玲莉；0431-84916666、13514491583</w:t>
            </w:r>
          </w:p>
          <w:p>
            <w:pPr>
              <w:spacing w:line="360" w:lineRule="exact"/>
              <w:jc w:val="left"/>
              <w:rPr>
                <w:rFonts w:hint="eastAsia" w:ascii="宋体" w:hAnsi="宋体" w:eastAsia="宋体" w:cs="宋体"/>
                <w:b w:val="0"/>
                <w:bCs w:val="0"/>
                <w:i/>
                <w:iCs/>
                <w:color w:val="auto"/>
                <w:sz w:val="24"/>
                <w:highlight w:val="none"/>
                <w:lang w:val="en-US" w:eastAsia="zh-CN"/>
              </w:rPr>
            </w:pPr>
            <w:r>
              <w:rPr>
                <w:rFonts w:hint="eastAsia" w:ascii="宋体" w:hAnsi="宋体" w:eastAsia="宋体" w:cs="宋体"/>
                <w:b w:val="0"/>
                <w:bCs w:val="0"/>
                <w:color w:val="auto"/>
                <w:sz w:val="24"/>
                <w:highlight w:val="none"/>
              </w:rPr>
              <w:t>电子邮件：1053935487@qq.com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*投标人资格</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000000" w:themeColor="text1"/>
                <w:spacing w:val="6"/>
                <w:sz w:val="24"/>
                <w:highlight w:val="none"/>
                <w14:textFill>
                  <w14:solidFill>
                    <w14:schemeClr w14:val="tx1"/>
                  </w14:solidFill>
                </w14:textFill>
              </w:rPr>
            </w:pPr>
            <w:r>
              <w:rPr>
                <w:rFonts w:hint="eastAsia" w:ascii="宋体" w:hAnsi="宋体" w:eastAsia="宋体" w:cs="宋体"/>
                <w:b w:val="0"/>
                <w:bCs w:val="0"/>
                <w:color w:val="000000" w:themeColor="text1"/>
                <w:spacing w:val="6"/>
                <w:sz w:val="24"/>
                <w:highlight w:val="none"/>
                <w14:textFill>
                  <w14:solidFill>
                    <w14:schemeClr w14:val="tx1"/>
                  </w14:solidFill>
                </w14:textFill>
              </w:rPr>
              <w:t>1.满足《中华人民共和国政府采购法》第二十二条规定</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w:t>
            </w:r>
          </w:p>
          <w:p>
            <w:pPr>
              <w:spacing w:line="360" w:lineRule="exact"/>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14:textFill>
                  <w14:solidFill>
                    <w14:schemeClr w14:val="tx1"/>
                  </w14:solidFill>
                </w14:textFill>
              </w:rPr>
              <w:t>1）具有独立承担民事责任的能力；</w:t>
            </w:r>
          </w:p>
          <w:p>
            <w:pPr>
              <w:spacing w:line="360" w:lineRule="exact"/>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14:textFill>
                  <w14:solidFill>
                    <w14:schemeClr w14:val="tx1"/>
                  </w14:solidFill>
                </w14:textFill>
              </w:rPr>
              <w:t>2）</w:t>
            </w:r>
            <w:r>
              <w:rPr>
                <w:rFonts w:hint="eastAsia" w:ascii="宋体" w:hAnsi="宋体" w:eastAsia="宋体" w:cs="宋体"/>
                <w:bCs/>
                <w:color w:val="000000" w:themeColor="text1"/>
                <w:sz w:val="24"/>
                <w:highlight w:val="none"/>
                <w14:textFill>
                  <w14:solidFill>
                    <w14:schemeClr w14:val="tx1"/>
                  </w14:solidFill>
                </w14:textFill>
              </w:rPr>
              <w:t>具有良好的商业信誉和健全的财务会计制度{</w:t>
            </w:r>
            <w:r>
              <w:rPr>
                <w:rFonts w:hint="eastAsia" w:ascii="宋体" w:hAnsi="宋体" w:eastAsia="宋体" w:cs="宋体"/>
                <w:color w:val="000000" w:themeColor="text1"/>
                <w:sz w:val="24"/>
                <w:highlight w:val="none"/>
                <w:lang w:eastAsia="zh-CN"/>
                <w14:textFill>
                  <w14:solidFill>
                    <w14:schemeClr w14:val="tx1"/>
                  </w14:solidFill>
                </w14:textFill>
              </w:rPr>
              <w:t>提供近三年（20</w:t>
            </w:r>
            <w:r>
              <w:rPr>
                <w:rFonts w:hint="eastAsia" w:ascii="宋体" w:hAnsi="宋体" w:eastAsia="宋体" w:cs="宋体"/>
                <w:color w:val="000000" w:themeColor="text1"/>
                <w:sz w:val="24"/>
                <w:highlight w:val="none"/>
                <w:lang w:val="en-US" w:eastAsia="zh-CN"/>
                <w14:textFill>
                  <w14:solidFill>
                    <w14:schemeClr w14:val="tx1"/>
                  </w14:solidFill>
                </w14:textFill>
              </w:rPr>
              <w:t>20</w:t>
            </w:r>
            <w:r>
              <w:rPr>
                <w:rFonts w:hint="eastAsia" w:ascii="宋体" w:hAnsi="宋体" w:eastAsia="宋体" w:cs="宋体"/>
                <w:color w:val="000000" w:themeColor="text1"/>
                <w:sz w:val="24"/>
                <w:highlight w:val="none"/>
                <w:lang w:eastAsia="zh-CN"/>
                <w14:textFill>
                  <w14:solidFill>
                    <w14:schemeClr w14:val="tx1"/>
                  </w14:solidFill>
                </w14:textFill>
              </w:rPr>
              <w:t>年-20</w:t>
            </w:r>
            <w:r>
              <w:rPr>
                <w:rFonts w:hint="eastAsia" w:ascii="宋体" w:hAnsi="宋体" w:eastAsia="宋体" w:cs="宋体"/>
                <w:color w:val="000000" w:themeColor="text1"/>
                <w:sz w:val="24"/>
                <w:highlight w:val="none"/>
                <w:lang w:val="en-US" w:eastAsia="zh-CN"/>
                <w14:textFill>
                  <w14:solidFill>
                    <w14:schemeClr w14:val="tx1"/>
                  </w14:solidFill>
                </w14:textFill>
              </w:rPr>
              <w:t>22</w:t>
            </w:r>
            <w:r>
              <w:rPr>
                <w:rFonts w:hint="eastAsia" w:ascii="宋体" w:hAnsi="宋体" w:eastAsia="宋体" w:cs="宋体"/>
                <w:color w:val="000000" w:themeColor="text1"/>
                <w:sz w:val="24"/>
                <w:highlight w:val="none"/>
                <w:lang w:eastAsia="zh-CN"/>
                <w14:textFill>
                  <w14:solidFill>
                    <w14:schemeClr w14:val="tx1"/>
                  </w14:solidFill>
                </w14:textFill>
              </w:rPr>
              <w:t>年）</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经会计师事务所出具的财务审计报告。</w:t>
            </w:r>
            <w:r>
              <w:rPr>
                <w:rFonts w:hint="eastAsia" w:ascii="宋体" w:hAnsi="宋体" w:eastAsia="宋体" w:cs="宋体"/>
                <w:color w:val="000000" w:themeColor="text1"/>
                <w:sz w:val="24"/>
                <w:highlight w:val="none"/>
                <w:lang w:eastAsia="zh-CN"/>
                <w14:textFill>
                  <w14:solidFill>
                    <w14:schemeClr w14:val="tx1"/>
                  </w14:solidFill>
                </w14:textFill>
              </w:rPr>
              <w:t>（若投标人为20</w:t>
            </w:r>
            <w:r>
              <w:rPr>
                <w:rFonts w:hint="eastAsia" w:ascii="宋体" w:hAnsi="宋体" w:eastAsia="宋体" w:cs="宋体"/>
                <w:color w:val="000000" w:themeColor="text1"/>
                <w:sz w:val="24"/>
                <w:highlight w:val="none"/>
                <w:lang w:val="en-US" w:eastAsia="zh-CN"/>
                <w14:textFill>
                  <w14:solidFill>
                    <w14:schemeClr w14:val="tx1"/>
                  </w14:solidFill>
                </w14:textFill>
              </w:rPr>
              <w:t>20</w:t>
            </w:r>
            <w:r>
              <w:rPr>
                <w:rFonts w:hint="eastAsia" w:ascii="宋体" w:hAnsi="宋体" w:eastAsia="宋体" w:cs="宋体"/>
                <w:color w:val="000000" w:themeColor="text1"/>
                <w:sz w:val="24"/>
                <w:highlight w:val="none"/>
                <w:lang w:eastAsia="zh-CN"/>
                <w14:textFill>
                  <w14:solidFill>
                    <w14:schemeClr w14:val="tx1"/>
                  </w14:solidFill>
                </w14:textFill>
              </w:rPr>
              <w:t>年以后注册成立的公司，即需提供从成立日期起的财务审计报告；若投标人为202</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lang w:eastAsia="zh-CN"/>
                <w14:textFill>
                  <w14:solidFill>
                    <w14:schemeClr w14:val="tx1"/>
                  </w14:solidFill>
                </w14:textFill>
              </w:rPr>
              <w:t>年以后注册成立的公司，即需提供一份银行资信证明）</w:t>
            </w:r>
            <w:r>
              <w:rPr>
                <w:rFonts w:hint="eastAsia" w:ascii="宋体" w:hAnsi="宋体" w:eastAsia="宋体" w:cs="宋体"/>
                <w:bCs/>
                <w:color w:val="000000" w:themeColor="text1"/>
                <w:sz w:val="24"/>
                <w:highlight w:val="none"/>
                <w14:textFill>
                  <w14:solidFill>
                    <w14:schemeClr w14:val="tx1"/>
                  </w14:solidFill>
                </w14:textFill>
              </w:rPr>
              <w:t>}</w:t>
            </w:r>
            <w:r>
              <w:rPr>
                <w:rFonts w:hint="eastAsia" w:ascii="宋体" w:hAnsi="宋体" w:eastAsia="宋体" w:cs="宋体"/>
                <w:b w:val="0"/>
                <w:bCs w:val="0"/>
                <w:color w:val="000000" w:themeColor="text1"/>
                <w:spacing w:val="6"/>
                <w:sz w:val="24"/>
                <w:highlight w:val="none"/>
                <w14:textFill>
                  <w14:solidFill>
                    <w14:schemeClr w14:val="tx1"/>
                  </w14:solidFill>
                </w14:textFill>
              </w:rPr>
              <w:t>；</w:t>
            </w:r>
          </w:p>
          <w:p>
            <w:pPr>
              <w:spacing w:line="360" w:lineRule="exact"/>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14:textFill>
                  <w14:solidFill>
                    <w14:schemeClr w14:val="tx1"/>
                  </w14:solidFill>
                </w14:textFill>
              </w:rPr>
              <w:t>3）具有履行合同所必需的设备和专业技术能力（可以提供类似业绩合同或者可以提供承诺书</w:t>
            </w: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&lt;</w:t>
            </w:r>
            <w:r>
              <w:rPr>
                <w:rFonts w:hint="eastAsia" w:ascii="宋体" w:hAnsi="宋体" w:eastAsia="宋体" w:cs="宋体"/>
                <w:b w:val="0"/>
                <w:bCs w:val="0"/>
                <w:color w:val="000000" w:themeColor="text1"/>
                <w:spacing w:val="6"/>
                <w:sz w:val="24"/>
                <w:highlight w:val="none"/>
                <w14:textFill>
                  <w14:solidFill>
                    <w14:schemeClr w14:val="tx1"/>
                  </w14:solidFill>
                </w14:textFill>
              </w:rPr>
              <w:t>格式自拟</w:t>
            </w: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&gt;</w:t>
            </w:r>
            <w:r>
              <w:rPr>
                <w:rFonts w:hint="eastAsia" w:ascii="宋体" w:hAnsi="宋体" w:eastAsia="宋体" w:cs="宋体"/>
                <w:b w:val="0"/>
                <w:bCs w:val="0"/>
                <w:color w:val="000000" w:themeColor="text1"/>
                <w:spacing w:val="6"/>
                <w:sz w:val="24"/>
                <w:highlight w:val="none"/>
                <w14:textFill>
                  <w14:solidFill>
                    <w14:schemeClr w14:val="tx1"/>
                  </w14:solidFill>
                </w14:textFill>
              </w:rPr>
              <w:t>）；</w:t>
            </w:r>
          </w:p>
          <w:p>
            <w:pPr>
              <w:spacing w:line="360" w:lineRule="exact"/>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14:textFill>
                  <w14:solidFill>
                    <w14:schemeClr w14:val="tx1"/>
                  </w14:solidFill>
                </w14:textFill>
              </w:rPr>
              <w:t>4）有依法缴纳税收和社会保障资金的良好记录</w:t>
            </w: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提供近一年（202</w:t>
            </w: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3</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年</w:t>
            </w: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3</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月以后）任意两个月的依法缴纳税收</w:t>
            </w: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记录</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和社会保障资金的相关材料（</w:t>
            </w:r>
            <w:r>
              <w:rPr>
                <w:rFonts w:hint="eastAsia" w:ascii="宋体" w:hAnsi="宋体" w:eastAsia="宋体" w:cs="宋体"/>
                <w:b w:val="0"/>
                <w:bCs w:val="0"/>
                <w:color w:val="000000" w:themeColor="text1"/>
                <w:spacing w:val="6"/>
                <w:sz w:val="24"/>
                <w:highlight w:val="none"/>
                <w14:textFill>
                  <w14:solidFill>
                    <w14:schemeClr w14:val="tx1"/>
                  </w14:solidFill>
                </w14:textFill>
              </w:rPr>
              <w:t>依法免税或不需要缴纳社会保障资金的</w:t>
            </w:r>
            <w:r>
              <w:rPr>
                <w:rFonts w:hint="eastAsia" w:ascii="宋体" w:hAnsi="宋体" w:eastAsia="宋体" w:cs="宋体"/>
                <w:color w:val="000000" w:themeColor="text1"/>
                <w:sz w:val="24"/>
                <w:highlight w:val="none"/>
                <w:lang w:val="en-US" w:eastAsia="zh-CN"/>
                <w14:textFill>
                  <w14:solidFill>
                    <w14:schemeClr w14:val="tx1"/>
                  </w14:solidFill>
                </w14:textFill>
              </w:rPr>
              <w:t>投标人</w:t>
            </w:r>
            <w:r>
              <w:rPr>
                <w:rFonts w:hint="eastAsia" w:ascii="宋体" w:hAnsi="宋体" w:eastAsia="宋体" w:cs="宋体"/>
                <w:b w:val="0"/>
                <w:bCs w:val="0"/>
                <w:color w:val="000000" w:themeColor="text1"/>
                <w:spacing w:val="6"/>
                <w:sz w:val="24"/>
                <w:highlight w:val="none"/>
                <w14:textFill>
                  <w14:solidFill>
                    <w14:schemeClr w14:val="tx1"/>
                  </w14:solidFill>
                </w14:textFill>
              </w:rPr>
              <w:t>，应提供相应文件证明其依法免税或不需要缴纳社会保障资金）</w:t>
            </w: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pacing w:val="6"/>
                <w:sz w:val="24"/>
                <w:highlight w:val="none"/>
                <w14:textFill>
                  <w14:solidFill>
                    <w14:schemeClr w14:val="tx1"/>
                  </w14:solidFill>
                </w14:textFill>
              </w:rPr>
              <w:t>；</w:t>
            </w:r>
          </w:p>
          <w:p>
            <w:pPr>
              <w:spacing w:line="360" w:lineRule="exact"/>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14:textFill>
                  <w14:solidFill>
                    <w14:schemeClr w14:val="tx1"/>
                  </w14:solidFill>
                </w14:textFill>
              </w:rPr>
              <w:t>5）参加政府采购活动前三年内</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在经营活动中没有重大违法记录的书面声明（</w:t>
            </w: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声明函格式自拟</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w:t>
            </w:r>
          </w:p>
          <w:p>
            <w:pPr>
              <w:spacing w:line="360" w:lineRule="exact"/>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6）法律、行政法规规定的其他条件。</w:t>
            </w:r>
          </w:p>
          <w:p>
            <w:pPr>
              <w:spacing w:line="240" w:lineRule="auto"/>
              <w:rPr>
                <w:rFonts w:hint="eastAsia" w:ascii="宋体" w:hAnsi="宋体" w:eastAsia="宋体" w:cs="宋体"/>
                <w:b/>
                <w:bCs/>
                <w:color w:val="000000" w:themeColor="text1"/>
                <w:spacing w:val="6"/>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2</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落实政府采购政策需满足的资格要求：</w:t>
            </w:r>
            <w:r>
              <w:rPr>
                <w:rFonts w:hint="eastAsia" w:ascii="宋体" w:hAnsi="宋体" w:eastAsia="宋体" w:cs="宋体"/>
                <w:b/>
                <w:bCs/>
                <w:color w:val="000000" w:themeColor="text1"/>
                <w:spacing w:val="6"/>
                <w:sz w:val="24"/>
                <w:highlight w:val="none"/>
                <w:lang w:eastAsia="zh-CN"/>
                <w14:textFill>
                  <w14:solidFill>
                    <w14:schemeClr w14:val="tx1"/>
                  </w14:solidFill>
                </w14:textFill>
              </w:rPr>
              <w:t>第</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1</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17</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21</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30</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32</w:t>
            </w:r>
            <w:r>
              <w:rPr>
                <w:rFonts w:hint="eastAsia" w:ascii="宋体" w:hAnsi="宋体" w:eastAsia="宋体" w:cs="宋体"/>
                <w:b/>
                <w:bCs/>
                <w:color w:val="000000" w:themeColor="text1"/>
                <w:spacing w:val="6"/>
                <w:sz w:val="24"/>
                <w:highlight w:val="none"/>
                <w:lang w:eastAsia="zh-CN"/>
                <w14:textFill>
                  <w14:solidFill>
                    <w14:schemeClr w14:val="tx1"/>
                  </w14:solidFill>
                </w14:textFill>
              </w:rPr>
              <w:t>标段</w:t>
            </w:r>
            <w:r>
              <w:rPr>
                <w:rFonts w:hint="eastAsia" w:ascii="宋体" w:hAnsi="宋体" w:eastAsia="宋体" w:cs="宋体"/>
                <w:b/>
                <w:bCs/>
                <w:color w:val="000000" w:themeColor="text1"/>
                <w:spacing w:val="6"/>
                <w:sz w:val="24"/>
                <w:highlight w:val="none"/>
                <w14:textFill>
                  <w14:solidFill>
                    <w14:schemeClr w14:val="tx1"/>
                  </w14:solidFill>
                </w14:textFill>
              </w:rPr>
              <w:t>专门面向中小企业采购</w:t>
            </w:r>
            <w:r>
              <w:rPr>
                <w:rFonts w:hint="eastAsia" w:ascii="宋体" w:hAnsi="宋体" w:eastAsia="宋体" w:cs="宋体"/>
                <w:b/>
                <w:bCs/>
                <w:color w:val="000000" w:themeColor="text1"/>
                <w:spacing w:val="6"/>
                <w:sz w:val="24"/>
                <w:highlight w:val="none"/>
                <w:lang w:eastAsia="zh-CN"/>
                <w14:textFill>
                  <w14:solidFill>
                    <w14:schemeClr w14:val="tx1"/>
                  </w14:solidFill>
                </w14:textFill>
              </w:rPr>
              <w:t>；第</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2</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3</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4</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9</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15</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16</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18</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19</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22</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23</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24</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28</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29</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34</w:t>
            </w:r>
            <w:r>
              <w:rPr>
                <w:rFonts w:hint="eastAsia" w:ascii="宋体" w:hAnsi="宋体" w:eastAsia="宋体" w:cs="宋体"/>
                <w:b/>
                <w:bCs/>
                <w:color w:val="000000" w:themeColor="text1"/>
                <w:spacing w:val="6"/>
                <w:sz w:val="24"/>
                <w:highlight w:val="none"/>
                <w:lang w:eastAsia="zh-CN"/>
                <w14:textFill>
                  <w14:solidFill>
                    <w14:schemeClr w14:val="tx1"/>
                  </w14:solidFill>
                </w14:textFill>
              </w:rPr>
              <w:t>、</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37</w:t>
            </w:r>
            <w:r>
              <w:rPr>
                <w:rFonts w:hint="eastAsia" w:ascii="宋体" w:hAnsi="宋体" w:eastAsia="宋体" w:cs="宋体"/>
                <w:b/>
                <w:bCs/>
                <w:color w:val="000000" w:themeColor="text1"/>
                <w:spacing w:val="6"/>
                <w:sz w:val="24"/>
                <w:highlight w:val="none"/>
                <w:lang w:eastAsia="zh-CN"/>
                <w14:textFill>
                  <w14:solidFill>
                    <w14:schemeClr w14:val="tx1"/>
                  </w14:solidFill>
                </w14:textFill>
              </w:rPr>
              <w:t>标段</w:t>
            </w:r>
            <w:r>
              <w:rPr>
                <w:rFonts w:hint="eastAsia" w:ascii="宋体" w:hAnsi="宋体" w:eastAsia="宋体" w:cs="宋体"/>
                <w:b/>
                <w:bCs/>
                <w:color w:val="000000" w:themeColor="text1"/>
                <w:spacing w:val="6"/>
                <w:sz w:val="24"/>
                <w:highlight w:val="none"/>
                <w14:textFill>
                  <w14:solidFill>
                    <w14:schemeClr w14:val="tx1"/>
                  </w14:solidFill>
                </w14:textFill>
              </w:rPr>
              <w:t>专门面向小微企业采购；其余标段非专门面向中小企业采购</w:t>
            </w:r>
            <w:r>
              <w:rPr>
                <w:rFonts w:hint="eastAsia" w:ascii="宋体" w:hAnsi="宋体" w:eastAsia="宋体" w:cs="宋体"/>
                <w:b/>
                <w:bCs/>
                <w:color w:val="000000" w:themeColor="text1"/>
                <w:spacing w:val="6"/>
                <w:sz w:val="24"/>
                <w:highlight w:val="none"/>
                <w:lang w:val="en-US" w:eastAsia="zh-CN"/>
                <w14:textFill>
                  <w14:solidFill>
                    <w14:schemeClr w14:val="tx1"/>
                  </w14:solidFill>
                </w14:textFill>
              </w:rPr>
              <w:t>。</w:t>
            </w:r>
          </w:p>
          <w:p>
            <w:pPr>
              <w:spacing w:line="360" w:lineRule="exact"/>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3</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本项目的特定资格要求：</w:t>
            </w:r>
          </w:p>
          <w:p>
            <w:pPr>
              <w:spacing w:line="360" w:lineRule="exact"/>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1）</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投标人应当通过“信用中国”网站（www.creditchina.gov.cn）、中国政府采购网（www.ccgp.gov.cn）等渠道查询相关主体信用记录，未被列入失信被执行人、重大税收违法失信主体、政府采购严重违法失信行为记录名单。</w:t>
            </w:r>
          </w:p>
          <w:p>
            <w:pPr>
              <w:spacing w:line="360" w:lineRule="exact"/>
              <w:rPr>
                <w:rFonts w:hint="eastAsia" w:ascii="宋体" w:hAnsi="宋体" w:eastAsia="宋体" w:cs="宋体"/>
                <w:b w:val="0"/>
                <w:bCs w:val="0"/>
                <w:color w:val="000000" w:themeColor="text1"/>
                <w:spacing w:val="6"/>
                <w:sz w:val="24"/>
                <w:highlight w:val="none"/>
                <w14:textFill>
                  <w14:solidFill>
                    <w14:schemeClr w14:val="tx1"/>
                  </w14:solidFill>
                </w14:textFill>
              </w:rPr>
            </w:pPr>
            <w:r>
              <w:rPr>
                <w:rFonts w:hint="eastAsia" w:ascii="宋体" w:hAnsi="宋体" w:eastAsia="宋体" w:cs="宋体"/>
                <w:b w:val="0"/>
                <w:bCs w:val="0"/>
                <w:color w:val="000000" w:themeColor="text1"/>
                <w:spacing w:val="6"/>
                <w:sz w:val="24"/>
                <w:highlight w:val="none"/>
                <w14:textFill>
                  <w14:solidFill>
                    <w14:schemeClr w14:val="tx1"/>
                  </w14:solidFill>
                </w14:textFill>
              </w:rPr>
              <w:t>2</w:t>
            </w:r>
            <w:r>
              <w:rPr>
                <w:rFonts w:hint="eastAsia" w:ascii="宋体" w:hAnsi="宋体" w:eastAsia="宋体" w:cs="宋体"/>
                <w:b w:val="0"/>
                <w:bCs w:val="0"/>
                <w:color w:val="000000" w:themeColor="text1"/>
                <w:spacing w:val="6"/>
                <w:sz w:val="24"/>
                <w:highlight w:val="none"/>
                <w:lang w:eastAsia="zh-CN"/>
                <w14:textFill>
                  <w14:solidFill>
                    <w14:schemeClr w14:val="tx1"/>
                  </w14:solidFill>
                </w14:textFill>
              </w:rPr>
              <w:t>）</w:t>
            </w:r>
            <w:r>
              <w:rPr>
                <w:rFonts w:hint="eastAsia" w:ascii="宋体" w:hAnsi="宋体" w:eastAsia="宋体" w:cs="宋体"/>
                <w:b w:val="0"/>
                <w:bCs w:val="0"/>
                <w:color w:val="000000" w:themeColor="text1"/>
                <w:spacing w:val="6"/>
                <w:sz w:val="24"/>
                <w:highlight w:val="none"/>
                <w14:textFill>
                  <w14:solidFill>
                    <w14:schemeClr w14:val="tx1"/>
                  </w14:solidFill>
                </w14:textFill>
              </w:rPr>
              <w:t>单位负责人为同一人或存在直接控股、管理关系的不同</w:t>
            </w:r>
            <w:r>
              <w:rPr>
                <w:rFonts w:hint="eastAsia" w:ascii="宋体" w:hAnsi="宋体" w:eastAsia="宋体" w:cs="宋体"/>
                <w:color w:val="000000" w:themeColor="text1"/>
                <w:sz w:val="24"/>
                <w:highlight w:val="none"/>
                <w:lang w:val="en-US" w:eastAsia="zh-CN"/>
                <w14:textFill>
                  <w14:solidFill>
                    <w14:schemeClr w14:val="tx1"/>
                  </w14:solidFill>
                </w14:textFill>
              </w:rPr>
              <w:t>供应商</w:t>
            </w:r>
            <w:r>
              <w:rPr>
                <w:rFonts w:hint="eastAsia" w:ascii="宋体" w:hAnsi="宋体" w:eastAsia="宋体" w:cs="宋体"/>
                <w:b w:val="0"/>
                <w:bCs w:val="0"/>
                <w:color w:val="000000" w:themeColor="text1"/>
                <w:spacing w:val="6"/>
                <w:sz w:val="24"/>
                <w:highlight w:val="none"/>
                <w14:textFill>
                  <w14:solidFill>
                    <w14:schemeClr w14:val="tx1"/>
                  </w14:solidFill>
                </w14:textFill>
              </w:rPr>
              <w:t>，不得参加同一合同项下的政府采购活动。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招标文件的</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获取</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6"/>
                <w:sz w:val="24"/>
                <w:highlight w:val="none"/>
                <w:lang w:val="en-US" w:eastAsia="zh-CN"/>
                <w14:textFill>
                  <w14:solidFill>
                    <w14:schemeClr w14:val="tx1"/>
                  </w14:solidFill>
                </w14:textFill>
              </w:rPr>
              <w:t>详见公告正文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6</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招标范围</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000000" w:themeColor="text1"/>
                <w:sz w:val="24"/>
                <w:highlight w:val="none"/>
                <w14:textFill>
                  <w14:solidFill>
                    <w14:schemeClr w14:val="tx1"/>
                  </w14:solidFill>
                </w14:textFill>
              </w:rPr>
            </w:pPr>
            <w:r>
              <w:rPr>
                <w:rFonts w:hint="eastAsia" w:ascii="宋体" w:hAnsi="宋体" w:eastAsia="宋体" w:cs="宋体"/>
                <w:b w:val="0"/>
                <w:bCs w:val="0"/>
                <w:color w:val="000000" w:themeColor="text1"/>
                <w:sz w:val="24"/>
                <w:highlight w:val="none"/>
                <w14:textFill>
                  <w14:solidFill>
                    <w14:schemeClr w14:val="tx1"/>
                  </w14:solidFill>
                </w14:textFill>
              </w:rPr>
              <w:t>详见招标公告1.</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6</w:t>
            </w:r>
            <w:r>
              <w:rPr>
                <w:rFonts w:hint="eastAsia" w:ascii="宋体" w:hAnsi="宋体" w:eastAsia="宋体" w:cs="宋体"/>
                <w:b w:val="0"/>
                <w:bCs w:val="0"/>
                <w:color w:val="000000" w:themeColor="text1"/>
                <w:sz w:val="24"/>
                <w:highlight w:val="none"/>
                <w14:textFill>
                  <w14:solidFill>
                    <w14:schemeClr w14:val="tx1"/>
                  </w14:solidFill>
                </w14:textFill>
              </w:rPr>
              <w:t>采购需求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6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7</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*构成投标文件的其他材料</w:t>
            </w:r>
          </w:p>
        </w:tc>
        <w:tc>
          <w:tcPr>
            <w:tcW w:w="8169" w:type="dxa"/>
            <w:tcBorders>
              <w:left w:val="single" w:color="auto" w:sz="4" w:space="0"/>
            </w:tcBorders>
            <w:vAlign w:val="top"/>
          </w:tcPr>
          <w:p>
            <w:pPr>
              <w:adjustRightInd w:val="0"/>
              <w:spacing w:line="360" w:lineRule="exact"/>
              <w:rPr>
                <w:rFonts w:hint="eastAsia" w:ascii="宋体" w:hAnsi="宋体" w:eastAsia="宋体" w:cs="宋体"/>
                <w:b w:val="0"/>
                <w:bCs w:val="0"/>
                <w:color w:val="000000" w:themeColor="text1"/>
                <w:sz w:val="24"/>
                <w:highlight w:val="none"/>
                <w14:textFill>
                  <w14:solidFill>
                    <w14:schemeClr w14:val="tx1"/>
                  </w14:solidFill>
                </w14:textFill>
              </w:rPr>
            </w:pPr>
            <w:r>
              <w:rPr>
                <w:rFonts w:hint="eastAsia" w:ascii="宋体" w:hAnsi="宋体" w:eastAsia="宋体" w:cs="宋体"/>
                <w:b w:val="0"/>
                <w:bCs w:val="0"/>
                <w:color w:val="000000" w:themeColor="text1"/>
                <w:sz w:val="24"/>
                <w:highlight w:val="none"/>
                <w14:textFill>
                  <w14:solidFill>
                    <w14:schemeClr w14:val="tx1"/>
                  </w14:solidFill>
                </w14:textFill>
              </w:rPr>
              <w:t>投标人应符合</w:t>
            </w:r>
            <w:r>
              <w:rPr>
                <w:rFonts w:hint="eastAsia" w:ascii="宋体" w:hAnsi="宋体" w:eastAsia="宋体" w:cs="宋体"/>
                <w:b w:val="0"/>
                <w:bCs w:val="0"/>
                <w:color w:val="000000" w:themeColor="text1"/>
                <w:sz w:val="24"/>
                <w:highlight w:val="none"/>
                <w:lang w:eastAsia="zh-CN"/>
                <w14:textFill>
                  <w14:solidFill>
                    <w14:schemeClr w14:val="tx1"/>
                  </w14:solidFill>
                </w14:textFill>
              </w:rPr>
              <w:t>招标公告</w:t>
            </w:r>
            <w:r>
              <w:rPr>
                <w:rFonts w:hint="eastAsia" w:ascii="宋体" w:hAnsi="宋体" w:eastAsia="宋体" w:cs="宋体"/>
                <w:b w:val="0"/>
                <w:bCs w:val="0"/>
                <w:color w:val="000000" w:themeColor="text1"/>
                <w:sz w:val="24"/>
                <w:highlight w:val="none"/>
                <w14:textFill>
                  <w14:solidFill>
                    <w14:schemeClr w14:val="tx1"/>
                  </w14:solidFill>
                </w14:textFill>
              </w:rPr>
              <w:t>中投标人资格要求，</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并</w:t>
            </w:r>
            <w:r>
              <w:rPr>
                <w:rFonts w:hint="eastAsia" w:ascii="宋体" w:hAnsi="宋体" w:eastAsia="宋体" w:cs="宋体"/>
                <w:b w:val="0"/>
                <w:bCs w:val="0"/>
                <w:color w:val="000000" w:themeColor="text1"/>
                <w:sz w:val="24"/>
                <w:highlight w:val="none"/>
                <w14:textFill>
                  <w14:solidFill>
                    <w14:schemeClr w14:val="tx1"/>
                  </w14:solidFill>
                </w14:textFill>
              </w:rPr>
              <w:t>将以下资料的</w:t>
            </w:r>
            <w:r>
              <w:rPr>
                <w:rFonts w:hint="eastAsia" w:ascii="宋体" w:hAnsi="宋体" w:eastAsia="宋体" w:cs="宋体"/>
                <w:b w:val="0"/>
                <w:bCs w:val="0"/>
                <w:color w:val="000000" w:themeColor="text1"/>
                <w:sz w:val="24"/>
                <w:highlight w:val="none"/>
                <w:lang w:eastAsia="zh-CN"/>
                <w14:textFill>
                  <w14:solidFill>
                    <w14:schemeClr w14:val="tx1"/>
                  </w14:solidFill>
                </w14:textFill>
              </w:rPr>
              <w:t>加盖公章</w:t>
            </w:r>
            <w:r>
              <w:rPr>
                <w:rFonts w:hint="eastAsia" w:ascii="宋体" w:hAnsi="宋体" w:eastAsia="宋体" w:cs="宋体"/>
                <w:b w:val="0"/>
                <w:bCs w:val="0"/>
                <w:color w:val="000000" w:themeColor="text1"/>
                <w:sz w:val="24"/>
                <w:highlight w:val="none"/>
                <w14:textFill>
                  <w14:solidFill>
                    <w14:schemeClr w14:val="tx1"/>
                  </w14:solidFill>
                </w14:textFill>
              </w:rPr>
              <w:t>复印件装订到投标文件中：</w:t>
            </w:r>
          </w:p>
          <w:p>
            <w:pPr>
              <w:adjustRightInd w:val="0"/>
              <w:spacing w:line="360" w:lineRule="exact"/>
              <w:rPr>
                <w:rFonts w:hint="eastAsia" w:ascii="宋体" w:hAnsi="宋体" w:eastAsia="宋体" w:cs="宋体"/>
                <w:b w:val="0"/>
                <w:bCs w:val="0"/>
                <w:color w:val="000000" w:themeColor="text1"/>
                <w:sz w:val="24"/>
                <w:highlight w:val="none"/>
                <w14:textFill>
                  <w14:solidFill>
                    <w14:schemeClr w14:val="tx1"/>
                  </w14:solidFill>
                </w14:textFill>
              </w:rPr>
            </w:pPr>
            <w:r>
              <w:rPr>
                <w:rFonts w:hint="eastAsia" w:ascii="宋体" w:hAnsi="宋体" w:eastAsia="宋体" w:cs="宋体"/>
                <w:b w:val="0"/>
                <w:bCs w:val="0"/>
                <w:color w:val="000000" w:themeColor="text1"/>
                <w:sz w:val="24"/>
                <w:highlight w:val="none"/>
                <w14:textFill>
                  <w14:solidFill>
                    <w14:schemeClr w14:val="tx1"/>
                  </w14:solidFill>
                </w14:textFill>
              </w:rPr>
              <w:t>1 ）营业执照副本；</w:t>
            </w:r>
          </w:p>
          <w:p>
            <w:pPr>
              <w:adjustRightInd w:val="0"/>
              <w:spacing w:line="360" w:lineRule="exact"/>
              <w:rPr>
                <w:rFonts w:hint="eastAsia" w:ascii="宋体" w:hAnsi="宋体" w:eastAsia="宋体" w:cs="宋体"/>
                <w:b w:val="0"/>
                <w:bCs w:val="0"/>
                <w:color w:val="000000" w:themeColor="text1"/>
                <w:sz w:val="24"/>
                <w:highlight w:val="none"/>
                <w14:textFill>
                  <w14:solidFill>
                    <w14:schemeClr w14:val="tx1"/>
                  </w14:solidFill>
                </w14:textFill>
              </w:rPr>
            </w:pPr>
            <w:r>
              <w:rPr>
                <w:rFonts w:hint="eastAsia" w:ascii="宋体" w:hAnsi="宋体" w:eastAsia="宋体" w:cs="宋体"/>
                <w:b w:val="0"/>
                <w:bCs w:val="0"/>
                <w:color w:val="000000" w:themeColor="text1"/>
                <w:sz w:val="24"/>
                <w:highlight w:val="none"/>
                <w14:textFill>
                  <w14:solidFill>
                    <w14:schemeClr w14:val="tx1"/>
                  </w14:solidFill>
                </w14:textFill>
              </w:rPr>
              <w:t>2 ）《法人身份证明书》（附法定代表人身份证）或法人授权委托书（附法定代表人和授权代表身份证）；</w:t>
            </w:r>
          </w:p>
          <w:p>
            <w:pPr>
              <w:adjustRightInd w:val="0"/>
              <w:spacing w:line="360" w:lineRule="exact"/>
              <w:rPr>
                <w:rFonts w:hint="eastAsia" w:ascii="宋体" w:hAnsi="宋体" w:eastAsia="宋体" w:cs="宋体"/>
                <w:b w:val="0"/>
                <w:bCs w:val="0"/>
                <w:color w:val="000000" w:themeColor="text1"/>
                <w:sz w:val="24"/>
                <w:highlight w:val="none"/>
                <w14:textFill>
                  <w14:solidFill>
                    <w14:schemeClr w14:val="tx1"/>
                  </w14:solidFill>
                </w14:textFill>
              </w:rPr>
            </w:pPr>
            <w:r>
              <w:rPr>
                <w:rFonts w:hint="eastAsia" w:ascii="宋体" w:hAnsi="宋体" w:eastAsia="宋体" w:cs="宋体"/>
                <w:b w:val="0"/>
                <w:bCs w:val="0"/>
                <w:color w:val="000000" w:themeColor="text1"/>
                <w:sz w:val="24"/>
                <w:highlight w:val="none"/>
                <w14:textFill>
                  <w14:solidFill>
                    <w14:schemeClr w14:val="tx1"/>
                  </w14:solidFill>
                </w14:textFill>
              </w:rPr>
              <w:t>3 ）具有履行合同所必需的设备和专业技术能力的证明材料（可以提供类似业绩合同或者可以提供承诺书</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&lt;</w:t>
            </w:r>
            <w:r>
              <w:rPr>
                <w:rFonts w:hint="eastAsia" w:ascii="宋体" w:hAnsi="宋体" w:eastAsia="宋体" w:cs="宋体"/>
                <w:b w:val="0"/>
                <w:bCs w:val="0"/>
                <w:color w:val="000000" w:themeColor="text1"/>
                <w:sz w:val="24"/>
                <w:highlight w:val="none"/>
                <w14:textFill>
                  <w14:solidFill>
                    <w14:schemeClr w14:val="tx1"/>
                  </w14:solidFill>
                </w14:textFill>
              </w:rPr>
              <w:t>格式自拟</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&gt;</w:t>
            </w:r>
            <w:r>
              <w:rPr>
                <w:rFonts w:hint="eastAsia" w:ascii="宋体" w:hAnsi="宋体" w:eastAsia="宋体" w:cs="宋体"/>
                <w:b w:val="0"/>
                <w:bCs w:val="0"/>
                <w:color w:val="000000" w:themeColor="text1"/>
                <w:sz w:val="24"/>
                <w:highlight w:val="none"/>
                <w14:textFill>
                  <w14:solidFill>
                    <w14:schemeClr w14:val="tx1"/>
                  </w14:solidFill>
                </w14:textFill>
              </w:rPr>
              <w:t>）；</w:t>
            </w:r>
          </w:p>
          <w:p>
            <w:pPr>
              <w:adjustRightInd w:val="0"/>
              <w:spacing w:line="360" w:lineRule="exact"/>
              <w:rPr>
                <w:rFonts w:hint="eastAsia" w:ascii="宋体" w:hAnsi="宋体" w:eastAsia="宋体" w:cs="宋体"/>
                <w:b w:val="0"/>
                <w:bCs w:val="0"/>
                <w:color w:val="000000" w:themeColor="text1"/>
                <w:sz w:val="24"/>
                <w:highlight w:val="none"/>
                <w14:textFill>
                  <w14:solidFill>
                    <w14:schemeClr w14:val="tx1"/>
                  </w14:solidFill>
                </w14:textFill>
              </w:rPr>
            </w:pPr>
            <w:r>
              <w:rPr>
                <w:rFonts w:hint="eastAsia" w:ascii="宋体" w:hAnsi="宋体" w:eastAsia="宋体" w:cs="宋体"/>
                <w:b w:val="0"/>
                <w:bCs w:val="0"/>
                <w:color w:val="000000" w:themeColor="text1"/>
                <w:sz w:val="24"/>
                <w:highlight w:val="none"/>
                <w14:textFill>
                  <w14:solidFill>
                    <w14:schemeClr w14:val="tx1"/>
                  </w14:solidFill>
                </w14:textFill>
              </w:rPr>
              <w:t>4 ）参加政府采购活动前三年内在经营活动中没有重大违法记录的书面声明；</w:t>
            </w:r>
            <w:r>
              <w:rPr>
                <w:rFonts w:hint="eastAsia" w:ascii="宋体" w:hAnsi="宋体" w:eastAsia="宋体" w:cs="宋体"/>
                <w:b w:val="0"/>
                <w:bCs w:val="0"/>
                <w:color w:val="000000" w:themeColor="text1"/>
                <w:sz w:val="24"/>
                <w:highlight w:val="none"/>
                <w:lang w:eastAsia="zh-CN"/>
                <w14:textFill>
                  <w14:solidFill>
                    <w14:schemeClr w14:val="tx1"/>
                  </w14:solidFill>
                </w14:textFill>
              </w:rPr>
              <w:t>（</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声明函格式自拟</w:t>
            </w:r>
            <w:r>
              <w:rPr>
                <w:rFonts w:hint="eastAsia" w:ascii="宋体" w:hAnsi="宋体" w:eastAsia="宋体" w:cs="宋体"/>
                <w:b w:val="0"/>
                <w:bCs w:val="0"/>
                <w:color w:val="000000" w:themeColor="text1"/>
                <w:sz w:val="24"/>
                <w:highlight w:val="none"/>
                <w:lang w:eastAsia="zh-CN"/>
                <w14:textFill>
                  <w14:solidFill>
                    <w14:schemeClr w14:val="tx1"/>
                  </w14:solidFill>
                </w14:textFill>
              </w:rPr>
              <w:t>）</w:t>
            </w:r>
            <w:r>
              <w:rPr>
                <w:rFonts w:hint="eastAsia" w:ascii="宋体" w:hAnsi="宋体" w:eastAsia="宋体" w:cs="宋体"/>
                <w:b w:val="0"/>
                <w:bCs w:val="0"/>
                <w:color w:val="000000" w:themeColor="text1"/>
                <w:sz w:val="24"/>
                <w:highlight w:val="none"/>
                <w14:textFill>
                  <w14:solidFill>
                    <w14:schemeClr w14:val="tx1"/>
                  </w14:solidFill>
                </w14:textFill>
              </w:rPr>
              <w:t>；</w:t>
            </w:r>
          </w:p>
          <w:p>
            <w:pPr>
              <w:adjustRightInd w:val="0"/>
              <w:spacing w:line="360" w:lineRule="exact"/>
              <w:rPr>
                <w:rFonts w:hint="eastAsia" w:ascii="宋体" w:hAnsi="宋体" w:eastAsia="宋体" w:cs="宋体"/>
                <w:b w:val="0"/>
                <w:bCs w:val="0"/>
                <w:color w:val="000000" w:themeColor="text1"/>
                <w:sz w:val="24"/>
                <w:highlight w:val="none"/>
                <w14:textFill>
                  <w14:solidFill>
                    <w14:schemeClr w14:val="tx1"/>
                  </w14:solidFill>
                </w14:textFill>
              </w:rPr>
            </w:pPr>
            <w:r>
              <w:rPr>
                <w:rFonts w:hint="eastAsia" w:ascii="宋体" w:hAnsi="宋体" w:eastAsia="宋体" w:cs="宋体"/>
                <w:b w:val="0"/>
                <w:bCs w:val="0"/>
                <w:color w:val="000000" w:themeColor="text1"/>
                <w:sz w:val="24"/>
                <w:highlight w:val="none"/>
                <w14:textFill>
                  <w14:solidFill>
                    <w14:schemeClr w14:val="tx1"/>
                  </w14:solidFill>
                </w14:textFill>
              </w:rPr>
              <w:t>5 ）</w:t>
            </w:r>
            <w:r>
              <w:rPr>
                <w:rFonts w:hint="eastAsia" w:ascii="宋体" w:hAnsi="宋体" w:eastAsia="宋体" w:cs="宋体"/>
                <w:color w:val="000000" w:themeColor="text1"/>
                <w:sz w:val="24"/>
                <w:highlight w:val="none"/>
                <w:lang w:val="en-US" w:eastAsia="zh-CN"/>
                <w14:textFill>
                  <w14:solidFill>
                    <w14:schemeClr w14:val="tx1"/>
                  </w14:solidFill>
                </w14:textFill>
              </w:rPr>
              <w:t>投标人</w:t>
            </w:r>
            <w:r>
              <w:rPr>
                <w:rFonts w:hint="eastAsia" w:ascii="宋体" w:hAnsi="宋体" w:eastAsia="宋体" w:cs="宋体"/>
                <w:b w:val="0"/>
                <w:bCs w:val="0"/>
                <w:color w:val="000000" w:themeColor="text1"/>
                <w:sz w:val="24"/>
                <w:highlight w:val="none"/>
                <w:lang w:eastAsia="zh-CN"/>
                <w14:textFill>
                  <w14:solidFill>
                    <w14:schemeClr w14:val="tx1"/>
                  </w14:solidFill>
                </w14:textFill>
              </w:rPr>
              <w:t>提供近三年（20</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20</w:t>
            </w:r>
            <w:r>
              <w:rPr>
                <w:rFonts w:hint="eastAsia" w:ascii="宋体" w:hAnsi="宋体" w:eastAsia="宋体" w:cs="宋体"/>
                <w:b w:val="0"/>
                <w:bCs w:val="0"/>
                <w:color w:val="000000" w:themeColor="text1"/>
                <w:sz w:val="24"/>
                <w:highlight w:val="none"/>
                <w:lang w:eastAsia="zh-CN"/>
                <w14:textFill>
                  <w14:solidFill>
                    <w14:schemeClr w14:val="tx1"/>
                  </w14:solidFill>
                </w14:textFill>
              </w:rPr>
              <w:t>年-202</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2</w:t>
            </w:r>
            <w:r>
              <w:rPr>
                <w:rFonts w:hint="eastAsia" w:ascii="宋体" w:hAnsi="宋体" w:eastAsia="宋体" w:cs="宋体"/>
                <w:b w:val="0"/>
                <w:bCs w:val="0"/>
                <w:color w:val="000000" w:themeColor="text1"/>
                <w:sz w:val="24"/>
                <w:highlight w:val="none"/>
                <w:lang w:eastAsia="zh-CN"/>
                <w14:textFill>
                  <w14:solidFill>
                    <w14:schemeClr w14:val="tx1"/>
                  </w14:solidFill>
                </w14:textFill>
              </w:rPr>
              <w:t>年）经会计师事务所或审计机构出具的财务审计报告。（若投标人为20</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20</w:t>
            </w:r>
            <w:r>
              <w:rPr>
                <w:rFonts w:hint="eastAsia" w:ascii="宋体" w:hAnsi="宋体" w:eastAsia="宋体" w:cs="宋体"/>
                <w:b w:val="0"/>
                <w:bCs w:val="0"/>
                <w:color w:val="000000" w:themeColor="text1"/>
                <w:sz w:val="24"/>
                <w:highlight w:val="none"/>
                <w:lang w:eastAsia="zh-CN"/>
                <w14:textFill>
                  <w14:solidFill>
                    <w14:schemeClr w14:val="tx1"/>
                  </w14:solidFill>
                </w14:textFill>
              </w:rPr>
              <w:t>年以后注册成立的公司，即需提供从成立日期起的财务审计报告；若投标人为202</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3</w:t>
            </w:r>
            <w:r>
              <w:rPr>
                <w:rFonts w:hint="eastAsia" w:ascii="宋体" w:hAnsi="宋体" w:eastAsia="宋体" w:cs="宋体"/>
                <w:b w:val="0"/>
                <w:bCs w:val="0"/>
                <w:color w:val="000000" w:themeColor="text1"/>
                <w:sz w:val="24"/>
                <w:highlight w:val="none"/>
                <w:lang w:eastAsia="zh-CN"/>
                <w14:textFill>
                  <w14:solidFill>
                    <w14:schemeClr w14:val="tx1"/>
                  </w14:solidFill>
                </w14:textFill>
              </w:rPr>
              <w:t>年以后注册成立的公司，即需提供一份银行资信证明）</w:t>
            </w:r>
            <w:r>
              <w:rPr>
                <w:rFonts w:hint="eastAsia" w:ascii="宋体" w:hAnsi="宋体" w:eastAsia="宋体" w:cs="宋体"/>
                <w:b w:val="0"/>
                <w:bCs w:val="0"/>
                <w:color w:val="000000" w:themeColor="text1"/>
                <w:sz w:val="24"/>
                <w:highlight w:val="none"/>
                <w14:textFill>
                  <w14:solidFill>
                    <w14:schemeClr w14:val="tx1"/>
                  </w14:solidFill>
                </w14:textFill>
              </w:rPr>
              <w:t>、</w:t>
            </w:r>
            <w:r>
              <w:rPr>
                <w:rFonts w:hint="eastAsia" w:ascii="宋体" w:hAnsi="宋体" w:eastAsia="宋体" w:cs="宋体"/>
                <w:b w:val="0"/>
                <w:bCs w:val="0"/>
                <w:color w:val="000000" w:themeColor="text1"/>
                <w:sz w:val="24"/>
                <w:highlight w:val="none"/>
                <w:lang w:eastAsia="zh-CN"/>
                <w14:textFill>
                  <w14:solidFill>
                    <w14:schemeClr w14:val="tx1"/>
                  </w14:solidFill>
                </w14:textFill>
              </w:rPr>
              <w:t>提供近一年（202</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3</w:t>
            </w:r>
            <w:r>
              <w:rPr>
                <w:rFonts w:hint="eastAsia" w:ascii="宋体" w:hAnsi="宋体" w:eastAsia="宋体" w:cs="宋体"/>
                <w:b w:val="0"/>
                <w:bCs w:val="0"/>
                <w:color w:val="000000" w:themeColor="text1"/>
                <w:sz w:val="24"/>
                <w:highlight w:val="none"/>
                <w:lang w:eastAsia="zh-CN"/>
                <w14:textFill>
                  <w14:solidFill>
                    <w14:schemeClr w14:val="tx1"/>
                  </w14:solidFill>
                </w14:textFill>
              </w:rPr>
              <w:t>年</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3</w:t>
            </w:r>
            <w:r>
              <w:rPr>
                <w:rFonts w:hint="eastAsia" w:ascii="宋体" w:hAnsi="宋体" w:eastAsia="宋体" w:cs="宋体"/>
                <w:b w:val="0"/>
                <w:bCs w:val="0"/>
                <w:color w:val="000000" w:themeColor="text1"/>
                <w:sz w:val="24"/>
                <w:highlight w:val="none"/>
                <w:lang w:eastAsia="zh-CN"/>
                <w14:textFill>
                  <w14:solidFill>
                    <w14:schemeClr w14:val="tx1"/>
                  </w14:solidFill>
                </w14:textFill>
              </w:rPr>
              <w:t>月以后）任意两个月的依法缴纳税收和社会保障资金的相关材料</w:t>
            </w:r>
            <w:r>
              <w:rPr>
                <w:rFonts w:hint="eastAsia" w:ascii="宋体" w:hAnsi="宋体" w:eastAsia="宋体" w:cs="宋体"/>
                <w:b w:val="0"/>
                <w:bCs w:val="0"/>
                <w:color w:val="000000" w:themeColor="text1"/>
                <w:sz w:val="24"/>
                <w:highlight w:val="none"/>
                <w14:textFill>
                  <w14:solidFill>
                    <w14:schemeClr w14:val="tx1"/>
                  </w14:solidFill>
                </w14:textFill>
              </w:rPr>
              <w:t>(依法免税或不需要缴纳社会保障资金的</w:t>
            </w:r>
            <w:r>
              <w:rPr>
                <w:rFonts w:hint="eastAsia" w:ascii="宋体" w:hAnsi="宋体" w:eastAsia="宋体" w:cs="宋体"/>
                <w:color w:val="000000" w:themeColor="text1"/>
                <w:sz w:val="24"/>
                <w:highlight w:val="none"/>
                <w:lang w:val="en-US" w:eastAsia="zh-CN"/>
                <w14:textFill>
                  <w14:solidFill>
                    <w14:schemeClr w14:val="tx1"/>
                  </w14:solidFill>
                </w14:textFill>
              </w:rPr>
              <w:t>投标人</w:t>
            </w:r>
            <w:r>
              <w:rPr>
                <w:rFonts w:hint="eastAsia" w:ascii="宋体" w:hAnsi="宋体" w:eastAsia="宋体" w:cs="宋体"/>
                <w:b w:val="0"/>
                <w:bCs w:val="0"/>
                <w:color w:val="000000" w:themeColor="text1"/>
                <w:sz w:val="24"/>
                <w:highlight w:val="none"/>
                <w14:textFill>
                  <w14:solidFill>
                    <w14:schemeClr w14:val="tx1"/>
                  </w14:solidFill>
                </w14:textFill>
              </w:rPr>
              <w:t>，应提供相应文件证明其依法免税或不需要缴纳社会保障资金）；</w:t>
            </w:r>
          </w:p>
          <w:p>
            <w:pPr>
              <w:adjustRightInd w:val="0"/>
              <w:spacing w:line="360" w:lineRule="exact"/>
              <w:rPr>
                <w:rFonts w:hint="eastAsia" w:ascii="宋体" w:hAnsi="宋体" w:eastAsia="宋体" w:cs="宋体"/>
                <w:b w:val="0"/>
                <w:bCs w:val="0"/>
                <w:color w:val="000000" w:themeColor="text1"/>
                <w:sz w:val="24"/>
                <w:highlight w:val="none"/>
                <w14:textFill>
                  <w14:solidFill>
                    <w14:schemeClr w14:val="tx1"/>
                  </w14:solidFill>
                </w14:textFill>
              </w:rPr>
            </w:pPr>
            <w:r>
              <w:rPr>
                <w:rFonts w:hint="eastAsia" w:ascii="宋体" w:hAnsi="宋体" w:eastAsia="宋体" w:cs="宋体"/>
                <w:b w:val="0"/>
                <w:bCs w:val="0"/>
                <w:color w:val="000000" w:themeColor="text1"/>
                <w:sz w:val="24"/>
                <w:highlight w:val="none"/>
                <w14:textFill>
                  <w14:solidFill>
                    <w14:schemeClr w14:val="tx1"/>
                  </w14:solidFill>
                </w14:textFill>
              </w:rPr>
              <w:t>6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投标人应当通过“信用中国”网站（www.creditchina.gov.cn）、中国政府采购网（www.ccgp.gov.cn）等渠道查询相关主体信用记录，未被列入失信被执行人、重大税收违法失信主体、政府采购严重违法失信行为记录名单。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4"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kern w:val="2"/>
                <w:sz w:val="24"/>
                <w:szCs w:val="24"/>
                <w:highlight w:val="none"/>
                <w:lang w:val="en-US" w:eastAsia="zh-CN" w:bidi="ar-SA"/>
              </w:rPr>
              <w:t>8</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*交货地点</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吉林省消防救援总队指定地点，中标人负责将货物安全完好运抵交货地点（货物在途</w:t>
            </w:r>
            <w:r>
              <w:rPr>
                <w:rFonts w:hint="eastAsia" w:ascii="宋体" w:hAnsi="宋体" w:eastAsia="宋体" w:cs="宋体"/>
                <w:b w:val="0"/>
                <w:bCs w:val="0"/>
                <w:color w:val="auto"/>
                <w:sz w:val="24"/>
                <w:highlight w:val="none"/>
                <w:lang w:val="en-US" w:eastAsia="zh-CN"/>
              </w:rPr>
              <w:t>中</w:t>
            </w:r>
            <w:r>
              <w:rPr>
                <w:rFonts w:hint="eastAsia" w:ascii="宋体" w:hAnsi="宋体" w:eastAsia="宋体" w:cs="宋体"/>
                <w:b w:val="0"/>
                <w:bCs w:val="0"/>
                <w:color w:val="auto"/>
                <w:sz w:val="24"/>
                <w:highlight w:val="none"/>
              </w:rPr>
              <w:t>的一切风险及运输、卸货等费用由</w:t>
            </w:r>
            <w:r>
              <w:rPr>
                <w:rFonts w:hint="eastAsia" w:ascii="宋体" w:hAnsi="宋体" w:eastAsia="宋体" w:cs="宋体"/>
                <w:b w:val="0"/>
                <w:bCs w:val="0"/>
                <w:color w:val="auto"/>
                <w:sz w:val="24"/>
                <w:highlight w:val="none"/>
                <w:lang w:val="en-US" w:eastAsia="zh-CN"/>
              </w:rPr>
              <w:t>中标人</w:t>
            </w:r>
            <w:r>
              <w:rPr>
                <w:rFonts w:hint="eastAsia" w:ascii="宋体" w:hAnsi="宋体" w:eastAsia="宋体" w:cs="宋体"/>
                <w:b w:val="0"/>
                <w:bCs w:val="0"/>
                <w:color w:val="auto"/>
                <w:sz w:val="24"/>
                <w:highlight w:val="none"/>
              </w:rPr>
              <w:t>承担）并保证验收合格。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4"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9</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*交货期限</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lang w:eastAsia="zh-CN"/>
              </w:rPr>
            </w:pPr>
            <w:r>
              <w:rPr>
                <w:rFonts w:hint="eastAsia" w:ascii="宋体" w:hAnsi="宋体" w:eastAsia="宋体" w:cs="宋体"/>
                <w:b/>
                <w:bCs/>
                <w:color w:val="auto"/>
                <w:sz w:val="24"/>
                <w:highlight w:val="none"/>
                <w:lang w:eastAsia="zh-CN"/>
              </w:rPr>
              <w:t>合同</w:t>
            </w:r>
            <w:r>
              <w:rPr>
                <w:rFonts w:hint="eastAsia" w:ascii="宋体" w:hAnsi="宋体" w:cs="宋体"/>
                <w:b/>
                <w:bCs/>
                <w:color w:val="auto"/>
                <w:sz w:val="24"/>
                <w:highlight w:val="none"/>
                <w:lang w:eastAsia="zh-CN"/>
              </w:rPr>
              <w:t>生效</w:t>
            </w:r>
            <w:r>
              <w:rPr>
                <w:rFonts w:hint="eastAsia" w:ascii="宋体" w:hAnsi="宋体" w:eastAsia="宋体" w:cs="宋体"/>
                <w:b/>
                <w:bCs/>
                <w:color w:val="auto"/>
                <w:sz w:val="24"/>
                <w:highlight w:val="none"/>
                <w:lang w:eastAsia="zh-CN"/>
              </w:rPr>
              <w:t>后</w:t>
            </w:r>
            <w:r>
              <w:rPr>
                <w:rFonts w:hint="eastAsia" w:ascii="宋体" w:hAnsi="宋体" w:eastAsia="宋体" w:cs="宋体"/>
                <w:b/>
                <w:bCs/>
                <w:color w:val="auto"/>
                <w:sz w:val="24"/>
                <w:highlight w:val="none"/>
                <w:lang w:val="en-US" w:eastAsia="zh-CN"/>
              </w:rPr>
              <w:t>四</w:t>
            </w:r>
            <w:r>
              <w:rPr>
                <w:rFonts w:hint="eastAsia" w:ascii="宋体" w:hAnsi="宋体" w:eastAsia="宋体" w:cs="宋体"/>
                <w:b/>
                <w:bCs/>
                <w:color w:val="auto"/>
                <w:sz w:val="24"/>
                <w:highlight w:val="none"/>
                <w:lang w:eastAsia="zh-CN"/>
              </w:rPr>
              <w:t>个月内履行完毕。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10</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*验收方式</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1）中标人提交的货物到货后30个工作日内采购人负责检验验收或由采购人聘请当地质检（商检）部门或国家有关部门对货物的品种、规格、性能、质量、数量、外观以及配件等进行检验，并出具检验证书，检验费用由中标人承担。</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2）验收过程中，如果采购人、中标人双方对合同标的质量发生争议，应当聘请国家消防装备质量监督检验中心或国家有关部门对有争议的货物质量进行鉴定，</w:t>
            </w:r>
            <w:r>
              <w:rPr>
                <w:rFonts w:hint="eastAsia" w:ascii="宋体" w:hAnsi="宋体" w:eastAsia="宋体" w:cs="宋体"/>
                <w:sz w:val="24"/>
                <w:highlight w:val="none"/>
              </w:rPr>
              <w:t>鉴定费用由中标人先行支付，最终由责任方承担。</w:t>
            </w:r>
            <w:r>
              <w:rPr>
                <w:rFonts w:hint="eastAsia" w:ascii="宋体" w:hAnsi="宋体" w:eastAsia="宋体" w:cs="宋体"/>
                <w:b w:val="0"/>
                <w:bCs w:val="0"/>
                <w:color w:val="auto"/>
                <w:sz w:val="24"/>
                <w:highlight w:val="none"/>
              </w:rPr>
              <w:t>按照规定必须由国家有关部门或者机构检验合格才允许使用的货物，由中标人负责（采购人配合）向有关部门或者机构申请检验并取得检验合格的报告（证书）或者使用许可证，费用包含在中标人的合同总价中。</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3）验收前，中标人向采购人提供本合同所列明货物金额的发票等文件，验收合格的，中标人与采购人共同在验收单上签字，作为验收合格、同意付款的依据。验收不合格的，按照采购人下达的整改通知确定的时间内进行整改，整改后，仍未达到合同约定技术要求的，采购人有权单方解除本合同，所产生的费用由中标人承担，同时采购人有权扣留全部履约保证金，中标人还需额外支付合同总价款的5%作为违约金。乙方须退还甲方全部已付款，乙方应在甲方指定时间内取回货物，费用自理，如乙方拒绝或延期取回，甲方及用户可自行选择处理方式，且可向乙方收取仓储费用。另外乙方还需赔偿甲方维权产生的全部费用，包括但不限于鉴定费、律师费、保全担保费、公证费、诉讼费、标的物涨价产生的差额等。</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4）采购人根据国家现行质量标准及行业标准规定接受货物，验收标准以中标人的投标文件技术参数资料为标准进行验收，同时中标人需提供有关质检机构出具的检验报告或证书、制造厂商出具的质量检验证书、产品合格证、消防产品认证证书等手续，否则，采购人有权不予验收。</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 xml:space="preserve">5）中标人在交付货物时，须附着由“消防装备物资信息采购系统”统一发行的装备物资二维码（或RFID），二维码要清晰整洁，固定牢固且具有永久性，扫描后显示信息要包括产品信息、图片、使用说明等详细信息。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8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11</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*质量要求</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应确保</w:t>
            </w:r>
            <w:r>
              <w:rPr>
                <w:rFonts w:hint="eastAsia" w:ascii="宋体" w:hAnsi="宋体" w:eastAsia="宋体" w:cs="宋体"/>
                <w:color w:val="auto"/>
                <w:sz w:val="24"/>
                <w:highlight w:val="none"/>
                <w:lang w:val="en-US" w:eastAsia="zh-CN"/>
              </w:rPr>
              <w:t>提供所供应的产品为</w:t>
            </w:r>
            <w:r>
              <w:rPr>
                <w:rFonts w:hint="eastAsia" w:ascii="宋体" w:hAnsi="宋体" w:eastAsia="宋体" w:cs="宋体"/>
                <w:color w:val="auto"/>
                <w:sz w:val="24"/>
                <w:highlight w:val="none"/>
              </w:rPr>
              <w:t>全新的合格产品。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7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12</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0000FF"/>
                <w:sz w:val="24"/>
                <w:highlight w:val="none"/>
              </w:rPr>
            </w:pPr>
            <w:r>
              <w:rPr>
                <w:rFonts w:hint="eastAsia" w:ascii="宋体" w:hAnsi="宋体" w:eastAsia="宋体" w:cs="宋体"/>
                <w:sz w:val="24"/>
                <w:highlight w:val="none"/>
              </w:rPr>
              <w:t>*付款条件</w:t>
            </w:r>
          </w:p>
        </w:tc>
        <w:tc>
          <w:tcPr>
            <w:tcW w:w="8169" w:type="dxa"/>
            <w:tcBorders>
              <w:left w:val="single" w:color="auto" w:sz="4" w:space="0"/>
            </w:tcBorders>
            <w:vAlign w:val="top"/>
          </w:tcPr>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合同签订前</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向</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支付合同总价款5％的履约保证金。</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收到履约保证金并签订合同后30个工作日内，向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支付30%货款；到货并验收合格，且收到</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开具的合同等额的符合</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要求的税务发票后在30个工作日内，向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支付70%货款；货物质保期满后，若无质量问题或质量问题已解决达到</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要求，向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无息返还5％的履约保证金；若出现质量问题，</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应免费及时维修更换，如因</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原因导致</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利益受损，</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应承担损害赔偿责任，同时</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有权扣留5%的履约保证金作为违约金，违约金不足以弥补</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损失的，</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有权向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追偿。</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付款前，</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应为</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开具符合</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要求的发票，否则</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有权拒绝付款且不视为违约。</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具体详细内容按合同约定执行。   </w:t>
            </w:r>
          </w:p>
          <w:p>
            <w:pPr>
              <w:pStyle w:val="8"/>
              <w:spacing w:line="360" w:lineRule="exact"/>
              <w:rPr>
                <w:rFonts w:hint="eastAsia" w:ascii="宋体" w:hAnsi="宋体" w:eastAsia="宋体" w:cs="宋体"/>
                <w:color w:val="0000FF"/>
                <w:sz w:val="24"/>
                <w:highlight w:val="none"/>
              </w:rPr>
            </w:pPr>
            <w:r>
              <w:rPr>
                <w:rFonts w:hint="eastAsia" w:ascii="宋体" w:hAnsi="宋体" w:eastAsia="宋体" w:cs="宋体"/>
                <w:color w:val="auto"/>
                <w:sz w:val="24"/>
                <w:highlight w:val="none"/>
                <w:lang w:val="zh-CN"/>
              </w:rPr>
              <w:t>若因</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lang w:val="zh-CN"/>
              </w:rPr>
              <w:t>未及时在合同供货期限内供货或因验收不达标，导致项目资金被财政部门收回的，</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lang w:val="zh-CN"/>
              </w:rPr>
              <w:t>有权解除合同，由</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lang w:val="zh-CN"/>
              </w:rPr>
              <w:t>承担全部责任，</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lang w:val="zh-CN"/>
              </w:rPr>
              <w:t>退还</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lang w:val="zh-CN"/>
              </w:rPr>
              <w:t>全部已支付货款，同时</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lang w:val="zh-CN"/>
              </w:rPr>
              <w:t>扣留全部履约保证金作为违约金。另外乙方还需赔偿甲方维权产生的全部费用，包括但不限于鉴定费、律师费、保全担保费、公证费、诉讼费、标的物涨价产生的差额</w:t>
            </w:r>
            <w:r>
              <w:rPr>
                <w:rFonts w:hint="eastAsia" w:ascii="宋体" w:hAnsi="宋体" w:eastAsia="宋体" w:cs="宋体"/>
                <w:color w:val="auto"/>
                <w:sz w:val="24"/>
                <w:highlight w:val="none"/>
                <w:lang w:val="zh-CN" w:eastAsia="zh-CN"/>
              </w:rPr>
              <w:t>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3</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*投标文件的格式签署</w:t>
            </w:r>
          </w:p>
        </w:tc>
        <w:tc>
          <w:tcPr>
            <w:tcW w:w="8169" w:type="dxa"/>
            <w:tcBorders>
              <w:left w:val="single" w:color="auto" w:sz="4" w:space="0"/>
            </w:tcBorders>
            <w:vAlign w:val="center"/>
          </w:tcPr>
          <w:p>
            <w:pPr>
              <w:spacing w:line="360" w:lineRule="exact"/>
              <w:rPr>
                <w:rFonts w:hint="eastAsia" w:ascii="宋体" w:hAnsi="宋体" w:eastAsia="宋体" w:cs="宋体"/>
                <w:b/>
                <w:bCs/>
                <w:color w:val="auto"/>
                <w:sz w:val="24"/>
                <w:highlight w:val="none"/>
              </w:rPr>
            </w:pPr>
            <w:r>
              <w:rPr>
                <w:rFonts w:hint="eastAsia" w:ascii="宋体" w:hAnsi="宋体" w:eastAsia="宋体" w:cs="宋体"/>
                <w:b w:val="0"/>
                <w:bCs w:val="0"/>
                <w:color w:val="auto"/>
                <w:sz w:val="24"/>
                <w:highlight w:val="none"/>
              </w:rPr>
              <w:t>投标文件的装订</w:t>
            </w:r>
            <w:r>
              <w:rPr>
                <w:rFonts w:hint="eastAsia" w:ascii="宋体" w:hAnsi="宋体" w:eastAsia="宋体" w:cs="宋体"/>
                <w:b w:val="0"/>
                <w:bCs w:val="0"/>
                <w:color w:val="auto"/>
                <w:sz w:val="24"/>
                <w:highlight w:val="none"/>
                <w:lang w:eastAsia="zh-CN"/>
              </w:rPr>
              <w:t>应胶装，且</w:t>
            </w:r>
            <w:r>
              <w:rPr>
                <w:rFonts w:hint="eastAsia" w:ascii="宋体" w:hAnsi="宋体" w:eastAsia="宋体" w:cs="宋体"/>
                <w:b w:val="0"/>
                <w:bCs w:val="0"/>
                <w:color w:val="auto"/>
                <w:sz w:val="24"/>
                <w:highlight w:val="none"/>
              </w:rPr>
              <w:t>整齐、牢固，便于保管和利用。</w:t>
            </w:r>
            <w:r>
              <w:rPr>
                <w:rFonts w:hint="eastAsia" w:ascii="宋体" w:hAnsi="宋体" w:eastAsia="宋体" w:cs="宋体"/>
                <w:b/>
                <w:bCs/>
                <w:color w:val="auto"/>
                <w:sz w:val="24"/>
                <w:highlight w:val="none"/>
              </w:rPr>
              <w:t>正本要求彩色打印，副本可以是正本的复印件。</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投标文件应包含目录及页码。</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投标文件须打印或用不褪色墨水书写，由投标人的单位加盖公章。投标文件由</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签署的，须提交以书面形式出具的“</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资格证明”；由被授权人签署的，须提交以书面形式出具的“</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资格证明”和“</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授权书”。投标文件应加盖骑缝章。未经有效签署的投标文件将被作为非响应性投标而被拒绝。</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投标文件中如有修改错漏处，应在修改处加盖投标人公章。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*投标文件的密封和标记</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文件应包括开标一览表。为方便开标时唱标，投标人还应将开标一览表和投标保证金单独密封提交，并在信封上标明“开标一览表”或“投标保证金”字样。投标人应将投标文件正本和所有的副本分开密封装在单独的信封中，且在信封上标明“正本”“副本”字样。采购人将拒收不按招标文件要求密封的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58"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*违法行为</w:t>
            </w:r>
          </w:p>
        </w:tc>
        <w:tc>
          <w:tcPr>
            <w:tcW w:w="8169" w:type="dxa"/>
            <w:tcBorders>
              <w:left w:val="single" w:color="auto" w:sz="4" w:space="0"/>
            </w:tcBorders>
            <w:vAlign w:val="center"/>
          </w:tcPr>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有下列情形之一的，视为投标人串通投标，其投标无效：</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（一）不同投标人的投标文件由同一单位或者个人编制；</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（二）不同投标人委托同一单位或者个人办理投标事宜；</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（三）不同投标人的投标文件载明的项目管理成员或者联系人员为同一人；</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（四）不同投标人的投标文件异常一致或者投标报价呈规律性差异；</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（五）不同投标人的投标文件相互混装；</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shd w:val="clear"/>
              </w:rPr>
              <w:t>（六）不同投标人的投标保证金从同一单位或者个人的账户转出。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投标报价和货币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69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16</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*采购预算</w:t>
            </w:r>
          </w:p>
        </w:tc>
        <w:tc>
          <w:tcPr>
            <w:tcW w:w="8169" w:type="dxa"/>
            <w:vAlign w:val="top"/>
          </w:tcPr>
          <w:p>
            <w:pPr>
              <w:spacing w:line="360" w:lineRule="exact"/>
              <w:rPr>
                <w:rFonts w:hint="eastAsia" w:ascii="宋体" w:hAnsi="宋体" w:eastAsia="宋体" w:cs="宋体"/>
                <w:bCs/>
                <w:color w:val="auto"/>
                <w:sz w:val="24"/>
                <w:highlight w:val="none"/>
                <w:lang w:val="en-US" w:eastAsia="zh-CN"/>
              </w:rPr>
            </w:pPr>
            <w:r>
              <w:rPr>
                <w:rFonts w:hint="eastAsia" w:ascii="宋体" w:hAnsi="宋体" w:eastAsia="宋体" w:cs="宋体"/>
                <w:b w:val="0"/>
                <w:bCs w:val="0"/>
                <w:color w:val="auto"/>
                <w:sz w:val="24"/>
                <w:highlight w:val="none"/>
              </w:rPr>
              <w:t>第</w:t>
            </w:r>
            <w:r>
              <w:rPr>
                <w:rFonts w:hint="eastAsia" w:ascii="宋体" w:hAnsi="宋体" w:eastAsia="宋体" w:cs="宋体"/>
                <w:b w:val="0"/>
                <w:bCs w:val="0"/>
                <w:color w:val="auto"/>
                <w:sz w:val="24"/>
                <w:highlight w:val="none"/>
                <w:lang w:eastAsia="zh-CN"/>
              </w:rPr>
              <w:t>十七</w:t>
            </w:r>
            <w:r>
              <w:rPr>
                <w:rFonts w:hint="eastAsia" w:ascii="宋体" w:hAnsi="宋体" w:eastAsia="宋体" w:cs="宋体"/>
                <w:b w:val="0"/>
                <w:bCs w:val="0"/>
                <w:color w:val="auto"/>
                <w:sz w:val="24"/>
                <w:highlight w:val="none"/>
                <w:lang w:val="en-US" w:eastAsia="zh-CN"/>
              </w:rPr>
              <w:t>标段</w:t>
            </w:r>
            <w:r>
              <w:rPr>
                <w:rFonts w:hint="eastAsia" w:ascii="宋体" w:hAnsi="宋体" w:eastAsia="宋体" w:cs="宋体"/>
                <w:b w:val="0"/>
                <w:bCs w:val="0"/>
                <w:color w:val="auto"/>
                <w:sz w:val="24"/>
                <w:highlight w:val="none"/>
              </w:rPr>
              <w:tab/>
            </w:r>
            <w:r>
              <w:rPr>
                <w:rFonts w:hint="eastAsia" w:ascii="宋体" w:hAnsi="宋体" w:eastAsia="宋体" w:cs="宋体"/>
                <w:b w:val="0"/>
                <w:bCs w:val="0"/>
                <w:color w:val="auto"/>
                <w:sz w:val="24"/>
                <w:highlight w:val="none"/>
              </w:rPr>
              <w:t>人民币</w:t>
            </w:r>
            <w:r>
              <w:rPr>
                <w:rFonts w:hint="eastAsia" w:ascii="宋体" w:hAnsi="宋体" w:eastAsia="宋体" w:cs="宋体"/>
                <w:b w:val="0"/>
                <w:bCs w:val="0"/>
                <w:color w:val="auto"/>
                <w:sz w:val="24"/>
                <w:highlight w:val="none"/>
                <w:lang w:val="en-US" w:eastAsia="zh-CN"/>
              </w:rPr>
              <w:t>366.00</w:t>
            </w:r>
            <w:r>
              <w:rPr>
                <w:rFonts w:hint="eastAsia" w:ascii="宋体" w:hAnsi="宋体" w:eastAsia="宋体" w:cs="宋体"/>
                <w:bCs/>
                <w:color w:val="auto"/>
                <w:sz w:val="24"/>
                <w:highlight w:val="none"/>
                <w:lang w:val="en-US" w:eastAsia="zh-CN"/>
              </w:rPr>
              <w:t>万元</w:t>
            </w:r>
          </w:p>
          <w:p>
            <w:pPr>
              <w:spacing w:line="360" w:lineRule="exact"/>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不得超出此采购预算及产品分项预算价格</w:t>
            </w:r>
            <w:r>
              <w:rPr>
                <w:rFonts w:hint="eastAsia" w:ascii="宋体" w:hAnsi="宋体" w:eastAsia="宋体" w:cs="宋体"/>
                <w:color w:val="auto"/>
                <w:sz w:val="24"/>
                <w:highlight w:val="none"/>
              </w:rPr>
              <w:t>，投标报价超出预算价格的，投标无效。</w:t>
            </w:r>
          </w:p>
          <w:tbl>
            <w:tblPr>
              <w:tblStyle w:val="25"/>
              <w:tblW w:w="7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5"/>
              <w:gridCol w:w="2366"/>
              <w:gridCol w:w="1252"/>
              <w:gridCol w:w="1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5"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rPr>
                    <w:t>采购内容</w:t>
                  </w:r>
                </w:p>
              </w:tc>
              <w:tc>
                <w:tcPr>
                  <w:tcW w:w="2366"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lang w:eastAsia="zh-CN"/>
                    </w:rPr>
                    <w:t>预算单价（万元）</w:t>
                  </w:r>
                </w:p>
              </w:tc>
              <w:tc>
                <w:tcPr>
                  <w:tcW w:w="125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rPr>
                    <w:t>采购数量</w:t>
                  </w:r>
                </w:p>
              </w:tc>
              <w:tc>
                <w:tcPr>
                  <w:tcW w:w="190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lang w:val="en-US" w:eastAsia="zh-CN"/>
                    </w:rPr>
                    <w:t>预算金额</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万元</w:t>
                  </w:r>
                  <w:r>
                    <w:rPr>
                      <w:rFonts w:hint="eastAsia" w:ascii="宋体" w:hAnsi="宋体" w:eastAsia="宋体" w:cs="宋体"/>
                      <w:bCs/>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5" w:type="dxa"/>
                  <w:vAlign w:val="center"/>
                </w:tcPr>
                <w:p>
                  <w:pPr>
                    <w:keepNext w:val="0"/>
                    <w:keepLines w:val="0"/>
                    <w:widowControl/>
                    <w:suppressLineNumbers w:val="0"/>
                    <w:jc w:val="center"/>
                    <w:textAlignment w:val="center"/>
                    <w:rPr>
                      <w:rFonts w:hint="eastAsia" w:ascii="宋体" w:hAnsi="宋体" w:eastAsia="宋体" w:cs="宋体"/>
                      <w:bCs/>
                      <w:color w:val="auto"/>
                      <w:sz w:val="24"/>
                      <w:highlight w:val="none"/>
                      <w:lang w:val="en-US" w:eastAsia="zh-CN"/>
                    </w:rPr>
                  </w:pPr>
                  <w:r>
                    <w:rPr>
                      <w:rFonts w:hint="eastAsia" w:ascii="宋体" w:hAnsi="宋体" w:eastAsia="宋体" w:cs="宋体"/>
                      <w:b w:val="0"/>
                      <w:bCs w:val="0"/>
                      <w:i w:val="0"/>
                      <w:iCs w:val="0"/>
                      <w:color w:val="000000"/>
                      <w:kern w:val="0"/>
                      <w:sz w:val="24"/>
                      <w:szCs w:val="24"/>
                      <w:u w:val="none"/>
                      <w:lang w:val="en-US" w:eastAsia="zh-CN" w:bidi="ar"/>
                    </w:rPr>
                    <w:t>移动式消防炮</w:t>
                  </w:r>
                </w:p>
              </w:tc>
              <w:tc>
                <w:tcPr>
                  <w:tcW w:w="2366" w:type="dxa"/>
                  <w:vAlign w:val="center"/>
                </w:tcPr>
                <w:p>
                  <w:pPr>
                    <w:keepNext w:val="0"/>
                    <w:keepLines w:val="0"/>
                    <w:widowControl/>
                    <w:suppressLineNumbers w:val="0"/>
                    <w:jc w:val="center"/>
                    <w:textAlignment w:val="center"/>
                    <w:rPr>
                      <w:rFonts w:hint="eastAsia" w:ascii="宋体" w:hAnsi="宋体" w:eastAsia="宋体" w:cs="宋体"/>
                      <w:bCs/>
                      <w:color w:val="auto"/>
                      <w:sz w:val="24"/>
                      <w:highlight w:val="none"/>
                      <w:lang w:val="en-US" w:eastAsia="zh-CN"/>
                    </w:rPr>
                  </w:pPr>
                  <w:r>
                    <w:rPr>
                      <w:rFonts w:hint="eastAsia" w:ascii="宋体" w:hAnsi="宋体" w:eastAsia="宋体" w:cs="宋体"/>
                      <w:b w:val="0"/>
                      <w:bCs w:val="0"/>
                      <w:i w:val="0"/>
                      <w:iCs w:val="0"/>
                      <w:color w:val="000000"/>
                      <w:kern w:val="0"/>
                      <w:sz w:val="24"/>
                      <w:szCs w:val="24"/>
                      <w:u w:val="none"/>
                      <w:lang w:val="en-US" w:eastAsia="zh-CN" w:bidi="ar"/>
                    </w:rPr>
                    <w:t>3.00</w:t>
                  </w:r>
                </w:p>
              </w:tc>
              <w:tc>
                <w:tcPr>
                  <w:tcW w:w="1252" w:type="dxa"/>
                  <w:vAlign w:val="center"/>
                </w:tcPr>
                <w:p>
                  <w:pPr>
                    <w:keepNext w:val="0"/>
                    <w:keepLines w:val="0"/>
                    <w:widowControl/>
                    <w:suppressLineNumbers w:val="0"/>
                    <w:jc w:val="center"/>
                    <w:textAlignment w:val="center"/>
                    <w:rPr>
                      <w:rFonts w:hint="eastAsia" w:ascii="宋体" w:hAnsi="宋体" w:eastAsia="宋体" w:cs="宋体"/>
                      <w:bCs/>
                      <w:color w:val="auto"/>
                      <w:sz w:val="24"/>
                      <w:highlight w:val="none"/>
                      <w:lang w:val="en-US" w:eastAsia="zh-CN"/>
                    </w:rPr>
                  </w:pPr>
                  <w:r>
                    <w:rPr>
                      <w:rFonts w:hint="eastAsia" w:ascii="宋体" w:hAnsi="宋体" w:eastAsia="宋体" w:cs="宋体"/>
                      <w:b w:val="0"/>
                      <w:bCs w:val="0"/>
                      <w:i w:val="0"/>
                      <w:iCs w:val="0"/>
                      <w:color w:val="000000"/>
                      <w:kern w:val="0"/>
                      <w:sz w:val="24"/>
                      <w:szCs w:val="24"/>
                      <w:u w:val="none"/>
                      <w:lang w:val="en-US" w:eastAsia="zh-CN" w:bidi="ar"/>
                    </w:rPr>
                    <w:t>122</w:t>
                  </w:r>
                </w:p>
              </w:tc>
              <w:tc>
                <w:tcPr>
                  <w:tcW w:w="190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sz w:val="24"/>
                      <w:highlight w:val="none"/>
                      <w:lang w:val="en-US" w:eastAsia="zh-CN"/>
                    </w:rPr>
                  </w:pPr>
                  <w:r>
                    <w:rPr>
                      <w:rFonts w:hint="eastAsia" w:ascii="宋体" w:hAnsi="宋体" w:eastAsia="宋体" w:cs="宋体"/>
                      <w:i w:val="0"/>
                      <w:iCs w:val="0"/>
                      <w:color w:val="000000"/>
                      <w:kern w:val="0"/>
                      <w:sz w:val="24"/>
                      <w:szCs w:val="24"/>
                      <w:u w:val="none"/>
                      <w:lang w:val="en-US" w:eastAsia="zh-CN" w:bidi="ar"/>
                    </w:rPr>
                    <w:t>366.00</w:t>
                  </w:r>
                </w:p>
              </w:tc>
            </w:tr>
          </w:tbl>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投标人应对一个完整的标段进行投标，否则其投标无效。</w:t>
            </w:r>
          </w:p>
          <w:p>
            <w:pPr>
              <w:pStyle w:val="17"/>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报价要求:只允许有一个报价，任何有选择性的报价或者有附加条件的报价</w:t>
            </w: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人将不予接受。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17</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*投标货币</w:t>
            </w:r>
          </w:p>
        </w:tc>
        <w:tc>
          <w:tcPr>
            <w:tcW w:w="8169" w:type="dxa"/>
            <w:vAlign w:val="center"/>
          </w:tcPr>
          <w:p>
            <w:pPr>
              <w:spacing w:line="360" w:lineRule="exact"/>
              <w:jc w:val="left"/>
              <w:rPr>
                <w:rFonts w:hint="eastAsia" w:ascii="宋体" w:hAnsi="宋体" w:eastAsia="宋体" w:cs="宋体"/>
                <w:b w:val="0"/>
                <w:bCs w:val="0"/>
                <w:color w:val="auto"/>
                <w:kern w:val="0"/>
                <w:sz w:val="24"/>
                <w:highlight w:val="none"/>
              </w:rPr>
            </w:pPr>
            <w:r>
              <w:rPr>
                <w:rFonts w:hint="eastAsia" w:ascii="宋体" w:hAnsi="宋体" w:eastAsia="宋体" w:cs="宋体"/>
                <w:b w:val="0"/>
                <w:bCs w:val="0"/>
                <w:color w:val="auto"/>
                <w:kern w:val="0"/>
                <w:sz w:val="24"/>
                <w:highlight w:val="none"/>
              </w:rPr>
              <w:t>人民币。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投标书的编制和递交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top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18</w:t>
            </w: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*投标保证金</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金额</w:t>
            </w:r>
          </w:p>
        </w:tc>
        <w:tc>
          <w:tcPr>
            <w:tcW w:w="8169" w:type="dxa"/>
            <w:tcBorders>
              <w:top w:val="single" w:color="auto" w:sz="4" w:space="0"/>
            </w:tcBorders>
            <w:vAlign w:val="center"/>
          </w:tcPr>
          <w:p>
            <w:pPr>
              <w:spacing w:line="360" w:lineRule="exact"/>
              <w:rPr>
                <w:rFonts w:hint="eastAsia" w:ascii="宋体" w:hAnsi="宋体" w:eastAsia="宋体" w:cs="宋体"/>
                <w:b w:val="0"/>
                <w:bCs w:val="0"/>
                <w:color w:val="auto"/>
                <w:highlight w:val="none"/>
              </w:rPr>
            </w:pPr>
            <w:r>
              <w:rPr>
                <w:rFonts w:hint="eastAsia" w:ascii="宋体" w:hAnsi="宋体" w:eastAsia="宋体" w:cs="宋体"/>
                <w:b w:val="0"/>
                <w:bCs w:val="0"/>
                <w:color w:val="auto"/>
                <w:sz w:val="24"/>
                <w:highlight w:val="none"/>
              </w:rPr>
              <w:t>第</w:t>
            </w:r>
            <w:r>
              <w:rPr>
                <w:rFonts w:hint="eastAsia" w:ascii="宋体" w:hAnsi="宋体" w:eastAsia="宋体" w:cs="宋体"/>
                <w:b w:val="0"/>
                <w:bCs w:val="0"/>
                <w:color w:val="auto"/>
                <w:sz w:val="24"/>
                <w:highlight w:val="none"/>
                <w:lang w:eastAsia="zh-CN"/>
              </w:rPr>
              <w:t>十七</w:t>
            </w:r>
            <w:r>
              <w:rPr>
                <w:rFonts w:hint="eastAsia" w:ascii="宋体" w:hAnsi="宋体" w:eastAsia="宋体" w:cs="宋体"/>
                <w:b w:val="0"/>
                <w:bCs w:val="0"/>
                <w:color w:val="auto"/>
                <w:sz w:val="24"/>
                <w:highlight w:val="none"/>
                <w:lang w:val="en-US" w:eastAsia="zh-CN"/>
              </w:rPr>
              <w:t xml:space="preserve">标段 </w:t>
            </w:r>
            <w:r>
              <w:rPr>
                <w:rFonts w:hint="eastAsia" w:ascii="宋体" w:hAnsi="宋体" w:eastAsia="宋体" w:cs="宋体"/>
                <w:bCs/>
                <w:color w:val="auto"/>
                <w:sz w:val="24"/>
                <w:szCs w:val="24"/>
                <w:highlight w:val="none"/>
                <w:lang w:eastAsia="zh-CN"/>
              </w:rPr>
              <w:t>人民币</w:t>
            </w:r>
            <w:r>
              <w:rPr>
                <w:rFonts w:hint="eastAsia" w:ascii="宋体" w:hAnsi="宋体" w:eastAsia="宋体" w:cs="宋体"/>
                <w:bCs/>
                <w:color w:val="auto"/>
                <w:sz w:val="24"/>
                <w:szCs w:val="24"/>
                <w:highlight w:val="none"/>
                <w:lang w:val="en-US" w:eastAsia="zh-CN"/>
              </w:rPr>
              <w:t>36017元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top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19</w:t>
            </w: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*投标保证金</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形式</w:t>
            </w:r>
          </w:p>
        </w:tc>
        <w:tc>
          <w:tcPr>
            <w:tcW w:w="8169" w:type="dxa"/>
            <w:tcBorders>
              <w:top w:val="single" w:color="auto" w:sz="4" w:space="0"/>
            </w:tcBorders>
            <w:vAlign w:val="center"/>
          </w:tcPr>
          <w:p>
            <w:p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投标保证金形式：投标人应在投标截止时间前将投标保证金采用电汇、转账、支票、汇票、本票或者金融机构、担保机构出具的保函</w:t>
            </w:r>
            <w:r>
              <w:rPr>
                <w:rFonts w:hint="eastAsia" w:ascii="宋体" w:hAnsi="宋体" w:eastAsia="宋体" w:cs="宋体"/>
                <w:color w:val="auto"/>
                <w:sz w:val="24"/>
                <w:highlight w:val="none"/>
              </w:rPr>
              <w:t>等非现金形式交纳</w:t>
            </w:r>
            <w:r>
              <w:rPr>
                <w:rFonts w:hint="eastAsia" w:ascii="宋体" w:hAnsi="宋体" w:eastAsia="宋体" w:cs="宋体"/>
                <w:sz w:val="24"/>
                <w:szCs w:val="24"/>
                <w:highlight w:val="none"/>
              </w:rPr>
              <w:t>，投标保证金应当从</w:t>
            </w:r>
            <w:r>
              <w:rPr>
                <w:rFonts w:hint="eastAsia" w:ascii="宋体" w:hAnsi="宋体" w:eastAsia="宋体" w:cs="宋体"/>
                <w:color w:val="auto"/>
                <w:sz w:val="24"/>
                <w:highlight w:val="none"/>
                <w:lang w:val="en-US" w:eastAsia="zh-CN"/>
              </w:rPr>
              <w:t>投标人</w:t>
            </w:r>
            <w:r>
              <w:rPr>
                <w:rFonts w:hint="eastAsia" w:ascii="宋体" w:hAnsi="宋体" w:eastAsia="宋体" w:cs="宋体"/>
                <w:sz w:val="24"/>
                <w:szCs w:val="24"/>
                <w:highlight w:val="none"/>
              </w:rPr>
              <w:t>的基本账户转出。投标人未按照招标文件要求提交投标保证金的，投标无效。</w:t>
            </w:r>
          </w:p>
          <w:p>
            <w:p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投标保证金账户：</w:t>
            </w:r>
          </w:p>
          <w:p>
            <w:pPr>
              <w:bidi w:val="0"/>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账户：中科高盛咨询集团有限公司</w:t>
            </w:r>
          </w:p>
          <w:p>
            <w:pPr>
              <w:bidi w:val="0"/>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开户行：中国民生银行长沙芙蓉广场支行</w:t>
            </w:r>
          </w:p>
          <w:p>
            <w:pPr>
              <w:bidi w:val="0"/>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行号：305551031105</w:t>
            </w:r>
          </w:p>
          <w:p>
            <w:pPr>
              <w:spacing w:line="360" w:lineRule="exact"/>
              <w:outlineLvl w:val="9"/>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rPr>
              <w:t>账号：9902001774277790</w:t>
            </w:r>
          </w:p>
          <w:p>
            <w:pPr>
              <w:spacing w:line="360" w:lineRule="exact"/>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保证金的缴纳以到账时间为准，投标保证金截止时间同投标截止时间（开标时间）。</w:t>
            </w:r>
          </w:p>
          <w:p>
            <w:p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要求：（1）投标人提供基本账户开户许可证</w:t>
            </w:r>
            <w:r>
              <w:rPr>
                <w:rFonts w:hint="eastAsia" w:ascii="宋体" w:hAnsi="宋体" w:eastAsia="宋体" w:cs="宋体"/>
                <w:sz w:val="24"/>
                <w:szCs w:val="24"/>
                <w:highlight w:val="none"/>
                <w:lang w:eastAsia="zh-CN"/>
              </w:rPr>
              <w:t>（或基本存款账户信息）</w:t>
            </w:r>
            <w:r>
              <w:rPr>
                <w:rFonts w:hint="eastAsia" w:ascii="宋体" w:hAnsi="宋体" w:eastAsia="宋体" w:cs="宋体"/>
                <w:sz w:val="24"/>
                <w:szCs w:val="24"/>
                <w:highlight w:val="none"/>
              </w:rPr>
              <w:t>复印件及投标保证金缴纳凭证复印件装入到投标文件中。</w:t>
            </w:r>
          </w:p>
          <w:p>
            <w:pPr>
              <w:numPr>
                <w:ilvl w:val="0"/>
                <w:numId w:val="1"/>
              </w:num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"mailto:以保函形式提交投标保证金的，须在开标截止时间前将保函电子版扫描件提交到招标代理机构邮箱（19959771@qq.com），原件递交至招标代理机构，复印件装入投标文件中。" </w:instrText>
            </w:r>
            <w:r>
              <w:rPr>
                <w:rFonts w:hint="eastAsia" w:ascii="宋体" w:hAnsi="宋体" w:eastAsia="宋体" w:cs="宋体"/>
                <w:sz w:val="24"/>
                <w:szCs w:val="24"/>
                <w:highlight w:val="none"/>
              </w:rPr>
              <w:fldChar w:fldCharType="separate"/>
            </w:r>
            <w:r>
              <w:rPr>
                <w:rStyle w:val="30"/>
                <w:rFonts w:hint="eastAsia" w:ascii="宋体" w:hAnsi="宋体" w:eastAsia="宋体" w:cs="宋体"/>
                <w:color w:val="auto"/>
                <w:sz w:val="24"/>
                <w:szCs w:val="24"/>
                <w:highlight w:val="none"/>
              </w:rPr>
              <w:t>以保函形式提交投标保证金的，须在开标截止时间前将保函电子版扫描件提交到</w:t>
            </w:r>
            <w:r>
              <w:rPr>
                <w:rStyle w:val="30"/>
                <w:rFonts w:hint="eastAsia" w:ascii="宋体" w:hAnsi="宋体" w:eastAsia="宋体" w:cs="宋体"/>
                <w:color w:val="auto"/>
                <w:sz w:val="24"/>
                <w:szCs w:val="24"/>
                <w:highlight w:val="none"/>
                <w:lang w:eastAsia="zh-CN"/>
              </w:rPr>
              <w:t>采购代理机构</w:t>
            </w:r>
            <w:r>
              <w:rPr>
                <w:rStyle w:val="30"/>
                <w:rFonts w:hint="eastAsia" w:ascii="宋体" w:hAnsi="宋体" w:eastAsia="宋体" w:cs="宋体"/>
                <w:color w:val="auto"/>
                <w:sz w:val="24"/>
                <w:szCs w:val="24"/>
                <w:highlight w:val="none"/>
              </w:rPr>
              <w:t>邮箱（</w:t>
            </w:r>
            <w:r>
              <w:rPr>
                <w:rStyle w:val="30"/>
                <w:rFonts w:hint="eastAsia" w:ascii="宋体" w:hAnsi="宋体" w:eastAsia="宋体" w:cs="宋体"/>
                <w:color w:val="auto"/>
                <w:sz w:val="24"/>
                <w:szCs w:val="24"/>
                <w:highlight w:val="none"/>
                <w:lang w:val="en-US" w:eastAsia="zh-CN"/>
              </w:rPr>
              <w:t>1053935487</w:t>
            </w:r>
            <w:r>
              <w:rPr>
                <w:rStyle w:val="30"/>
                <w:rFonts w:hint="eastAsia" w:ascii="宋体" w:hAnsi="宋体" w:eastAsia="宋体" w:cs="宋体"/>
                <w:color w:val="auto"/>
                <w:sz w:val="24"/>
                <w:szCs w:val="24"/>
                <w:highlight w:val="none"/>
              </w:rPr>
              <w:t>@qq.com），原件递交至</w:t>
            </w:r>
            <w:r>
              <w:rPr>
                <w:rStyle w:val="30"/>
                <w:rFonts w:hint="eastAsia" w:ascii="宋体" w:hAnsi="宋体" w:eastAsia="宋体" w:cs="宋体"/>
                <w:color w:val="auto"/>
                <w:sz w:val="24"/>
                <w:szCs w:val="24"/>
                <w:highlight w:val="none"/>
                <w:lang w:eastAsia="zh-CN"/>
              </w:rPr>
              <w:t>采购代理机构</w:t>
            </w:r>
            <w:r>
              <w:rPr>
                <w:rStyle w:val="30"/>
                <w:rFonts w:hint="eastAsia" w:ascii="宋体" w:hAnsi="宋体" w:eastAsia="宋体" w:cs="宋体"/>
                <w:color w:val="auto"/>
                <w:sz w:val="24"/>
                <w:szCs w:val="24"/>
                <w:highlight w:val="none"/>
              </w:rPr>
              <w:t>，复印件装入投标文件中。</w:t>
            </w:r>
            <w:r>
              <w:rPr>
                <w:rFonts w:hint="eastAsia" w:ascii="宋体" w:hAnsi="宋体" w:eastAsia="宋体" w:cs="宋体"/>
                <w:sz w:val="24"/>
                <w:szCs w:val="24"/>
                <w:highlight w:val="none"/>
              </w:rPr>
              <w:fldChar w:fldCharType="end"/>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bCs/>
                <w:sz w:val="24"/>
                <w:szCs w:val="24"/>
                <w:highlight w:val="none"/>
              </w:rPr>
              <w:t>注：投标保证金是投标文件的组成部分，未按要求提交的，视为放弃投标，采购人将不接受其投标文件。投标人须在银行进帐单上注明“</w:t>
            </w:r>
            <w:r>
              <w:rPr>
                <w:rFonts w:hint="eastAsia" w:ascii="宋体" w:hAnsi="宋体" w:eastAsia="宋体" w:cs="宋体"/>
                <w:b/>
                <w:bCs/>
                <w:sz w:val="24"/>
                <w:szCs w:val="24"/>
                <w:highlight w:val="none"/>
                <w:u w:val="single"/>
              </w:rPr>
              <w:t xml:space="preserve">      </w:t>
            </w:r>
            <w:r>
              <w:rPr>
                <w:rFonts w:hint="eastAsia" w:ascii="宋体" w:hAnsi="宋体" w:eastAsia="宋体" w:cs="宋体"/>
                <w:b/>
                <w:bCs/>
                <w:sz w:val="24"/>
                <w:szCs w:val="24"/>
                <w:highlight w:val="none"/>
              </w:rPr>
              <w:t>项目</w:t>
            </w:r>
            <w:r>
              <w:rPr>
                <w:rFonts w:hint="eastAsia" w:ascii="宋体" w:hAnsi="宋体" w:eastAsia="宋体" w:cs="宋体"/>
                <w:b/>
                <w:bCs/>
                <w:sz w:val="24"/>
                <w:szCs w:val="24"/>
                <w:highlight w:val="none"/>
                <w:u w:val="single"/>
              </w:rPr>
              <w:t xml:space="preserve">     </w:t>
            </w:r>
            <w:r>
              <w:rPr>
                <w:rFonts w:hint="eastAsia" w:ascii="宋体" w:hAnsi="宋体" w:eastAsia="宋体" w:cs="宋体"/>
                <w:b/>
                <w:bCs/>
                <w:sz w:val="24"/>
                <w:szCs w:val="24"/>
                <w:highlight w:val="none"/>
              </w:rPr>
              <w:t>标段”的投标保证金（例如：</w:t>
            </w:r>
            <w:r>
              <w:rPr>
                <w:rFonts w:hint="eastAsia" w:ascii="宋体" w:hAnsi="宋体" w:eastAsia="宋体" w:cs="宋体"/>
                <w:b/>
                <w:bCs/>
                <w:sz w:val="24"/>
                <w:szCs w:val="24"/>
                <w:highlight w:val="none"/>
                <w:lang w:val="en-US" w:eastAsia="zh-CN"/>
              </w:rPr>
              <w:t>地震化工</w:t>
            </w:r>
            <w:r>
              <w:rPr>
                <w:rFonts w:hint="eastAsia" w:ascii="宋体" w:hAnsi="宋体" w:eastAsia="宋体" w:cs="宋体"/>
                <w:b/>
                <w:bCs/>
                <w:sz w:val="24"/>
                <w:szCs w:val="24"/>
                <w:highlight w:val="none"/>
              </w:rPr>
              <w:t>项目XX标段），以便核对查实。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20</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投标有效期</w:t>
            </w:r>
          </w:p>
        </w:tc>
        <w:tc>
          <w:tcPr>
            <w:tcW w:w="8169" w:type="dxa"/>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投标有效期：90天。</w:t>
            </w:r>
          </w:p>
          <w:p>
            <w:pPr>
              <w:spacing w:line="360" w:lineRule="exact"/>
              <w:jc w:val="left"/>
              <w:rPr>
                <w:rFonts w:hint="eastAsia" w:ascii="宋体" w:hAnsi="宋体" w:eastAsia="宋体" w:cs="宋体"/>
                <w:b w:val="0"/>
                <w:bCs w:val="0"/>
                <w:i/>
                <w:iCs/>
                <w:color w:val="auto"/>
                <w:sz w:val="24"/>
                <w:highlight w:val="none"/>
              </w:rPr>
            </w:pPr>
            <w:r>
              <w:rPr>
                <w:rFonts w:hint="eastAsia" w:ascii="宋体" w:hAnsi="宋体" w:eastAsia="宋体" w:cs="宋体"/>
                <w:b w:val="0"/>
                <w:bCs w:val="0"/>
                <w:color w:val="auto"/>
                <w:sz w:val="24"/>
                <w:highlight w:val="none"/>
              </w:rPr>
              <w:t>投标保证金有效期应与投标有效期一致。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21</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投标文件份数</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正本</w:t>
            </w:r>
            <w:r>
              <w:rPr>
                <w:rFonts w:hint="eastAsia" w:ascii="宋体" w:hAnsi="宋体" w:eastAsia="宋体" w:cs="宋体"/>
                <w:b w:val="0"/>
                <w:bCs w:val="0"/>
                <w:color w:val="auto"/>
                <w:sz w:val="24"/>
                <w:highlight w:val="none"/>
                <w:lang w:val="en-US" w:eastAsia="zh-CN"/>
              </w:rPr>
              <w:t>1</w:t>
            </w:r>
            <w:r>
              <w:rPr>
                <w:rFonts w:hint="eastAsia" w:ascii="宋体" w:hAnsi="宋体" w:eastAsia="宋体" w:cs="宋体"/>
                <w:b w:val="0"/>
                <w:bCs w:val="0"/>
                <w:color w:val="auto"/>
                <w:sz w:val="24"/>
                <w:highlight w:val="none"/>
              </w:rPr>
              <w:t>份，副本</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份（含技术及商务等所有文件），电子版普通U盘2份（WORD一份、按招标文件要求签字并加盖公章的PDF扫描件一份，U盘拷贝）。</w:t>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（电子版文件应为投标文件正本的扫描件）。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vMerge w:val="restart"/>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22</w:t>
            </w:r>
          </w:p>
        </w:tc>
        <w:tc>
          <w:tcPr>
            <w:tcW w:w="1456" w:type="dxa"/>
            <w:tcBorders>
              <w:left w:val="single" w:color="auto" w:sz="4" w:space="0"/>
              <w:bottom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投标截止、开标时间</w:t>
            </w:r>
          </w:p>
        </w:tc>
        <w:tc>
          <w:tcPr>
            <w:tcW w:w="8169" w:type="dxa"/>
            <w:tcBorders>
              <w:bottom w:val="single" w:color="auto" w:sz="4" w:space="0"/>
            </w:tcBorders>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color w:val="FF0000"/>
                <w:sz w:val="24"/>
                <w:highlight w:val="none"/>
              </w:rPr>
              <w:t>202</w:t>
            </w:r>
            <w:r>
              <w:rPr>
                <w:rFonts w:hint="eastAsia" w:ascii="宋体" w:hAnsi="宋体" w:eastAsia="宋体" w:cs="宋体"/>
                <w:color w:val="FF0000"/>
                <w:sz w:val="24"/>
                <w:highlight w:val="none"/>
                <w:lang w:val="en-US" w:eastAsia="zh-CN"/>
              </w:rPr>
              <w:t>4</w:t>
            </w:r>
            <w:r>
              <w:rPr>
                <w:rFonts w:hint="eastAsia" w:ascii="宋体" w:hAnsi="宋体" w:eastAsia="宋体" w:cs="宋体"/>
                <w:color w:val="FF0000"/>
                <w:sz w:val="24"/>
                <w:highlight w:val="none"/>
              </w:rPr>
              <w:t>年</w:t>
            </w:r>
            <w:r>
              <w:rPr>
                <w:rFonts w:hint="eastAsia" w:ascii="宋体" w:hAnsi="宋体" w:eastAsia="宋体" w:cs="宋体"/>
                <w:color w:val="FF0000"/>
                <w:sz w:val="24"/>
                <w:highlight w:val="none"/>
                <w:lang w:val="en-US" w:eastAsia="zh-CN"/>
              </w:rPr>
              <w:t>04</w:t>
            </w:r>
            <w:r>
              <w:rPr>
                <w:rFonts w:hint="eastAsia" w:ascii="宋体" w:hAnsi="宋体" w:eastAsia="宋体" w:cs="宋体"/>
                <w:color w:val="FF0000"/>
                <w:sz w:val="24"/>
                <w:highlight w:val="none"/>
              </w:rPr>
              <w:t>月</w:t>
            </w:r>
            <w:r>
              <w:rPr>
                <w:rFonts w:hint="eastAsia" w:ascii="宋体" w:hAnsi="宋体" w:eastAsia="宋体" w:cs="宋体"/>
                <w:color w:val="FF0000"/>
                <w:sz w:val="24"/>
                <w:highlight w:val="none"/>
                <w:lang w:val="en-US" w:eastAsia="zh-CN"/>
              </w:rPr>
              <w:t>25</w:t>
            </w:r>
            <w:r>
              <w:rPr>
                <w:rFonts w:hint="eastAsia" w:ascii="宋体" w:hAnsi="宋体" w:eastAsia="宋体" w:cs="宋体"/>
                <w:color w:val="FF0000"/>
                <w:sz w:val="24"/>
                <w:highlight w:val="none"/>
              </w:rPr>
              <w:t>日</w:t>
            </w:r>
            <w:r>
              <w:rPr>
                <w:rFonts w:hint="eastAsia" w:ascii="宋体" w:hAnsi="宋体" w:eastAsia="宋体" w:cs="宋体"/>
                <w:color w:val="FF0000"/>
                <w:sz w:val="24"/>
                <w:highlight w:val="none"/>
                <w:lang w:val="en-US" w:eastAsia="zh-CN"/>
              </w:rPr>
              <w:t>09</w:t>
            </w:r>
            <w:r>
              <w:rPr>
                <w:rFonts w:hint="eastAsia" w:ascii="宋体" w:hAnsi="宋体" w:eastAsia="宋体" w:cs="宋体"/>
                <w:color w:val="FF0000"/>
                <w:sz w:val="24"/>
                <w:highlight w:val="none"/>
              </w:rPr>
              <w:t>时</w:t>
            </w:r>
            <w:r>
              <w:rPr>
                <w:rFonts w:hint="eastAsia" w:ascii="宋体" w:hAnsi="宋体" w:eastAsia="宋体" w:cs="宋体"/>
                <w:color w:val="FF0000"/>
                <w:sz w:val="24"/>
                <w:highlight w:val="none"/>
                <w:lang w:val="en-US" w:eastAsia="zh-CN"/>
              </w:rPr>
              <w:t>0</w:t>
            </w:r>
            <w:r>
              <w:rPr>
                <w:rFonts w:hint="eastAsia" w:ascii="宋体" w:hAnsi="宋体" w:eastAsia="宋体" w:cs="宋体"/>
                <w:color w:val="FF0000"/>
                <w:sz w:val="24"/>
                <w:highlight w:val="none"/>
              </w:rPr>
              <w:t>0分</w:t>
            </w:r>
            <w:r>
              <w:rPr>
                <w:rFonts w:hint="eastAsia" w:ascii="宋体" w:hAnsi="宋体" w:eastAsia="宋体" w:cs="宋体"/>
                <w:b w:val="0"/>
                <w:bCs w:val="0"/>
                <w:color w:val="auto"/>
                <w:sz w:val="24"/>
                <w:highlight w:val="none"/>
                <w:lang w:val="zh-CN"/>
              </w:rPr>
              <w:t>(北京时间)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vMerge w:val="continue"/>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投标文件递交、开标地点</w:t>
            </w:r>
          </w:p>
        </w:tc>
        <w:tc>
          <w:tcPr>
            <w:tcW w:w="8169" w:type="dxa"/>
            <w:tcBorders>
              <w:top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en-US"/>
              </w:rPr>
            </w:pPr>
            <w:r>
              <w:rPr>
                <w:rFonts w:hint="eastAsia" w:ascii="宋体" w:hAnsi="宋体" w:eastAsia="宋体" w:cs="宋体"/>
                <w:b w:val="0"/>
                <w:bCs w:val="0"/>
                <w:color w:val="auto"/>
                <w:sz w:val="24"/>
                <w:highlight w:val="none"/>
              </w:rPr>
              <w:t>地址：</w:t>
            </w:r>
            <w:r>
              <w:rPr>
                <w:rFonts w:hint="eastAsia" w:ascii="宋体" w:hAnsi="宋体" w:eastAsia="宋体" w:cs="宋体"/>
                <w:bCs/>
                <w:color w:val="auto"/>
                <w:sz w:val="24"/>
                <w:highlight w:val="none"/>
                <w:lang w:eastAsia="zh-CN"/>
              </w:rPr>
              <w:t>东北亚国际金融中心（人民大街与谊民路交汇东行100米）3号楼1楼（仅开放东门、从东门进入）</w:t>
            </w:r>
            <w:r>
              <w:rPr>
                <w:rFonts w:hint="eastAsia" w:ascii="宋体" w:hAnsi="宋体" w:eastAsia="宋体" w:cs="宋体"/>
                <w:bCs/>
                <w:color w:val="FF0000"/>
                <w:sz w:val="24"/>
                <w:highlight w:val="none"/>
                <w:lang w:eastAsia="zh-CN"/>
              </w:rPr>
              <w:t>第一开标室</w:t>
            </w:r>
            <w:r>
              <w:rPr>
                <w:rFonts w:hint="eastAsia" w:ascii="宋体" w:hAnsi="宋体" w:eastAsia="宋体" w:cs="宋体"/>
                <w:color w:val="FF0000"/>
                <w:sz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评标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23</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评标委员会</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组成</w:t>
            </w:r>
          </w:p>
        </w:tc>
        <w:tc>
          <w:tcPr>
            <w:tcW w:w="8169" w:type="dxa"/>
            <w:tcBorders>
              <w:left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zh-CN"/>
              </w:rPr>
            </w:pPr>
            <w:r>
              <w:rPr>
                <w:rFonts w:hint="eastAsia" w:ascii="宋体" w:hAnsi="宋体" w:eastAsia="宋体" w:cs="宋体"/>
                <w:b w:val="0"/>
                <w:bCs w:val="0"/>
                <w:color w:val="auto"/>
                <w:sz w:val="24"/>
                <w:highlight w:val="none"/>
              </w:rPr>
              <w:t>共</w:t>
            </w:r>
            <w:r>
              <w:rPr>
                <w:rFonts w:hint="eastAsia" w:ascii="宋体" w:hAnsi="宋体" w:eastAsia="宋体" w:cs="宋体"/>
                <w:b w:val="0"/>
                <w:bCs w:val="0"/>
                <w:color w:val="auto"/>
                <w:sz w:val="24"/>
                <w:highlight w:val="none"/>
                <w:lang w:val="en-US" w:eastAsia="zh-CN"/>
              </w:rPr>
              <w:t>7</w:t>
            </w:r>
            <w:r>
              <w:rPr>
                <w:rFonts w:hint="eastAsia" w:ascii="宋体" w:hAnsi="宋体" w:eastAsia="宋体" w:cs="宋体"/>
                <w:b w:val="0"/>
                <w:bCs w:val="0"/>
                <w:color w:val="auto"/>
                <w:sz w:val="24"/>
                <w:highlight w:val="none"/>
              </w:rPr>
              <w:t>人，</w:t>
            </w:r>
            <w:r>
              <w:rPr>
                <w:rFonts w:hint="eastAsia" w:ascii="宋体" w:hAnsi="宋体" w:eastAsia="宋体" w:cs="宋体"/>
                <w:b w:val="0"/>
                <w:bCs w:val="0"/>
                <w:color w:val="auto"/>
                <w:sz w:val="24"/>
                <w:highlight w:val="none"/>
                <w:lang w:val="zh-CN"/>
              </w:rPr>
              <w:t>其中</w:t>
            </w:r>
            <w:r>
              <w:rPr>
                <w:rFonts w:hint="eastAsia" w:ascii="宋体" w:hAnsi="宋体" w:eastAsia="宋体" w:cs="宋体"/>
                <w:b w:val="0"/>
                <w:bCs w:val="0"/>
                <w:color w:val="auto"/>
                <w:sz w:val="24"/>
                <w:highlight w:val="none"/>
                <w:lang w:val="en-US" w:eastAsia="zh-CN"/>
              </w:rPr>
              <w:t>采购</w:t>
            </w:r>
            <w:r>
              <w:rPr>
                <w:rFonts w:hint="eastAsia" w:ascii="宋体" w:hAnsi="宋体" w:eastAsia="宋体" w:cs="宋体"/>
                <w:b w:val="0"/>
                <w:bCs w:val="0"/>
                <w:color w:val="auto"/>
                <w:sz w:val="24"/>
                <w:highlight w:val="none"/>
                <w:lang w:val="zh-CN"/>
              </w:rPr>
              <w:t>人代表</w:t>
            </w:r>
            <w:r>
              <w:rPr>
                <w:rFonts w:hint="eastAsia" w:ascii="宋体" w:hAnsi="宋体" w:eastAsia="宋体" w:cs="宋体"/>
                <w:b w:val="0"/>
                <w:bCs w:val="0"/>
                <w:color w:val="auto"/>
                <w:sz w:val="24"/>
                <w:highlight w:val="none"/>
                <w:lang w:val="en-US" w:eastAsia="zh-CN"/>
              </w:rPr>
              <w:t>1</w:t>
            </w:r>
            <w:r>
              <w:rPr>
                <w:rFonts w:hint="eastAsia" w:ascii="宋体" w:hAnsi="宋体" w:eastAsia="宋体" w:cs="宋体"/>
                <w:b w:val="0"/>
                <w:bCs w:val="0"/>
                <w:color w:val="auto"/>
                <w:sz w:val="24"/>
                <w:highlight w:val="none"/>
                <w:lang w:val="zh-CN"/>
              </w:rPr>
              <w:t>人</w:t>
            </w:r>
            <w:r>
              <w:rPr>
                <w:rFonts w:hint="eastAsia" w:ascii="宋体" w:hAnsi="宋体" w:eastAsia="宋体" w:cs="宋体"/>
                <w:b w:val="0"/>
                <w:bCs w:val="0"/>
                <w:color w:val="auto"/>
                <w:sz w:val="24"/>
                <w:highlight w:val="none"/>
              </w:rPr>
              <w:t>，外聘</w:t>
            </w:r>
            <w:r>
              <w:rPr>
                <w:rFonts w:hint="eastAsia" w:ascii="宋体" w:hAnsi="宋体" w:eastAsia="宋体" w:cs="宋体"/>
                <w:b w:val="0"/>
                <w:bCs w:val="0"/>
                <w:color w:val="auto"/>
                <w:sz w:val="24"/>
                <w:highlight w:val="none"/>
                <w:lang w:val="zh-CN"/>
              </w:rPr>
              <w:t>专家</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lang w:val="zh-CN"/>
              </w:rPr>
              <w:t>人；</w:t>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zh-CN"/>
              </w:rPr>
              <w:t>评标专家确定方式：</w:t>
            </w:r>
            <w:r>
              <w:rPr>
                <w:rFonts w:hint="eastAsia" w:ascii="宋体" w:hAnsi="宋体" w:eastAsia="宋体" w:cs="宋体"/>
                <w:b w:val="0"/>
                <w:bCs w:val="0"/>
                <w:color w:val="auto"/>
                <w:sz w:val="24"/>
                <w:highlight w:val="none"/>
              </w:rPr>
              <w:t>外聘专家从吉林省省级评标专家库中随机抽取。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3"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评标方法</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eastAsia="zh-CN"/>
              </w:rPr>
              <w:t>综合评分</w:t>
            </w:r>
            <w:r>
              <w:rPr>
                <w:rFonts w:hint="eastAsia" w:ascii="宋体" w:hAnsi="宋体" w:eastAsia="宋体" w:cs="宋体"/>
                <w:b w:val="0"/>
                <w:bCs w:val="0"/>
                <w:color w:val="auto"/>
                <w:sz w:val="24"/>
                <w:highlight w:val="none"/>
              </w:rPr>
              <w:t>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yellow"/>
              </w:rPr>
            </w:pPr>
            <w:r>
              <w:rPr>
                <w:rFonts w:hint="eastAsia" w:ascii="宋体" w:hAnsi="宋体" w:eastAsia="宋体" w:cs="宋体"/>
                <w:color w:val="auto"/>
                <w:sz w:val="24"/>
                <w:highlight w:val="none"/>
              </w:rPr>
              <w:t>授予合同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2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*履约保证金</w:t>
            </w:r>
          </w:p>
        </w:tc>
        <w:tc>
          <w:tcPr>
            <w:tcW w:w="8169" w:type="dxa"/>
            <w:tcBorders>
              <w:left w:val="single" w:color="auto" w:sz="4" w:space="0"/>
            </w:tcBorders>
            <w:vAlign w:val="center"/>
          </w:tcPr>
          <w:p>
            <w:pPr>
              <w:pStyle w:val="22"/>
              <w:spacing w:line="360" w:lineRule="exact"/>
              <w:ind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中标人应在订立采购合同之前向采购人提交合同总价5%的履约保证金。履约保证金应以</w:t>
            </w:r>
            <w:r>
              <w:rPr>
                <w:rFonts w:hint="eastAsia" w:ascii="宋体" w:hAnsi="宋体" w:eastAsia="宋体" w:cs="宋体"/>
                <w:b w:val="0"/>
                <w:bCs w:val="0"/>
                <w:color w:val="auto"/>
                <w:sz w:val="24"/>
                <w:szCs w:val="24"/>
                <w:highlight w:val="none"/>
                <w:lang w:val="en-US" w:eastAsia="zh-CN"/>
              </w:rPr>
              <w:t>银行转账或</w:t>
            </w:r>
            <w:r>
              <w:rPr>
                <w:rFonts w:hint="eastAsia" w:ascii="宋体" w:hAnsi="宋体" w:eastAsia="宋体" w:cs="宋体"/>
                <w:b w:val="0"/>
                <w:bCs w:val="0"/>
                <w:color w:val="auto"/>
                <w:sz w:val="24"/>
                <w:szCs w:val="24"/>
                <w:highlight w:val="none"/>
              </w:rPr>
              <w:t>支票、汇票、本票或者金融机构、担保机构出具的保函等非现金形式提交。如未按时交纳履约保证金，视为自动放弃中标资格。</w:t>
            </w:r>
          </w:p>
          <w:p>
            <w:pPr>
              <w:pStyle w:val="22"/>
              <w:spacing w:line="360" w:lineRule="exact"/>
              <w:ind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履约保证金退还的时间：待中标人履行合同约定后，不计利息一次性退还。具体内容以合同约定为准。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26</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*税票要求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符合现行阶段要求。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2"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27</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培训要求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详见招标文件技术需求部分。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28</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0000FF"/>
                <w:sz w:val="24"/>
                <w:highlight w:val="none"/>
              </w:rPr>
            </w:pPr>
            <w:r>
              <w:rPr>
                <w:rFonts w:hint="eastAsia" w:ascii="宋体" w:hAnsi="宋体" w:eastAsia="宋体" w:cs="宋体"/>
                <w:color w:val="auto"/>
                <w:sz w:val="24"/>
                <w:highlight w:val="none"/>
              </w:rPr>
              <w:t>*质保期</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color w:val="auto"/>
                <w:sz w:val="24"/>
                <w:highlight w:val="none"/>
              </w:rPr>
              <w:t>自货物最终验收合格之日起质保</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年，保修期</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年，保修期自质保期届满之日起计算。</w:t>
            </w:r>
            <w:r>
              <w:rPr>
                <w:rFonts w:hint="eastAsia" w:ascii="宋体" w:hAnsi="宋体" w:eastAsia="宋体" w:cs="宋体"/>
                <w:b w:val="0"/>
                <w:bCs w:val="0"/>
                <w:color w:val="auto"/>
                <w:sz w:val="24"/>
                <w:szCs w:val="24"/>
                <w:highlight w:val="none"/>
                <w:lang w:eastAsia="zh-CN"/>
              </w:rPr>
              <w:t>保修期内的质量问题必须及时免费提供维修服务，</w:t>
            </w:r>
            <w:r>
              <w:rPr>
                <w:rFonts w:hint="eastAsia" w:ascii="宋体" w:hAnsi="宋体" w:eastAsia="宋体" w:cs="宋体"/>
                <w:b w:val="0"/>
                <w:bCs w:val="0"/>
                <w:color w:val="auto"/>
                <w:sz w:val="24"/>
                <w:szCs w:val="24"/>
                <w:highlight w:val="none"/>
              </w:rPr>
              <w:t>人工、备品、备件及耗材</w:t>
            </w:r>
            <w:r>
              <w:rPr>
                <w:rFonts w:hint="eastAsia" w:ascii="宋体" w:hAnsi="宋体" w:eastAsia="宋体" w:cs="宋体"/>
                <w:bCs/>
                <w:color w:val="auto"/>
                <w:sz w:val="24"/>
                <w:szCs w:val="24"/>
                <w:highlight w:val="none"/>
              </w:rPr>
              <w:t>承诺保证供应且价格</w:t>
            </w:r>
            <w:r>
              <w:rPr>
                <w:rFonts w:hint="eastAsia" w:ascii="宋体" w:hAnsi="宋体" w:eastAsia="宋体" w:cs="宋体"/>
                <w:bCs/>
                <w:color w:val="auto"/>
                <w:sz w:val="24"/>
                <w:szCs w:val="24"/>
                <w:highlight w:val="none"/>
                <w:lang w:eastAsia="zh-CN"/>
              </w:rPr>
              <w:t>优惠</w:t>
            </w:r>
            <w:r>
              <w:rPr>
                <w:rFonts w:hint="eastAsia" w:ascii="宋体" w:hAnsi="宋体" w:eastAsia="宋体" w:cs="宋体"/>
                <w:b w:val="0"/>
                <w:bCs w:val="0"/>
                <w:color w:val="auto"/>
                <w:sz w:val="24"/>
                <w:szCs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3"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29</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*售后服务要求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highlight w:val="none"/>
                <w:lang w:val="en-US" w:eastAsia="zh-CN"/>
              </w:rPr>
              <w:t>一</w:t>
            </w:r>
            <w:r>
              <w:rPr>
                <w:rFonts w:hint="eastAsia" w:ascii="宋体" w:hAnsi="宋体" w:eastAsia="宋体" w:cs="宋体"/>
                <w:color w:val="auto"/>
                <w:sz w:val="24"/>
                <w:highlight w:val="none"/>
              </w:rPr>
              <w:t xml:space="preserve">、有完善售后体系： </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1.1所投产品保修期内的质量问题，投标人必须及时免费提供维修服务。保修期外、正常服役期内，有义务继续提供维修、零配件供应等服务。实行缺陷产品召回制，免费负责维修和更换零部件。如有重大质量问题，必须按照国内相关法律规定、商务合同约定程序进行退货、更换装备等。</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1.2提供售后培训和定期巡检。装备交付时对指战员进行集中培训，确保学懂弄通并熟练操作。每年派技术人员到消防救援站进行巡检，建立常态化培训和巡检机制。</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1.3投标人需设立24小时值守电话，畅通即时响应售后受理渠道。维修技术人员必须在指定时间内到达现场并开展维修。遇不可抗力，不能在甲方指定的时间内到达维修地点的，要及时通知报修单位并说明原因。</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1.4提供联勤联动机制。遇有重大灾害事故处置，要快速响应，投标人需选派素质好、业务精的人员遂行技术保障，提供技术支持、现场抢修等应急技术服务。</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1.5投标人对消防救援队伍提出的维修需求,要及时响应、远程指导修复。对远程指导不能修复的,要派技术人员48小时内到场维修。国内有配件的一般故障在48小时内修复,较大故障一周内修复。国内没有配件的,应在60日内提供配件并修复。</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1.6根据采购人需求，提供监制监造服务。 </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en-US" w:eastAsia="zh-CN"/>
              </w:rPr>
              <w:t xml:space="preserve">二、投标人应提供的伴随服务 1)实施或监督所供货物的现场组装和/或试运行；2)提供货物组装和/或维修所需的工具；3)为所供货物提供详细的操作和维护手册；4)在双方商定的一定期限内对所供货物实施运行或监督或维护或修理，但前提条件；是该服务并不能免除卖方在合同保证期内所承担的义务；5)在卖方厂家和/或在项目现场就所供货物的组装、试运行、运行、维护和/或修理对买方人员进行培训；6)随附资料：除列明装备名称型号外，必须附有详细的中文技术规格书和清晰的外观照片，提供全寿命周期的主要耗损件、易损件及更换总成的目录和年度价格清单，并承诺保证供应且价格合理；合同应明确维修期周转备品保障、上门服务响应时间、零配件供应周期、工时费等服务标准。注：伴随服务的费用包含在合同价中，需单独列出但不单独进行支付。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en-US" w:eastAsia="zh-CN"/>
              </w:rPr>
              <w:t>0</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中标服务费</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highlight w:val="none"/>
              </w:rPr>
            </w:pPr>
            <w:r>
              <w:rPr>
                <w:rFonts w:hint="eastAsia" w:ascii="宋体" w:hAnsi="宋体" w:eastAsia="宋体" w:cs="宋体"/>
                <w:b w:val="0"/>
                <w:bCs w:val="0"/>
                <w:color w:val="auto"/>
                <w:sz w:val="24"/>
                <w:highlight w:val="none"/>
              </w:rPr>
              <w:t>收取标准：参照国家发展计划委员会计价格[2002]1980号、发改办价格[2003]857号文件标准，向中标人收取招标代理服务费。本项目按折扣比例0.</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收取。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需要补充的其他内容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2"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en-US" w:eastAsia="zh-CN"/>
              </w:rPr>
              <w:t>1</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szCs w:val="24"/>
                <w:highlight w:val="none"/>
              </w:rPr>
              <w:t>“*”条款</w:t>
            </w:r>
          </w:p>
        </w:tc>
        <w:tc>
          <w:tcPr>
            <w:tcW w:w="8169" w:type="dxa"/>
            <w:tcBorders>
              <w:left w:val="single" w:color="auto" w:sz="4" w:space="0"/>
            </w:tcBorders>
            <w:vAlign w:val="center"/>
          </w:tcPr>
          <w:p>
            <w:pPr>
              <w:numPr>
                <w:ilvl w:val="0"/>
                <w:numId w:val="2"/>
              </w:num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在招标文件中，商务和技术的</w:t>
            </w:r>
            <w:r>
              <w:rPr>
                <w:rFonts w:hint="eastAsia" w:ascii="宋体" w:hAnsi="宋体" w:eastAsia="宋体" w:cs="宋体"/>
                <w:b w:val="0"/>
                <w:bCs w:val="0"/>
                <w:color w:val="auto"/>
                <w:sz w:val="24"/>
                <w:highlight w:val="none"/>
                <w:lang w:eastAsia="zh-CN"/>
              </w:rPr>
              <w:t>重要</w:t>
            </w:r>
            <w:r>
              <w:rPr>
                <w:rFonts w:hint="eastAsia" w:ascii="宋体" w:hAnsi="宋体" w:eastAsia="宋体" w:cs="宋体"/>
                <w:b w:val="0"/>
                <w:bCs w:val="0"/>
                <w:color w:val="auto"/>
                <w:sz w:val="24"/>
                <w:highlight w:val="none"/>
              </w:rPr>
              <w:t>条款用“*”表示，这些</w:t>
            </w:r>
            <w:r>
              <w:rPr>
                <w:rFonts w:hint="eastAsia" w:ascii="宋体" w:hAnsi="宋体" w:eastAsia="宋体" w:cs="宋体"/>
                <w:b w:val="0"/>
                <w:bCs w:val="0"/>
                <w:color w:val="auto"/>
                <w:sz w:val="24"/>
                <w:highlight w:val="none"/>
                <w:lang w:eastAsia="zh-CN"/>
              </w:rPr>
              <w:t>重要</w:t>
            </w:r>
            <w:r>
              <w:rPr>
                <w:rFonts w:hint="eastAsia" w:ascii="宋体" w:hAnsi="宋体" w:eastAsia="宋体" w:cs="宋体"/>
                <w:b w:val="0"/>
                <w:bCs w:val="0"/>
                <w:color w:val="auto"/>
                <w:sz w:val="24"/>
                <w:highlight w:val="none"/>
              </w:rPr>
              <w:t>条款的任何负偏离将</w:t>
            </w:r>
            <w:r>
              <w:rPr>
                <w:rFonts w:hint="eastAsia" w:ascii="宋体" w:hAnsi="宋体" w:eastAsia="宋体" w:cs="宋体"/>
                <w:b w:val="0"/>
                <w:bCs w:val="0"/>
                <w:color w:val="auto"/>
                <w:sz w:val="24"/>
                <w:highlight w:val="none"/>
                <w:lang w:val="en-US" w:eastAsia="zh-CN"/>
              </w:rPr>
              <w:t>作为无效标处理</w:t>
            </w:r>
            <w:r>
              <w:rPr>
                <w:rFonts w:hint="eastAsia" w:ascii="宋体" w:hAnsi="宋体" w:eastAsia="宋体" w:cs="宋体"/>
                <w:b w:val="0"/>
                <w:bCs w:val="0"/>
                <w:color w:val="auto"/>
                <w:sz w:val="24"/>
                <w:highlight w:val="none"/>
              </w:rPr>
              <w:t>。</w:t>
            </w:r>
          </w:p>
          <w:p>
            <w:pPr>
              <w:numPr>
                <w:ilvl w:val="0"/>
                <w:numId w:val="2"/>
              </w:num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人</w:t>
            </w:r>
            <w:r>
              <w:rPr>
                <w:rFonts w:hint="eastAsia" w:ascii="宋体" w:hAnsi="宋体" w:eastAsia="宋体" w:cs="宋体"/>
                <w:b w:val="0"/>
                <w:bCs w:val="0"/>
                <w:color w:val="auto"/>
                <w:sz w:val="24"/>
                <w:highlight w:val="none"/>
              </w:rPr>
              <w:t>不对投标人的技术服务方案做出补偿。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20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32</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szCs w:val="24"/>
                <w:highlight w:val="none"/>
                <w:lang w:val="en-US" w:eastAsia="zh-CN"/>
              </w:rPr>
              <w:t>*其他要求</w:t>
            </w:r>
          </w:p>
        </w:tc>
        <w:tc>
          <w:tcPr>
            <w:tcW w:w="8169" w:type="dxa"/>
            <w:tcBorders>
              <w:left w:val="single" w:color="auto" w:sz="4" w:space="0"/>
            </w:tcBorders>
            <w:vAlign w:val="center"/>
          </w:tcPr>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特别注意：</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1.在技术规格偏离表中，投标人应如实填写所投产品的具体参数值。</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2.一般技术参数响应条款如有缺、漏项的，则该项视为负偏离；</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3.技术参数中指标性数值完全复制招标文件要求的属于负偏离，文字性描述复制的不属于负偏离，技术参数响应指标与检测报告实际参数或标书内其他佐证材料不一致的，属于负偏离。</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4.投标人需提供全部产品的外观三视图，三视图须为产品实物拍摄的彩色图片，不得使用设计图或效果图。</w:t>
            </w:r>
          </w:p>
          <w:p>
            <w:pPr>
              <w:numPr>
                <w:ilvl w:val="0"/>
                <w:numId w:val="0"/>
              </w:numPr>
              <w:spacing w:line="240" w:lineRule="auto"/>
              <w:ind w:left="0" w:leftChars="0" w:firstLine="0" w:firstLineChars="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rPr>
              <w:t>5.本次招标不接受进口产品。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580" w:hRule="atLeast"/>
          <w:jc w:val="center"/>
        </w:trPr>
        <w:tc>
          <w:tcPr>
            <w:tcW w:w="704" w:type="dxa"/>
            <w:tcBorders>
              <w:right w:val="single" w:color="auto" w:sz="4" w:space="0"/>
            </w:tcBorders>
            <w:vAlign w:val="center"/>
          </w:tcPr>
          <w:p>
            <w:pPr>
              <w:spacing w:line="360" w:lineRule="exact"/>
              <w:jc w:val="center"/>
              <w:outlineLvl w:val="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33</w:t>
            </w:r>
          </w:p>
        </w:tc>
        <w:tc>
          <w:tcPr>
            <w:tcW w:w="1456" w:type="dxa"/>
            <w:tcBorders>
              <w:left w:val="single" w:color="auto" w:sz="4" w:space="0"/>
              <w:right w:val="single" w:color="auto" w:sz="4" w:space="0"/>
            </w:tcBorders>
            <w:vAlign w:val="center"/>
          </w:tcPr>
          <w:p>
            <w:pPr>
              <w:pStyle w:val="17"/>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*中小企业</w:t>
            </w:r>
          </w:p>
        </w:tc>
        <w:tc>
          <w:tcPr>
            <w:tcW w:w="8169" w:type="dxa"/>
            <w:tcBorders>
              <w:left w:val="single" w:color="auto" w:sz="4" w:space="0"/>
            </w:tcBorders>
            <w:vAlign w:val="center"/>
          </w:tcPr>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本项目落实《政府采购促进中小企业发展管理办法》，专门面向中小企业预留情况见招标公告2.2条款</w:t>
            </w:r>
          </w:p>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1.如专门面向中小企业采购，标书内提供中小企业声明函。</w:t>
            </w:r>
          </w:p>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2.如非专门面向中小企业采购，根据财库【2022】19号文件规定，对小型和微型企业的产品给予10%的价格扣除，并按照扣除后的价格参加评审。</w:t>
            </w:r>
          </w:p>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3.本次采购项目采购标的对应的中小企业划分标准所属行业为</w:t>
            </w:r>
            <w:r>
              <w:rPr>
                <w:rFonts w:hint="eastAsia" w:ascii="宋体" w:hAnsi="宋体" w:eastAsia="宋体" w:cs="宋体"/>
                <w:b/>
                <w:bCs/>
                <w:color w:val="auto"/>
                <w:sz w:val="24"/>
                <w:szCs w:val="24"/>
                <w:highlight w:val="none"/>
                <w:u w:val="single"/>
                <w:lang w:val="en-US" w:eastAsia="zh-CN"/>
              </w:rPr>
              <w:t xml:space="preserve"> 工业 </w:t>
            </w:r>
            <w:r>
              <w:rPr>
                <w:rFonts w:hint="eastAsia" w:ascii="宋体" w:hAnsi="宋体" w:eastAsia="宋体" w:cs="宋体"/>
                <w:b/>
                <w:bCs/>
                <w:color w:val="auto"/>
                <w:sz w:val="24"/>
                <w:szCs w:val="24"/>
                <w:highlight w:val="none"/>
                <w:lang w:val="en-US" w:eastAsia="zh-CN"/>
              </w:rPr>
              <w:t>（划分标准见 附件：中小企业划型标准）。</w:t>
            </w:r>
          </w:p>
          <w:p>
            <w:pPr>
              <w:spacing w:line="240" w:lineRule="auto"/>
              <w:jc w:val="both"/>
              <w:outlineLvl w:val="9"/>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lang w:val="en-US" w:eastAsia="zh-CN"/>
              </w:rPr>
              <w:t>注：专门面向中小微企业的标段，投标人</w:t>
            </w:r>
            <w:r>
              <w:rPr>
                <w:rFonts w:hint="eastAsia" w:ascii="宋体" w:hAnsi="宋体" w:eastAsia="宋体" w:cs="宋体"/>
                <w:b/>
                <w:bCs/>
                <w:kern w:val="2"/>
                <w:sz w:val="24"/>
                <w:szCs w:val="28"/>
                <w:highlight w:val="none"/>
                <w:lang w:val="en-US" w:eastAsia="zh-CN" w:bidi="ar-SA"/>
              </w:rPr>
              <w:t>不再执行价格评审优惠的扶持政策</w:t>
            </w:r>
            <w:r>
              <w:rPr>
                <w:rFonts w:hint="eastAsia" w:ascii="宋体" w:hAnsi="宋体" w:eastAsia="宋体" w:cs="宋体"/>
                <w:b/>
                <w:bCs/>
                <w:color w:val="auto"/>
                <w:sz w:val="24"/>
                <w:szCs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7" w:hRule="atLeast"/>
          <w:jc w:val="center"/>
        </w:trPr>
        <w:tc>
          <w:tcPr>
            <w:tcW w:w="704" w:type="dxa"/>
            <w:tcBorders>
              <w:right w:val="single" w:color="auto" w:sz="4" w:space="0"/>
            </w:tcBorders>
            <w:vAlign w:val="center"/>
          </w:tcPr>
          <w:p>
            <w:pPr>
              <w:spacing w:line="360" w:lineRule="exact"/>
              <w:jc w:val="center"/>
              <w:outlineLvl w:val="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w:t>
            </w:r>
          </w:p>
        </w:tc>
        <w:tc>
          <w:tcPr>
            <w:tcW w:w="1456" w:type="dxa"/>
            <w:tcBorders>
              <w:left w:val="single" w:color="auto" w:sz="4" w:space="0"/>
              <w:right w:val="single" w:color="auto" w:sz="4" w:space="0"/>
            </w:tcBorders>
            <w:vAlign w:val="center"/>
          </w:tcPr>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信用信息查询渠道及截止时点</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1、查询渠道：“信用中国”网站（www.creditchina.gov.cn）及中国政府采购网（www.ccgp.gov.cn）；</w:t>
            </w:r>
          </w:p>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2、截止时点：2024年04月2</w:t>
            </w:r>
            <w:r>
              <w:rPr>
                <w:rFonts w:hint="eastAsia" w:ascii="宋体" w:hAnsi="宋体" w:cs="宋体"/>
                <w:b w:val="0"/>
                <w:bCs w:val="0"/>
                <w:color w:val="0000FF"/>
                <w:sz w:val="24"/>
                <w:highlight w:val="none"/>
                <w:lang w:val="en-US" w:eastAsia="zh-CN"/>
              </w:rPr>
              <w:t>5</w:t>
            </w:r>
            <w:r>
              <w:rPr>
                <w:rFonts w:hint="eastAsia" w:ascii="宋体" w:hAnsi="宋体" w:eastAsia="宋体" w:cs="宋体"/>
                <w:b w:val="0"/>
                <w:bCs w:val="0"/>
                <w:color w:val="0000FF"/>
                <w:sz w:val="24"/>
                <w:highlight w:val="none"/>
                <w:lang w:val="en-US" w:eastAsia="zh-CN"/>
              </w:rPr>
              <w:t>日16时00分（由采购人或者采购代理机构查询）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7" w:hRule="atLeast"/>
          <w:jc w:val="center"/>
        </w:trPr>
        <w:tc>
          <w:tcPr>
            <w:tcW w:w="10329"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0000FF"/>
                <w:sz w:val="24"/>
                <w:highlight w:val="none"/>
                <w:lang w:val="en-US" w:eastAsia="zh-CN"/>
              </w:rPr>
            </w:pPr>
            <w:r>
              <w:rPr>
                <w:rFonts w:hint="eastAsia" w:ascii="宋体" w:hAnsi="宋体" w:eastAsia="宋体" w:cs="宋体"/>
                <w:b/>
                <w:bCs/>
                <w:color w:val="auto"/>
                <w:sz w:val="32"/>
                <w:szCs w:val="32"/>
                <w:highlight w:val="none"/>
                <w:lang w:val="en-US" w:eastAsia="zh-CN"/>
              </w:rPr>
              <w:t>招标公告内容不一致之处，以最新发布的招标公告内容为准，招标公告与招标文件内容不一致之处，以招标文件内容为准。</w:t>
            </w:r>
          </w:p>
        </w:tc>
      </w:tr>
    </w:tbl>
    <w:p>
      <w:pPr>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lang w:eastAsia="zh-CN"/>
        </w:rPr>
        <w:br w:type="page"/>
      </w:r>
    </w:p>
    <w:p>
      <w:pPr>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eastAsia="zh-CN"/>
        </w:rPr>
        <w:t>投标人须知</w:t>
      </w:r>
    </w:p>
    <w:p>
      <w:pPr>
        <w:pStyle w:val="4"/>
        <w:spacing w:line="360" w:lineRule="auto"/>
        <w:jc w:val="center"/>
        <w:rPr>
          <w:rFonts w:hint="eastAsia" w:ascii="宋体" w:hAnsi="宋体" w:eastAsia="宋体" w:cs="宋体"/>
          <w:bCs w:val="0"/>
          <w:color w:val="auto"/>
          <w:sz w:val="24"/>
          <w:highlight w:val="none"/>
        </w:rPr>
      </w:pPr>
      <w:r>
        <w:rPr>
          <w:rFonts w:hint="eastAsia" w:ascii="宋体" w:hAnsi="宋体" w:eastAsia="宋体" w:cs="宋体"/>
          <w:bCs w:val="0"/>
          <w:color w:val="auto"/>
          <w:sz w:val="24"/>
          <w:highlight w:val="none"/>
        </w:rPr>
        <w:t>一、总则</w:t>
      </w:r>
    </w:p>
    <w:p>
      <w:pPr>
        <w:spacing w:line="360" w:lineRule="auto"/>
        <w:ind w:left="833" w:leftChars="228" w:hanging="354" w:hangingChars="147"/>
        <w:outlineLvl w:val="0"/>
        <w:rPr>
          <w:rFonts w:hint="eastAsia" w:ascii="宋体" w:hAnsi="宋体" w:eastAsia="宋体" w:cs="宋体"/>
          <w:b/>
          <w:color w:val="auto"/>
          <w:sz w:val="24"/>
          <w:highlight w:val="none"/>
          <w:lang w:eastAsia="zh-CN"/>
        </w:rPr>
      </w:pPr>
      <w:bookmarkStart w:id="53" w:name="_Toc31651"/>
      <w:r>
        <w:rPr>
          <w:rFonts w:hint="eastAsia" w:ascii="宋体" w:hAnsi="宋体" w:eastAsia="宋体" w:cs="宋体"/>
          <w:b/>
          <w:color w:val="auto"/>
          <w:sz w:val="24"/>
          <w:highlight w:val="none"/>
        </w:rPr>
        <w:t>1、</w:t>
      </w:r>
      <w:bookmarkEnd w:id="53"/>
      <w:r>
        <w:rPr>
          <w:rFonts w:hint="eastAsia" w:ascii="宋体" w:hAnsi="宋体" w:eastAsia="宋体" w:cs="宋体"/>
          <w:b/>
          <w:color w:val="auto"/>
          <w:sz w:val="24"/>
          <w:highlight w:val="none"/>
          <w:lang w:eastAsia="zh-CN"/>
        </w:rPr>
        <w:t>资金来源、出资比例及落实情况：财政资金，100%，已落实。</w:t>
      </w:r>
    </w:p>
    <w:p>
      <w:pPr>
        <w:spacing w:line="360" w:lineRule="auto"/>
        <w:ind w:firstLine="482" w:firstLineChars="200"/>
        <w:outlineLvl w:val="0"/>
        <w:rPr>
          <w:rFonts w:hint="eastAsia" w:ascii="宋体" w:hAnsi="宋体" w:eastAsia="宋体" w:cs="宋体"/>
          <w:b/>
          <w:color w:val="auto"/>
          <w:sz w:val="24"/>
          <w:highlight w:val="none"/>
        </w:rPr>
      </w:pPr>
      <w:bookmarkStart w:id="54" w:name="_Toc2965"/>
      <w:r>
        <w:rPr>
          <w:rFonts w:hint="eastAsia" w:ascii="宋体" w:hAnsi="宋体" w:eastAsia="宋体" w:cs="宋体"/>
          <w:b/>
          <w:color w:val="auto"/>
          <w:sz w:val="24"/>
          <w:highlight w:val="none"/>
        </w:rPr>
        <w:t>2、采购人、采购代理机构、投标人</w:t>
      </w:r>
      <w:bookmarkEnd w:id="54"/>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 “采购人”是指：项目采购单位，合同的</w:t>
      </w:r>
      <w:r>
        <w:rPr>
          <w:rFonts w:hint="eastAsia" w:ascii="宋体" w:hAnsi="宋体" w:eastAsia="宋体" w:cs="宋体"/>
          <w:color w:val="auto"/>
          <w:sz w:val="24"/>
          <w:highlight w:val="none"/>
          <w:lang w:val="en-US" w:eastAsia="zh-CN"/>
        </w:rPr>
        <w:t>甲</w:t>
      </w:r>
      <w:r>
        <w:rPr>
          <w:rFonts w:hint="eastAsia" w:ascii="宋体" w:hAnsi="宋体" w:eastAsia="宋体" w:cs="宋体"/>
          <w:color w:val="auto"/>
          <w:sz w:val="24"/>
          <w:highlight w:val="none"/>
        </w:rPr>
        <w:t>方。</w:t>
      </w:r>
    </w:p>
    <w:p>
      <w:pPr>
        <w:shd w:val="clea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2.2 “采购代理机构”是指：</w:t>
      </w:r>
      <w:r>
        <w:rPr>
          <w:rFonts w:hint="eastAsia" w:ascii="宋体" w:hAnsi="宋体" w:eastAsia="宋体" w:cs="宋体"/>
          <w:color w:val="auto"/>
          <w:sz w:val="24"/>
          <w:highlight w:val="none"/>
          <w:lang w:eastAsia="zh-CN"/>
        </w:rPr>
        <w:t>中科高盛咨询集团有限公司</w:t>
      </w:r>
      <w:r>
        <w:rPr>
          <w:rFonts w:hint="eastAsia" w:ascii="宋体" w:hAnsi="宋体" w:eastAsia="宋体" w:cs="宋体"/>
          <w:color w:val="auto"/>
          <w:sz w:val="24"/>
          <w:highlight w:val="none"/>
        </w:rPr>
        <w:t>。</w:t>
      </w:r>
    </w:p>
    <w:p>
      <w:pPr>
        <w:shd w:val="clear"/>
        <w:spacing w:line="360" w:lineRule="auto"/>
        <w:ind w:firstLine="480" w:firstLineChars="200"/>
        <w:outlineLvl w:val="0"/>
        <w:rPr>
          <w:rFonts w:hint="eastAsia" w:ascii="宋体" w:hAnsi="宋体" w:eastAsia="宋体" w:cs="宋体"/>
          <w:color w:val="auto"/>
          <w:sz w:val="24"/>
          <w:highlight w:val="none"/>
        </w:rPr>
      </w:pPr>
      <w:bookmarkStart w:id="55" w:name="_Toc19469"/>
      <w:r>
        <w:rPr>
          <w:rFonts w:hint="eastAsia" w:ascii="宋体" w:hAnsi="宋体" w:eastAsia="宋体" w:cs="宋体"/>
          <w:color w:val="auto"/>
          <w:sz w:val="24"/>
          <w:highlight w:val="none"/>
        </w:rPr>
        <w:t>2.3 “投标人”是指响应招标、参加投标竞争的法人、其他组织或者自然人。</w:t>
      </w:r>
      <w:bookmarkEnd w:id="55"/>
    </w:p>
    <w:p>
      <w:pPr>
        <w:shd w:val="clear"/>
        <w:spacing w:line="360" w:lineRule="auto"/>
        <w:ind w:firstLine="482" w:firstLineChars="200"/>
        <w:outlineLvl w:val="0"/>
        <w:rPr>
          <w:rFonts w:hint="eastAsia" w:ascii="宋体" w:hAnsi="宋体" w:eastAsia="宋体" w:cs="宋体"/>
          <w:b/>
          <w:color w:val="auto"/>
          <w:sz w:val="24"/>
          <w:highlight w:val="none"/>
        </w:rPr>
      </w:pPr>
      <w:bookmarkStart w:id="56" w:name="_Toc30444"/>
      <w:r>
        <w:rPr>
          <w:rFonts w:hint="eastAsia" w:ascii="宋体" w:hAnsi="宋体" w:eastAsia="宋体" w:cs="宋体"/>
          <w:b/>
          <w:color w:val="auto"/>
          <w:sz w:val="24"/>
          <w:highlight w:val="none"/>
        </w:rPr>
        <w:t>3、合格投标人</w:t>
      </w:r>
      <w:bookmarkEnd w:id="56"/>
    </w:p>
    <w:p>
      <w:pPr>
        <w:shd w:val="clear" w:color="auto"/>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3.1应符合</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中投标人资格要求，</w:t>
      </w:r>
      <w:r>
        <w:rPr>
          <w:rFonts w:hint="eastAsia" w:ascii="宋体" w:hAnsi="宋体" w:eastAsia="宋体" w:cs="宋体"/>
          <w:color w:val="auto"/>
          <w:sz w:val="24"/>
          <w:highlight w:val="none"/>
          <w:lang w:val="en-US" w:eastAsia="zh-CN"/>
        </w:rPr>
        <w:t>并</w:t>
      </w:r>
      <w:r>
        <w:rPr>
          <w:rFonts w:hint="eastAsia" w:ascii="宋体" w:hAnsi="宋体" w:eastAsia="宋体" w:cs="宋体"/>
          <w:color w:val="auto"/>
          <w:sz w:val="24"/>
          <w:highlight w:val="none"/>
        </w:rPr>
        <w:t>将以下资料的</w:t>
      </w:r>
      <w:r>
        <w:rPr>
          <w:rFonts w:hint="eastAsia" w:ascii="宋体" w:hAnsi="宋体" w:eastAsia="宋体" w:cs="宋体"/>
          <w:b w:val="0"/>
          <w:bCs w:val="0"/>
          <w:color w:val="auto"/>
          <w:sz w:val="24"/>
          <w:highlight w:val="none"/>
          <w:lang w:eastAsia="zh-CN"/>
        </w:rPr>
        <w:t>加盖公章</w:t>
      </w:r>
      <w:r>
        <w:rPr>
          <w:rFonts w:hint="eastAsia" w:ascii="宋体" w:hAnsi="宋体" w:eastAsia="宋体" w:cs="宋体"/>
          <w:color w:val="auto"/>
          <w:sz w:val="24"/>
          <w:highlight w:val="none"/>
        </w:rPr>
        <w:t>复印件装订到投标文件中，证明其资格满足招标资格要求：</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 ）营业执照副本；</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 ）《法人身份证明书》（附法定代表人身份证）或法人授权委托书（附法定代表人和授权代表身份证）；</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 ）具有履行合同所必需的设备和专业技术能力的证明材料（可以提供类似业绩合同或者可以提供</w:t>
      </w:r>
      <w:r>
        <w:rPr>
          <w:rFonts w:hint="eastAsia" w:ascii="宋体" w:hAnsi="宋体" w:eastAsia="宋体" w:cs="宋体"/>
          <w:color w:val="auto"/>
          <w:sz w:val="24"/>
          <w:highlight w:val="none"/>
          <w:lang w:val="en-US" w:eastAsia="zh-CN"/>
        </w:rPr>
        <w:t>声明函&lt;</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val="en-US" w:eastAsia="zh-CN"/>
        </w:rPr>
        <w:t>&gt;</w:t>
      </w:r>
      <w:r>
        <w:rPr>
          <w:rFonts w:hint="eastAsia" w:ascii="宋体" w:hAnsi="宋体" w:eastAsia="宋体" w:cs="宋体"/>
          <w:color w:val="auto"/>
          <w:sz w:val="24"/>
          <w:highlight w:val="none"/>
        </w:rPr>
        <w:t>）；</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 ）参加政府采购活动前三年内在经营活动中没有重大违法记录的书面声明</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声明函格式自拟</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 ）</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lang w:eastAsia="zh-CN"/>
        </w:rPr>
        <w:t>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年-202</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年以后注册成立的公司，即需提供一份银行资信证明）</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提供近一年（202</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lang w:eastAsia="zh-CN"/>
          <w14:textFill>
            <w14:solidFill>
              <w14:schemeClr w14:val="tx1"/>
            </w14:solidFill>
          </w14:textFill>
        </w:rPr>
        <w:t>年</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lang w:eastAsia="zh-CN"/>
          <w14:textFill>
            <w14:solidFill>
              <w14:schemeClr w14:val="tx1"/>
            </w14:solidFill>
          </w14:textFill>
        </w:rPr>
        <w:t>月以后）任意两个月的依法缴纳税收和社会保障资金的相关材料</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auto"/>
          <w:sz w:val="24"/>
          <w:highlight w:val="none"/>
        </w:rPr>
        <w:t>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，应提供相应文件证明其依法免税或不需要缴纳社会保障资金）；</w:t>
      </w:r>
    </w:p>
    <w:p>
      <w:pPr>
        <w:shd w:val="clear" w:color="auto"/>
        <w:spacing w:line="360" w:lineRule="auto"/>
        <w:ind w:firstLine="480"/>
        <w:jc w:val="left"/>
        <w:rPr>
          <w:rFonts w:hint="eastAsia" w:ascii="宋体" w:hAnsi="宋体" w:eastAsia="宋体" w:cs="宋体"/>
          <w:color w:val="auto"/>
          <w:highlight w:val="none"/>
          <w:lang w:val="en-US" w:eastAsia="zh-CN"/>
        </w:rPr>
      </w:pPr>
      <w:r>
        <w:rPr>
          <w:rFonts w:hint="eastAsia" w:ascii="宋体" w:hAnsi="宋体" w:eastAsia="宋体" w:cs="宋体"/>
          <w:color w:val="auto"/>
          <w:sz w:val="24"/>
          <w:highlight w:val="none"/>
        </w:rPr>
        <w:t>6 ）</w:t>
      </w:r>
      <w:r>
        <w:rPr>
          <w:rFonts w:hint="eastAsia" w:ascii="宋体" w:hAnsi="宋体" w:eastAsia="宋体" w:cs="宋体"/>
          <w:color w:val="auto"/>
          <w:sz w:val="24"/>
          <w:highlight w:val="none"/>
          <w:lang w:val="en-US" w:eastAsia="zh-CN"/>
        </w:rPr>
        <w:t>投标人应当通过“信用中国”网站（www.creditchina.gov.cn）、中国政府采购网（www.ccgp.gov.cn）等渠道查询相关主体信用记录，未被列入失信被执行人、重大税收违法失信主体、政府采购严重违法失信行为记录名单。</w:t>
      </w:r>
    </w:p>
    <w:p>
      <w:pPr>
        <w:shd w:val="clear" w:color="auto"/>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r>
        <w:rPr>
          <w:rFonts w:hint="eastAsia" w:ascii="宋体" w:hAnsi="宋体" w:eastAsia="宋体" w:cs="宋体"/>
          <w:bCs/>
          <w:color w:val="auto"/>
          <w:sz w:val="24"/>
          <w:highlight w:val="none"/>
        </w:rPr>
        <w:t>采购标的属于银行、保险、石油石化、电力、电信等行业的，允许该行业法人的分支机构参加投标（报价），提供分支机构的相关证件。</w:t>
      </w:r>
    </w:p>
    <w:p>
      <w:pPr>
        <w:shd w:val="clear" w:color="auto"/>
        <w:spacing w:line="360" w:lineRule="auto"/>
        <w:ind w:firstLine="480" w:firstLineChars="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4、投标费用</w:t>
      </w:r>
    </w:p>
    <w:p>
      <w:pPr>
        <w:shd w:val="clea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投标人应承担所有与编写和提交投标文件有关的费用，无论投标的结果如何，采购人和采购代理机构在任何情况下均无义务和责任承担这些费用。</w:t>
      </w:r>
    </w:p>
    <w:p>
      <w:pPr>
        <w:shd w:val="clea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二、招标文件</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5、招标文件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5.1 招标文件的构成</w:t>
      </w:r>
    </w:p>
    <w:p>
      <w:pPr>
        <w:pStyle w:val="5"/>
        <w:spacing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第一章</w:t>
      </w:r>
      <w:r>
        <w:rPr>
          <w:rFonts w:hint="eastAsia" w:ascii="宋体" w:hAnsi="宋体" w:eastAsia="宋体" w:cs="宋体"/>
          <w:color w:val="auto"/>
          <w:sz w:val="24"/>
          <w:highlight w:val="none"/>
          <w:lang w:eastAsia="zh-CN"/>
        </w:rPr>
        <w:t>招标公告</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第二章投标人须知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第三章评标办法</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第四章合同条款(参考格式)</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第五章技术需求</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第六章投标文件构成及格式</w:t>
      </w:r>
    </w:p>
    <w:p>
      <w:pPr>
        <w:spacing w:line="360" w:lineRule="auto"/>
        <w:ind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5.2投标人应认真阅读招标文件中所有的事项、格式、条款和规范等要求。如果投标人没有按照招标文件要求提交全部资料或投标文件没有对招标文件在各方面都做出实质性响应，是投标人的风险。</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6、招标文件的澄清和修改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6.1任何要求对招标文件进行澄清或对招标文件质疑的潜在投标人，均应在获取招标文件或者招标文件公告期限届满之日起7个工作日内以书面形式（须加盖公章）通知采购代理机构</w:t>
      </w:r>
      <w:r>
        <w:rPr>
          <w:rFonts w:hint="eastAsia" w:ascii="宋体" w:hAnsi="宋体" w:eastAsia="宋体" w:cs="宋体"/>
          <w:b/>
          <w:bCs/>
          <w:color w:val="auto"/>
          <w:sz w:val="24"/>
          <w:highlight w:val="none"/>
        </w:rPr>
        <w:t>（如投标人所参与项目须要在网上提交质疑程序，投标人须将纸质版质疑材料与网上提交质疑程序在同一工作日内进行，如出现日期不一致时，以两者中最后日期为准）</w:t>
      </w:r>
      <w:r>
        <w:rPr>
          <w:rFonts w:hint="eastAsia" w:ascii="宋体" w:hAnsi="宋体" w:eastAsia="宋体" w:cs="宋体"/>
          <w:color w:val="auto"/>
          <w:sz w:val="24"/>
          <w:highlight w:val="none"/>
        </w:rPr>
        <w:t>，超过这个规定期限提出的澄清要求或质疑将不予受理。采购代理机构对收到的澄清要求将视所提问题的具体情况以书面形式予以答复，同时传真给每个购买招标文件的潜在投标人或由潜在投标人直接到采购代理机构领取。潜在投标人应在1日内确认已收到该答复，未回复的潜在投标人视为已经收到该答复。答复中包括所提的问题，但不包括问题的来源。</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6.2采购人或者采购代理机构可以对已发出的招标文件、</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进行必要的澄清或者修改，但不得改变采购标的和资格条件。澄清或者修改将在原公告发布媒体上发布澄清公告。澄清或者修改的内容为招标文件、</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的组成部分。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澄清或者修改的内容可能影响投标文件编制的，采购人或者采购代理机构将在投标截止时间15日前，以书面形式通知所有获取招标文件的潜在投标人；不足15日的，采购人或者采购代理机构将顺延提交投标文件的截止时间。在这种情况下，采购人、采购代理机构和投标人受投标截止时间制约的所有权利和义务均相应顺延至新的投标截止时间。</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6.3本项目不召开答疑会。</w:t>
      </w:r>
    </w:p>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三、投标文件</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7、投标文件的编制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7.1投标语言：投标人的投标文件以及投标人与招标方就有关投标的所有来往函电均应使用中文。(注：投标人所投产品及设备的相关资料非中文文本无效)</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7.2计量单位：中华人民共和国法定计量单位。</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7.3投标文件应编排有序，并编制文件目录，准确标明文件内容所在位置。请投标人按以下顺序编排投标文件并加盖公章：</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1、投标文件目录及页码</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2、开标一览表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3、投标函</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4、投标报价一览表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5、投标货物及技术规格偏离表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6、商务条款偏离表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7、售后服务承诺书</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8、法人身份证明</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9、法定代表人授权书</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10、中小企业声明函等</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11、招标文件中要求的资料或投标人认为针对本项目有必要提供的资料</w:t>
      </w:r>
    </w:p>
    <w:p>
      <w:pPr>
        <w:spacing w:line="360" w:lineRule="auto"/>
        <w:ind w:firstLine="482" w:firstLineChars="200"/>
        <w:outlineLvl w:val="0"/>
        <w:rPr>
          <w:rFonts w:hint="eastAsia" w:ascii="宋体" w:hAnsi="宋体" w:eastAsia="宋体" w:cs="宋体"/>
          <w:b/>
          <w:color w:val="auto"/>
          <w:sz w:val="24"/>
          <w:highlight w:val="none"/>
        </w:rPr>
      </w:pPr>
      <w:bookmarkStart w:id="57" w:name="_Toc14826"/>
      <w:r>
        <w:rPr>
          <w:rFonts w:hint="eastAsia" w:ascii="宋体" w:hAnsi="宋体" w:eastAsia="宋体" w:cs="宋体"/>
          <w:b/>
          <w:color w:val="auto"/>
          <w:sz w:val="24"/>
          <w:highlight w:val="none"/>
        </w:rPr>
        <w:t>8、投标文件构成</w:t>
      </w:r>
      <w:bookmarkEnd w:id="57"/>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8.1投标人编写的投标文件应包括下列部分：</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8.1.1按第六章“投标文件格式”编制一份“开标一览表”，并完整地填写“投标函”、“投标报价一览表”和“商务条款偏离表和技术规格偏离表”。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8.1.2证明投标人符合资格要求的文件：应具备第二章“投标人须知”第3条“合格投标人”要求的投标资格，提供相关的资格证明文件以及第六章“投标文件格式”要求提供的其他资质文件。</w:t>
      </w:r>
    </w:p>
    <w:p>
      <w:pPr>
        <w:pStyle w:val="14"/>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8.1.3证明货物合格性和符合招标文件规定的文件材料：</w:t>
      </w:r>
    </w:p>
    <w:p>
      <w:pPr>
        <w:pStyle w:val="14"/>
        <w:spacing w:line="360" w:lineRule="auto"/>
        <w:ind w:firstLine="360" w:firstLineChars="150"/>
        <w:rPr>
          <w:rFonts w:hint="eastAsia" w:ascii="宋体" w:hAnsi="宋体" w:eastAsia="宋体" w:cs="宋体"/>
          <w:color w:val="auto"/>
          <w:szCs w:val="24"/>
          <w:highlight w:val="none"/>
        </w:rPr>
      </w:pPr>
      <w:r>
        <w:rPr>
          <w:rFonts w:hint="eastAsia" w:ascii="宋体" w:hAnsi="宋体" w:eastAsia="宋体" w:cs="宋体"/>
          <w:color w:val="auto"/>
          <w:szCs w:val="24"/>
          <w:highlight w:val="none"/>
        </w:rPr>
        <w:t>（1）“投标报价一览表”中对货物和服务来源地的说明；</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（2）货物主要技术指标和性能的详细说明，包括文字资料、样本、彩色图片和数据等；</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3）逐条对招标文件要求的技术需求进行应答，指出所提供的货物和服务是否对招标文件的要求做出了实质性响应，或说明与货物需求和技术规格要求的正负偏差和例外，详细填写“技术规格偏离表、商务条款偏离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8.1.4“投标人须知”第10条要求提交的投标保证金。</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9、投标报价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9.1报价原则：所有投标均以人民币元为计算单位。</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9.2投标人所报的价格在合同执行过程中是固定不变的，不得以任何理由予以变更。以可调整的价格提交的投标将作为非响应性投标而予以拒绝。</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9.3投标人报价应为优惠条件折算后的最终价格。评标过程中不再接受优惠条件的价格折算。</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10、投标保证金</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10.1投标保证金：投标人应在投标截止时间前将投标保证金采用支票、汇票、本票或者金融机构、担保机构出具的保函等非现金形式交纳，投标保证金应当从</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的基本账户转出。（投标保证金应从投标人的基本账户中转出，保证金的交纳时间以到账时间为准）。</w:t>
      </w:r>
    </w:p>
    <w:p>
      <w:pPr>
        <w:pStyle w:val="10"/>
        <w:spacing w:line="360" w:lineRule="auto"/>
        <w:ind w:left="479" w:leftChars="228" w:firstLine="0" w:firstLineChars="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账户：中科高盛咨询集团有限公司</w:t>
      </w:r>
    </w:p>
    <w:p>
      <w:pPr>
        <w:pStyle w:val="10"/>
        <w:spacing w:line="360" w:lineRule="auto"/>
        <w:ind w:left="479" w:leftChars="228" w:firstLine="0" w:firstLineChars="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开户行：中国民生银行长沙芙蓉广场支行</w:t>
      </w:r>
    </w:p>
    <w:p>
      <w:pPr>
        <w:pStyle w:val="10"/>
        <w:spacing w:line="360" w:lineRule="auto"/>
        <w:ind w:left="479" w:leftChars="228" w:firstLine="0" w:firstLineChars="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行号：305551031105</w:t>
      </w:r>
    </w:p>
    <w:p>
      <w:pPr>
        <w:pStyle w:val="10"/>
        <w:spacing w:line="360" w:lineRule="auto"/>
        <w:ind w:left="479" w:leftChars="228"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账号：9902001774277790；到账为准。</w:t>
      </w:r>
    </w:p>
    <w:p>
      <w:pPr>
        <w:spacing w:line="360" w:lineRule="auto"/>
        <w:ind w:left="839" w:leftChars="228" w:hanging="360" w:hanging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10.2投标保证金是为了弥补招标方因投标人的违规行为而蒙受的损失。采购人在因</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投标人的违规行为而受到损害时将没收投标人的投标保证金作为所受损害的补偿。</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10.3投标保证金是投标文件的一个组成部分，没有按要求提交投标保证金的投标，将被视为非实质性响应投标予以拒绝。</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10.4</w:t>
      </w:r>
      <w:r>
        <w:rPr>
          <w:rFonts w:hint="eastAsia" w:ascii="宋体" w:hAnsi="宋体" w:eastAsia="宋体" w:cs="宋体"/>
          <w:color w:val="auto"/>
          <w:sz w:val="24"/>
          <w:highlight w:val="none"/>
          <w:lang w:val="en-US" w:eastAsia="zh-CN"/>
        </w:rPr>
        <w:t>未中标人</w:t>
      </w:r>
      <w:r>
        <w:rPr>
          <w:rFonts w:hint="eastAsia" w:ascii="宋体" w:hAnsi="宋体" w:eastAsia="宋体" w:cs="宋体"/>
          <w:color w:val="auto"/>
          <w:sz w:val="24"/>
          <w:highlight w:val="none"/>
        </w:rPr>
        <w:t>的投标保证金在中标通知书发出后五个工作日内退还，不计利息。</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10.5中标人的投标保证金，在中标人按规定签署合同，并交纳了履约保证金（如果有要求）后5个工作日予以退还，不计利息。</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10.6</w:t>
      </w:r>
      <w:r>
        <w:rPr>
          <w:rFonts w:hint="eastAsia" w:ascii="宋体" w:hAnsi="宋体" w:eastAsia="宋体" w:cs="宋体"/>
          <w:color w:val="auto"/>
          <w:sz w:val="24"/>
          <w:highlight w:val="none"/>
          <w:lang w:val="en-US" w:eastAsia="zh-CN"/>
        </w:rPr>
        <w:t>中</w:t>
      </w:r>
      <w:r>
        <w:rPr>
          <w:rFonts w:hint="eastAsia" w:ascii="宋体" w:hAnsi="宋体" w:eastAsia="宋体" w:cs="宋体"/>
          <w:color w:val="auto"/>
          <w:sz w:val="24"/>
          <w:highlight w:val="none"/>
        </w:rPr>
        <w:t>标</w:t>
      </w:r>
      <w:r>
        <w:rPr>
          <w:rFonts w:hint="eastAsia" w:ascii="宋体" w:hAnsi="宋体" w:eastAsia="宋体" w:cs="宋体"/>
          <w:color w:val="auto"/>
          <w:sz w:val="24"/>
          <w:highlight w:val="none"/>
          <w:lang w:val="en-US" w:eastAsia="zh-CN"/>
        </w:rPr>
        <w:t>人</w:t>
      </w:r>
      <w:r>
        <w:rPr>
          <w:rFonts w:hint="eastAsia" w:ascii="宋体" w:hAnsi="宋体" w:eastAsia="宋体" w:cs="宋体"/>
          <w:color w:val="auto"/>
          <w:sz w:val="24"/>
          <w:highlight w:val="none"/>
        </w:rPr>
        <w:t>有下列情况之一的，采购人和采购代理机构不予退还其交纳的投标保证金：</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（1）投标人在招标文件规定的投标有效期内撤回其投标；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（2）中标人未按规定提交履约保证金的；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（3）中标人未按规定时间、地点与采购人签订合同的；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（4）投标人存在严重违法行为：如提供虚假材料谋取中标，恶意串通，以及行贿或者提供其他不正当利益等；</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（5）招标文件规定不予退还投标保证金的其他情形。</w:t>
      </w:r>
    </w:p>
    <w:p>
      <w:pPr>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11、投标有效期</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11.1投标有效期为自开标之时起90天，投标文件在这个规定期限内应保持有效。</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11.2在特殊情况下，招标方可与投标人协商延长投标有效期。这种要求和答复都应以书面形式进行。投标人可以拒绝接受延期要求而不会被没收投标保证金。同意延长投标有效期的投标人除按照招标方要求修改投标文件的有效期外，不能修改投标文件的其他内容。</w:t>
      </w:r>
    </w:p>
    <w:p>
      <w:pPr>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12、投标文件的式样和签署</w:t>
      </w:r>
    </w:p>
    <w:p>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12.1投标文件须打印或用不褪色墨水书写，投标人应加盖公章。投标文件由</w:t>
      </w: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签署的，须提交以书面形式出具的“法定代表人身份证明”；由被授权人签署的，须提交以书面形式出具的“法定代表人身份证明”和“法定代表人授权书”。</w:t>
      </w:r>
      <w:r>
        <w:rPr>
          <w:rFonts w:hint="eastAsia" w:ascii="宋体" w:hAnsi="宋体" w:eastAsia="宋体" w:cs="宋体"/>
          <w:b/>
          <w:bCs/>
          <w:color w:val="auto"/>
          <w:sz w:val="24"/>
          <w:highlight w:val="none"/>
        </w:rPr>
        <w:t>投标文件应加盖骑缝章。未经有效盖章的投标文件将被作为非响应性投标而被拒绝。</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12.2投标文件中如有修改错漏处，应在修改处加盖</w:t>
      </w:r>
      <w:r>
        <w:rPr>
          <w:rFonts w:hint="eastAsia" w:ascii="宋体" w:hAnsi="宋体" w:eastAsia="宋体" w:cs="宋体"/>
          <w:bCs/>
          <w:color w:val="auto"/>
          <w:sz w:val="24"/>
          <w:highlight w:val="none"/>
        </w:rPr>
        <w:t>投标人</w:t>
      </w:r>
      <w:r>
        <w:rPr>
          <w:rFonts w:hint="eastAsia" w:ascii="宋体" w:hAnsi="宋体" w:eastAsia="宋体" w:cs="宋体"/>
          <w:color w:val="auto"/>
          <w:sz w:val="24"/>
          <w:highlight w:val="none"/>
        </w:rPr>
        <w:t>公章。</w:t>
      </w:r>
    </w:p>
    <w:p>
      <w:pPr>
        <w:spacing w:line="360" w:lineRule="auto"/>
        <w:ind w:firstLine="472" w:firstLineChars="196"/>
        <w:outlineLvl w:val="0"/>
        <w:rPr>
          <w:rFonts w:hint="eastAsia" w:ascii="宋体" w:hAnsi="宋体" w:eastAsia="宋体" w:cs="宋体"/>
          <w:b/>
          <w:color w:val="auto"/>
          <w:sz w:val="24"/>
          <w:highlight w:val="none"/>
        </w:rPr>
      </w:pPr>
      <w:bookmarkStart w:id="58" w:name="_Toc19664"/>
      <w:r>
        <w:rPr>
          <w:rFonts w:hint="eastAsia" w:ascii="宋体" w:hAnsi="宋体" w:eastAsia="宋体" w:cs="宋体"/>
          <w:b/>
          <w:color w:val="auto"/>
          <w:sz w:val="24"/>
          <w:highlight w:val="none"/>
        </w:rPr>
        <w:t>13、投标文件的修改和撤回</w:t>
      </w:r>
      <w:bookmarkEnd w:id="58"/>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13.1投标人在递交投标文件后，可以修改或撤回其投标文件，但招标方必须在规定的投标截止期之前收到投标人的修改或撤回的书面通知。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13.2投标人的修改或撤回通知书应按对投标文件的规定一样进行编制、密封、标记和递交，并标明“修改”或“撤回”字样。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13.3在投标截止时间（开标时间）之后，投标人不得对其投标文件做任何修改。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13.4从开标之时起，至投标有效期期满之间的这段时间内，投标人不得撤回其投标，否则根据投标人须知第10.6条的规定，其投标保证金将被没收。与其他</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恶意串通而撤回投标的，按照《中华人民共和国政府采购法》第七十七条的规定处理。</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14、投标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14.1投标人应当在招标文件要求提交投标文件的截止时间前，将投标文件密封送达投标地点。采购代理机构收到投标文件后，将如实记载投标文件的送达时间和密封情况，签收保存，并向投标人出具签收回执。任何单位和个人不得在开标前开启投标文件。逾期送达或者未按照招标文件要求密封的投标文件，采购人、采购代理机构应当拒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14.2投标人应将投标文件装订成册、密封并在信封上标明“项目名称、项目编号、投标单位名称、投标联系人名称、联系人电话、开标时间截止前不得开封”，在</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规定的投标地点和投标截止时间前递交给采购代理机构。如果投标人没有按照要求标记，采购代理机构对于投标人的误投、错投概不负责。</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14.3投标人应提交投标文件正本1份、副本6份，电子版2份，并标明“正本”、“副本”字样(投标文件的正本、副本和电子版文件单独密封，同时分别在封皮上标注“项目名称、项目编号、投标单位名称、投标联系人名称、联系人电话、开标时间截止前不得开封”字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14.4投标人应按照第六章“投标文件格式”的要求单独编制一份“开标一览表”，用于开标时唱标使用。“开标一览表”应按对投标文件的密封和标记要求单独进行密封、标记，并按14.1款的规定与投标文件同时递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14.5投标人应将“投标保证金”单独密封提交，“投标保证金”应按对投标文件的密封和标记要求单独进行密封、标记，并按14.1款的规定与投标文件同时递交。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14.6投标文件正本与副本不一致内容时，以正本为准。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14.7投标文件的装订要整齐、牢固，便于保管和利用，采用无线胶装方式，不得采用活页装订方式。</w:t>
      </w:r>
    </w:p>
    <w:p>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四、开标与评标</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15、开标</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15.1采购代理机构将在</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规定的时间和地点组织公开开标，邀请投标人参加。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15.2 开标会由采购人或采购代理机构组织并主持。开标时，将由投标人或者其推选的代表检查投标文件的密封情况；经确认无误后，由采购人或者采购代理机构工作人员当众拆封，宣布投标人名称、投标价格和招标文件规定的需要宣布的其他内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15.3 投标人不足3家的，不开标。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15.4 开标时未宣读的投标价格、价格折扣和招标文件允许提供的备选投标方案等实质性内容，评标时不予承认。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15.5按照规定，提交了可接受的“撤回”通知的投标将不予开封。撤回的投标书将原封退回投标人。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15.6开标过程由采购代理机构负责记录，由参加开标的各投标人代表和相关工作人员签字确认后随采购文件一并存档。投标人代表对开标过程和开标记录有疑义，以及认为采购人、采购代理机构相关工作人员有需要回避的情形的，应当场提出询问或者回避申请。采购人、采购代理机构对投标人代表提出的询问或者回避申请将及时处理。投标人未参加开标的，视同认可开标结果。</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15.7 开标时，投标文件中开标一览表(报价表)内容与投标文件中明细表内容不一致的，以开标一览表(报价表)为准。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15.8 开标时有下列情形之一的，采购人有权宣布本项目废标：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（1）交货时间/合同履行期限符合招标文件要求的投标人不足三家的；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（2）所有投标人的报价均超过采购项目预算，采购人不能支付的。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15.9 开标结束后，采购人将依法对投标人的资格进行审查，并详细填写下表。合格投标人不足3家的，不进行评标。</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资格性审查表</w:t>
      </w:r>
    </w:p>
    <w:tbl>
      <w:tblPr>
        <w:tblStyle w:val="24"/>
        <w:tblW w:w="10219" w:type="dxa"/>
        <w:jc w:val="center"/>
        <w:tblLayout w:type="fixed"/>
        <w:tblCellMar>
          <w:top w:w="0" w:type="dxa"/>
          <w:left w:w="108" w:type="dxa"/>
          <w:bottom w:w="0" w:type="dxa"/>
          <w:right w:w="108" w:type="dxa"/>
        </w:tblCellMar>
      </w:tblPr>
      <w:tblGrid>
        <w:gridCol w:w="445"/>
        <w:gridCol w:w="8539"/>
        <w:gridCol w:w="1235"/>
      </w:tblGrid>
      <w:tr>
        <w:tblPrEx>
          <w:tblCellMar>
            <w:top w:w="0" w:type="dxa"/>
            <w:left w:w="108" w:type="dxa"/>
            <w:bottom w:w="0" w:type="dxa"/>
            <w:right w:w="108" w:type="dxa"/>
          </w:tblCellMar>
        </w:tblPrEx>
        <w:trPr>
          <w:trHeight w:val="271" w:hRule="atLeast"/>
          <w:jc w:val="center"/>
        </w:trPr>
        <w:tc>
          <w:tcPr>
            <w:tcW w:w="8984" w:type="dxa"/>
            <w:gridSpan w:val="2"/>
            <w:vMerge w:val="restart"/>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审查内容</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w:t>
            </w:r>
          </w:p>
        </w:tc>
      </w:tr>
      <w:tr>
        <w:tblPrEx>
          <w:tblCellMar>
            <w:top w:w="0" w:type="dxa"/>
            <w:left w:w="108" w:type="dxa"/>
            <w:bottom w:w="0" w:type="dxa"/>
            <w:right w:w="108" w:type="dxa"/>
          </w:tblCellMar>
        </w:tblPrEx>
        <w:trPr>
          <w:trHeight w:val="271" w:hRule="atLeast"/>
          <w:jc w:val="center"/>
        </w:trPr>
        <w:tc>
          <w:tcPr>
            <w:tcW w:w="8984" w:type="dxa"/>
            <w:gridSpan w:val="2"/>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1235" w:type="dxa"/>
            <w:tcBorders>
              <w:top w:val="single" w:color="auto" w:sz="6" w:space="0"/>
              <w:left w:val="single" w:color="auto" w:sz="6" w:space="0"/>
              <w:bottom w:val="single" w:color="auto" w:sz="6" w:space="0"/>
              <w:right w:val="single" w:color="auto" w:sz="4" w:space="0"/>
            </w:tcBorders>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71" w:hRule="atLeast"/>
          <w:jc w:val="center"/>
        </w:trPr>
        <w:tc>
          <w:tcPr>
            <w:tcW w:w="445" w:type="dxa"/>
            <w:vMerge w:val="restart"/>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资格性审查</w:t>
            </w: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1.具有独立承担民事责任的能力（</w:t>
            </w:r>
            <w:r>
              <w:rPr>
                <w:rFonts w:hint="eastAsia" w:ascii="宋体" w:hAnsi="宋体" w:eastAsia="宋体" w:cs="宋体"/>
                <w:color w:val="auto"/>
                <w:sz w:val="24"/>
                <w:highlight w:val="none"/>
                <w:lang w:val="en-US" w:eastAsia="zh-CN"/>
              </w:rPr>
              <w:t>法人或者其他组织的营业执照等证明文件，自然人的身份证明</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1057"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2.具有良好的商业信誉和健全的财务会计制度{提供近三年（20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年-202</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年以后注册成立的公司，即需提供一份银行资信证明）}；</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530"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3.具有履行合同所必需的设备和专业技术能力的证明材料（可以提供类似业绩合同或者可以提供</w:t>
            </w:r>
            <w:r>
              <w:rPr>
                <w:rFonts w:hint="eastAsia" w:ascii="宋体" w:hAnsi="宋体" w:eastAsia="宋体" w:cs="宋体"/>
                <w:color w:val="auto"/>
                <w:sz w:val="24"/>
                <w:highlight w:val="none"/>
                <w:lang w:val="en-US" w:eastAsia="zh-CN"/>
              </w:rPr>
              <w:t>声明函&lt;</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val="en-US" w:eastAsia="zh-CN"/>
              </w:rPr>
              <w:t>&gt;</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1047"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4.有依法缴纳税收和社会保障资金的良好记录</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提供近一年（202</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lang w:eastAsia="zh-CN"/>
                <w14:textFill>
                  <w14:solidFill>
                    <w14:schemeClr w14:val="tx1"/>
                  </w14:solidFill>
                </w14:textFill>
              </w:rPr>
              <w:t>年</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lang w:eastAsia="zh-CN"/>
                <w14:textFill>
                  <w14:solidFill>
                    <w14:schemeClr w14:val="tx1"/>
                  </w14:solidFill>
                </w14:textFill>
              </w:rPr>
              <w:t>月以后）任意两个月的依法缴纳税收</w:t>
            </w:r>
            <w:r>
              <w:rPr>
                <w:rFonts w:hint="eastAsia" w:ascii="宋体" w:hAnsi="宋体" w:eastAsia="宋体" w:cs="宋体"/>
                <w:color w:val="000000" w:themeColor="text1"/>
                <w:sz w:val="24"/>
                <w:highlight w:val="none"/>
                <w:lang w:val="en-US" w:eastAsia="zh-CN"/>
                <w14:textFill>
                  <w14:solidFill>
                    <w14:schemeClr w14:val="tx1"/>
                  </w14:solidFill>
                </w14:textFill>
              </w:rPr>
              <w:t>记录</w:t>
            </w:r>
            <w:r>
              <w:rPr>
                <w:rFonts w:hint="eastAsia" w:ascii="宋体" w:hAnsi="宋体" w:eastAsia="宋体" w:cs="宋体"/>
                <w:color w:val="000000" w:themeColor="text1"/>
                <w:sz w:val="24"/>
                <w:highlight w:val="none"/>
                <w:lang w:eastAsia="zh-CN"/>
                <w14:textFill>
                  <w14:solidFill>
                    <w14:schemeClr w14:val="tx1"/>
                  </w14:solidFill>
                </w14:textFill>
              </w:rPr>
              <w:t>和社会保障资金的相关材料（</w:t>
            </w:r>
            <w:r>
              <w:rPr>
                <w:rFonts w:hint="eastAsia" w:ascii="宋体" w:hAnsi="宋体" w:eastAsia="宋体" w:cs="宋体"/>
                <w:color w:val="000000" w:themeColor="text1"/>
                <w:sz w:val="24"/>
                <w:highlight w:val="none"/>
                <w14:textFill>
                  <w14:solidFill>
                    <w14:schemeClr w14:val="tx1"/>
                  </w14:solidFill>
                </w14:textFill>
              </w:rPr>
              <w:t>依法免税或不需要缴纳社会保障资金的</w:t>
            </w:r>
            <w:r>
              <w:rPr>
                <w:rFonts w:hint="eastAsia" w:ascii="宋体" w:hAnsi="宋体" w:eastAsia="宋体" w:cs="宋体"/>
                <w:color w:val="000000" w:themeColor="text1"/>
                <w:sz w:val="24"/>
                <w:highlight w:val="none"/>
                <w:lang w:val="en-US" w:eastAsia="zh-CN"/>
                <w14:textFill>
                  <w14:solidFill>
                    <w14:schemeClr w14:val="tx1"/>
                  </w14:solidFill>
                </w14:textFill>
              </w:rPr>
              <w:t>投标人</w:t>
            </w:r>
            <w:r>
              <w:rPr>
                <w:rFonts w:hint="eastAsia" w:ascii="宋体" w:hAnsi="宋体" w:eastAsia="宋体" w:cs="宋体"/>
                <w:color w:val="000000" w:themeColor="text1"/>
                <w:sz w:val="24"/>
                <w:highlight w:val="none"/>
                <w14:textFill>
                  <w14:solidFill>
                    <w14:schemeClr w14:val="tx1"/>
                  </w14:solidFill>
                </w14:textFill>
              </w:rPr>
              <w:t>，应提供相应文件证明其依法免税或不需要缴纳社会保障资金）</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71"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5.参加政府采购活动前三年内在经营活动中没有重大违法记录的书面声明；</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声明函格式自拟</w:t>
            </w:r>
            <w:r>
              <w:rPr>
                <w:rFonts w:hint="eastAsia" w:ascii="宋体" w:hAnsi="宋体" w:eastAsia="宋体" w:cs="宋体"/>
                <w:color w:val="000000" w:themeColor="text1"/>
                <w:sz w:val="24"/>
                <w:highlight w:val="none"/>
                <w:lang w:eastAsia="zh-CN"/>
                <w14:textFill>
                  <w14:solidFill>
                    <w14:schemeClr w14:val="tx1"/>
                  </w14:solidFill>
                </w14:textFill>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569"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6.投标人应当通过“信用中国”网站（www.creditchina.gov.cn）、中国政府采购网（www.ccgp.gov.cn）等渠道查询相关主体信用记录，未被列入失信被执行人、重大税收违法失信主体、政府采购严重违法失信行为记录名单。</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401"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7.单位负责人为同一人或存在直接控股、管理关系的不同</w:t>
            </w:r>
            <w:r>
              <w:rPr>
                <w:rFonts w:hint="eastAsia" w:ascii="宋体" w:hAnsi="宋体" w:eastAsia="宋体" w:cs="宋体"/>
                <w:color w:val="000000" w:themeColor="text1"/>
                <w:sz w:val="24"/>
                <w:highlight w:val="none"/>
                <w:lang w:val="en-US" w:eastAsia="zh-CN"/>
                <w14:textFill>
                  <w14:solidFill>
                    <w14:schemeClr w14:val="tx1"/>
                  </w14:solidFill>
                </w14:textFill>
              </w:rPr>
              <w:t>供应商</w:t>
            </w:r>
            <w:r>
              <w:rPr>
                <w:rFonts w:hint="eastAsia" w:ascii="宋体" w:hAnsi="宋体" w:eastAsia="宋体" w:cs="宋体"/>
                <w:color w:val="000000" w:themeColor="text1"/>
                <w:sz w:val="24"/>
                <w:highlight w:val="none"/>
                <w14:textFill>
                  <w14:solidFill>
                    <w14:schemeClr w14:val="tx1"/>
                  </w14:solidFill>
                </w14:textFill>
              </w:rPr>
              <w:t>，不得参加同一合同项下的政府采购活动(提供声明</w:t>
            </w:r>
            <w:r>
              <w:rPr>
                <w:rFonts w:hint="eastAsia" w:ascii="宋体" w:hAnsi="宋体" w:eastAsia="宋体" w:cs="宋体"/>
                <w:color w:val="000000" w:themeColor="text1"/>
                <w:sz w:val="24"/>
                <w:highlight w:val="none"/>
                <w:lang w:val="en-US" w:eastAsia="zh-CN"/>
                <w14:textFill>
                  <w14:solidFill>
                    <w14:schemeClr w14:val="tx1"/>
                  </w14:solidFill>
                </w14:textFill>
              </w:rPr>
              <w:t>函</w:t>
            </w:r>
            <w:r>
              <w:rPr>
                <w:rFonts w:hint="eastAsia" w:ascii="宋体" w:hAnsi="宋体" w:eastAsia="宋体" w:cs="宋体"/>
                <w:color w:val="000000" w:themeColor="text1"/>
                <w:sz w:val="24"/>
                <w:highlight w:val="none"/>
                <w14:textFill>
                  <w14:solidFill>
                    <w14:schemeClr w14:val="tx1"/>
                  </w14:solidFill>
                </w14:textFill>
              </w:rPr>
              <w:t>，格式自拟)</w:t>
            </w:r>
            <w:r>
              <w:rPr>
                <w:rFonts w:hint="eastAsia" w:ascii="宋体" w:hAnsi="宋体" w:eastAsia="宋体" w:cs="宋体"/>
                <w:color w:val="000000" w:themeColor="text1"/>
                <w:sz w:val="24"/>
                <w:highlight w:val="none"/>
                <w:lang w:eastAsia="zh-CN"/>
                <w14:textFill>
                  <w14:solidFill>
                    <w14:schemeClr w14:val="tx1"/>
                  </w14:solidFill>
                </w14:textFill>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432"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8.提供有效的中小企业声明函加盖投标单位公章。</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90" w:hRule="atLeast"/>
          <w:jc w:val="center"/>
        </w:trPr>
        <w:tc>
          <w:tcPr>
            <w:tcW w:w="10219" w:type="dxa"/>
            <w:gridSpan w:val="3"/>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both"/>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审查人签字：</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注：本表中符合评审内容要求的写“√”，不符合评审内容要求的写“×”。结论为“合格”或“不合格”。结论不合格的不进入符合性审查阶段。</w:t>
      </w:r>
    </w:p>
    <w:p>
      <w:pPr>
        <w:spacing w:line="360" w:lineRule="auto"/>
        <w:ind w:firstLine="482" w:firstLineChars="200"/>
        <w:outlineLvl w:val="0"/>
        <w:rPr>
          <w:rFonts w:hint="eastAsia" w:ascii="宋体" w:hAnsi="宋体" w:eastAsia="宋体" w:cs="宋体"/>
          <w:b/>
          <w:bCs/>
          <w:color w:val="auto"/>
          <w:sz w:val="24"/>
          <w:highlight w:val="none"/>
        </w:rPr>
      </w:pPr>
      <w:bookmarkStart w:id="59" w:name="_Toc19560"/>
      <w:r>
        <w:rPr>
          <w:rFonts w:hint="eastAsia" w:ascii="宋体" w:hAnsi="宋体" w:eastAsia="宋体" w:cs="宋体"/>
          <w:b/>
          <w:bCs/>
          <w:color w:val="auto"/>
          <w:sz w:val="24"/>
          <w:highlight w:val="none"/>
        </w:rPr>
        <w:t>16、评标过程的保密性</w:t>
      </w:r>
      <w:bookmarkEnd w:id="59"/>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16.1公开开标后，直至向中标的投标人授予合同时止，除按招标文件规定予以公开的评标结果外，凡与审查、澄清、评价和比较投标有关的资料以及授标意见等，均不得向投标人及与评标无关的其他人透露。</w:t>
      </w:r>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17、评标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17.1采购代理机构负责组织评标工作，并履行下列职责：</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（一）核对评审专家身份和采购人代表授权函，对评审专家在政府采购活动中的职责履行情况予以记录，并及时将有关违法违规行为向财政部门报告；</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（二）宣布评标纪律；</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（三）公布投标人名单，告知评审专家应当回避的情形；</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（四）组织评标委员会推选评标组长，采购人代表不得担任组长；</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（五）在评标期间采取必要的通讯管理措施，保证评标活动不受外界干扰；</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（六）根据评标委员会的要求介绍政府采购相关政策法规、招标文件；</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（七）维护评标秩序，监督评标委员会依照招标文件规定的评标程序、方法和标准进行独立评审，及时制止和纠正采购人代表、评审专家的倾向性言论或者违法违规行为；</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八）核对评标结果，有《政府采购货物和服务招标投标管理办法》（中华人民共和国财政部令第87号）规定情形的，要求评标委员会复核或者书面说明理由，评标委员会拒绝的，应予记录并向本级财政部门报告；</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（九）评审工作完成后，按照规定向评审专家支付劳务报酬和异地评审差旅费，不得向评审专家以外的其他人员支付评审劳务报酬；</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（十）处理与评标有关的其他事项。</w:t>
      </w:r>
    </w:p>
    <w:p>
      <w:pPr>
        <w:spacing w:line="360" w:lineRule="auto"/>
        <w:ind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采购人可以在评标前说明项目背景和采购需求，说明内容不得含有歧视性、倾向性意见，不得超出招标文件所述范围。说明应当提交书面材料，并随采购文件一并存档。</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评标委员会由评审专家</w:t>
      </w:r>
      <w:r>
        <w:rPr>
          <w:rFonts w:hint="eastAsia" w:ascii="宋体" w:hAnsi="宋体" w:eastAsia="宋体" w:cs="宋体"/>
          <w:color w:val="auto"/>
          <w:sz w:val="24"/>
          <w:highlight w:val="none"/>
          <w:lang w:val="en-US" w:eastAsia="zh-CN"/>
        </w:rPr>
        <w:t>6人</w:t>
      </w:r>
      <w:r>
        <w:rPr>
          <w:rFonts w:hint="eastAsia" w:ascii="宋体" w:hAnsi="宋体" w:eastAsia="宋体" w:cs="宋体"/>
          <w:color w:val="auto"/>
          <w:sz w:val="24"/>
          <w:highlight w:val="none"/>
          <w:lang w:val="zh-CN"/>
        </w:rPr>
        <w:t>和采购人代表</w:t>
      </w:r>
      <w:r>
        <w:rPr>
          <w:rFonts w:hint="eastAsia" w:ascii="宋体" w:hAnsi="宋体" w:eastAsia="宋体" w:cs="宋体"/>
          <w:color w:val="auto"/>
          <w:sz w:val="24"/>
          <w:highlight w:val="none"/>
          <w:lang w:val="en-US" w:eastAsia="zh-CN"/>
        </w:rPr>
        <w:t>1人</w:t>
      </w:r>
      <w:r>
        <w:rPr>
          <w:rFonts w:hint="eastAsia" w:ascii="宋体" w:hAnsi="宋体" w:eastAsia="宋体" w:cs="宋体"/>
          <w:color w:val="auto"/>
          <w:sz w:val="24"/>
          <w:highlight w:val="none"/>
          <w:lang w:val="zh-CN"/>
        </w:rPr>
        <w:t>组成。评标委员会的专家成员从吉林省省级评标专家库中随机抽取，采购人代表由采购人委派。</w:t>
      </w:r>
      <w:r>
        <w:rPr>
          <w:rFonts w:hint="eastAsia" w:ascii="宋体" w:hAnsi="宋体" w:eastAsia="宋体" w:cs="宋体"/>
          <w:color w:val="auto"/>
          <w:sz w:val="24"/>
          <w:highlight w:val="none"/>
        </w:rPr>
        <w:t>评标委员会根据有关法律法规和招标文件规定的方法和标准独立评标，负责完成评标的全过程直至评定预中标人，成员人数应当为5人以上单数，其中评审专家不得少于成员总数的三分之二。</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采购项目符合下列情形之一的，评标委员会成员人数应当为7人以上单数：</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（一）采购预算金额在1000万元以上；</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（二）技术复杂；</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（三）社会影响较大。</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评标委员会负责具体评标事物，并独立履行下列职责：</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（一）审查、评价投标文件是否符合招标文件的商务、技术等实质性要求；</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（二）要求投标人对投标文件有关事项作出澄清或者说明；</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（三）对投标文件进行比较和评价；</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（四）确定中标候选人名单，以及根据采购人委托直接确定中标人；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（五）向采购人、采购代理机构或者有关部门报告评标中发现的违法行为。</w:t>
      </w:r>
    </w:p>
    <w:p>
      <w:pPr>
        <w:spacing w:line="360" w:lineRule="auto"/>
        <w:ind w:firstLine="361" w:firstLineChars="1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18、政府采购进口产品的规定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按照财政部《政府采购进口产品管理办法》第一章第四条关于“政府采购应当采购本国产品，确需采购进口产品（指通过中国海关报关验放进入中国境内且产自关境外的产品）的，实行审核管理”的规定，招标采购文件中凡未明确标明采购进口产品的，均为采购本国产品，投标人必须投标本国产品，投标进口产品的为无效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在中国境内生产或组装的外国品牌产品须标明该产品在中国国内制造厂商名称。否则，按进口产品对待。</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19、政府强制采购节能产品的规定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19.1 按照财政部、发展改革委最新发布执行的《</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"http://gks.mof.gov.cn/zhengfucaigouguanli/201904/P020190404409422168443.pdf"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highlight w:val="none"/>
        </w:rPr>
        <w:t>节能产品政府采购品目清单</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》的规定，《货物需求及技术规格要求》中凡包含强制采购产品的，投标人必须提供列入《</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"http://gks.mof.gov.cn/zhengfucaigouguanli/201904/P020190404409422168443.pdf"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highlight w:val="none"/>
        </w:rPr>
        <w:t>节能产品政府采购品目清单</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的要求产品，投标文件中需提供认证证明，认证机构须在市场监管总局公布的名录内详见《市场监管总局关于发布参与实施政府采购节能产品、环境标志产品认证机构名录的公告（2019年第16号文件）》，否则无效。</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19.2《货物需求及技术规格要求》中包含计算机设备的，投标人必须投标预装正版操作系统软件的计算机产品，否则无效。</w:t>
      </w:r>
    </w:p>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五、中标与合同</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20、</w:t>
      </w:r>
      <w:bookmarkStart w:id="60" w:name="OLE_LINK3"/>
      <w:r>
        <w:rPr>
          <w:rFonts w:hint="eastAsia" w:ascii="宋体" w:hAnsi="宋体" w:eastAsia="宋体" w:cs="宋体"/>
          <w:b/>
          <w:color w:val="auto"/>
          <w:sz w:val="24"/>
          <w:highlight w:val="none"/>
        </w:rPr>
        <w:t>中标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20.1采购代理机构应当在评标结束后2个工作日内将评标报告送采购人。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20.2 采购代理机构应自采购人确定中标人之日起2个工作日内，在省级以上财政部门指定的媒体上公告中标结果，招标文件应当随中标结果同时公告。中标公告期限为1个工作日。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20.3在公告中标结果的同时，采购代理机构向中标人发出中标通知书；对未通过资格审查的投标人，将告知其未通过的原因；采用综合评分法评审的，还将告知未中标人本人的评审得分与排序。</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20.4中标人在领取中标通知书时须向代理机构出示中标服务费的缴纳凭证，如未按招标文件中的金额足额缴纳，</w:t>
      </w:r>
      <w:r>
        <w:rPr>
          <w:rFonts w:hint="eastAsia" w:ascii="宋体" w:hAnsi="宋体" w:eastAsia="宋体" w:cs="宋体"/>
          <w:color w:val="auto"/>
          <w:sz w:val="24"/>
          <w:highlight w:val="none"/>
          <w:lang w:eastAsia="zh-CN"/>
        </w:rPr>
        <w:t>采购代理机构</w:t>
      </w:r>
      <w:r>
        <w:rPr>
          <w:rFonts w:hint="eastAsia" w:ascii="宋体" w:hAnsi="宋体" w:eastAsia="宋体" w:cs="宋体"/>
          <w:color w:val="auto"/>
          <w:sz w:val="24"/>
          <w:highlight w:val="none"/>
        </w:rPr>
        <w:t>不予发放中标通知书，由此所造成的损失由中标单位自行承担。</w:t>
      </w:r>
      <w:bookmarkEnd w:id="60"/>
    </w:p>
    <w:p>
      <w:pPr>
        <w:spacing w:line="360" w:lineRule="auto"/>
        <w:ind w:firstLine="482" w:firstLineChars="200"/>
        <w:outlineLvl w:val="0"/>
        <w:rPr>
          <w:rFonts w:hint="eastAsia" w:ascii="宋体" w:hAnsi="宋体" w:eastAsia="宋体" w:cs="宋体"/>
          <w:b/>
          <w:bCs/>
          <w:color w:val="auto"/>
          <w:sz w:val="24"/>
          <w:highlight w:val="none"/>
        </w:rPr>
      </w:pPr>
      <w:bookmarkStart w:id="61" w:name="_Toc246"/>
      <w:r>
        <w:rPr>
          <w:rFonts w:hint="eastAsia" w:ascii="宋体" w:hAnsi="宋体" w:eastAsia="宋体" w:cs="宋体"/>
          <w:b/>
          <w:bCs/>
          <w:color w:val="auto"/>
          <w:sz w:val="24"/>
          <w:highlight w:val="none"/>
        </w:rPr>
        <w:t>21、授标时更改货物数量的权利</w:t>
      </w:r>
      <w:bookmarkEnd w:id="61"/>
    </w:p>
    <w:p>
      <w:pPr>
        <w:spacing w:line="360" w:lineRule="auto"/>
        <w:ind w:firstLine="480" w:firstLineChars="200"/>
        <w:outlineLvl w:val="0"/>
        <w:rPr>
          <w:rFonts w:hint="eastAsia" w:ascii="宋体" w:hAnsi="宋体" w:eastAsia="宋体" w:cs="宋体"/>
          <w:color w:val="auto"/>
          <w:sz w:val="24"/>
          <w:highlight w:val="none"/>
        </w:rPr>
      </w:pPr>
      <w:bookmarkStart w:id="62" w:name="_Toc29886"/>
      <w:r>
        <w:rPr>
          <w:rFonts w:hint="eastAsia" w:ascii="宋体" w:hAnsi="宋体" w:eastAsia="宋体" w:cs="宋体"/>
          <w:color w:val="auto"/>
          <w:sz w:val="24"/>
          <w:highlight w:val="none"/>
        </w:rPr>
        <w:t>21.1采购人在授予合同时有权在一定幅度内对《货物需求及技术规格》中规定的货物数量和服务予以增加或减少，但不得改变单价和其他条款和条件。</w:t>
      </w:r>
      <w:bookmarkEnd w:id="62"/>
    </w:p>
    <w:p>
      <w:pPr>
        <w:spacing w:line="360" w:lineRule="auto"/>
        <w:ind w:firstLine="480" w:firstLineChars="200"/>
        <w:outlineLvl w:val="0"/>
        <w:rPr>
          <w:rFonts w:hint="eastAsia" w:ascii="宋体" w:hAnsi="宋体" w:eastAsia="宋体" w:cs="宋体"/>
          <w:color w:val="auto"/>
          <w:sz w:val="24"/>
          <w:highlight w:val="none"/>
        </w:rPr>
      </w:pPr>
      <w:bookmarkStart w:id="63" w:name="_Toc8891"/>
      <w:r>
        <w:rPr>
          <w:rFonts w:hint="eastAsia" w:ascii="宋体" w:hAnsi="宋体" w:eastAsia="宋体" w:cs="宋体"/>
          <w:color w:val="auto"/>
          <w:sz w:val="24"/>
          <w:highlight w:val="none"/>
        </w:rPr>
        <w:t>21.2按照《中华人民共和国政府采购法》的规定，在合同履行中，采购人需要追加与合同标的物相同的货物、工程或者服务的，在不改变合同其他条款的前提下，可以与中标人签订补充合同，但所有补充合同的采购金额不得超过原合同采购金额的10%。</w:t>
      </w:r>
      <w:bookmarkEnd w:id="63"/>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22、签订合同</w:t>
      </w:r>
    </w:p>
    <w:p>
      <w:pPr>
        <w:spacing w:line="360" w:lineRule="auto"/>
        <w:ind w:firstLine="480" w:firstLineChars="200"/>
        <w:outlineLvl w:val="0"/>
        <w:rPr>
          <w:rFonts w:hint="eastAsia" w:ascii="宋体" w:hAnsi="宋体" w:eastAsia="宋体" w:cs="宋体"/>
          <w:color w:val="auto"/>
          <w:sz w:val="24"/>
          <w:highlight w:val="none"/>
        </w:rPr>
      </w:pPr>
      <w:bookmarkStart w:id="64" w:name="_Toc949"/>
      <w:r>
        <w:rPr>
          <w:rFonts w:hint="eastAsia" w:ascii="宋体" w:hAnsi="宋体" w:eastAsia="宋体" w:cs="宋体"/>
          <w:color w:val="auto"/>
          <w:sz w:val="24"/>
          <w:highlight w:val="none"/>
        </w:rPr>
        <w:t>22.1 中标通知书发出后，采购人不得违法改变中标结果，中标人无正当理由不得放弃中标。</w:t>
      </w:r>
      <w:bookmarkEnd w:id="64"/>
    </w:p>
    <w:p>
      <w:pPr>
        <w:spacing w:line="360" w:lineRule="auto"/>
        <w:ind w:firstLine="480" w:firstLineChars="200"/>
        <w:outlineLvl w:val="0"/>
        <w:rPr>
          <w:rFonts w:hint="eastAsia" w:ascii="宋体" w:hAnsi="宋体" w:eastAsia="宋体" w:cs="宋体"/>
          <w:color w:val="auto"/>
          <w:sz w:val="24"/>
          <w:highlight w:val="none"/>
        </w:rPr>
      </w:pPr>
      <w:bookmarkStart w:id="65" w:name="_Toc19236"/>
      <w:r>
        <w:rPr>
          <w:rFonts w:hint="eastAsia" w:ascii="宋体" w:hAnsi="宋体" w:eastAsia="宋体" w:cs="宋体"/>
          <w:color w:val="auto"/>
          <w:sz w:val="24"/>
          <w:highlight w:val="none"/>
        </w:rPr>
        <w:t>22.2采购人应当自中标通知书发出之日起30日内，按照招标文件和中标人投标文件的规定，与中标人签订书面合同。所签订的合同不得对招标文件确定的事项和中标人投标文件作实质性修改。</w:t>
      </w:r>
      <w:bookmarkEnd w:id="65"/>
    </w:p>
    <w:p>
      <w:pPr>
        <w:spacing w:line="360" w:lineRule="auto"/>
        <w:ind w:firstLine="480" w:firstLineChars="200"/>
        <w:outlineLvl w:val="0"/>
        <w:rPr>
          <w:rFonts w:hint="eastAsia" w:ascii="宋体" w:hAnsi="宋体" w:eastAsia="宋体" w:cs="宋体"/>
          <w:color w:val="auto"/>
          <w:sz w:val="24"/>
          <w:highlight w:val="none"/>
        </w:rPr>
      </w:pPr>
      <w:bookmarkStart w:id="66" w:name="_Toc29744"/>
      <w:r>
        <w:rPr>
          <w:rFonts w:hint="eastAsia" w:ascii="宋体" w:hAnsi="宋体" w:eastAsia="宋体" w:cs="宋体"/>
          <w:color w:val="auto"/>
          <w:sz w:val="24"/>
          <w:highlight w:val="none"/>
        </w:rPr>
        <w:t>22.3采购人不得向中标人提出任何不合理的要求作为签订合同的条件。</w:t>
      </w:r>
      <w:bookmarkEnd w:id="66"/>
    </w:p>
    <w:p>
      <w:pPr>
        <w:spacing w:line="360" w:lineRule="auto"/>
        <w:ind w:firstLine="482" w:firstLineChars="200"/>
        <w:outlineLvl w:val="0"/>
        <w:rPr>
          <w:rFonts w:hint="eastAsia" w:ascii="宋体" w:hAnsi="宋体" w:eastAsia="宋体" w:cs="宋体"/>
          <w:b/>
          <w:bCs/>
          <w:color w:val="auto"/>
          <w:sz w:val="24"/>
          <w:highlight w:val="none"/>
        </w:rPr>
      </w:pPr>
      <w:bookmarkStart w:id="67" w:name="_Toc32689"/>
      <w:r>
        <w:rPr>
          <w:rFonts w:hint="eastAsia" w:ascii="宋体" w:hAnsi="宋体" w:eastAsia="宋体" w:cs="宋体"/>
          <w:b/>
          <w:bCs/>
          <w:color w:val="auto"/>
          <w:sz w:val="24"/>
          <w:highlight w:val="none"/>
        </w:rPr>
        <w:t>23、保密和披露</w:t>
      </w:r>
      <w:bookmarkEnd w:id="67"/>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68" w:name="_Toc31538"/>
      <w:r>
        <w:rPr>
          <w:rFonts w:hint="eastAsia" w:ascii="宋体" w:hAnsi="宋体" w:eastAsia="宋体" w:cs="宋体"/>
          <w:color w:val="auto"/>
          <w:sz w:val="24"/>
          <w:highlight w:val="none"/>
        </w:rPr>
        <w:t>23.1 投标人自购买招标文件之日起，须承诺承担本招标项目下的保密义务，不得将因本次招标获得的信息向第三人外传。</w:t>
      </w:r>
      <w:bookmarkEnd w:id="68"/>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69" w:name="_Toc22737"/>
      <w:r>
        <w:rPr>
          <w:rFonts w:hint="eastAsia" w:ascii="宋体" w:hAnsi="宋体" w:eastAsia="宋体" w:cs="宋体"/>
          <w:color w:val="auto"/>
          <w:sz w:val="24"/>
          <w:highlight w:val="none"/>
        </w:rPr>
        <w:t>23.2 采购人有权将投标人提供的所有资料向其他政府部门或有关的非政府机构负责评审标书的人员或与评标有关的人员披露。</w:t>
      </w:r>
      <w:bookmarkEnd w:id="69"/>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70" w:name="_Toc4352"/>
      <w:r>
        <w:rPr>
          <w:rFonts w:hint="eastAsia" w:ascii="宋体" w:hAnsi="宋体" w:eastAsia="宋体" w:cs="宋体"/>
          <w:color w:val="auto"/>
          <w:sz w:val="24"/>
          <w:highlight w:val="none"/>
        </w:rPr>
        <w:t>23.3 在下列情形下：当发布中标公告和其它公告时，当国家机关调查、审查、审计时，以及在其他符合法律规定的情形下，采购人无须事先征求投标人/中标人同意而可以披露关于采购过程、投标文件、合同文本、合同签署情况的资料、投标人/中标人的名称及地址、采购内容的有关信息以及补充条款等，并且对任何已经公布过的内容或与之内容相同的资料无须再承担保密责任。</w:t>
      </w:r>
      <w:bookmarkEnd w:id="70"/>
    </w:p>
    <w:p>
      <w:pPr>
        <w:spacing w:line="360" w:lineRule="auto"/>
        <w:ind w:firstLine="482" w:firstLineChars="200"/>
        <w:outlineLvl w:val="0"/>
        <w:rPr>
          <w:rFonts w:hint="eastAsia" w:ascii="宋体" w:hAnsi="宋体" w:eastAsia="宋体" w:cs="宋体"/>
          <w:b/>
          <w:bCs/>
          <w:color w:val="auto"/>
          <w:sz w:val="24"/>
          <w:highlight w:val="none"/>
        </w:rPr>
      </w:pPr>
      <w:bookmarkStart w:id="71" w:name="_Toc28928"/>
      <w:r>
        <w:rPr>
          <w:rFonts w:hint="eastAsia" w:ascii="宋体" w:hAnsi="宋体" w:eastAsia="宋体" w:cs="宋体"/>
          <w:b/>
          <w:bCs/>
          <w:color w:val="auto"/>
          <w:sz w:val="24"/>
          <w:highlight w:val="none"/>
        </w:rPr>
        <w:t>24、质疑和投诉</w:t>
      </w:r>
      <w:bookmarkEnd w:id="71"/>
    </w:p>
    <w:p>
      <w:pPr>
        <w:spacing w:line="360" w:lineRule="auto"/>
        <w:ind w:firstLine="480" w:firstLineChars="200"/>
        <w:outlineLvl w:val="0"/>
        <w:rPr>
          <w:rFonts w:hint="eastAsia" w:ascii="宋体" w:hAnsi="宋体" w:eastAsia="宋体" w:cs="宋体"/>
          <w:color w:val="auto"/>
          <w:sz w:val="24"/>
          <w:highlight w:val="none"/>
        </w:rPr>
      </w:pPr>
      <w:bookmarkStart w:id="72" w:name="_Toc1093"/>
      <w:r>
        <w:rPr>
          <w:rFonts w:hint="eastAsia" w:ascii="宋体" w:hAnsi="宋体" w:eastAsia="宋体" w:cs="宋体"/>
          <w:color w:val="auto"/>
          <w:sz w:val="24"/>
          <w:highlight w:val="none"/>
        </w:rPr>
        <w:t>24.1投标人认为招标文件、招标过程和中标结果使自己的合法权益受到损害的，应当在知道或者应知其权益受到损害之日起七个工作日内以书面形式（须加盖公章）{质疑书的具体内容详见《政府采购质疑和投诉办法》（第94号令）}通知采购代理机构向招标方提出质疑（如投标人所参与项目须要在网上提交质疑程序，</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须将纸质版质疑材料与网上提交质疑程序在同一工作日内进行，如出现日期不一致时，以两者中最后日期为准）。</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在法定质疑期内一次性提出针对同一采购程序环节的质疑。（质疑联系部门、联系电话和通讯地址等信息见公告招标代理公司信息）投标人对采购人的质疑答复不满意或者采购人未在规定时间内作出答复的，可以在答复期满后十五个工作日内向同级采购监管部门投诉。</w:t>
      </w:r>
      <w:bookmarkEnd w:id="72"/>
    </w:p>
    <w:p>
      <w:pPr>
        <w:spacing w:line="360" w:lineRule="auto"/>
        <w:ind w:firstLine="480" w:firstLineChars="200"/>
        <w:outlineLvl w:val="0"/>
        <w:rPr>
          <w:rFonts w:hint="eastAsia" w:ascii="宋体" w:hAnsi="宋体" w:eastAsia="宋体" w:cs="宋体"/>
          <w:color w:val="auto"/>
          <w:sz w:val="24"/>
          <w:highlight w:val="none"/>
        </w:rPr>
      </w:pPr>
      <w:bookmarkStart w:id="73" w:name="_Toc2522"/>
      <w:r>
        <w:rPr>
          <w:rFonts w:hint="eastAsia" w:ascii="宋体" w:hAnsi="宋体" w:eastAsia="宋体" w:cs="宋体"/>
          <w:color w:val="auto"/>
          <w:sz w:val="24"/>
          <w:highlight w:val="none"/>
        </w:rPr>
        <w:t>24.2质疑书、投诉书均应明确阐述招标文件、招标过程和中标结果中使自己合法权益受到损害的实质性内容，提供相关事实、依据和证据及其来源或线索，便于有关单位调查、答复和处理。</w:t>
      </w:r>
      <w:bookmarkEnd w:id="73"/>
    </w:p>
    <w:p>
      <w:pPr>
        <w:numPr>
          <w:ilvl w:val="0"/>
          <w:numId w:val="3"/>
        </w:num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中标服务费</w:t>
      </w:r>
    </w:p>
    <w:p>
      <w:pPr>
        <w:widowControl/>
        <w:wordWrap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25.1</w:t>
      </w:r>
      <w:r>
        <w:rPr>
          <w:rFonts w:hint="eastAsia" w:ascii="宋体" w:hAnsi="宋体" w:eastAsia="宋体" w:cs="宋体"/>
          <w:b w:val="0"/>
          <w:bCs w:val="0"/>
          <w:color w:val="auto"/>
          <w:sz w:val="24"/>
          <w:highlight w:val="none"/>
        </w:rPr>
        <w:t>参照国家发展计划委员会计价格[2002]1980号、发改办价格[2003]857号文件标准，向中标人收取招标代理服务费。本项目按折扣比例0.</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收取。</w:t>
      </w:r>
    </w:p>
    <w:p>
      <w:pPr>
        <w:numPr>
          <w:ilvl w:val="0"/>
          <w:numId w:val="3"/>
        </w:numPr>
        <w:spacing w:line="360" w:lineRule="auto"/>
        <w:ind w:firstLine="482" w:firstLineChars="200"/>
        <w:rPr>
          <w:rFonts w:hint="eastAsia" w:ascii="宋体" w:hAnsi="宋体" w:eastAsia="宋体" w:cs="宋体"/>
          <w:color w:val="auto"/>
          <w:highlight w:val="none"/>
        </w:rPr>
      </w:pPr>
      <w:r>
        <w:rPr>
          <w:rFonts w:hint="eastAsia" w:ascii="宋体" w:hAnsi="宋体" w:eastAsia="宋体" w:cs="宋体"/>
          <w:b/>
          <w:color w:val="auto"/>
          <w:sz w:val="24"/>
          <w:highlight w:val="none"/>
          <w:lang w:val="en-US" w:eastAsia="zh-CN"/>
        </w:rPr>
        <w:t>其他要求</w:t>
      </w:r>
      <w:r>
        <w:rPr>
          <w:rFonts w:hint="eastAsia" w:ascii="宋体" w:hAnsi="宋体" w:eastAsia="宋体" w:cs="宋体"/>
          <w:b/>
          <w:color w:val="auto"/>
          <w:sz w:val="24"/>
          <w:highlight w:val="none"/>
          <w:lang w:eastAsia="zh-CN"/>
        </w:rPr>
        <w:t>：</w:t>
      </w:r>
      <w:r>
        <w:rPr>
          <w:rFonts w:hint="eastAsia" w:ascii="宋体" w:hAnsi="宋体" w:eastAsia="宋体" w:cs="宋体"/>
          <w:color w:val="auto"/>
          <w:kern w:val="2"/>
          <w:sz w:val="24"/>
          <w:szCs w:val="24"/>
          <w:highlight w:val="none"/>
          <w:lang w:val="en-US" w:eastAsia="zh-CN" w:bidi="ar-SA"/>
        </w:rPr>
        <w:t>详见投标人须知前附表。</w:t>
      </w:r>
    </w:p>
    <w:p>
      <w:pPr>
        <w:pStyle w:val="10"/>
        <w:rPr>
          <w:rFonts w:hint="eastAsia" w:ascii="宋体" w:hAnsi="宋体" w:eastAsia="宋体" w:cs="宋体"/>
          <w:color w:val="auto"/>
          <w:highlight w:val="none"/>
        </w:rPr>
      </w:pPr>
    </w:p>
    <w:p>
      <w:pPr>
        <w:pStyle w:val="6"/>
        <w:spacing w:line="360" w:lineRule="auto"/>
        <w:jc w:val="center"/>
        <w:outlineLvl w:val="0"/>
        <w:rPr>
          <w:rFonts w:hint="eastAsia" w:ascii="宋体" w:hAnsi="宋体" w:eastAsia="宋体" w:cs="宋体"/>
          <w:color w:val="auto"/>
          <w:highlight w:val="none"/>
        </w:rPr>
      </w:pPr>
      <w:bookmarkStart w:id="74" w:name="_Toc28515"/>
      <w:r>
        <w:rPr>
          <w:rFonts w:hint="eastAsia" w:ascii="宋体" w:hAnsi="宋体" w:eastAsia="宋体" w:cs="宋体"/>
          <w:color w:val="auto"/>
          <w:highlight w:val="none"/>
        </w:rPr>
        <w:t>第三章评标办法</w:t>
      </w:r>
      <w:bookmarkEnd w:id="74"/>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评标应当遵循下列工作程序：</w:t>
      </w:r>
    </w:p>
    <w:p>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3.1符合性审查。</w:t>
      </w:r>
    </w:p>
    <w:p>
      <w:pPr>
        <w:pStyle w:val="19"/>
        <w:spacing w:beforeAutospacing="0" w:afterAutospacing="0" w:line="360" w:lineRule="auto"/>
        <w:jc w:val="both"/>
        <w:rPr>
          <w:rFonts w:hint="eastAsia" w:ascii="宋体" w:hAnsi="宋体" w:eastAsia="宋体" w:cs="宋体"/>
          <w:color w:val="auto"/>
          <w:kern w:val="2"/>
          <w:highlight w:val="none"/>
        </w:rPr>
      </w:pPr>
      <w:r>
        <w:rPr>
          <w:rFonts w:hint="eastAsia" w:ascii="宋体" w:hAnsi="宋体" w:eastAsia="宋体" w:cs="宋体"/>
          <w:color w:val="auto"/>
          <w:kern w:val="2"/>
          <w:highlight w:val="none"/>
        </w:rPr>
        <w:t>3.1.1 评标委员会将对符合资格的投标人的投标文件进行符合性审查，以确定其是否满足招标文件的实质性要求。</w:t>
      </w:r>
    </w:p>
    <w:p>
      <w:pPr>
        <w:pStyle w:val="19"/>
        <w:spacing w:beforeAutospacing="0" w:afterAutospacing="0" w:line="360" w:lineRule="auto"/>
        <w:jc w:val="center"/>
        <w:rPr>
          <w:rFonts w:hint="eastAsia" w:ascii="宋体" w:hAnsi="宋体" w:eastAsia="宋体" w:cs="宋体"/>
          <w:color w:val="auto"/>
          <w:highlight w:val="none"/>
        </w:rPr>
      </w:pPr>
      <w:r>
        <w:rPr>
          <w:rFonts w:hint="eastAsia" w:ascii="宋体" w:hAnsi="宋体" w:eastAsia="宋体" w:cs="宋体"/>
          <w:color w:val="auto"/>
          <w:kern w:val="2"/>
          <w:highlight w:val="none"/>
        </w:rPr>
        <w:t>符合性审查表</w:t>
      </w:r>
    </w:p>
    <w:tbl>
      <w:tblPr>
        <w:tblStyle w:val="24"/>
        <w:tblW w:w="9259" w:type="dxa"/>
        <w:jc w:val="center"/>
        <w:tblLayout w:type="fixed"/>
        <w:tblCellMar>
          <w:top w:w="0" w:type="dxa"/>
          <w:left w:w="108" w:type="dxa"/>
          <w:bottom w:w="0" w:type="dxa"/>
          <w:right w:w="108" w:type="dxa"/>
        </w:tblCellMar>
      </w:tblPr>
      <w:tblGrid>
        <w:gridCol w:w="1091"/>
        <w:gridCol w:w="6865"/>
        <w:gridCol w:w="1303"/>
      </w:tblGrid>
      <w:tr>
        <w:tblPrEx>
          <w:tblCellMar>
            <w:top w:w="0" w:type="dxa"/>
            <w:left w:w="108" w:type="dxa"/>
            <w:bottom w:w="0" w:type="dxa"/>
            <w:right w:w="108" w:type="dxa"/>
          </w:tblCellMar>
        </w:tblPrEx>
        <w:trPr>
          <w:trHeight w:val="152" w:hRule="atLeast"/>
          <w:jc w:val="center"/>
        </w:trPr>
        <w:tc>
          <w:tcPr>
            <w:tcW w:w="7956" w:type="dxa"/>
            <w:gridSpan w:val="2"/>
            <w:vMerge w:val="restart"/>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审查内容</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p>
        </w:tc>
      </w:tr>
      <w:tr>
        <w:tblPrEx>
          <w:tblCellMar>
            <w:top w:w="0" w:type="dxa"/>
            <w:left w:w="108" w:type="dxa"/>
            <w:bottom w:w="0" w:type="dxa"/>
            <w:right w:w="108" w:type="dxa"/>
          </w:tblCellMar>
        </w:tblPrEx>
        <w:trPr>
          <w:trHeight w:val="152" w:hRule="atLeast"/>
          <w:jc w:val="center"/>
        </w:trPr>
        <w:tc>
          <w:tcPr>
            <w:tcW w:w="7956" w:type="dxa"/>
            <w:gridSpan w:val="2"/>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1303" w:type="dxa"/>
            <w:tcBorders>
              <w:top w:val="single" w:color="auto" w:sz="6" w:space="0"/>
              <w:left w:val="single" w:color="auto" w:sz="6" w:space="0"/>
              <w:bottom w:val="single" w:color="auto" w:sz="6" w:space="0"/>
              <w:right w:val="single" w:color="auto" w:sz="4" w:space="0"/>
            </w:tcBorders>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55" w:hRule="atLeast"/>
          <w:jc w:val="center"/>
        </w:trPr>
        <w:tc>
          <w:tcPr>
            <w:tcW w:w="1091" w:type="dxa"/>
            <w:vMerge w:val="restart"/>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符合性审查</w:t>
            </w:r>
          </w:p>
        </w:tc>
        <w:tc>
          <w:tcPr>
            <w:tcW w:w="6865"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1）投标报价未超出采购预算。</w:t>
            </w:r>
          </w:p>
        </w:tc>
        <w:tc>
          <w:tcPr>
            <w:tcW w:w="1303" w:type="dxa"/>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10"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2）投标报价符合招标文件中的规定</w:t>
            </w:r>
            <w:r>
              <w:rPr>
                <w:rFonts w:hint="eastAsia" w:ascii="宋体" w:hAnsi="宋体" w:eastAsia="宋体" w:cs="宋体"/>
                <w:color w:val="auto"/>
                <w:sz w:val="24"/>
                <w:szCs w:val="24"/>
                <w:highlight w:val="none"/>
                <w:lang w:eastAsia="zh-CN"/>
              </w:rPr>
              <w:t>。</w:t>
            </w:r>
          </w:p>
        </w:tc>
        <w:tc>
          <w:tcPr>
            <w:tcW w:w="1303" w:type="dxa"/>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056"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kinsoku/>
              <w:wordWrap/>
              <w:overflowPunct/>
              <w:topLinePunct w:val="0"/>
              <w:autoSpaceDE/>
              <w:autoSpaceDN/>
              <w:bidi w:val="0"/>
              <w:adjustRightInd/>
              <w:snapToGrid/>
              <w:spacing w:afterAutospacing="0" w:line="24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3）按招标文件要求对商务条款进行应答，投标人须如实填写“商务条款偏离表”。</w:t>
            </w:r>
          </w:p>
          <w:p>
            <w:pPr>
              <w:keepNext w:val="0"/>
              <w:keepLines w:val="0"/>
              <w:pageBreakBefore w:val="0"/>
              <w:kinsoku/>
              <w:wordWrap/>
              <w:overflowPunct/>
              <w:topLinePunct w:val="0"/>
              <w:autoSpaceDE/>
              <w:autoSpaceDN/>
              <w:bidi w:val="0"/>
              <w:adjustRightInd/>
              <w:snapToGrid/>
              <w:spacing w:afterAutospacing="0" w:line="240" w:lineRule="auto"/>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lang w:val="en-US" w:eastAsia="zh-CN"/>
              </w:rPr>
              <w:t>*代表最关键指标，不满足该指标项将导致投标被拒绝。</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numPr>
                <w:ilvl w:val="0"/>
                <w:numId w:val="4"/>
              </w:numPr>
              <w:kinsoku/>
              <w:wordWrap/>
              <w:overflowPunct/>
              <w:topLinePunct w:val="0"/>
              <w:autoSpaceDE w:val="0"/>
              <w:autoSpaceDN w:val="0"/>
              <w:bidi w:val="0"/>
              <w:adjustRightInd/>
              <w:snapToGrid/>
              <w:spacing w:line="0" w:lineRule="atLeast"/>
              <w:ind w:leftChars="0" w:right="0" w:right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按招标文件要求对技术需求进行应答，投标人须如实根据所投产品信息填写“技术规格偏离表”。</w:t>
            </w:r>
          </w:p>
          <w:p>
            <w:pPr>
              <w:keepNext w:val="0"/>
              <w:keepLines w:val="0"/>
              <w:pageBreakBefore w:val="0"/>
              <w:widowControl/>
              <w:numPr>
                <w:ilvl w:val="0"/>
                <w:numId w:val="0"/>
              </w:numPr>
              <w:kinsoku/>
              <w:wordWrap/>
              <w:overflowPunct/>
              <w:topLinePunct w:val="0"/>
              <w:autoSpaceDE w:val="0"/>
              <w:autoSpaceDN w:val="0"/>
              <w:bidi w:val="0"/>
              <w:adjustRightInd/>
              <w:snapToGrid/>
              <w:spacing w:line="0" w:lineRule="atLeast"/>
              <w:ind w:right="0" w:rightChars="0"/>
              <w:jc w:val="left"/>
              <w:textAlignment w:val="bottom"/>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*代表最关键指标，不满足该指标项将导致投标被拒绝。</w:t>
            </w:r>
          </w:p>
          <w:p>
            <w:pPr>
              <w:keepNext w:val="0"/>
              <w:keepLines w:val="0"/>
              <w:pageBreakBefore w:val="0"/>
              <w:widowControl/>
              <w:numPr>
                <w:ilvl w:val="0"/>
                <w:numId w:val="0"/>
              </w:numPr>
              <w:kinsoku/>
              <w:wordWrap/>
              <w:overflowPunct/>
              <w:topLinePunct w:val="0"/>
              <w:autoSpaceDE w:val="0"/>
              <w:autoSpaceDN w:val="0"/>
              <w:bidi w:val="0"/>
              <w:adjustRightInd/>
              <w:snapToGrid/>
              <w:spacing w:line="0" w:lineRule="atLeast"/>
              <w:ind w:right="0" w:rightChars="0"/>
              <w:jc w:val="left"/>
              <w:textAlignment w:val="bottom"/>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投标人须对投标文件中技术参数响应的真实性负责，并承担相应的法律责任，采购人对产品送检后发现弄虚作假行为的，</w:t>
            </w:r>
            <w:r>
              <w:rPr>
                <w:rFonts w:hint="eastAsia" w:ascii="宋体" w:hAnsi="宋体" w:eastAsia="宋体" w:cs="宋体"/>
                <w:b/>
                <w:bCs/>
                <w:color w:val="auto"/>
                <w:sz w:val="24"/>
                <w:szCs w:val="24"/>
                <w:highlight w:val="none"/>
                <w:lang w:val="en-US" w:eastAsia="zh-CN"/>
              </w:rPr>
              <w:t>投标人</w:t>
            </w:r>
            <w:r>
              <w:rPr>
                <w:rFonts w:hint="eastAsia" w:ascii="宋体" w:hAnsi="宋体" w:eastAsia="宋体" w:cs="宋体"/>
                <w:b/>
                <w:bCs/>
                <w:color w:val="auto"/>
                <w:sz w:val="24"/>
                <w:szCs w:val="24"/>
                <w:highlight w:val="none"/>
              </w:rPr>
              <w:t>将被列入失信名单并报相关部门依法追究责任。</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94"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投标文件内容符合招标文件的规定</w:t>
            </w:r>
            <w:r>
              <w:rPr>
                <w:rFonts w:hint="eastAsia" w:ascii="宋体" w:hAnsi="宋体" w:eastAsia="宋体" w:cs="宋体"/>
                <w:color w:val="auto"/>
                <w:sz w:val="24"/>
                <w:szCs w:val="24"/>
                <w:highlight w:val="none"/>
              </w:rPr>
              <w:t>。</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7956"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结论</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303" w:hRule="atLeast"/>
          <w:jc w:val="center"/>
        </w:trPr>
        <w:tc>
          <w:tcPr>
            <w:tcW w:w="9259" w:type="dxa"/>
            <w:gridSpan w:val="3"/>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主任评委：</w:t>
            </w:r>
          </w:p>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其他评委：</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注：本表中符合评审内容要求的写“√”，不符合评审内容要求的写“×”。结论为“合格”或“不合格”。结论不合格的不进入综合评审阶段。</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评标委员会发现有下列情形之一的，视为投标人串通投标，其投标无效：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有下列情形之一的，视为投标人串通投标，其投标无效：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（一）不同投标人的投标文件由同一单位或者个人编制；</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（二）不同投标人委托同一单位或者个人办理投标事宜；</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（三）不同投标人的投标文件载明的项目管理成员或者联系人员为同一人；</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（四）不同投标人的投标文件异常一致或者投标报价呈规律性差异；</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（五）不同投标人的投标文件相互混装；</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（六）不同投标人的投标保证金从同一单位或者个人的账户转出。</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注：经评标委员会评审合格投标商的家数不足三家，该项目废标，采购人有权委托采购代理机构重新组织招标。</w:t>
      </w:r>
    </w:p>
    <w:p>
      <w:pPr>
        <w:spacing w:line="360" w:lineRule="auto"/>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.2澄清有关问题。</w:t>
      </w:r>
      <w:r>
        <w:rPr>
          <w:rFonts w:hint="eastAsia" w:ascii="宋体" w:hAnsi="宋体" w:eastAsia="宋体" w:cs="宋体"/>
          <w:color w:val="auto"/>
          <w:sz w:val="24"/>
          <w:highlight w:val="none"/>
        </w:rPr>
        <w:t>对投标文件中含义不明确、类似问题表述不一致或者有明显文字和计算错误的内容，评标委员会可以书面形式要求投标人做出必要的澄清、说明或者纠正。投标人的澄清、说明或者补正不得超出投标文件的范围或者改变投标文件的实质性内容。</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.2.1评标委员会将允许修正投标文件中不构成重大偏离的细微偏离，但这些修正应不会对实质上响应招标文件要求的投标人的竞争地位（相互排序）产生不公正的影响。</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2.2投标文件报价出现前后不一致的，除招标文件另有规定外，按照下列规定修正：（一）投标文件中开标一览表（报价表）内容与投标文件中相应内容不一致的，以开标一览表（报价表）为准；（二）大写金额和小写金额不一致的，以大写金额为准；（三）单价金额小数点或者百分比有明显错位的，以开标一览表的总价为准，并修改单价；（四）总价金额与按单价汇总金额不一致的，以单价金额计算结果为准。同时出现两种以上不一致的，按照规定的顺序修正。修正后的报价经投标人确认后产生约束力，投标人不确认的，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19"/>
        <w:spacing w:beforeAutospacing="0" w:afterAutospacing="0" w:line="360" w:lineRule="auto"/>
        <w:jc w:val="both"/>
        <w:rPr>
          <w:rFonts w:hint="eastAsia" w:ascii="宋体" w:hAnsi="宋体" w:eastAsia="宋体" w:cs="宋体"/>
          <w:b/>
          <w:bCs/>
          <w:color w:val="auto"/>
          <w:kern w:val="2"/>
          <w:highlight w:val="none"/>
        </w:rPr>
      </w:pPr>
      <w:r>
        <w:rPr>
          <w:rFonts w:hint="eastAsia" w:ascii="宋体" w:hAnsi="宋体" w:eastAsia="宋体" w:cs="宋体"/>
          <w:b/>
          <w:bCs/>
          <w:color w:val="auto"/>
          <w:kern w:val="2"/>
          <w:highlight w:val="none"/>
          <w:lang w:val="en-US" w:eastAsia="zh-CN"/>
        </w:rPr>
        <w:t>3</w:t>
      </w:r>
      <w:r>
        <w:rPr>
          <w:rFonts w:hint="eastAsia" w:ascii="宋体" w:hAnsi="宋体" w:eastAsia="宋体" w:cs="宋体"/>
          <w:b/>
          <w:bCs/>
          <w:color w:val="auto"/>
          <w:kern w:val="2"/>
          <w:highlight w:val="none"/>
        </w:rPr>
        <w:t>.3评标委员会应当按照招标文件中规定的评标方法和标准，对符合性审查合格的投标文件进行商务和技术评估，综合比较与评价。</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.3.1 本项目采用综合评分法评标，评标委员会将按下述标准评定中标人：独立对每个投标人的投标文件进行评价，并汇总每个投标人的得分。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采取随机抽取方式确定，其他同品牌投标人不作为中标候选人。</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.3.1.1综合评分法评分方法（计算结果精确到小数点后两位）：</w:t>
      </w:r>
    </w:p>
    <w:tbl>
      <w:tblPr>
        <w:tblStyle w:val="25"/>
        <w:tblW w:w="95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778"/>
        <w:gridCol w:w="7082"/>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915"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评分项</w:t>
            </w:r>
          </w:p>
        </w:tc>
        <w:tc>
          <w:tcPr>
            <w:tcW w:w="778"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名称</w:t>
            </w:r>
          </w:p>
        </w:tc>
        <w:tc>
          <w:tcPr>
            <w:tcW w:w="7082" w:type="dxa"/>
            <w:vAlign w:val="center"/>
          </w:tcPr>
          <w:p>
            <w:pPr>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评分标准（同一指标不得重复打分，*代表实质性指标，不满足该指标项将导致投标被拒绝）</w:t>
            </w:r>
          </w:p>
        </w:tc>
        <w:tc>
          <w:tcPr>
            <w:tcW w:w="780"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分值范围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trPr>
        <w:tc>
          <w:tcPr>
            <w:tcW w:w="915"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vertAlign w:val="baseline"/>
                <w:lang w:val="en-US" w:eastAsia="zh-CN"/>
              </w:rPr>
              <w:t>价格评审指标</w:t>
            </w:r>
          </w:p>
        </w:tc>
        <w:tc>
          <w:tcPr>
            <w:tcW w:w="778" w:type="dxa"/>
            <w:vAlign w:val="center"/>
          </w:tcPr>
          <w:p>
            <w:pPr>
              <w:keepNext w:val="0"/>
              <w:keepLines w:val="0"/>
              <w:pageBreakBefore w:val="0"/>
              <w:widowControl/>
              <w:kinsoku/>
              <w:wordWrap/>
              <w:overflowPunct/>
              <w:topLinePunct w:val="0"/>
              <w:autoSpaceDE/>
              <w:autoSpaceDN/>
              <w:bidi w:val="0"/>
              <w:snapToGrid w:val="0"/>
              <w:spacing w:line="300" w:lineRule="auto"/>
              <w:jc w:val="center"/>
              <w:textAlignment w:val="auto"/>
              <w:rPr>
                <w:rFonts w:hint="eastAsia" w:ascii="宋体" w:hAnsi="宋体" w:eastAsia="宋体" w:cs="宋体"/>
                <w:kern w:val="0"/>
                <w:sz w:val="24"/>
                <w:szCs w:val="24"/>
              </w:rPr>
            </w:pPr>
            <w:r>
              <w:rPr>
                <w:rFonts w:hint="eastAsia" w:ascii="宋体" w:hAnsi="宋体" w:eastAsia="宋体" w:cs="宋体"/>
                <w:kern w:val="0"/>
                <w:sz w:val="24"/>
                <w:szCs w:val="24"/>
              </w:rPr>
              <w:t>投标</w:t>
            </w:r>
          </w:p>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kern w:val="0"/>
                <w:sz w:val="24"/>
                <w:szCs w:val="24"/>
              </w:rPr>
              <w:t>报价</w:t>
            </w:r>
          </w:p>
        </w:tc>
        <w:tc>
          <w:tcPr>
            <w:tcW w:w="7082" w:type="dxa"/>
            <w:vAlign w:val="center"/>
          </w:tcPr>
          <w:p>
            <w:pPr>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vertAlign w:val="baseline"/>
                <w:lang w:val="en-US" w:eastAsia="zh-CN"/>
              </w:rPr>
              <w:t>满足招标文件要求且投标价格最低的投标报价为评标基准价，其价格分为满分。其他投标人的价格分统一按照下列公式计算（保留两位小数）：投标报价得分=（评标基准价/投标报价）×30%×100</w:t>
            </w:r>
          </w:p>
        </w:tc>
        <w:tc>
          <w:tcPr>
            <w:tcW w:w="780"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vertAlign w:val="baseline"/>
                <w:lang w:val="en-US"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915" w:type="dxa"/>
            <w:vMerge w:val="restart"/>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企业</w:t>
            </w:r>
          </w:p>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vertAlign w:val="baseline"/>
                <w:lang w:val="en-US" w:eastAsia="zh-CN"/>
              </w:rPr>
              <w:t>实力</w:t>
            </w:r>
          </w:p>
        </w:tc>
        <w:tc>
          <w:tcPr>
            <w:tcW w:w="778"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vertAlign w:val="baseline"/>
                <w:lang w:val="en-US" w:eastAsia="zh-CN"/>
              </w:rPr>
              <w:t>业绩</w:t>
            </w:r>
          </w:p>
        </w:tc>
        <w:tc>
          <w:tcPr>
            <w:tcW w:w="7082" w:type="dxa"/>
            <w:vAlign w:val="center"/>
          </w:tcPr>
          <w:p>
            <w:pPr>
              <w:keepNext w:val="0"/>
              <w:keepLines w:val="0"/>
              <w:pageBreakBefore w:val="0"/>
              <w:kinsoku/>
              <w:wordWrap/>
              <w:overflowPunct/>
              <w:topLinePunct w:val="0"/>
              <w:autoSpaceDE/>
              <w:autoSpaceDN/>
              <w:bidi w:val="0"/>
              <w:snapToGrid w:val="0"/>
              <w:spacing w:line="24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vertAlign w:val="baseline"/>
                <w:lang w:val="en-US" w:eastAsia="zh-CN"/>
              </w:rPr>
              <w:t>投标人或制造商2021年1月1日至今完成的</w:t>
            </w:r>
            <w:r>
              <w:rPr>
                <w:rFonts w:hint="eastAsia" w:ascii="宋体" w:hAnsi="宋体" w:eastAsia="宋体" w:cs="宋体"/>
                <w:b/>
                <w:bCs/>
                <w:sz w:val="24"/>
                <w:szCs w:val="24"/>
                <w:highlight w:val="none"/>
                <w:vertAlign w:val="baseline"/>
                <w:lang w:val="en-US" w:eastAsia="zh-CN"/>
              </w:rPr>
              <w:t>所投产品</w:t>
            </w:r>
            <w:r>
              <w:rPr>
                <w:rFonts w:hint="eastAsia" w:ascii="宋体" w:hAnsi="宋体" w:eastAsia="宋体" w:cs="宋体"/>
                <w:sz w:val="24"/>
                <w:szCs w:val="24"/>
                <w:highlight w:val="none"/>
                <w:vertAlign w:val="baseline"/>
                <w:lang w:val="en-US" w:eastAsia="zh-CN"/>
              </w:rPr>
              <w:t>的业绩，每提供一项得1分，最高得5分。</w:t>
            </w:r>
            <w:r>
              <w:rPr>
                <w:rFonts w:hint="eastAsia" w:ascii="宋体" w:hAnsi="宋体" w:eastAsia="宋体" w:cs="宋体"/>
                <w:sz w:val="24"/>
                <w:szCs w:val="24"/>
              </w:rPr>
              <w:t>每份业绩的证明材料须齐</w:t>
            </w:r>
            <w:r>
              <w:rPr>
                <w:rFonts w:hint="eastAsia" w:ascii="宋体" w:hAnsi="宋体" w:eastAsia="宋体" w:cs="宋体"/>
                <w:sz w:val="24"/>
                <w:szCs w:val="24"/>
                <w:highlight w:val="none"/>
              </w:rPr>
              <w:t>全，否则该份业绩不予计分。</w:t>
            </w:r>
          </w:p>
          <w:p>
            <w:pPr>
              <w:spacing w:line="240" w:lineRule="auto"/>
              <w:jc w:val="left"/>
              <w:rPr>
                <w:rFonts w:hint="eastAsia" w:ascii="宋体" w:hAnsi="宋体" w:eastAsia="宋体" w:cs="宋体"/>
                <w:b/>
                <w:bCs/>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评分依据：</w:t>
            </w:r>
            <w:r>
              <w:rPr>
                <w:rFonts w:hint="eastAsia" w:ascii="宋体" w:hAnsi="宋体" w:eastAsia="宋体" w:cs="宋体"/>
                <w:sz w:val="24"/>
                <w:szCs w:val="24"/>
                <w:highlight w:val="none"/>
              </w:rPr>
              <w:t>投标人需提供每份业绩的</w:t>
            </w:r>
            <w:r>
              <w:rPr>
                <w:rFonts w:hint="eastAsia" w:ascii="宋体" w:hAnsi="宋体" w:eastAsia="宋体" w:cs="宋体"/>
                <w:b/>
                <w:bCs/>
                <w:sz w:val="24"/>
                <w:szCs w:val="24"/>
                <w:highlight w:val="none"/>
              </w:rPr>
              <w:t>中标通知书、中标</w:t>
            </w:r>
            <w:r>
              <w:rPr>
                <w:rFonts w:hint="eastAsia" w:ascii="宋体" w:hAnsi="宋体" w:eastAsia="宋体" w:cs="宋体"/>
                <w:b/>
                <w:bCs/>
                <w:sz w:val="24"/>
                <w:szCs w:val="24"/>
                <w:highlight w:val="none"/>
                <w:lang w:eastAsia="zh-CN"/>
              </w:rPr>
              <w:t>结果</w:t>
            </w:r>
            <w:r>
              <w:rPr>
                <w:rFonts w:hint="eastAsia" w:ascii="宋体" w:hAnsi="宋体" w:eastAsia="宋体" w:cs="宋体"/>
                <w:b/>
                <w:bCs/>
                <w:sz w:val="24"/>
                <w:szCs w:val="24"/>
                <w:highlight w:val="none"/>
              </w:rPr>
              <w:t>公示</w:t>
            </w:r>
            <w:r>
              <w:rPr>
                <w:rFonts w:hint="eastAsia" w:ascii="宋体" w:hAnsi="宋体" w:eastAsia="宋体" w:cs="宋体"/>
                <w:b/>
                <w:bCs/>
                <w:sz w:val="24"/>
                <w:szCs w:val="24"/>
                <w:highlight w:val="none"/>
                <w:lang w:eastAsia="zh-CN"/>
              </w:rPr>
              <w:t>在网站发布的</w:t>
            </w:r>
            <w:r>
              <w:rPr>
                <w:rFonts w:hint="eastAsia" w:ascii="宋体" w:hAnsi="宋体" w:eastAsia="宋体" w:cs="宋体"/>
                <w:b/>
                <w:bCs/>
                <w:sz w:val="24"/>
                <w:szCs w:val="24"/>
                <w:highlight w:val="none"/>
              </w:rPr>
              <w:t>截图</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销售合同、发票及验收合格证明</w:t>
            </w:r>
            <w:r>
              <w:rPr>
                <w:rFonts w:hint="eastAsia" w:ascii="宋体" w:hAnsi="宋体" w:eastAsia="宋体" w:cs="宋体"/>
                <w:sz w:val="24"/>
                <w:szCs w:val="24"/>
                <w:highlight w:val="none"/>
              </w:rPr>
              <w:t>的复印件加盖公章。</w:t>
            </w:r>
          </w:p>
          <w:p>
            <w:pPr>
              <w:spacing w:line="240" w:lineRule="auto"/>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注：如业绩为集采项目，提供同一中标通知书及分项合同，业绩仅计为1项。</w:t>
            </w:r>
          </w:p>
        </w:tc>
        <w:tc>
          <w:tcPr>
            <w:tcW w:w="780"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915" w:type="dxa"/>
            <w:vMerge w:val="continue"/>
            <w:vAlign w:val="center"/>
          </w:tcPr>
          <w:p>
            <w:pPr>
              <w:jc w:val="center"/>
              <w:rPr>
                <w:rFonts w:hint="eastAsia" w:ascii="宋体" w:hAnsi="宋体" w:eastAsia="宋体" w:cs="宋体"/>
                <w:sz w:val="24"/>
                <w:szCs w:val="24"/>
                <w:vertAlign w:val="baseline"/>
                <w:lang w:val="en-US" w:eastAsia="zh-CN"/>
              </w:rPr>
            </w:pPr>
          </w:p>
        </w:tc>
        <w:tc>
          <w:tcPr>
            <w:tcW w:w="778" w:type="dxa"/>
            <w:vMerge w:val="restart"/>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所投产品的制造商的专业技术生产能力</w:t>
            </w:r>
          </w:p>
        </w:tc>
        <w:tc>
          <w:tcPr>
            <w:tcW w:w="7082" w:type="dxa"/>
            <w:vAlign w:val="center"/>
          </w:tcPr>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根据以下内容进行综合评审：</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①自主研发能力、产品设计、加工设备、生产工艺；</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提供的方案完全满足且优于本项目需求得2分；内容完整与本项目相符得1分；所提供的内容有缺失的得0.5分，不满足项目需求或未提供得0分。</w:t>
            </w:r>
          </w:p>
        </w:tc>
        <w:tc>
          <w:tcPr>
            <w:tcW w:w="780"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915" w:type="dxa"/>
            <w:vMerge w:val="continue"/>
            <w:vAlign w:val="center"/>
          </w:tcPr>
          <w:p>
            <w:pPr>
              <w:jc w:val="center"/>
              <w:rPr>
                <w:rFonts w:hint="eastAsia" w:ascii="宋体" w:hAnsi="宋体" w:eastAsia="宋体" w:cs="宋体"/>
                <w:sz w:val="24"/>
                <w:szCs w:val="24"/>
                <w:vertAlign w:val="baseline"/>
                <w:lang w:val="en-US" w:eastAsia="zh-CN"/>
              </w:rPr>
            </w:pPr>
          </w:p>
        </w:tc>
        <w:tc>
          <w:tcPr>
            <w:tcW w:w="778" w:type="dxa"/>
            <w:vMerge w:val="continue"/>
            <w:vAlign w:val="center"/>
          </w:tcPr>
          <w:p>
            <w:pPr>
              <w:jc w:val="center"/>
              <w:rPr>
                <w:rFonts w:hint="eastAsia" w:ascii="宋体" w:hAnsi="宋体" w:eastAsia="宋体" w:cs="宋体"/>
                <w:sz w:val="24"/>
                <w:szCs w:val="24"/>
                <w:vertAlign w:val="baseline"/>
                <w:lang w:val="en-US" w:eastAsia="zh-CN"/>
              </w:rPr>
            </w:pPr>
          </w:p>
        </w:tc>
        <w:tc>
          <w:tcPr>
            <w:tcW w:w="7082" w:type="dxa"/>
            <w:vAlign w:val="center"/>
          </w:tcPr>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②生产车间环境以及详细的实际生产情况、产品检验及产品质量控制；</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提供的方案完全满足且优于本项目需求得2分；内容完整与本项目相符得1分；所提供的内容有缺失的得0.5分，不满足项目需求或未提供得0分。</w:t>
            </w:r>
          </w:p>
        </w:tc>
        <w:tc>
          <w:tcPr>
            <w:tcW w:w="780"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915" w:type="dxa"/>
            <w:vMerge w:val="continue"/>
            <w:vAlign w:val="center"/>
          </w:tcPr>
          <w:p>
            <w:pPr>
              <w:jc w:val="center"/>
              <w:rPr>
                <w:rFonts w:hint="eastAsia" w:ascii="宋体" w:hAnsi="宋体" w:eastAsia="宋体" w:cs="宋体"/>
                <w:sz w:val="24"/>
                <w:szCs w:val="24"/>
                <w:vertAlign w:val="baseline"/>
                <w:lang w:val="en-US" w:eastAsia="zh-CN"/>
              </w:rPr>
            </w:pPr>
          </w:p>
        </w:tc>
        <w:tc>
          <w:tcPr>
            <w:tcW w:w="778" w:type="dxa"/>
            <w:vMerge w:val="continue"/>
            <w:vAlign w:val="center"/>
          </w:tcPr>
          <w:p>
            <w:pPr>
              <w:jc w:val="center"/>
              <w:rPr>
                <w:rFonts w:hint="eastAsia" w:ascii="宋体" w:hAnsi="宋体" w:eastAsia="宋体" w:cs="宋体"/>
                <w:sz w:val="24"/>
                <w:szCs w:val="24"/>
                <w:vertAlign w:val="baseline"/>
                <w:lang w:val="en-US" w:eastAsia="zh-CN"/>
              </w:rPr>
            </w:pPr>
          </w:p>
        </w:tc>
        <w:tc>
          <w:tcPr>
            <w:tcW w:w="7082" w:type="dxa"/>
            <w:vAlign w:val="center"/>
          </w:tcPr>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③专业技术人员配备情况及组织架构、工作年限；</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提供的方案完全满足且优于本项目需求得2分；内容完整与本项目相符得1分；所提供的内容有缺失的得0.5分，不满足项目需求或未提供得0分。</w:t>
            </w:r>
          </w:p>
        </w:tc>
        <w:tc>
          <w:tcPr>
            <w:tcW w:w="780"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trPr>
        <w:tc>
          <w:tcPr>
            <w:tcW w:w="915" w:type="dxa"/>
            <w:vMerge w:val="restart"/>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技术</w:t>
            </w:r>
          </w:p>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部分</w:t>
            </w:r>
          </w:p>
        </w:tc>
        <w:tc>
          <w:tcPr>
            <w:tcW w:w="778" w:type="dxa"/>
            <w:vMerge w:val="restart"/>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技术参数评审</w:t>
            </w:r>
          </w:p>
        </w:tc>
        <w:tc>
          <w:tcPr>
            <w:tcW w:w="7082" w:type="dxa"/>
            <w:vAlign w:val="center"/>
          </w:tcPr>
          <w:p>
            <w:pPr>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就投标文件对招标文件技术需求书中技术参数的响应进行评审，每有一项</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vertAlign w:val="baseline"/>
              </w:rPr>
              <w:t>条款负偏离扣</w:t>
            </w:r>
            <w:r>
              <w:rPr>
                <w:rFonts w:hint="eastAsia" w:ascii="宋体" w:hAnsi="宋体" w:eastAsia="宋体" w:cs="宋体"/>
                <w:color w:val="auto"/>
                <w:sz w:val="24"/>
                <w:szCs w:val="24"/>
                <w:highlight w:val="none"/>
                <w:vertAlign w:val="baseline"/>
                <w:lang w:val="en-US" w:eastAsia="zh-CN"/>
              </w:rPr>
              <w:t>5</w:t>
            </w:r>
            <w:r>
              <w:rPr>
                <w:rFonts w:hint="eastAsia" w:ascii="宋体" w:hAnsi="宋体" w:eastAsia="宋体" w:cs="宋体"/>
                <w:color w:val="auto"/>
                <w:sz w:val="24"/>
                <w:szCs w:val="24"/>
                <w:highlight w:val="none"/>
                <w:vertAlign w:val="baseline"/>
              </w:rPr>
              <w:t>分</w:t>
            </w:r>
            <w:r>
              <w:rPr>
                <w:rFonts w:hint="eastAsia" w:ascii="宋体" w:hAnsi="宋体" w:eastAsia="宋体" w:cs="宋体"/>
                <w:color w:val="auto"/>
                <w:sz w:val="24"/>
                <w:szCs w:val="24"/>
                <w:highlight w:val="none"/>
                <w:vertAlign w:val="baseline"/>
                <w:lang w:eastAsia="zh-CN"/>
              </w:rPr>
              <w:t>，</w:t>
            </w:r>
            <w:r>
              <w:rPr>
                <w:rFonts w:hint="eastAsia" w:ascii="宋体" w:hAnsi="宋体" w:eastAsia="宋体" w:cs="宋体"/>
                <w:color w:val="auto"/>
                <w:sz w:val="24"/>
                <w:szCs w:val="24"/>
                <w:highlight w:val="none"/>
                <w:vertAlign w:val="baseline"/>
              </w:rPr>
              <w:t>非★条款每有一项负偏离扣1分，最低得0分。“1项”包括技术需求书中最低层级的序号项。</w:t>
            </w:r>
          </w:p>
          <w:p>
            <w:pPr>
              <w:pStyle w:val="2"/>
              <w:rPr>
                <w:rFonts w:hint="eastAsia" w:ascii="宋体" w:hAnsi="宋体" w:eastAsia="宋体" w:cs="宋体"/>
                <w:b/>
                <w:bCs/>
                <w:color w:val="auto"/>
                <w:sz w:val="24"/>
                <w:szCs w:val="24"/>
                <w:highlight w:val="none"/>
                <w:vertAlign w:val="baseline"/>
              </w:rPr>
            </w:pPr>
            <w:r>
              <w:rPr>
                <w:rFonts w:hint="eastAsia" w:ascii="宋体" w:hAnsi="宋体" w:eastAsia="宋体" w:cs="宋体"/>
                <w:b/>
                <w:bCs/>
                <w:color w:val="auto"/>
                <w:sz w:val="24"/>
                <w:szCs w:val="24"/>
                <w:highlight w:val="none"/>
                <w:vertAlign w:val="baseline"/>
              </w:rPr>
              <w:t>技术参数偏离表中的响应内容，应提供佐证材料，有检测报告的，应提供检测报告；无检测报告的，应提供产品说明的官方截图；无前两项的，应提供经发行的市场产品宣传册。</w:t>
            </w:r>
          </w:p>
          <w:p>
            <w:pPr>
              <w:pStyle w:val="2"/>
              <w:rPr>
                <w:rFonts w:hint="eastAsia" w:ascii="宋体" w:hAnsi="宋体" w:eastAsia="宋体" w:cs="宋体"/>
                <w:b/>
                <w:bCs/>
                <w:color w:val="FF0000"/>
                <w:kern w:val="0"/>
                <w:sz w:val="24"/>
                <w:szCs w:val="24"/>
                <w:lang w:bidi="ar"/>
              </w:rPr>
            </w:pPr>
            <w:r>
              <w:rPr>
                <w:rFonts w:hint="eastAsia" w:ascii="宋体" w:hAnsi="宋体" w:eastAsia="宋体" w:cs="宋体"/>
                <w:b/>
                <w:bCs/>
                <w:color w:val="FF0000"/>
                <w:kern w:val="0"/>
                <w:sz w:val="24"/>
                <w:szCs w:val="24"/>
                <w:lang w:bidi="ar"/>
              </w:rPr>
              <w:t xml:space="preserve">注： </w:t>
            </w:r>
          </w:p>
          <w:p>
            <w:pPr>
              <w:pStyle w:val="2"/>
              <w:rPr>
                <w:rFonts w:hint="eastAsia" w:ascii="宋体" w:hAnsi="宋体" w:eastAsia="宋体" w:cs="宋体"/>
                <w:color w:val="FF0000"/>
                <w:sz w:val="24"/>
                <w:szCs w:val="24"/>
              </w:rPr>
            </w:pPr>
            <w:r>
              <w:rPr>
                <w:rFonts w:hint="eastAsia" w:ascii="宋体" w:hAnsi="宋体" w:eastAsia="宋体" w:cs="宋体"/>
                <w:b/>
                <w:bCs/>
                <w:color w:val="FF0000"/>
                <w:kern w:val="0"/>
                <w:sz w:val="24"/>
                <w:szCs w:val="24"/>
                <w:lang w:bidi="ar"/>
              </w:rPr>
              <w:t xml:space="preserve">1.技术参数响应条款如有缺、漏项的，则该项视为负偏离； </w:t>
            </w:r>
          </w:p>
          <w:p>
            <w:pPr>
              <w:jc w:val="left"/>
              <w:rPr>
                <w:rFonts w:hint="eastAsia" w:ascii="宋体" w:hAnsi="宋体" w:eastAsia="宋体" w:cs="宋体"/>
                <w:color w:val="auto"/>
                <w:sz w:val="24"/>
                <w:szCs w:val="24"/>
                <w:highlight w:val="none"/>
                <w:vertAlign w:val="baseline"/>
              </w:rPr>
            </w:pPr>
            <w:r>
              <w:rPr>
                <w:rFonts w:hint="eastAsia" w:ascii="宋体" w:hAnsi="宋体" w:eastAsia="宋体" w:cs="宋体"/>
                <w:b/>
                <w:bCs/>
                <w:color w:val="FF0000"/>
                <w:kern w:val="0"/>
                <w:sz w:val="24"/>
                <w:szCs w:val="24"/>
                <w:lang w:bidi="ar"/>
              </w:rPr>
              <w:t>2.技术参数中指标性数值完全复制招标文件要求的属于负偏离，文字性描述复制的不属于负偏离，技术参数响应指标与检测报告（采购需求中若要求提供时）不一致的属于负偏离。</w:t>
            </w:r>
          </w:p>
        </w:tc>
        <w:tc>
          <w:tcPr>
            <w:tcW w:w="780"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8" w:hRule="atLeast"/>
        </w:trPr>
        <w:tc>
          <w:tcPr>
            <w:tcW w:w="915" w:type="dxa"/>
            <w:vMerge w:val="continue"/>
            <w:vAlign w:val="center"/>
          </w:tcPr>
          <w:p>
            <w:pPr>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jc w:val="center"/>
              <w:rPr>
                <w:rFonts w:hint="eastAsia" w:ascii="宋体" w:hAnsi="宋体" w:eastAsia="宋体" w:cs="宋体"/>
                <w:sz w:val="24"/>
                <w:szCs w:val="24"/>
                <w:vertAlign w:val="baseline"/>
                <w:lang w:val="en-US" w:eastAsia="zh-CN"/>
              </w:rPr>
            </w:pPr>
          </w:p>
        </w:tc>
        <w:tc>
          <w:tcPr>
            <w:tcW w:w="7082" w:type="dxa"/>
            <w:vAlign w:val="center"/>
          </w:tcPr>
          <w:p>
            <w:p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招标文件技术参数中“☆”为产品优势项，得分为固定分值。</w:t>
            </w:r>
          </w:p>
          <w:p>
            <w:p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对技术规格偏离表中技术参数的响应进行评审，比较各投标单位该项指标性能参数。</w:t>
            </w:r>
          </w:p>
          <w:p>
            <w:p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分五档的产品：满分5分，1-5档依次得分5、4、3、2、1分。</w:t>
            </w:r>
          </w:p>
          <w:p>
            <w:pPr>
              <w:jc w:val="left"/>
              <w:rPr>
                <w:rFonts w:hint="eastAsia" w:ascii="宋体" w:hAnsi="宋体" w:eastAsia="宋体" w:cs="宋体"/>
                <w:b/>
                <w:bCs/>
                <w:color w:val="auto"/>
                <w:sz w:val="24"/>
                <w:szCs w:val="24"/>
                <w:highlight w:val="none"/>
                <w:vertAlign w:val="baseline"/>
              </w:rPr>
            </w:pPr>
            <w:r>
              <w:rPr>
                <w:rFonts w:hint="eastAsia" w:ascii="宋体" w:hAnsi="宋体" w:eastAsia="宋体" w:cs="宋体"/>
                <w:b/>
                <w:bCs/>
                <w:color w:val="auto"/>
                <w:sz w:val="24"/>
                <w:szCs w:val="24"/>
                <w:highlight w:val="none"/>
                <w:vertAlign w:val="baseline"/>
              </w:rPr>
              <w:t>技术参数偏离表中关于产品优势的响应内容，须提供带有CMA或CNAS标识的检测报告，否则不予认定。</w:t>
            </w:r>
          </w:p>
        </w:tc>
        <w:tc>
          <w:tcPr>
            <w:tcW w:w="780"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915" w:type="dxa"/>
            <w:vMerge w:val="restart"/>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服务部分</w:t>
            </w:r>
          </w:p>
        </w:tc>
        <w:tc>
          <w:tcPr>
            <w:tcW w:w="778" w:type="dxa"/>
            <w:vMerge w:val="restart"/>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质保期</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质保期响应招标文件要求，在招标文件要求基础上每增加</w:t>
            </w:r>
            <w:r>
              <w:rPr>
                <w:rFonts w:hint="eastAsia" w:ascii="宋体" w:hAnsi="宋体" w:eastAsia="宋体" w:cs="宋体"/>
                <w:sz w:val="24"/>
                <w:szCs w:val="24"/>
                <w:lang w:val="en-US" w:eastAsia="zh-CN"/>
              </w:rPr>
              <w:t>1年</w:t>
            </w:r>
            <w:r>
              <w:rPr>
                <w:rFonts w:hint="eastAsia" w:ascii="宋体" w:hAnsi="宋体" w:eastAsia="宋体" w:cs="宋体"/>
                <w:sz w:val="24"/>
                <w:szCs w:val="24"/>
                <w:lang w:eastAsia="zh-CN"/>
              </w:rPr>
              <w:t>得</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分，满分</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分，</w:t>
            </w:r>
            <w:r>
              <w:rPr>
                <w:rFonts w:hint="eastAsia" w:ascii="宋体" w:hAnsi="宋体" w:eastAsia="宋体" w:cs="宋体"/>
                <w:sz w:val="24"/>
                <w:szCs w:val="24"/>
                <w:lang w:val="en-US" w:eastAsia="zh-CN"/>
              </w:rPr>
              <w:t>未提供不得分</w:t>
            </w:r>
            <w:r>
              <w:rPr>
                <w:rFonts w:hint="eastAsia" w:ascii="宋体" w:hAnsi="宋体" w:eastAsia="宋体" w:cs="宋体"/>
                <w:sz w:val="24"/>
                <w:szCs w:val="24"/>
                <w:lang w:eastAsia="zh-CN"/>
              </w:rPr>
              <w:t>。</w:t>
            </w:r>
          </w:p>
        </w:tc>
        <w:tc>
          <w:tcPr>
            <w:tcW w:w="780"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质保期内提供维护保养，每提供1次，得0.5分，满分1分</w:t>
            </w:r>
            <w:r>
              <w:rPr>
                <w:rFonts w:hint="eastAsia" w:ascii="宋体" w:hAnsi="宋体" w:eastAsia="宋体" w:cs="宋体"/>
                <w:sz w:val="24"/>
                <w:szCs w:val="24"/>
                <w:highlight w:val="none"/>
                <w:lang w:eastAsia="zh-CN"/>
              </w:rPr>
              <w:t>。</w:t>
            </w:r>
          </w:p>
        </w:tc>
        <w:tc>
          <w:tcPr>
            <w:tcW w:w="780"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restart"/>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保修期</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提供保修期内耗材清单及保修期内价格不超过该清单价格的承诺。</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以上内容，全部提供得1分，不提供不得分。</w:t>
            </w:r>
          </w:p>
        </w:tc>
        <w:tc>
          <w:tcPr>
            <w:tcW w:w="780"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提供保修期内人工工时费清单及保修期内价格不超过该清单价格的承诺。</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以上内容，全部提供得1分，不提供不得分。</w:t>
            </w:r>
          </w:p>
        </w:tc>
        <w:tc>
          <w:tcPr>
            <w:tcW w:w="780"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提供零部件供应周期、备品备件（替换件）以及零部件的供应方式。</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以上内容，全部提供得1分，不提供不得分。</w:t>
            </w:r>
          </w:p>
        </w:tc>
        <w:tc>
          <w:tcPr>
            <w:tcW w:w="780"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restart"/>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履约方案</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结合本项目采购需求，对投标人的履约方案进行综合评审：</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①针对本项目的生产线设置及流水线生产图片、提供进度计划表；</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提供的方案完全满足且优于本项目需求得3分；内容完整与本项目相符得2分；所提供的内容有缺失的得1分，不满足项目需求或未提供得0分。</w:t>
            </w:r>
          </w:p>
        </w:tc>
        <w:tc>
          <w:tcPr>
            <w:tcW w:w="780"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②针对本项目的原材料到场时间、各关键节点的时间及驻场验收时间；</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提供的方案完全满足且优于本项目需求得3分；内容完整与本项目相符得2分；所提供的内容有缺失的得1分，不满足项目需求或未提供得0分。</w:t>
            </w:r>
          </w:p>
        </w:tc>
        <w:tc>
          <w:tcPr>
            <w:tcW w:w="780"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定期巡检</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定期安排技术人员针对产品的使用环境、使用频率及更新等进行回访、巡检并提供巡检方案。保修期内提供基础巡检1次，在此基础上，每增加一次定期巡检得2分，满分4分，未提供不得分。</w:t>
            </w:r>
          </w:p>
        </w:tc>
        <w:tc>
          <w:tcPr>
            <w:tcW w:w="780"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应急事故响应及处理方案</w:t>
            </w:r>
          </w:p>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结合本项目实际应用、环境等情况，对投标人的应急事故响应及处理方案进行评审：</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①如可能发生的应急事故情况分析；</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②发生应急事故时，建立联勤联动机制、应急处理响应时间及紧急安全保障措施；</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③投标人提前储备替换装备，避免采购人装备在维修标定过程中存在装备使用空白点，在自身备件不足的情况下，提供装备应急筹措供应方案；</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提供的方案完全满足且优于本项目需求得3分；内容完整与本项目相符得2分；所提供的内容有缺失的得1分，不满足项目需求或未提供得0分。</w:t>
            </w:r>
          </w:p>
        </w:tc>
        <w:tc>
          <w:tcPr>
            <w:tcW w:w="780" w:type="dxa"/>
            <w:vAlign w:val="center"/>
          </w:tcPr>
          <w:p>
            <w:pPr>
              <w:spacing w:line="240" w:lineRule="auto"/>
              <w:jc w:val="center"/>
              <w:rPr>
                <w:rFonts w:hint="eastAsia" w:ascii="宋体" w:hAnsi="宋体" w:eastAsia="宋体" w:cs="宋体"/>
                <w:color w:val="auto"/>
                <w:sz w:val="24"/>
                <w:szCs w:val="24"/>
                <w:highlight w:val="yellow"/>
                <w:vertAlign w:val="baseline"/>
                <w:lang w:val="en-US" w:eastAsia="zh-CN"/>
              </w:rPr>
            </w:pPr>
            <w:r>
              <w:rPr>
                <w:rFonts w:hint="eastAsia" w:ascii="宋体" w:hAnsi="宋体" w:eastAsia="宋体" w:cs="宋体"/>
                <w:color w:val="auto"/>
                <w:sz w:val="24"/>
                <w:szCs w:val="24"/>
                <w:highlight w:val="none"/>
                <w:vertAlign w:val="baseline"/>
                <w:lang w:val="en-US" w:eastAsia="zh-CN"/>
              </w:rPr>
              <w:t>0-3</w:t>
            </w:r>
          </w:p>
        </w:tc>
      </w:tr>
    </w:tbl>
    <w:p>
      <w:pPr>
        <w:pStyle w:val="3"/>
        <w:adjustRightInd w:val="0"/>
        <w:snapToGrid w:val="0"/>
        <w:spacing w:before="0" w:after="0" w:line="240" w:lineRule="auto"/>
        <w:ind w:firstLine="480" w:firstLineChars="200"/>
        <w:rPr>
          <w:rFonts w:hint="eastAsia" w:ascii="宋体" w:hAnsi="宋体" w:eastAsia="宋体" w:cs="宋体"/>
          <w:b w:val="0"/>
          <w:bCs/>
          <w:color w:val="auto"/>
          <w:kern w:val="2"/>
          <w:sz w:val="24"/>
          <w:szCs w:val="24"/>
          <w:highlight w:val="none"/>
          <w:lang w:val="zh-CN"/>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评标总得分＝F1×A1＋F2×A2＋……＋Fn×An</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F1、F2……Fn分别为各项评审因素的得分；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A1、A2、……An 分别为各项评审因素所占的权重(A1＋A2＋……＋An＝1)。</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1.3.2.2评标委员会在评审时，价格分加分：</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对于列入财政部、国家环保总局发布的《环境标志产品政府采购清单》的产品，对其投标价格给予3%的价格扣除，并按照扣除后的价格参加排序。采购项目或者分包中既包含环境标志产品也包含非环境标志产品的，只对列入《环境标志产品政府采购清单》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列入财政部、国家发改委发布的《节能产品政府采购清单》但不属于国家强制采购的产品，对其投标价格给予3%的价格扣除，并按照扣除后的价格参加排序。采购项目或者分包中既包含节能产品也包含非节能产品的，只对列入《节能产品政府采购清单》但不属于国家强制采购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szCs w:val="24"/>
          <w:highlight w:val="none"/>
        </w:rPr>
        <w:t>所提供产品纳入财政部公布的《政府采购自主创新产品目录》的产品，按照《财政部关于印发〈自主创新产品政府采购评审办法〉的通知》（财库[2008]30号）文件规定执行。采购项目或者分包中既包含自主创新产品也包含非自主创新产品的，只对纳入《政府采购自主创新产品目录》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列入财政部、国家发改委、信息产业部发布的《无线局域网认证产品政府采购清单》的产品，对其投标价格给予3%的价格扣除，并按扣除后的价格参加排序。采购项目或者分包中既包含清单中产品也包含非清单中产品的，只对列入清单的产品按其在总报价中所占的比例给予价格扣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投标产品同时列入上述多个清单的，将上述规定的价格扣除比例叠加后计算价格扣除。</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（5）根据财库【20</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19</w:t>
      </w:r>
      <w:r>
        <w:rPr>
          <w:rFonts w:hint="eastAsia" w:ascii="宋体" w:hAnsi="宋体" w:eastAsia="宋体" w:cs="宋体"/>
          <w:color w:val="auto"/>
          <w:sz w:val="24"/>
          <w:highlight w:val="none"/>
        </w:rPr>
        <w:t>号文件规定，对小型和微型企业的产品给予</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%的价格扣除，并按照扣除后的价格参加排序。</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）监狱企业视同小型、微型企业，监狱企业投标的提供由省级以上监狱管理局、戒毒管理局(含新疆生产建设兵团)出具的属于监狱企业的证明文件，不再提供《中小企业声明函》；</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）残疾人福利性单位视同小型、微型企业，残疾人福利性单位属于小型、微型企业的，不重复享受政策。符合条件的残疾人福利性单位在参加政府采购活动时，应当提供《残疾人福利性单位声明函》。</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）价格扣除的依据：第（1）至（4）条提供投标货物相关认证证书复印件加盖投标人公章。第（5）</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条提供《中小企业声明函》</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《残疾人福利性单位声明函》。</w:t>
      </w:r>
    </w:p>
    <w:p>
      <w:pPr>
        <w:pStyle w:val="19"/>
        <w:spacing w:beforeAutospacing="0" w:afterAutospacing="0" w:line="360" w:lineRule="auto"/>
        <w:jc w:val="both"/>
        <w:rPr>
          <w:rFonts w:hint="eastAsia" w:ascii="宋体" w:hAnsi="宋体" w:eastAsia="宋体" w:cs="宋体"/>
          <w:color w:val="auto"/>
          <w:kern w:val="2"/>
          <w:highlight w:val="none"/>
        </w:rPr>
      </w:pPr>
      <w:r>
        <w:rPr>
          <w:rFonts w:hint="eastAsia" w:ascii="宋体" w:hAnsi="宋体" w:eastAsia="宋体" w:cs="宋体"/>
          <w:color w:val="auto"/>
          <w:kern w:val="2"/>
          <w:highlight w:val="none"/>
        </w:rPr>
        <w:t>1.4编写评标报告，推荐中标候选</w:t>
      </w:r>
      <w:r>
        <w:rPr>
          <w:rFonts w:hint="eastAsia" w:ascii="宋体" w:hAnsi="宋体" w:eastAsia="宋体" w:cs="宋体"/>
          <w:color w:val="auto"/>
          <w:kern w:val="2"/>
          <w:highlight w:val="none"/>
          <w:lang w:val="en-US" w:eastAsia="zh-CN"/>
        </w:rPr>
        <w:t>人</w:t>
      </w:r>
      <w:r>
        <w:rPr>
          <w:rFonts w:hint="eastAsia" w:ascii="宋体" w:hAnsi="宋体" w:eastAsia="宋体" w:cs="宋体"/>
          <w:color w:val="auto"/>
          <w:kern w:val="2"/>
          <w:highlight w:val="none"/>
        </w:rPr>
        <w:t>名单：3名。</w:t>
      </w:r>
    </w:p>
    <w:p>
      <w:pPr>
        <w:pStyle w:val="6"/>
        <w:spacing w:line="360" w:lineRule="auto"/>
        <w:jc w:val="center"/>
        <w:outlineLvl w:val="9"/>
        <w:rPr>
          <w:rFonts w:hint="eastAsia" w:ascii="宋体" w:hAnsi="宋体" w:eastAsia="宋体" w:cs="宋体"/>
          <w:color w:val="auto"/>
          <w:highlight w:val="none"/>
        </w:rPr>
        <w:sectPr>
          <w:headerReference r:id="rId5" w:type="default"/>
          <w:footerReference r:id="rId6" w:type="default"/>
          <w:pgSz w:w="11906" w:h="16838"/>
          <w:pgMar w:top="1361" w:right="1304" w:bottom="1247" w:left="1304" w:header="680" w:footer="680" w:gutter="0"/>
          <w:pgNumType w:start="1"/>
          <w:cols w:space="720" w:num="1"/>
          <w:docGrid w:linePitch="312" w:charSpace="0"/>
        </w:sectPr>
      </w:pPr>
    </w:p>
    <w:p>
      <w:pPr>
        <w:spacing w:line="360" w:lineRule="auto"/>
        <w:jc w:val="center"/>
        <w:outlineLvl w:val="0"/>
        <w:rPr>
          <w:rFonts w:hint="eastAsia" w:ascii="宋体" w:hAnsi="宋体" w:eastAsia="宋体" w:cs="宋体"/>
          <w:b/>
          <w:sz w:val="36"/>
          <w:szCs w:val="36"/>
          <w:highlight w:val="none"/>
        </w:rPr>
      </w:pPr>
      <w:bookmarkStart w:id="75" w:name="_Toc32413"/>
      <w:bookmarkStart w:id="76" w:name="_Toc7895"/>
      <w:r>
        <w:rPr>
          <w:rFonts w:hint="eastAsia" w:ascii="宋体" w:hAnsi="宋体" w:eastAsia="宋体" w:cs="宋体"/>
          <w:b/>
          <w:sz w:val="36"/>
          <w:szCs w:val="36"/>
          <w:highlight w:val="none"/>
        </w:rPr>
        <w:t>第四章 合同条款（参考格式）</w:t>
      </w:r>
      <w:bookmarkEnd w:id="75"/>
      <w:bookmarkEnd w:id="76"/>
    </w:p>
    <w:p>
      <w:pPr>
        <w:tabs>
          <w:tab w:val="left" w:pos="3600"/>
          <w:tab w:val="left" w:pos="3780"/>
          <w:tab w:val="left" w:pos="3960"/>
        </w:tabs>
        <w:spacing w:line="360" w:lineRule="auto"/>
        <w:jc w:val="center"/>
        <w:rPr>
          <w:rFonts w:hint="eastAsia" w:ascii="宋体" w:hAnsi="宋体" w:eastAsia="宋体" w:cs="宋体"/>
          <w:b/>
          <w:bCs/>
          <w:spacing w:val="-4"/>
          <w:sz w:val="44"/>
          <w:szCs w:val="44"/>
          <w:highlight w:val="none"/>
        </w:rPr>
      </w:pPr>
    </w:p>
    <w:p>
      <w:pPr>
        <w:tabs>
          <w:tab w:val="left" w:pos="3600"/>
          <w:tab w:val="left" w:pos="3780"/>
          <w:tab w:val="left" w:pos="3960"/>
        </w:tabs>
        <w:spacing w:line="360" w:lineRule="auto"/>
        <w:jc w:val="center"/>
        <w:rPr>
          <w:rFonts w:hint="eastAsia" w:ascii="宋体" w:hAnsi="宋体" w:eastAsia="宋体" w:cs="宋体"/>
          <w:b/>
          <w:bCs/>
          <w:color w:val="0000FF"/>
          <w:spacing w:val="-4"/>
          <w:sz w:val="44"/>
          <w:szCs w:val="44"/>
          <w:highlight w:val="none"/>
        </w:rPr>
      </w:pPr>
      <w:r>
        <w:rPr>
          <w:rFonts w:hint="eastAsia" w:ascii="宋体" w:hAnsi="宋体" w:eastAsia="宋体" w:cs="宋体"/>
          <w:b/>
          <w:bCs/>
          <w:color w:val="0000FF"/>
          <w:spacing w:val="-4"/>
          <w:sz w:val="44"/>
          <w:szCs w:val="44"/>
          <w:highlight w:val="none"/>
        </w:rPr>
        <w:t xml:space="preserve">XXX项目 </w:t>
      </w:r>
    </w:p>
    <w:p>
      <w:pPr>
        <w:tabs>
          <w:tab w:val="left" w:pos="3600"/>
          <w:tab w:val="left" w:pos="3780"/>
          <w:tab w:val="left" w:pos="3960"/>
        </w:tabs>
        <w:spacing w:line="360" w:lineRule="auto"/>
        <w:jc w:val="center"/>
        <w:rPr>
          <w:rFonts w:hint="eastAsia" w:ascii="宋体" w:hAnsi="宋体" w:eastAsia="宋体" w:cs="宋体"/>
          <w:b/>
          <w:bCs/>
          <w:color w:val="0000FF"/>
          <w:spacing w:val="-4"/>
          <w:sz w:val="44"/>
          <w:szCs w:val="44"/>
          <w:highlight w:val="none"/>
        </w:rPr>
      </w:pPr>
      <w:r>
        <w:rPr>
          <w:rFonts w:hint="eastAsia" w:ascii="宋体" w:hAnsi="宋体" w:eastAsia="宋体" w:cs="宋体"/>
          <w:b/>
          <w:bCs/>
          <w:color w:val="0000FF"/>
          <w:spacing w:val="-4"/>
          <w:sz w:val="44"/>
          <w:szCs w:val="44"/>
          <w:highlight w:val="none"/>
        </w:rPr>
        <w:t>（</w:t>
      </w:r>
      <w:r>
        <w:rPr>
          <w:rFonts w:hint="eastAsia" w:ascii="宋体" w:hAnsi="宋体" w:eastAsia="宋体" w:cs="宋体"/>
          <w:b/>
          <w:bCs/>
          <w:color w:val="0000FF"/>
          <w:spacing w:val="-4"/>
          <w:sz w:val="44"/>
          <w:szCs w:val="44"/>
          <w:highlight w:val="none"/>
          <w:u w:val="single"/>
        </w:rPr>
        <w:t>第XX包</w:t>
      </w:r>
      <w:r>
        <w:rPr>
          <w:rFonts w:hint="eastAsia" w:ascii="宋体" w:hAnsi="宋体" w:eastAsia="宋体" w:cs="宋体"/>
          <w:b/>
          <w:bCs/>
          <w:color w:val="0000FF"/>
          <w:spacing w:val="-4"/>
          <w:sz w:val="44"/>
          <w:szCs w:val="44"/>
          <w:highlight w:val="none"/>
        </w:rPr>
        <w:t>）</w:t>
      </w:r>
    </w:p>
    <w:p>
      <w:pPr>
        <w:pStyle w:val="10"/>
        <w:rPr>
          <w:rFonts w:hint="eastAsia" w:ascii="宋体" w:hAnsi="宋体" w:eastAsia="宋体" w:cs="宋体"/>
          <w:color w:val="0000FF"/>
          <w:highlight w:val="none"/>
        </w:rPr>
      </w:pPr>
    </w:p>
    <w:p>
      <w:pPr>
        <w:rPr>
          <w:rFonts w:hint="eastAsia" w:ascii="宋体" w:hAnsi="宋体" w:eastAsia="宋体" w:cs="宋体"/>
          <w:color w:val="0000FF"/>
          <w:highlight w:val="none"/>
        </w:rPr>
      </w:pPr>
    </w:p>
    <w:p>
      <w:pPr>
        <w:ind w:left="-279" w:leftChars="-133" w:right="-315" w:rightChars="-150"/>
        <w:jc w:val="center"/>
        <w:outlineLvl w:val="0"/>
        <w:rPr>
          <w:rFonts w:hint="eastAsia" w:ascii="宋体" w:hAnsi="宋体" w:eastAsia="宋体" w:cs="宋体"/>
          <w:b/>
          <w:bCs/>
          <w:color w:val="0000FF"/>
          <w:sz w:val="28"/>
          <w:szCs w:val="28"/>
          <w:highlight w:val="none"/>
        </w:rPr>
      </w:pPr>
      <w:bookmarkStart w:id="77" w:name="_Toc26975"/>
      <w:bookmarkStart w:id="78" w:name="_Toc13414"/>
      <w:r>
        <w:rPr>
          <w:rFonts w:hint="eastAsia" w:ascii="宋体" w:hAnsi="宋体" w:eastAsia="宋体" w:cs="宋体"/>
          <w:b/>
          <w:color w:val="0000FF"/>
          <w:sz w:val="36"/>
          <w:szCs w:val="36"/>
          <w:highlight w:val="none"/>
          <w:u w:val="single"/>
        </w:rPr>
        <w:t>品种：XXXX</w:t>
      </w:r>
      <w:bookmarkEnd w:id="77"/>
      <w:bookmarkEnd w:id="78"/>
    </w:p>
    <w:p>
      <w:pPr>
        <w:widowControl/>
        <w:spacing w:line="360" w:lineRule="auto"/>
        <w:jc w:val="center"/>
        <w:rPr>
          <w:rFonts w:hint="eastAsia" w:ascii="宋体" w:hAnsi="宋体" w:eastAsia="宋体" w:cs="宋体"/>
          <w:b/>
          <w:color w:val="0000FF"/>
          <w:kern w:val="0"/>
          <w:sz w:val="24"/>
          <w:highlight w:val="none"/>
        </w:rPr>
      </w:pPr>
    </w:p>
    <w:p>
      <w:pPr>
        <w:widowControl/>
        <w:spacing w:line="360" w:lineRule="auto"/>
        <w:jc w:val="center"/>
        <w:rPr>
          <w:rFonts w:hint="eastAsia" w:ascii="宋体" w:hAnsi="宋体" w:eastAsia="宋体" w:cs="宋体"/>
          <w:b/>
          <w:color w:val="0000FF"/>
          <w:kern w:val="0"/>
          <w:sz w:val="72"/>
          <w:szCs w:val="72"/>
          <w:highlight w:val="none"/>
        </w:rPr>
      </w:pPr>
      <w:r>
        <w:rPr>
          <w:rFonts w:hint="eastAsia" w:ascii="宋体" w:hAnsi="宋体" w:eastAsia="宋体" w:cs="宋体"/>
          <w:b/>
          <w:color w:val="0000FF"/>
          <w:kern w:val="0"/>
          <w:sz w:val="72"/>
          <w:szCs w:val="72"/>
          <w:highlight w:val="none"/>
        </w:rPr>
        <w:t xml:space="preserve">总 体 协 议 </w:t>
      </w:r>
    </w:p>
    <w:p>
      <w:pPr>
        <w:pStyle w:val="32"/>
        <w:spacing w:line="360" w:lineRule="auto"/>
        <w:ind w:right="958"/>
        <w:rPr>
          <w:rFonts w:hint="eastAsia" w:ascii="宋体" w:hAnsi="宋体" w:eastAsia="宋体" w:cs="宋体"/>
          <w:b/>
          <w:bCs/>
          <w:color w:val="auto"/>
          <w:sz w:val="52"/>
          <w:szCs w:val="52"/>
          <w:highlight w:val="none"/>
        </w:rPr>
      </w:pPr>
    </w:p>
    <w:p>
      <w:pPr>
        <w:pStyle w:val="14"/>
        <w:rPr>
          <w:rFonts w:hint="eastAsia" w:ascii="宋体" w:hAnsi="宋体" w:eastAsia="宋体" w:cs="宋体"/>
          <w:highlight w:val="none"/>
        </w:rPr>
      </w:pPr>
    </w:p>
    <w:p>
      <w:pPr>
        <w:pStyle w:val="32"/>
        <w:spacing w:line="360" w:lineRule="auto"/>
        <w:ind w:right="958"/>
        <w:rPr>
          <w:rFonts w:hint="eastAsia" w:ascii="宋体" w:hAnsi="宋体" w:eastAsia="宋体" w:cs="宋体"/>
          <w:b/>
          <w:bCs/>
          <w:color w:val="auto"/>
          <w:sz w:val="52"/>
          <w:szCs w:val="52"/>
          <w:highlight w:val="none"/>
        </w:rPr>
      </w:pPr>
    </w:p>
    <w:p>
      <w:pPr>
        <w:pStyle w:val="32"/>
        <w:spacing w:line="360" w:lineRule="auto"/>
        <w:ind w:right="958"/>
        <w:rPr>
          <w:rFonts w:hint="eastAsia" w:ascii="宋体" w:hAnsi="宋体" w:eastAsia="宋体" w:cs="宋体"/>
          <w:b/>
          <w:bCs/>
          <w:color w:val="auto"/>
          <w:sz w:val="52"/>
          <w:szCs w:val="52"/>
          <w:highlight w:val="none"/>
        </w:rPr>
      </w:pPr>
    </w:p>
    <w:p>
      <w:pPr>
        <w:pStyle w:val="32"/>
        <w:spacing w:line="360" w:lineRule="auto"/>
        <w:ind w:right="958"/>
        <w:rPr>
          <w:rFonts w:hint="eastAsia" w:ascii="宋体" w:hAnsi="宋体" w:eastAsia="宋体" w:cs="宋体"/>
          <w:b/>
          <w:bCs/>
          <w:color w:val="auto"/>
          <w:sz w:val="52"/>
          <w:szCs w:val="52"/>
          <w:highlight w:val="none"/>
        </w:rPr>
      </w:pPr>
    </w:p>
    <w:p>
      <w:pPr>
        <w:pStyle w:val="32"/>
        <w:spacing w:line="360" w:lineRule="auto"/>
        <w:ind w:right="958"/>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 xml:space="preserve">         协议编号： </w:t>
      </w:r>
    </w:p>
    <w:p>
      <w:pPr>
        <w:pStyle w:val="32"/>
        <w:spacing w:line="360" w:lineRule="auto"/>
        <w:ind w:right="958" w:firstLine="900" w:firstLineChars="3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 xml:space="preserve">甲方（采购人）： </w:t>
      </w:r>
    </w:p>
    <w:p>
      <w:pPr>
        <w:ind w:firstLine="900" w:firstLineChars="300"/>
        <w:rPr>
          <w:rFonts w:hint="eastAsia" w:ascii="宋体" w:hAnsi="宋体" w:eastAsia="宋体" w:cs="宋体"/>
          <w:bCs/>
          <w:kern w:val="0"/>
          <w:sz w:val="30"/>
          <w:szCs w:val="30"/>
          <w:highlight w:val="none"/>
        </w:rPr>
      </w:pPr>
      <w:r>
        <w:rPr>
          <w:rFonts w:hint="eastAsia" w:ascii="宋体" w:hAnsi="宋体" w:eastAsia="宋体" w:cs="宋体"/>
          <w:bCs/>
          <w:kern w:val="0"/>
          <w:sz w:val="30"/>
          <w:szCs w:val="30"/>
          <w:highlight w:val="none"/>
        </w:rPr>
        <w:t xml:space="preserve">乙方（中标人）： </w:t>
      </w:r>
    </w:p>
    <w:p>
      <w:pPr>
        <w:pStyle w:val="32"/>
        <w:spacing w:line="360" w:lineRule="auto"/>
        <w:ind w:right="958"/>
        <w:jc w:val="center"/>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二〇二</w:t>
      </w:r>
      <w:r>
        <w:rPr>
          <w:rFonts w:hint="eastAsia" w:ascii="宋体" w:hAnsi="宋体" w:eastAsia="宋体" w:cs="宋体"/>
          <w:bCs/>
          <w:color w:val="auto"/>
          <w:sz w:val="30"/>
          <w:szCs w:val="30"/>
          <w:highlight w:val="none"/>
          <w:lang w:eastAsia="zh-CN"/>
        </w:rPr>
        <w:t>四</w:t>
      </w:r>
      <w:r>
        <w:rPr>
          <w:rFonts w:hint="eastAsia" w:ascii="宋体" w:hAnsi="宋体" w:eastAsia="宋体" w:cs="宋体"/>
          <w:bCs/>
          <w:color w:val="auto"/>
          <w:sz w:val="30"/>
          <w:szCs w:val="30"/>
          <w:highlight w:val="none"/>
        </w:rPr>
        <w:t>年XX月</w:t>
      </w:r>
    </w:p>
    <w:p>
      <w:pPr>
        <w:widowControl/>
        <w:jc w:val="left"/>
        <w:rPr>
          <w:rFonts w:hint="eastAsia" w:ascii="宋体" w:hAnsi="宋体" w:eastAsia="宋体" w:cs="宋体"/>
          <w:highlight w:val="none"/>
        </w:rPr>
      </w:pPr>
    </w:p>
    <w:p>
      <w:pPr>
        <w:widowControl/>
        <w:adjustRightInd w:val="0"/>
        <w:snapToGrid w:val="0"/>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highlight w:val="none"/>
        </w:rPr>
        <w:br w:type="page"/>
      </w:r>
      <w:r>
        <w:rPr>
          <w:rFonts w:hint="eastAsia" w:ascii="宋体" w:hAnsi="宋体" w:eastAsia="宋体" w:cs="宋体"/>
          <w:kern w:val="0"/>
          <w:sz w:val="24"/>
          <w:szCs w:val="24"/>
          <w:highlight w:val="none"/>
        </w:rPr>
        <w:t xml:space="preserve">甲方（采购人）： </w:t>
      </w:r>
    </w:p>
    <w:p>
      <w:pPr>
        <w:pStyle w:val="32"/>
        <w:spacing w:line="360" w:lineRule="auto"/>
        <w:ind w:right="958"/>
        <w:rPr>
          <w:rFonts w:hint="eastAsia" w:ascii="宋体" w:hAnsi="宋体" w:eastAsia="宋体" w:cs="宋体"/>
          <w:bCs/>
          <w:color w:val="auto"/>
          <w:sz w:val="24"/>
          <w:szCs w:val="24"/>
          <w:highlight w:val="none"/>
        </w:rPr>
      </w:pPr>
      <w:r>
        <w:rPr>
          <w:rFonts w:hint="eastAsia" w:ascii="宋体" w:hAnsi="宋体" w:eastAsia="宋体" w:cs="宋体"/>
          <w:color w:val="auto"/>
          <w:kern w:val="0"/>
          <w:sz w:val="24"/>
          <w:szCs w:val="24"/>
          <w:highlight w:val="none"/>
          <w:lang w:val="en-US" w:eastAsia="zh-CN" w:bidi="ar-SA"/>
        </w:rPr>
        <w:t>乙方（中标人）：</w:t>
      </w:r>
      <w:r>
        <w:rPr>
          <w:rFonts w:hint="eastAsia" w:ascii="宋体" w:hAnsi="宋体" w:eastAsia="宋体" w:cs="宋体"/>
          <w:color w:val="auto"/>
          <w:sz w:val="24"/>
          <w:szCs w:val="24"/>
          <w:highlight w:val="none"/>
        </w:rPr>
        <w:t xml:space="preserve"> </w:t>
      </w:r>
    </w:p>
    <w:p>
      <w:pPr>
        <w:tabs>
          <w:tab w:val="left" w:pos="3600"/>
          <w:tab w:val="left" w:pos="3780"/>
          <w:tab w:val="left" w:pos="3960"/>
        </w:tabs>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鉴于：乙方系“</w:t>
      </w:r>
      <w:r>
        <w:rPr>
          <w:rFonts w:hint="eastAsia" w:ascii="宋体" w:hAnsi="宋体" w:eastAsia="宋体" w:cs="宋体"/>
          <w:kern w:val="0"/>
          <w:sz w:val="24"/>
          <w:szCs w:val="24"/>
          <w:highlight w:val="none"/>
          <w:u w:val="single"/>
        </w:rPr>
        <w:t xml:space="preserve">XXX项目 </w:t>
      </w:r>
      <w:r>
        <w:rPr>
          <w:rFonts w:hint="eastAsia" w:ascii="宋体" w:hAnsi="宋体" w:eastAsia="宋体" w:cs="宋体"/>
          <w:kern w:val="0"/>
          <w:sz w:val="24"/>
          <w:szCs w:val="24"/>
          <w:highlight w:val="none"/>
        </w:rPr>
        <w:t>”第XX包的中标人，甲乙双方根据《中华人民共和国政府采购法》、《中华人民共和国民法典》等相关法律、法规的规定及本项目的招投标文件，达成本协议，双方同意遵照执行。</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一、定义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除非另有特别解释或说明，在本协议中及与本协议相关的其他文件（包括且不限于本协议的附件、补充协议、备忘录、往来函件）中，下述词语均按如下定义进行解释：</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1.“项目”指</w:t>
      </w:r>
      <w:r>
        <w:rPr>
          <w:rFonts w:hint="eastAsia" w:ascii="宋体" w:hAnsi="宋体" w:eastAsia="宋体" w:cs="宋体"/>
          <w:kern w:val="0"/>
          <w:sz w:val="24"/>
          <w:szCs w:val="24"/>
          <w:highlight w:val="none"/>
          <w:u w:val="single"/>
        </w:rPr>
        <w:t>XXX项目</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2.“协议”指甲乙双方签署的，与本项目相关的协议、附件、附录和其他对双方有约束力的文件。</w:t>
      </w:r>
    </w:p>
    <w:p>
      <w:pPr>
        <w:widowControl/>
        <w:adjustRightInd w:val="0"/>
        <w:snapToGrid w:val="0"/>
        <w:spacing w:line="360" w:lineRule="auto"/>
        <w:ind w:firstLine="480" w:firstLineChars="200"/>
        <w:jc w:val="left"/>
        <w:rPr>
          <w:rFonts w:hint="eastAsia" w:ascii="宋体" w:hAnsi="宋体" w:eastAsia="宋体" w:cs="宋体"/>
          <w:bCs/>
          <w:kern w:val="0"/>
          <w:sz w:val="24"/>
          <w:szCs w:val="24"/>
          <w:highlight w:val="none"/>
        </w:rPr>
      </w:pPr>
      <w:r>
        <w:rPr>
          <w:rFonts w:hint="eastAsia" w:ascii="宋体" w:hAnsi="宋体" w:eastAsia="宋体" w:cs="宋体"/>
          <w:kern w:val="0"/>
          <w:sz w:val="24"/>
          <w:szCs w:val="24"/>
          <w:highlight w:val="none"/>
        </w:rPr>
        <w:t>3.</w:t>
      </w:r>
      <w:r>
        <w:rPr>
          <w:rFonts w:hint="eastAsia" w:ascii="宋体" w:hAnsi="宋体" w:eastAsia="宋体" w:cs="宋体"/>
          <w:bCs/>
          <w:kern w:val="0"/>
          <w:sz w:val="24"/>
          <w:szCs w:val="24"/>
          <w:highlight w:val="none"/>
        </w:rPr>
        <w:t>“用户”指根据招标文件确定的该分包所包含的甲方下属消防救援支队及所属单位。</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4.“采购合同”指甲方、甲方下属消防救援支队根据实际需求数量和乙方签订的订货合同。</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5.“附件”是指与本协议的订立、履行有关的，经甲乙双方认可的，对本协议约定的内容进行细化、补充、修改、变更的文件或图纸、音像制品等资料，且在本协议或相关附件中注明其作为本协议的附件。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6.“货物”指本协议《</w:t>
      </w:r>
      <w:r>
        <w:rPr>
          <w:rFonts w:hint="eastAsia" w:ascii="宋体" w:hAnsi="宋体" w:eastAsia="宋体" w:cs="宋体"/>
          <w:sz w:val="24"/>
          <w:szCs w:val="24"/>
          <w:highlight w:val="none"/>
        </w:rPr>
        <w:t>产</w:t>
      </w:r>
      <w:r>
        <w:rPr>
          <w:rFonts w:hint="eastAsia" w:ascii="宋体" w:hAnsi="宋体" w:eastAsia="宋体" w:cs="宋体"/>
          <w:kern w:val="0"/>
          <w:sz w:val="24"/>
          <w:szCs w:val="24"/>
          <w:highlight w:val="none"/>
        </w:rPr>
        <w:t>品目录价格表》中所规定的产品及备件、专用工具、文件资料等内容。</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7.“服务”指根据协议规定乙方应承担的与供货有关的辅助服务。</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8.“验收”指甲方及甲方用户按照本协议约定的标准对合同货物进行的检测与测试。</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9.“标准”指招标文件第五章所载明的技术需求及甲方制定用于产品设计、生产、质量监管等需要的产品技术标准，在本协议及相关合同、附件中，可使用产品技术标准、标准等简化称谓。</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10.“法律、法规”是指中华人民共和国境内现行有效的法律、行政法规、地方性法规、规章及其他规范性文件。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11.“招标文件”指《</w:t>
      </w:r>
      <w:r>
        <w:rPr>
          <w:rFonts w:hint="eastAsia" w:ascii="宋体" w:hAnsi="宋体" w:eastAsia="宋体" w:cs="宋体"/>
          <w:kern w:val="0"/>
          <w:sz w:val="24"/>
          <w:szCs w:val="24"/>
          <w:highlight w:val="none"/>
          <w:u w:val="single"/>
        </w:rPr>
        <w:t>XXX项目</w:t>
      </w:r>
      <w:r>
        <w:rPr>
          <w:rFonts w:hint="eastAsia" w:ascii="宋体" w:hAnsi="宋体" w:eastAsia="宋体" w:cs="宋体"/>
          <w:kern w:val="0"/>
          <w:sz w:val="24"/>
          <w:szCs w:val="24"/>
          <w:highlight w:val="none"/>
        </w:rPr>
        <w:t>》（招标编号：）招标文件。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12.“投标文件”指乙方按照吉林省消防救援总队招标文件的要求编制和投递，并最终被招标方接受的投标文件。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13.“日”本协议中以日表述的时间均指日历日，但明确为工作日的除外。</w:t>
      </w:r>
    </w:p>
    <w:p>
      <w:pPr>
        <w:widowControl/>
        <w:adjustRightInd w:val="0"/>
        <w:snapToGrid w:val="0"/>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二、合作方式和服务期限</w:t>
      </w:r>
    </w:p>
    <w:p>
      <w:pPr>
        <w:widowControl/>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1.乙方作为项目的中标人，应在本协议生效之日起7个工作日内与用户签订采购合同；</w:t>
      </w:r>
    </w:p>
    <w:p>
      <w:pPr>
        <w:pStyle w:val="45"/>
        <w:adjustRightInd w:val="0"/>
        <w:snapToGrid w:val="0"/>
        <w:spacing w:line="360" w:lineRule="auto"/>
        <w:ind w:firstLine="0" w:firstLineChars="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按照招标文件、投标文件及本协议约定的品目、价格、质量等内容为用户供应货物。</w:t>
      </w:r>
    </w:p>
    <w:p>
      <w:pPr>
        <w:widowControl/>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2.服务期：本协议生效之日起至</w:t>
      </w:r>
      <w:r>
        <w:rPr>
          <w:rFonts w:hint="eastAsia" w:ascii="宋体" w:hAnsi="宋体" w:eastAsia="宋体" w:cs="宋体"/>
          <w:kern w:val="0"/>
          <w:sz w:val="24"/>
          <w:szCs w:val="24"/>
          <w:highlight w:val="none"/>
          <w:u w:val="single"/>
        </w:rPr>
        <w:t>质保期结束</w:t>
      </w:r>
      <w:r>
        <w:rPr>
          <w:rFonts w:hint="eastAsia" w:ascii="宋体" w:hAnsi="宋体" w:eastAsia="宋体" w:cs="宋体"/>
          <w:kern w:val="0"/>
          <w:sz w:val="24"/>
          <w:szCs w:val="24"/>
          <w:highlight w:val="none"/>
        </w:rPr>
        <w:t>为止，服务期满不影响乙方按照投标文件承诺的质量保证期及质量保证期内的义务履行。伴随服务和售后服务按照本</w:t>
      </w:r>
      <w:r>
        <w:rPr>
          <w:rFonts w:hint="eastAsia" w:ascii="宋体" w:hAnsi="宋体" w:eastAsia="宋体" w:cs="宋体"/>
          <w:kern w:val="0"/>
          <w:sz w:val="24"/>
          <w:szCs w:val="24"/>
          <w:highlight w:val="none"/>
          <w:lang w:val="en-US" w:eastAsia="zh-CN"/>
        </w:rPr>
        <w:t>协议</w:t>
      </w:r>
      <w:r>
        <w:rPr>
          <w:rFonts w:hint="eastAsia" w:ascii="宋体" w:hAnsi="宋体" w:eastAsia="宋体" w:cs="宋体"/>
          <w:kern w:val="0"/>
          <w:sz w:val="24"/>
          <w:szCs w:val="24"/>
          <w:highlight w:val="none"/>
        </w:rPr>
        <w:t>以及甲方用户与乙方签署的合同约定执行。</w:t>
      </w:r>
    </w:p>
    <w:p>
      <w:pPr>
        <w:widowControl/>
        <w:adjustRightInd w:val="0"/>
        <w:snapToGrid w:val="0"/>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三、货物数量、价格、质量</w:t>
      </w:r>
    </w:p>
    <w:tbl>
      <w:tblPr>
        <w:tblStyle w:val="24"/>
        <w:tblW w:w="9118"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06"/>
        <w:gridCol w:w="175"/>
        <w:gridCol w:w="1624"/>
        <w:gridCol w:w="1437"/>
        <w:gridCol w:w="1316"/>
        <w:gridCol w:w="1615"/>
        <w:gridCol w:w="194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8" w:hRule="atLeast"/>
        </w:trPr>
        <w:tc>
          <w:tcPr>
            <w:tcW w:w="1181" w:type="dxa"/>
            <w:gridSpan w:val="2"/>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货物名称</w:t>
            </w:r>
          </w:p>
        </w:tc>
        <w:tc>
          <w:tcPr>
            <w:tcW w:w="1624" w:type="dxa"/>
            <w:vAlign w:val="center"/>
          </w:tcPr>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品牌</w:t>
            </w:r>
          </w:p>
        </w:tc>
        <w:tc>
          <w:tcPr>
            <w:tcW w:w="1437"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规格型号及配置</w:t>
            </w:r>
          </w:p>
        </w:tc>
        <w:tc>
          <w:tcPr>
            <w:tcW w:w="1316"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615"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单价(元)</w:t>
            </w:r>
          </w:p>
        </w:tc>
        <w:tc>
          <w:tcPr>
            <w:tcW w:w="1945"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小计金额(元)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7" w:hRule="atLeast"/>
        </w:trPr>
        <w:tc>
          <w:tcPr>
            <w:tcW w:w="1181" w:type="dxa"/>
            <w:gridSpan w:val="2"/>
            <w:vAlign w:val="center"/>
          </w:tcPr>
          <w:p>
            <w:pPr>
              <w:pStyle w:val="46"/>
              <w:spacing w:line="360" w:lineRule="auto"/>
              <w:jc w:val="center"/>
              <w:rPr>
                <w:rFonts w:hint="eastAsia" w:ascii="宋体" w:hAnsi="宋体" w:eastAsia="宋体" w:cs="宋体"/>
                <w:sz w:val="24"/>
                <w:szCs w:val="24"/>
                <w:highlight w:val="none"/>
              </w:rPr>
            </w:pPr>
          </w:p>
        </w:tc>
        <w:tc>
          <w:tcPr>
            <w:tcW w:w="1624" w:type="dxa"/>
            <w:vAlign w:val="center"/>
          </w:tcPr>
          <w:p>
            <w:pPr>
              <w:pStyle w:val="46"/>
              <w:spacing w:line="360" w:lineRule="auto"/>
              <w:jc w:val="center"/>
              <w:rPr>
                <w:rFonts w:hint="eastAsia" w:ascii="宋体" w:hAnsi="宋体" w:eastAsia="宋体" w:cs="宋体"/>
                <w:sz w:val="24"/>
                <w:szCs w:val="24"/>
                <w:highlight w:val="none"/>
              </w:rPr>
            </w:pPr>
          </w:p>
        </w:tc>
        <w:tc>
          <w:tcPr>
            <w:tcW w:w="1437" w:type="dxa"/>
            <w:vAlign w:val="center"/>
          </w:tcPr>
          <w:p>
            <w:pPr>
              <w:pStyle w:val="46"/>
              <w:spacing w:line="360" w:lineRule="auto"/>
              <w:jc w:val="center"/>
              <w:rPr>
                <w:rFonts w:hint="eastAsia" w:ascii="宋体" w:hAnsi="宋体" w:eastAsia="宋体" w:cs="宋体"/>
                <w:sz w:val="24"/>
                <w:szCs w:val="24"/>
                <w:highlight w:val="none"/>
              </w:rPr>
            </w:pPr>
          </w:p>
        </w:tc>
        <w:tc>
          <w:tcPr>
            <w:tcW w:w="1316" w:type="dxa"/>
            <w:vAlign w:val="center"/>
          </w:tcPr>
          <w:p>
            <w:pPr>
              <w:pStyle w:val="46"/>
              <w:spacing w:line="360" w:lineRule="auto"/>
              <w:jc w:val="center"/>
              <w:rPr>
                <w:rFonts w:hint="eastAsia" w:ascii="宋体" w:hAnsi="宋体" w:eastAsia="宋体" w:cs="宋体"/>
                <w:sz w:val="24"/>
                <w:szCs w:val="24"/>
                <w:highlight w:val="none"/>
              </w:rPr>
            </w:pPr>
          </w:p>
        </w:tc>
        <w:tc>
          <w:tcPr>
            <w:tcW w:w="1615" w:type="dxa"/>
            <w:vAlign w:val="center"/>
          </w:tcPr>
          <w:p>
            <w:pPr>
              <w:pStyle w:val="46"/>
              <w:spacing w:line="360" w:lineRule="auto"/>
              <w:jc w:val="center"/>
              <w:rPr>
                <w:rFonts w:hint="eastAsia" w:ascii="宋体" w:hAnsi="宋体" w:eastAsia="宋体" w:cs="宋体"/>
                <w:sz w:val="24"/>
                <w:szCs w:val="24"/>
                <w:highlight w:val="none"/>
              </w:rPr>
            </w:pPr>
          </w:p>
        </w:tc>
        <w:tc>
          <w:tcPr>
            <w:tcW w:w="1945" w:type="dxa"/>
            <w:vAlign w:val="center"/>
          </w:tcPr>
          <w:p>
            <w:pPr>
              <w:pStyle w:val="46"/>
              <w:spacing w:line="360" w:lineRule="auto"/>
              <w:jc w:val="center"/>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7" w:hRule="atLeast"/>
        </w:trPr>
        <w:tc>
          <w:tcPr>
            <w:tcW w:w="2805" w:type="dxa"/>
            <w:gridSpan w:val="3"/>
            <w:vAlign w:val="center"/>
          </w:tcPr>
          <w:p>
            <w:pPr>
              <w:spacing w:line="360" w:lineRule="auto"/>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合计</w:t>
            </w:r>
          </w:p>
        </w:tc>
        <w:tc>
          <w:tcPr>
            <w:tcW w:w="1437" w:type="dxa"/>
            <w:vAlign w:val="center"/>
          </w:tcPr>
          <w:p>
            <w:pPr>
              <w:spacing w:line="360" w:lineRule="auto"/>
              <w:jc w:val="center"/>
              <w:rPr>
                <w:rFonts w:hint="eastAsia" w:ascii="宋体" w:hAnsi="宋体" w:eastAsia="宋体" w:cs="宋体"/>
                <w:sz w:val="24"/>
                <w:szCs w:val="24"/>
                <w:highlight w:val="none"/>
              </w:rPr>
            </w:pPr>
          </w:p>
        </w:tc>
        <w:tc>
          <w:tcPr>
            <w:tcW w:w="1316" w:type="dxa"/>
            <w:vAlign w:val="center"/>
          </w:tcPr>
          <w:p>
            <w:pPr>
              <w:spacing w:line="360" w:lineRule="auto"/>
              <w:jc w:val="center"/>
              <w:rPr>
                <w:rFonts w:hint="eastAsia" w:ascii="宋体" w:hAnsi="宋体" w:eastAsia="宋体" w:cs="宋体"/>
                <w:sz w:val="24"/>
                <w:szCs w:val="24"/>
                <w:highlight w:val="none"/>
              </w:rPr>
            </w:pPr>
          </w:p>
        </w:tc>
        <w:tc>
          <w:tcPr>
            <w:tcW w:w="1615" w:type="dxa"/>
            <w:vAlign w:val="center"/>
          </w:tcPr>
          <w:p>
            <w:pPr>
              <w:spacing w:line="360" w:lineRule="auto"/>
              <w:jc w:val="center"/>
              <w:rPr>
                <w:rFonts w:hint="eastAsia" w:ascii="宋体" w:hAnsi="宋体" w:eastAsia="宋体" w:cs="宋体"/>
                <w:sz w:val="24"/>
                <w:szCs w:val="24"/>
                <w:highlight w:val="none"/>
              </w:rPr>
            </w:pPr>
          </w:p>
        </w:tc>
        <w:tc>
          <w:tcPr>
            <w:tcW w:w="1945" w:type="dxa"/>
            <w:vAlign w:val="center"/>
          </w:tcPr>
          <w:p>
            <w:pPr>
              <w:spacing w:line="360" w:lineRule="auto"/>
              <w:jc w:val="left"/>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38" w:hRule="atLeast"/>
        </w:trPr>
        <w:tc>
          <w:tcPr>
            <w:tcW w:w="1006" w:type="dxa"/>
            <w:vAlign w:val="center"/>
          </w:tcPr>
          <w:p>
            <w:pPr>
              <w:spacing w:line="360" w:lineRule="auto"/>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w:t>
            </w:r>
          </w:p>
        </w:tc>
        <w:tc>
          <w:tcPr>
            <w:tcW w:w="8112" w:type="dxa"/>
            <w:gridSpan w:val="6"/>
            <w:vAlign w:val="center"/>
          </w:tcPr>
          <w:p>
            <w:pPr>
              <w:spacing w:line="360" w:lineRule="auto"/>
              <w:jc w:val="left"/>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总价：大写：人民币</w:t>
            </w:r>
            <w:r>
              <w:rPr>
                <w:rFonts w:hint="eastAsia" w:ascii="宋体" w:hAnsi="宋体" w:eastAsia="宋体" w:cs="宋体"/>
                <w:sz w:val="24"/>
                <w:szCs w:val="24"/>
                <w:highlight w:val="none"/>
                <w:u w:val="single"/>
              </w:rPr>
              <w:t xml:space="preserve"> XXX元整</w:t>
            </w:r>
            <w:r>
              <w:rPr>
                <w:rFonts w:hint="eastAsia" w:ascii="宋体" w:hAnsi="宋体" w:eastAsia="宋体" w:cs="宋体"/>
                <w:sz w:val="24"/>
                <w:szCs w:val="24"/>
                <w:highlight w:val="none"/>
              </w:rPr>
              <w:tab/>
            </w: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XXX</w:t>
            </w:r>
            <w:r>
              <w:rPr>
                <w:rFonts w:hint="eastAsia" w:ascii="宋体" w:hAnsi="宋体" w:eastAsia="宋体" w:cs="宋体"/>
                <w:sz w:val="24"/>
                <w:szCs w:val="24"/>
                <w:highlight w:val="none"/>
              </w:rPr>
              <w:t>元（本表格中所述总价为甲方所有用户自乙方处采购货物或接受服务所需支出的全部费用，包括但不限于：原料、生产、包装、运输费、保险费、检测费用、验收费用、国家征收的所有相关税费）</w:t>
            </w:r>
          </w:p>
        </w:tc>
      </w:tr>
    </w:tbl>
    <w:p>
      <w:pPr>
        <w:widowControl/>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乙方提供的货物或服务应符合国家及行业标准、招投标文件、封存样品及本协议的约定（如前述标准不一致的，以更优的标准为准）。</w:t>
      </w:r>
    </w:p>
    <w:p>
      <w:pPr>
        <w:widowControl/>
        <w:adjustRightInd w:val="0"/>
        <w:snapToGrid w:val="0"/>
        <w:spacing w:line="360" w:lineRule="auto"/>
        <w:ind w:left="422"/>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四、履约保证金及保函</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1.为保证乙方全面履行与甲方用户采购合同的各项义务及相关违约责任承担，乙方应于本协议</w:t>
      </w:r>
      <w:r>
        <w:rPr>
          <w:rFonts w:hint="eastAsia" w:ascii="宋体" w:hAnsi="宋体" w:eastAsia="宋体" w:cs="宋体"/>
          <w:sz w:val="24"/>
          <w:szCs w:val="24"/>
          <w:highlight w:val="none"/>
          <w:lang w:val="zh-CN"/>
        </w:rPr>
        <w:t>签订前</w:t>
      </w:r>
      <w:r>
        <w:rPr>
          <w:rFonts w:hint="eastAsia" w:ascii="宋体" w:hAnsi="宋体" w:eastAsia="宋体" w:cs="宋体"/>
          <w:sz w:val="24"/>
          <w:szCs w:val="24"/>
          <w:highlight w:val="none"/>
        </w:rPr>
        <w:t>，以转账或法律法规规定的能切实发挥履约保证作用的其他形式向甲方支付该分包中标总金额的</w:t>
      </w:r>
      <w:r>
        <w:rPr>
          <w:rFonts w:hint="eastAsia" w:ascii="宋体" w:hAnsi="宋体" w:eastAsia="宋体" w:cs="宋体"/>
          <w:sz w:val="24"/>
          <w:szCs w:val="24"/>
          <w:highlight w:val="none"/>
          <w:u w:val="single"/>
        </w:rPr>
        <w:t>5%</w:t>
      </w:r>
      <w:r>
        <w:rPr>
          <w:rFonts w:hint="eastAsia" w:ascii="宋体" w:hAnsi="宋体" w:eastAsia="宋体" w:cs="宋体"/>
          <w:sz w:val="24"/>
          <w:szCs w:val="24"/>
          <w:highlight w:val="none"/>
        </w:rPr>
        <w:t>的履约保证金，即大写：人民币</w:t>
      </w:r>
      <w:r>
        <w:rPr>
          <w:rFonts w:hint="eastAsia" w:ascii="宋体" w:hAnsi="宋体" w:eastAsia="宋体" w:cs="宋体"/>
          <w:sz w:val="24"/>
          <w:szCs w:val="24"/>
          <w:highlight w:val="none"/>
          <w:u w:val="single"/>
        </w:rPr>
        <w:t>XXX元整</w:t>
      </w:r>
      <w:r>
        <w:rPr>
          <w:rFonts w:hint="eastAsia" w:ascii="宋体" w:hAnsi="宋体" w:eastAsia="宋体" w:cs="宋体"/>
          <w:sz w:val="24"/>
          <w:szCs w:val="24"/>
          <w:highlight w:val="none"/>
        </w:rPr>
        <w:t>，小写：¥XXX元。</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如乙方选择以保函形式提交履约保证金的。则该保函应为金融机构出具的独立保函，该保函需载明：（1）见索即付；（2）收到甲方法定代表人或授权委托代理人签字确认并加盖公章的书面索赔通知后即应不争辩、不挑剔、不可撤销地向甲方支付索赔款，直至最高担保金额；（3）有效期为保函开具之日起至</w:t>
      </w:r>
      <w:r>
        <w:rPr>
          <w:rFonts w:hint="eastAsia" w:ascii="宋体" w:hAnsi="宋体" w:eastAsia="宋体" w:cs="宋体"/>
          <w:kern w:val="0"/>
          <w:sz w:val="24"/>
          <w:szCs w:val="24"/>
          <w:highlight w:val="none"/>
          <w:u w:val="single"/>
        </w:rPr>
        <w:t>质保期结束</w:t>
      </w:r>
      <w:r>
        <w:rPr>
          <w:rFonts w:hint="eastAsia" w:ascii="宋体" w:hAnsi="宋体" w:eastAsia="宋体" w:cs="宋体"/>
          <w:sz w:val="24"/>
          <w:szCs w:val="24"/>
          <w:highlight w:val="none"/>
        </w:rPr>
        <w:t>为止；（4）担保金额为中标金额的</w:t>
      </w:r>
      <w:r>
        <w:rPr>
          <w:rFonts w:hint="eastAsia" w:ascii="宋体" w:hAnsi="宋体" w:eastAsia="宋体" w:cs="宋体"/>
          <w:sz w:val="24"/>
          <w:szCs w:val="24"/>
          <w:highlight w:val="none"/>
          <w:u w:val="single"/>
        </w:rPr>
        <w:t>5%</w:t>
      </w:r>
      <w:r>
        <w:rPr>
          <w:rFonts w:hint="eastAsia" w:ascii="宋体" w:hAnsi="宋体" w:eastAsia="宋体" w:cs="宋体"/>
          <w:sz w:val="24"/>
          <w:szCs w:val="24"/>
          <w:highlight w:val="none"/>
        </w:rPr>
        <w:t>。如乙方提供的保函未载明前述内容的，甲方直接拒收该保函，乙方应以法律法规规定的能切实发挥履约保证作用的其他形式提供履约保证金。</w:t>
      </w:r>
    </w:p>
    <w:p>
      <w:pPr>
        <w:pStyle w:val="22"/>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3.履约保证金期限：</w:t>
      </w:r>
      <w:r>
        <w:rPr>
          <w:rFonts w:hint="eastAsia" w:ascii="宋体" w:hAnsi="宋体" w:eastAsia="宋体" w:cs="宋体"/>
          <w:sz w:val="24"/>
          <w:szCs w:val="24"/>
          <w:highlight w:val="none"/>
          <w:lang w:eastAsia="zh-Hans"/>
        </w:rPr>
        <w:t>提交之日起至质保期结束为止</w:t>
      </w:r>
      <w:r>
        <w:rPr>
          <w:rFonts w:hint="eastAsia" w:ascii="宋体" w:hAnsi="宋体" w:eastAsia="宋体" w:cs="宋体"/>
          <w:sz w:val="24"/>
          <w:szCs w:val="24"/>
          <w:highlight w:val="none"/>
        </w:rPr>
        <w:t>。</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履约保证金的作用及退还：履约保证金用以确保乙方履行承担总体协议、采购合同（甲方与乙方签订、甲方用户与乙方签订）中的所有义务及产生的全部违约责任。对于乙方在履行与甲方签订的采购合同时所应承担的违约责任/索赔金额/罚金，甲方有权直接使用乙方提供的履约保证金进行抵扣或向出具独立保函的金融机构主张索赔；对于乙方在履行与甲方下属消防救援支队签订的采购合同时所应承担的违约责任/索赔金额/罚金，甲方下属消防救援支队有权通知甲方直接使用乙方提供的</w:t>
      </w:r>
      <w:r>
        <w:rPr>
          <w:rFonts w:hint="eastAsia" w:ascii="宋体" w:hAnsi="宋体" w:eastAsia="宋体" w:cs="宋体"/>
          <w:sz w:val="24"/>
          <w:szCs w:val="24"/>
          <w:highlight w:val="none"/>
          <w:lang w:val="en-US" w:eastAsia="zh-CN"/>
        </w:rPr>
        <w:t>履约保证金</w:t>
      </w:r>
      <w:r>
        <w:rPr>
          <w:rFonts w:hint="eastAsia" w:ascii="宋体" w:hAnsi="宋体" w:eastAsia="宋体" w:cs="宋体"/>
          <w:sz w:val="24"/>
          <w:szCs w:val="24"/>
          <w:highlight w:val="none"/>
        </w:rPr>
        <w:t>进行抵扣或委托甲方以甲方的名义直接向出具独立保函的金融机构主张索赔。</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5.乙方无违约责任时，</w:t>
      </w:r>
      <w:r>
        <w:rPr>
          <w:rFonts w:hint="eastAsia" w:ascii="宋体" w:hAnsi="宋体" w:eastAsia="宋体" w:cs="宋体"/>
          <w:sz w:val="24"/>
          <w:szCs w:val="24"/>
          <w:highlight w:val="none"/>
          <w:lang w:val="zh-CN"/>
        </w:rPr>
        <w:t>货物质保期（</w:t>
      </w:r>
      <w:r>
        <w:rPr>
          <w:rFonts w:hint="eastAsia" w:ascii="宋体" w:hAnsi="宋体" w:eastAsia="宋体" w:cs="宋体"/>
          <w:sz w:val="24"/>
          <w:szCs w:val="24"/>
          <w:highlight w:val="none"/>
        </w:rPr>
        <w:t>自验收合格之日起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zh-CN"/>
        </w:rPr>
        <w:t>）满后，若无质量问题或质量问题已解决达到甲方要求，向乙方无息返还5％（即¥</w:t>
      </w:r>
      <w:r>
        <w:rPr>
          <w:rFonts w:hint="eastAsia" w:ascii="宋体" w:hAnsi="宋体" w:eastAsia="宋体" w:cs="宋体"/>
          <w:sz w:val="24"/>
          <w:szCs w:val="24"/>
          <w:highlight w:val="none"/>
        </w:rPr>
        <w:t>XXX</w:t>
      </w:r>
      <w:r>
        <w:rPr>
          <w:rFonts w:hint="eastAsia" w:ascii="宋体" w:hAnsi="宋体" w:eastAsia="宋体" w:cs="宋体"/>
          <w:sz w:val="24"/>
          <w:szCs w:val="24"/>
          <w:highlight w:val="none"/>
          <w:lang w:val="zh-CN"/>
        </w:rPr>
        <w:t>元</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zh-CN"/>
        </w:rPr>
        <w:t>的履约保证金</w:t>
      </w:r>
      <w:r>
        <w:rPr>
          <w:rFonts w:hint="eastAsia" w:ascii="宋体" w:hAnsi="宋体" w:eastAsia="宋体" w:cs="宋体"/>
          <w:sz w:val="24"/>
          <w:szCs w:val="24"/>
          <w:highlight w:val="none"/>
        </w:rPr>
        <w:t>。</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6.乙方向吉林省消防救援总队提交履约保证金后，乙方和甲方用户签订和实施采购合同时，无需再约定和提交履约保证金。</w:t>
      </w:r>
    </w:p>
    <w:p>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7.无论履约保证金、独立保函，甲方或用户随时都有权对由乙方生产的尚未使用的仍在质量保证期内的库存产品发生的质量问题向乙方主张索赔。</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五、</w:t>
      </w:r>
      <w:r>
        <w:rPr>
          <w:rFonts w:hint="eastAsia" w:ascii="宋体" w:hAnsi="宋体" w:eastAsia="宋体" w:cs="宋体"/>
          <w:b/>
          <w:kern w:val="0"/>
          <w:sz w:val="24"/>
          <w:highlight w:val="none"/>
        </w:rPr>
        <w:t>货物生产及发货</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1.乙方应于本协议签订后安排货物生产。</w:t>
      </w:r>
    </w:p>
    <w:p>
      <w:pPr>
        <w:pStyle w:val="22"/>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2.货物发运可以一次性或分批次发货，但每个用户的全部货物必须在同一批发运，并在货物发运前向甲方及甲方用户报送发货清单（附件三）。</w:t>
      </w:r>
    </w:p>
    <w:p>
      <w:pPr>
        <w:pStyle w:val="22"/>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3.在本协议签订后</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个月之内向全部用户交付完毕全部货物。</w:t>
      </w:r>
    </w:p>
    <w:p>
      <w:pPr>
        <w:widowControl/>
        <w:adjustRightInd w:val="0"/>
        <w:snapToGrid w:val="0"/>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w:t>
      </w:r>
      <w:r>
        <w:rPr>
          <w:rFonts w:hint="eastAsia" w:ascii="宋体" w:hAnsi="宋体" w:eastAsia="宋体" w:cs="宋体"/>
          <w:b/>
          <w:bCs/>
          <w:kern w:val="0"/>
          <w:sz w:val="24"/>
          <w:highlight w:val="none"/>
        </w:rPr>
        <w:t>货物的验收、检验</w:t>
      </w:r>
      <w:r>
        <w:rPr>
          <w:rFonts w:hint="eastAsia" w:ascii="宋体" w:hAnsi="宋体" w:eastAsia="宋体" w:cs="宋体"/>
          <w:b/>
          <w:kern w:val="0"/>
          <w:sz w:val="24"/>
          <w:highlight w:val="none"/>
        </w:rPr>
        <w:t>、付款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rPr>
        <w:t>1.</w:t>
      </w:r>
      <w:r>
        <w:rPr>
          <w:rFonts w:hint="eastAsia" w:ascii="宋体" w:hAnsi="宋体" w:eastAsia="宋体" w:cs="宋体"/>
          <w:kern w:val="0"/>
          <w:sz w:val="24"/>
          <w:szCs w:val="24"/>
          <w:highlight w:val="none"/>
          <w:lang w:val="zh-CN"/>
        </w:rPr>
        <w:t>乙方提交的货物到货后30日内甲方负责检验验收或由甲方聘请当地质检（商检）部门或国家有关部门对货物的品种、规格、性能、质量、数量、外观以及配件等进行检验，并出具检验证书，检验费用由乙方承担。</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2.供方交货时应提交：销售发票，投标文件中承诺的国家有关质检机构出具的检验报告或证书，制造厂商出具的质量检验证书、产品合格证等。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rPr>
        <w:t>3.</w:t>
      </w:r>
      <w:r>
        <w:rPr>
          <w:rFonts w:hint="eastAsia" w:ascii="宋体" w:hAnsi="宋体" w:eastAsia="宋体" w:cs="宋体"/>
          <w:kern w:val="0"/>
          <w:sz w:val="24"/>
          <w:szCs w:val="24"/>
          <w:highlight w:val="none"/>
          <w:lang w:val="zh-CN"/>
        </w:rPr>
        <w:t>验收过程中，如果甲乙双方对合同标的质量发生争议，应当聘请国家消防装备质量监督检验中心或国家有关部门对有争议的货物质量进行鉴定，</w:t>
      </w:r>
      <w:r>
        <w:rPr>
          <w:rFonts w:hint="eastAsia" w:ascii="宋体" w:hAnsi="宋体" w:eastAsia="宋体" w:cs="宋体"/>
          <w:kern w:val="0"/>
          <w:sz w:val="24"/>
          <w:szCs w:val="24"/>
          <w:highlight w:val="none"/>
          <w:lang w:val="zh-CN" w:eastAsia="zh-CN"/>
        </w:rPr>
        <w:t>检验费先由乙方支付，最终由责任方承担。</w:t>
      </w:r>
      <w:r>
        <w:rPr>
          <w:rFonts w:hint="eastAsia" w:ascii="宋体" w:hAnsi="宋体" w:eastAsia="宋体" w:cs="宋体"/>
          <w:kern w:val="0"/>
          <w:sz w:val="24"/>
          <w:szCs w:val="24"/>
          <w:highlight w:val="none"/>
          <w:lang w:val="zh-CN"/>
        </w:rPr>
        <w:t>按照规定必须由国家有关部门或者机构检验合格才允许使用的货物，由乙方负责（甲方配合）向有关部门或者机构申请检验并取得检验合格的报告（证书）或者使用许可证，费用包含在乙方的合同总价中。</w:t>
      </w:r>
    </w:p>
    <w:p>
      <w:pPr>
        <w:pStyle w:val="8"/>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4.验收前，乙方向甲方提供本合同所列明货物金额的发票等文件，验收合格的，乙方在验收报告单上签字并加盖单位公章，作为验收合格、同意付款的依据。验收不合格的，按照甲方下达的整改期限内进行整改，整改后，仍未达到合同约定技术要求的，或整改时间超过甲方下达的整改期限，甲方有权单方解除合同，所产生的费用由乙方承担，</w:t>
      </w:r>
      <w:r>
        <w:rPr>
          <w:rFonts w:hint="eastAsia" w:ascii="宋体" w:hAnsi="宋体" w:eastAsia="宋体" w:cs="宋体"/>
          <w:sz w:val="24"/>
          <w:szCs w:val="24"/>
          <w:highlight w:val="none"/>
        </w:rPr>
        <w:t>同时甲方扣留全部履约保证金，对于乙方造成的损失超过履约保证金的部分，甲方有权要求乙方照实际损失予以赔偿。</w:t>
      </w:r>
      <w:r>
        <w:rPr>
          <w:rFonts w:hint="eastAsia" w:ascii="宋体" w:hAnsi="宋体" w:eastAsia="宋体" w:cs="宋体"/>
          <w:kern w:val="0"/>
          <w:sz w:val="24"/>
          <w:szCs w:val="24"/>
          <w:highlight w:val="none"/>
          <w:lang w:val="en-US" w:eastAsia="zh-CN"/>
        </w:rPr>
        <w:t>乙方应在甲方指定时间内取回货物，费用自理，如乙方拒绝或延期取回，甲方及用户可自行选择处理方式，且可向乙方收取仓储费用。另外乙方还需赔偿甲方维权产生的全部费用，包括但不限于鉴定费、律师费、保全担保费、公证费、诉讼费、标的物涨价产生的差额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5.甲方根据国家现行质量标准及行业标准规定接收</w:t>
      </w:r>
      <w:r>
        <w:rPr>
          <w:rFonts w:hint="eastAsia" w:ascii="宋体" w:hAnsi="宋体" w:eastAsia="宋体" w:cs="宋体"/>
          <w:kern w:val="0"/>
          <w:sz w:val="24"/>
          <w:szCs w:val="24"/>
          <w:highlight w:val="none"/>
          <w:lang w:val="en-US" w:eastAsia="zh-CN"/>
        </w:rPr>
        <w:t>货</w:t>
      </w:r>
      <w:r>
        <w:rPr>
          <w:rFonts w:hint="eastAsia" w:ascii="宋体" w:hAnsi="宋体" w:eastAsia="宋体" w:cs="宋体"/>
          <w:kern w:val="0"/>
          <w:sz w:val="24"/>
          <w:szCs w:val="24"/>
          <w:highlight w:val="none"/>
        </w:rPr>
        <w:t>物，</w:t>
      </w:r>
      <w:r>
        <w:rPr>
          <w:rFonts w:hint="eastAsia" w:ascii="宋体" w:hAnsi="宋体" w:eastAsia="宋体" w:cs="宋体"/>
          <w:color w:val="auto"/>
          <w:kern w:val="0"/>
          <w:sz w:val="24"/>
          <w:szCs w:val="24"/>
          <w:highlight w:val="none"/>
        </w:rPr>
        <w:t>验收标准以中标人的投标文件技术参数资料为标准进行验收，</w:t>
      </w:r>
      <w:r>
        <w:rPr>
          <w:rFonts w:hint="eastAsia" w:ascii="宋体" w:hAnsi="宋体" w:eastAsia="宋体" w:cs="宋体"/>
          <w:kern w:val="0"/>
          <w:sz w:val="24"/>
          <w:szCs w:val="24"/>
          <w:highlight w:val="none"/>
        </w:rPr>
        <w:t>同时乙方需提供有关质检机构出具的检验报告或证书、制造厂商出具的质量检验证书、产品合格证、消防产品认证证书等手续，否则，甲方有权不予验收。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验收发现恶意提供劣质标的，如以次充好、低于招标技术参数、同批货物中明显有不合格产品等情况，需方无论使用与否，供方应无条件接受退货，并承担所有与认证鉴定有关的全部费用及需方蒙受的全部直接损失。乙方需退还全部货款，同时甲方有权扣留全部履约保证金，乙方还需额外支付合同总价款的5%作为违约金，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7.付款：以本协议以及甲方用户与乙方签订的合同约定为准。</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七、抽样送检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1.乙方向甲方用户交付货物后，甲方有权组织随机抽样，送第三方检验机构进行检验。</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2.如第三方检验机构出具的检验报告合格，则视为乙方交付货物通过了甲方组织的抽样送检。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如第三方检验机构出具的检验报告不合格，则视为乙方交付货物未通过甲方组织的抽样送检。甲方用户有权要求乙方无条件更换货物，并有权要求乙方支</w:t>
      </w:r>
      <w:r>
        <w:rPr>
          <w:rFonts w:hint="eastAsia" w:ascii="宋体" w:hAnsi="宋体" w:eastAsia="宋体" w:cs="宋体"/>
          <w:color w:val="auto"/>
          <w:kern w:val="0"/>
          <w:sz w:val="24"/>
          <w:szCs w:val="24"/>
          <w:highlight w:val="none"/>
        </w:rPr>
        <w:t>付中标金额5%的违约金。</w:t>
      </w:r>
      <w:r>
        <w:rPr>
          <w:rFonts w:hint="eastAsia" w:ascii="宋体" w:hAnsi="宋体" w:eastAsia="宋体" w:cs="宋体"/>
          <w:kern w:val="0"/>
          <w:sz w:val="24"/>
          <w:szCs w:val="24"/>
          <w:highlight w:val="none"/>
        </w:rPr>
        <w:t>甲方用户收到更换货物后，向乙方退还不合格产品。如货物已使用，甲方用户无需退还，也无需向乙方支付任何费用。</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3.如乙方拒不配合更换，则甲方有权与乙方解除本协议、甲方用户有权与乙方解除其签订的采购合同，乙方应向甲方用户退还全部已收款项。</w:t>
      </w:r>
      <w:r>
        <w:rPr>
          <w:rFonts w:hint="eastAsia" w:ascii="宋体" w:hAnsi="宋体" w:eastAsia="宋体" w:cs="宋体"/>
          <w:kern w:val="0"/>
          <w:sz w:val="24"/>
          <w:szCs w:val="24"/>
          <w:highlight w:val="none"/>
          <w:lang w:val="en-US" w:eastAsia="zh-CN"/>
        </w:rPr>
        <w:t>同时甲方有权扣留全部履约保证金，乙方还需额外支付合同总价款的5%作为违约金，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r>
        <w:rPr>
          <w:rFonts w:hint="eastAsia" w:ascii="宋体" w:hAnsi="宋体" w:eastAsia="宋体" w:cs="宋体"/>
          <w:sz w:val="24"/>
          <w:szCs w:val="24"/>
          <w:highlight w:val="none"/>
        </w:rPr>
        <w:t>甲方及用户</w:t>
      </w:r>
      <w:r>
        <w:rPr>
          <w:rFonts w:hint="eastAsia" w:ascii="宋体" w:hAnsi="宋体" w:eastAsia="宋体" w:cs="宋体"/>
          <w:kern w:val="0"/>
          <w:sz w:val="24"/>
          <w:szCs w:val="24"/>
          <w:highlight w:val="none"/>
        </w:rPr>
        <w:t>有权向市场监督管理等行政部门反映，由相关部门对其违法行为进行查处。</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甲方用户如涉及更换不合格产品事宜的，其收到全部通过甲方组织的抽样送检的货物之日视为乙方履行交货义务之日，如该日期晚于双方约定的交货日期，乙方应按与甲方用户签订的采购合同约定，承担相应违约责任。</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八、违约责任</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1.如甲方或甲方用户发现乙方提供的某一货物质量不符合合同约定，则视为该批次乙方提供给全部用户的同类货物质量均不符合合同约定，乙方应按照与甲方全部用户签订的采购合同金额的约定承担违约责任。</w:t>
      </w:r>
    </w:p>
    <w:p>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乙方应严格按照本协议约定的期限及要求与全部用户签订采购合同，否则，甲方有权解除本协议，取消乙方的中标人资格，并全额没收乙方支付的全部履约保证金或向出具独立保函的金融机构按保函金额上限主张全额索赔。</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本协议内容以及乙方因签订、履行本协议所获悉的甲方、甲方用户及下属单位的相关信息，资料均属于保密范围，未经甲方书面同意，无论任何时间，乙方不得将保密内容泄露给任何第三方或用于本协议以外的用途；否则，甲方有权解除本协议、要求乙方支付中标金额5%的违约金；甲方用户亦有权解除与乙方签订的采购合同，并要求乙方返还已收取的全部款项，并要求乙方支付采购合同总金额20%的违约金。</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如乙方存在分包、转包行为或未在向甲方提交的生产厂家或货物生产地址生产货物的，甲方有权解除本协议并要求乙方支付中标金额5%的违约金，并且甲方有权向有管辖权的行政机关反映，由有管辖权的行政机关予以处理。各用户亦有权解除与乙方签订的采购合同并有权要求乙方退还已收全部合同价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5.对乙方在与甲方用户签订的合同履行过程中的违约行为（包括但不限于误期赔偿费、产品质量责任等），甲方有权直接要求乙方向甲方承担违约责任。</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6.违约方须向守约方承担维权所发生的费用，包括但不限于公证费、检测费、律师费、诉讼费、保全担保费等费用。</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rPr>
        <w:t>7.误期赔偿条款：按照甲方与乙方以及甲方用户与乙方签署的合同约定执行。</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九、质量保证期</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1.质量保证期为验收合格之日起</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1</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2.本条所述质量保证期系指库存货物可以正常使用且不会因质量问题导致人身或财产损害的期限。如用户在质量保证期中发现货物无法正常使用或导致人身或财产损害，则乙方应向用户承担违约责任。</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十、联系方式</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本协议甲乙双方发出与本协议有关的通知或回复，应根据相关事项的重要程度，以纸质文件、电子文件、微信短信、电话等方式发出；如果以专人送递或特快专递发送，以送达至对方的住所地或通讯联络地为送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协议双方发出的与本协议有关的通知或回复均应发至以下通讯地址，一方变更通讯地址，应自变更之日起三个工作日内，将变更后的地址通知对方。变更方不履行通知义务的，应对此造成的一切后果承担法律责任。</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3.乙方所留地址为有效送达地址，可作为双方发送书面通知及法院送达法律文书的地址，邮寄送达时无人签收、他人代收和拒收均视为送达。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甲  方： </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地  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甲方座机：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联系人电话：</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业务邮箱： </w:t>
      </w:r>
    </w:p>
    <w:p>
      <w:pPr>
        <w:widowControl/>
        <w:adjustRightInd w:val="0"/>
        <w:snapToGrid w:val="0"/>
        <w:spacing w:line="360" w:lineRule="auto"/>
        <w:ind w:firstLine="480" w:firstLineChars="200"/>
        <w:jc w:val="left"/>
        <w:rPr>
          <w:rFonts w:hint="eastAsia" w:ascii="宋体" w:hAnsi="宋体" w:eastAsia="宋体" w:cs="宋体"/>
          <w:color w:val="FF0000"/>
          <w:kern w:val="0"/>
          <w:sz w:val="24"/>
          <w:szCs w:val="24"/>
          <w:highlight w:val="none"/>
        </w:rPr>
      </w:pPr>
      <w:r>
        <w:rPr>
          <w:rFonts w:hint="eastAsia" w:ascii="宋体" w:hAnsi="宋体" w:eastAsia="宋体" w:cs="宋体"/>
          <w:kern w:val="0"/>
          <w:sz w:val="24"/>
          <w:szCs w:val="24"/>
          <w:highlight w:val="none"/>
        </w:rPr>
        <w:t>乙  方：</w:t>
      </w:r>
    </w:p>
    <w:p>
      <w:pPr>
        <w:widowControl/>
        <w:adjustRightInd w:val="0"/>
        <w:snapToGrid w:val="0"/>
        <w:spacing w:line="360" w:lineRule="auto"/>
        <w:ind w:firstLine="480" w:firstLineChars="200"/>
        <w:jc w:val="left"/>
        <w:rPr>
          <w:rFonts w:hint="eastAsia" w:ascii="宋体" w:hAnsi="宋体" w:eastAsia="宋体" w:cs="宋体"/>
          <w:color w:val="FF0000"/>
          <w:kern w:val="0"/>
          <w:sz w:val="24"/>
          <w:szCs w:val="24"/>
          <w:highlight w:val="none"/>
        </w:rPr>
      </w:pPr>
      <w:r>
        <w:rPr>
          <w:rFonts w:hint="eastAsia" w:ascii="宋体" w:hAnsi="宋体" w:eastAsia="宋体" w:cs="宋体"/>
          <w:kern w:val="0"/>
          <w:sz w:val="24"/>
          <w:szCs w:val="24"/>
          <w:highlight w:val="none"/>
        </w:rPr>
        <w:t>地址：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手  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业务邮箱：</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十一、管辖</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双方应通过友好协商解决因解释﹑执行本协议所发生的和本协议有关的一切争议。双方不能通过友好协商解决的，任何一方可向甲方所在地的人民法院起诉。</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十二、协议的生效</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本协议一式四份，甲乙双方各执两份，具有同等法律效力。经双方法人或授权代表签字盖章后生效。</w:t>
      </w:r>
    </w:p>
    <w:p>
      <w:pPr>
        <w:widowControl/>
        <w:numPr>
          <w:ilvl w:val="0"/>
          <w:numId w:val="5"/>
        </w:numPr>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协议的解释</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本协议及相关文件的解释顺序：一是其他甲乙双方签署的补充协议；二是本协议书及其附件；三是中标通知书；四是乙方符合招标文件要求的相应投标文件及附录；五是技术标准和标样；六是招标文件。</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十四、协议附件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乙方清晰地知晓，本协议项下附件对乙方与甲方、甲方下属消防救援支队之间的合同法律关系均产生约束力，本协议附件为：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附件一：</w:t>
      </w:r>
      <w:r>
        <w:rPr>
          <w:rFonts w:hint="eastAsia" w:ascii="宋体" w:hAnsi="宋体" w:eastAsia="宋体" w:cs="宋体"/>
          <w:bCs/>
          <w:sz w:val="24"/>
          <w:szCs w:val="24"/>
          <w:highlight w:val="none"/>
        </w:rPr>
        <w:t>廉洁协议书</w:t>
      </w:r>
    </w:p>
    <w:p>
      <w:pPr>
        <w:widowControl/>
        <w:adjustRightInd w:val="0"/>
        <w:snapToGrid w:val="0"/>
        <w:spacing w:line="360" w:lineRule="auto"/>
        <w:ind w:firstLine="480" w:firstLineChars="200"/>
        <w:jc w:val="left"/>
        <w:rPr>
          <w:rFonts w:hint="eastAsia" w:ascii="宋体" w:hAnsi="宋体" w:eastAsia="宋体" w:cs="宋体"/>
          <w:bCs/>
          <w:sz w:val="24"/>
          <w:szCs w:val="24"/>
          <w:highlight w:val="none"/>
        </w:rPr>
      </w:pPr>
      <w:r>
        <w:rPr>
          <w:rFonts w:hint="eastAsia" w:ascii="宋体" w:hAnsi="宋体" w:eastAsia="宋体" w:cs="宋体"/>
          <w:kern w:val="0"/>
          <w:sz w:val="24"/>
          <w:szCs w:val="24"/>
          <w:highlight w:val="none"/>
        </w:rPr>
        <w:t>附件二：</w:t>
      </w:r>
      <w:r>
        <w:rPr>
          <w:rFonts w:hint="eastAsia" w:ascii="宋体" w:hAnsi="宋体" w:eastAsia="宋体" w:cs="宋体"/>
          <w:bCs/>
          <w:sz w:val="24"/>
          <w:szCs w:val="24"/>
          <w:highlight w:val="none"/>
        </w:rPr>
        <w:t>消防产品型号数量供应需求表</w:t>
      </w:r>
    </w:p>
    <w:p>
      <w:pPr>
        <w:widowControl/>
        <w:adjustRightInd w:val="0"/>
        <w:snapToGrid w:val="0"/>
        <w:spacing w:line="360" w:lineRule="auto"/>
        <w:ind w:firstLine="480" w:firstLineChars="200"/>
        <w:jc w:val="left"/>
        <w:rPr>
          <w:rFonts w:hint="eastAsia" w:ascii="宋体" w:hAnsi="宋体" w:eastAsia="宋体" w:cs="宋体"/>
          <w:b/>
          <w:bCs/>
          <w:kern w:val="0"/>
          <w:sz w:val="24"/>
          <w:szCs w:val="24"/>
          <w:highlight w:val="none"/>
        </w:rPr>
      </w:pPr>
      <w:r>
        <w:rPr>
          <w:rFonts w:hint="eastAsia" w:ascii="宋体" w:hAnsi="宋体" w:eastAsia="宋体" w:cs="宋体"/>
          <w:bCs/>
          <w:sz w:val="24"/>
          <w:szCs w:val="24"/>
          <w:highlight w:val="none"/>
        </w:rPr>
        <w:t>附件三：发货清单</w:t>
      </w:r>
    </w:p>
    <w:tbl>
      <w:tblPr>
        <w:tblStyle w:val="24"/>
        <w:tblW w:w="8522" w:type="dxa"/>
        <w:jc w:val="center"/>
        <w:tblLayout w:type="fixed"/>
        <w:tblCellMar>
          <w:top w:w="0" w:type="dxa"/>
          <w:left w:w="108" w:type="dxa"/>
          <w:bottom w:w="0" w:type="dxa"/>
          <w:right w:w="108" w:type="dxa"/>
        </w:tblCellMar>
      </w:tblPr>
      <w:tblGrid>
        <w:gridCol w:w="4261"/>
        <w:gridCol w:w="4261"/>
      </w:tblGrid>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甲方：</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乙方：</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授权代表：</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授权代表：</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日期：   年    月    日</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日期：   年    月    日</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业务人员：</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业务人员：</w:t>
            </w:r>
            <w:r>
              <w:rPr>
                <w:rFonts w:hint="eastAsia" w:ascii="宋体" w:hAnsi="宋体" w:eastAsia="宋体" w:cs="宋体"/>
                <w:color w:val="FF0000"/>
                <w:kern w:val="0"/>
                <w:sz w:val="24"/>
                <w:szCs w:val="24"/>
                <w:highlight w:val="none"/>
              </w:rPr>
              <w:t xml:space="preserve"> </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手机号码：</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手机号码： </w:t>
            </w:r>
          </w:p>
        </w:tc>
      </w:tr>
      <w:tr>
        <w:tblPrEx>
          <w:tblCellMar>
            <w:top w:w="0" w:type="dxa"/>
            <w:left w:w="108" w:type="dxa"/>
            <w:bottom w:w="0" w:type="dxa"/>
            <w:right w:w="108" w:type="dxa"/>
          </w:tblCellMar>
        </w:tblPrEx>
        <w:trPr>
          <w:trHeight w:val="794" w:hRule="atLeast"/>
          <w:jc w:val="center"/>
        </w:trPr>
        <w:tc>
          <w:tcPr>
            <w:tcW w:w="4261" w:type="dxa"/>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开户银行名称：</w:t>
            </w:r>
          </w:p>
        </w:tc>
        <w:tc>
          <w:tcPr>
            <w:tcW w:w="4261" w:type="dxa"/>
          </w:tcPr>
          <w:p>
            <w:pPr>
              <w:spacing w:line="360" w:lineRule="auto"/>
              <w:ind w:firstLine="240" w:firstLineChars="1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开户银行名称：</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开户名称：</w:t>
            </w:r>
          </w:p>
        </w:tc>
        <w:tc>
          <w:tcPr>
            <w:tcW w:w="4261" w:type="dxa"/>
            <w:vAlign w:val="center"/>
          </w:tcPr>
          <w:p>
            <w:pPr>
              <w:spacing w:line="360" w:lineRule="auto"/>
              <w:ind w:firstLine="240" w:firstLine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开户名称：</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银行账号：</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银行账号：</w:t>
            </w:r>
          </w:p>
        </w:tc>
      </w:tr>
      <w:tr>
        <w:tblPrEx>
          <w:tblCellMar>
            <w:top w:w="0" w:type="dxa"/>
            <w:left w:w="108" w:type="dxa"/>
            <w:bottom w:w="0" w:type="dxa"/>
            <w:right w:w="108" w:type="dxa"/>
          </w:tblCellMar>
        </w:tblPrEx>
        <w:trPr>
          <w:trHeight w:val="794" w:hRule="atLeast"/>
          <w:jc w:val="center"/>
        </w:trPr>
        <w:tc>
          <w:tcPr>
            <w:tcW w:w="4261" w:type="dxa"/>
          </w:tcPr>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单位地址： </w:t>
            </w:r>
          </w:p>
        </w:tc>
        <w:tc>
          <w:tcPr>
            <w:tcW w:w="4261" w:type="dxa"/>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单位地址：</w:t>
            </w:r>
          </w:p>
        </w:tc>
      </w:tr>
    </w:tbl>
    <w:p>
      <w:pP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br w:type="page"/>
      </w:r>
    </w:p>
    <w:p>
      <w:pPr>
        <w:pStyle w:val="20"/>
        <w:spacing w:before="0" w:after="0"/>
        <w:jc w:val="left"/>
        <w:rPr>
          <w:rFonts w:hint="eastAsia" w:ascii="宋体" w:hAnsi="宋体" w:eastAsia="宋体" w:cs="宋体"/>
          <w:b w:val="0"/>
          <w:kern w:val="0"/>
          <w:sz w:val="28"/>
          <w:szCs w:val="28"/>
          <w:highlight w:val="none"/>
        </w:rPr>
      </w:pPr>
      <w:bookmarkStart w:id="79" w:name="_Toc6135"/>
      <w:bookmarkStart w:id="80" w:name="_Toc24374"/>
      <w:r>
        <w:rPr>
          <w:rFonts w:hint="eastAsia" w:ascii="宋体" w:hAnsi="宋体" w:eastAsia="宋体" w:cs="宋体"/>
          <w:b w:val="0"/>
          <w:kern w:val="0"/>
          <w:sz w:val="28"/>
          <w:szCs w:val="28"/>
          <w:highlight w:val="none"/>
        </w:rPr>
        <w:t>附件一</w:t>
      </w:r>
      <w:bookmarkEnd w:id="79"/>
      <w:bookmarkEnd w:id="80"/>
    </w:p>
    <w:p>
      <w:pPr>
        <w:pStyle w:val="5"/>
        <w:adjustRightInd w:val="0"/>
        <w:snapToGrid w:val="0"/>
        <w:ind w:firstLine="0" w:firstLineChars="0"/>
        <w:jc w:val="cente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廉洁协议书</w:t>
      </w:r>
    </w:p>
    <w:p>
      <w:pPr>
        <w:pStyle w:val="5"/>
        <w:adjustRightInd w:val="0"/>
        <w:snapToGrid w:val="0"/>
        <w:ind w:left="4843" w:hanging="4843" w:hangingChars="2018"/>
        <w:rPr>
          <w:rFonts w:hint="eastAsia" w:ascii="宋体" w:hAnsi="宋体" w:eastAsia="宋体" w:cs="宋体"/>
          <w:sz w:val="24"/>
          <w:highlight w:val="none"/>
        </w:rPr>
      </w:pP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为增强甲乙双方依法廉洁履约，防止发生违纪违法行为，根据国家有关法律法规和相关规定，特订立本廉洁协议书：</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第一条  甲、乙双方的共同义务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（一）严格遵守国家有关物资采购、招标投标等市场经济活动的法律法规、政策以及廉洁规定。</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（二）严格履行合同约定，自觉承担合同义务。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（三）双方合作活动必须坚持公平、公正、公开和诚信守法的原则（法律法规另有规定除外），不得为获取不正当利益损害国家、集体和对方利益，不得违反物资采购、招标投标等方面的规章制度。</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（四）建立健全自我监督制度，开展廉洁教育，公布举报电话，监督并认真查处违法违纪行为。</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（五）发现对方在业务活动中有违规、违纪、违法行为的，应及时提醒对方，情节严重的，应向有关纪检监察部门举报。</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第二条  甲方的义务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甲方相关工作人员，在业务活动的事前、事中、事后，应遵守以下规定：</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（一）按照公平、公正、公开和诚实守信的原则开展各项业务活动，为乙方提供公平的竞争环境与平台； </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（二）不向乙方泄漏涉及有关业务活动的秘密； </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（三）不参与影响相关工作正常和公正开展的其他活动；</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（四）不在乙方及/或相关单位报销任何应由甲方或个人支付的费用；</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（五）不要求、暗示或接受乙方及/或相关单位为个人装修住房、婚丧嫁娶、配偶子女的工作安排以及境内外旅游等提供方便；</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（六）不收受或索取红包、礼金、购物卡、有价证券、贵重物品、感谢费和好处费等非正当利益；</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（七）不向乙方介绍配偶、子女、亲属参与与甲方有关的经济活动，不得以任何理由向乙方和相关单位推荐第三方单位；</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（八）不违反《中国共产党廉洁自律准则》等规定的内容。</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第三条  乙方的义务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在与甲方业务交往过程中，按照有关法律法规和程序开展工作，严格执行国家的有关方针、政策，并遵守以下规定：</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（一）不以任何理由为甲方及/或相关单位报销应由对方或个人支付的费用；</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（二）不以任何理由向甲方负责人及/或其工作人员赠送红包、礼金、购物卡、有价证券、贵重物品、感谢费和好处费等非正当利益；</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（三）不准为甲方、与甲方相关的单位及/或个人装修住房、婚丧嫁取、配偶子女的工作安排以及境内外旅游等提供方便；</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（四）不得以谋取非正当利益为目的，擅自与甲方工作人员就业务问题进行私下商谈或者达成利益默契；</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（五）乙方不得向甲方员工及/或其利益代言人提供任何形式的借款；</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（六）乙方的股东、董事、监事、经理、高级管理人员、合作项目负责人及项目成员系甲方员工或其利益代言人的，应在合作前以书面方式如实、全面告知甲方。</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七）合作过程中，乙方不得允许甲方员工及/或其配偶持有或由第三方代持有乙方股权（但通过公开的证券交易市场且低于发行在外5%的权益、通过直接或间接持有无实际控制权的基金、或通过受益人非本人或利益代言人的信托方式持有的股份除外），亦不得聘用甲方员工（包括且不限于建立正式劳动关系、劳务派遣、外包服务、兼职、咨询顾问等其他形式）。乙方如有聘用甲方员工配偶及其他利益代言人任职于乙方的，应在聘用之日起三日内以书面方式如实、全面告知甲方。</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（八）发现甲方工作人员有违反本廉洁协议书及党和国家相关法律、法规等文件规定的，应向甲方单位举报，甲方会对所有信息提供者及所提供的全部资料严格保密。</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第四条  相关责任</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（一）甲方员工违反本廉洁协议书第一、二条规定的，一经查实，严格按照管理权限，依据有关党纪、法律法规、规章制度给予纪律处分或组织处理；涉嫌犯罪的，移送司法机关依法追究刑事责任。</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乙方违反本廉洁协议书第一、三条规定的，一经查实，甲方有权单方部分或全部终止与乙方的合同，同时乙方应向甲方支付所涉订单（合同）金额的10%作为违约金。乙方应于甲方发现违约行为之日起10个工作日内支付违约金，如未及时支付，甲方有权从合同款项和履约保证金中直接扣除。同时，乙方将被列入投标人黑名单。乙方涉嫌犯罪的，甲方将依法移送司法机关依法追究其刑事责任。</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若乙方违反本协议第三条第（六）款及/或第（七）款之规定，除应根据上述第（二）款之规定承担违约责任外，乙方还应将因此行为所得的全部收益支付给甲方。乙方应于甲方发现该等违约行为之日起10个工作日内向甲方支付其所得的全部收益，如未及时支付，甲方有权从合同款项中直接扣除，不足部分甲方有权向乙方进行追偿。</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对于乙方，无论是主动还是被动发生第一条、第二条、第三条所示行为的，如果主动向甲方提供有效信息，甲方可以考虑继续与乙方合作并给予相应的奖励，对于上述情形的处理甲方有完全的判断权和自主权，乙方认可并自愿接受处理结果。</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第五条  协议书生效及法律效力</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（一）本廉洁协议书经双方盖章后生效。</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（二）除非甲乙双方另行签订新的廉洁协议书，否则本廉洁协议书在甲方与乙方存在业务关系期间均对双方产生约束力。</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第六条  其他</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（一）本廉洁协议书作为主合同附件，与主合同具有同等法律效力。</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（二）甲乙双方确认在订立本廉洁协议书前已仔细阅读条款内容，甲乙双方对本廉洁协议书所产生的法律责任已清楚知悉并承诺遵守。</w:t>
      </w:r>
    </w:p>
    <w:p>
      <w:pPr>
        <w:spacing w:line="360" w:lineRule="auto"/>
        <w:rPr>
          <w:rFonts w:hint="eastAsia" w:ascii="宋体" w:hAnsi="宋体" w:eastAsia="宋体" w:cs="宋体"/>
          <w:sz w:val="24"/>
          <w:szCs w:val="24"/>
          <w:highlight w:val="none"/>
        </w:rPr>
      </w:pPr>
    </w:p>
    <w:p>
      <w:pPr>
        <w:pStyle w:val="21"/>
        <w:spacing w:line="360" w:lineRule="auto"/>
        <w:ind w:firstLine="210"/>
        <w:rPr>
          <w:rFonts w:hint="eastAsia" w:ascii="宋体" w:hAnsi="宋体" w:eastAsia="宋体" w:cs="宋体"/>
          <w:sz w:val="24"/>
          <w:szCs w:val="24"/>
          <w:highlight w:val="none"/>
        </w:rPr>
      </w:pPr>
    </w:p>
    <w:p>
      <w:pPr>
        <w:widowControl/>
        <w:spacing w:line="360" w:lineRule="auto"/>
        <w:jc w:val="left"/>
        <w:rPr>
          <w:rFonts w:hint="eastAsia" w:ascii="宋体" w:hAnsi="宋体" w:eastAsia="宋体" w:cs="宋体"/>
          <w:sz w:val="24"/>
          <w:szCs w:val="24"/>
          <w:highlight w:val="none"/>
        </w:rPr>
      </w:pPr>
    </w:p>
    <w:p>
      <w:pPr>
        <w:pStyle w:val="5"/>
        <w:spacing w:line="360" w:lineRule="auto"/>
        <w:ind w:firstLine="0" w:firstLineChars="0"/>
        <w:rPr>
          <w:rFonts w:hint="eastAsia" w:ascii="宋体" w:hAnsi="宋体" w:eastAsia="宋体" w:cs="宋体"/>
          <w:spacing w:val="-20"/>
          <w:sz w:val="24"/>
          <w:szCs w:val="24"/>
          <w:highlight w:val="none"/>
        </w:rPr>
      </w:pPr>
      <w:r>
        <w:rPr>
          <w:rFonts w:hint="eastAsia" w:ascii="宋体" w:hAnsi="宋体" w:eastAsia="宋体" w:cs="宋体"/>
          <w:sz w:val="24"/>
          <w:szCs w:val="24"/>
          <w:highlight w:val="none"/>
        </w:rPr>
        <w:t xml:space="preserve">甲方（盖章）：                                  </w:t>
      </w:r>
      <w:r>
        <w:rPr>
          <w:rFonts w:hint="eastAsia" w:ascii="宋体" w:hAnsi="宋体" w:eastAsia="宋体" w:cs="宋体"/>
          <w:spacing w:val="-20"/>
          <w:sz w:val="24"/>
          <w:szCs w:val="24"/>
          <w:highlight w:val="none"/>
        </w:rPr>
        <w:t>乙方（盖章）：</w:t>
      </w:r>
    </w:p>
    <w:p>
      <w:pPr>
        <w:pStyle w:val="5"/>
        <w:spacing w:line="360" w:lineRule="auto"/>
        <w:ind w:firstLine="0" w:firstLineChars="0"/>
        <w:rPr>
          <w:rFonts w:hint="eastAsia" w:ascii="宋体" w:hAnsi="宋体" w:eastAsia="宋体" w:cs="宋体"/>
          <w:sz w:val="24"/>
          <w:szCs w:val="24"/>
          <w:highlight w:val="none"/>
        </w:rPr>
      </w:pPr>
    </w:p>
    <w:p>
      <w:pPr>
        <w:pStyle w:val="5"/>
        <w:spacing w:line="360" w:lineRule="auto"/>
        <w:rPr>
          <w:rFonts w:hint="eastAsia" w:ascii="宋体" w:hAnsi="宋体" w:eastAsia="宋体" w:cs="宋体"/>
          <w:sz w:val="24"/>
          <w:szCs w:val="24"/>
          <w:highlight w:val="none"/>
        </w:rPr>
      </w:pPr>
    </w:p>
    <w:p>
      <w:pPr>
        <w:pStyle w:val="5"/>
        <w:spacing w:line="360" w:lineRule="auto"/>
        <w:ind w:firstLine="0" w:firstLineChars="0"/>
        <w:rPr>
          <w:rFonts w:hint="eastAsia" w:ascii="宋体" w:hAnsi="宋体" w:eastAsia="宋体" w:cs="宋体"/>
          <w:szCs w:val="21"/>
          <w:highlight w:val="none"/>
        </w:rPr>
      </w:pPr>
      <w:r>
        <w:rPr>
          <w:rFonts w:hint="eastAsia" w:ascii="宋体" w:hAnsi="宋体" w:eastAsia="宋体" w:cs="宋体"/>
          <w:sz w:val="24"/>
          <w:szCs w:val="24"/>
          <w:highlight w:val="none"/>
        </w:rPr>
        <w:t>日期：    年    月   日                        日期：    年    月   日</w:t>
      </w:r>
    </w:p>
    <w:p>
      <w:pPr>
        <w:pStyle w:val="5"/>
        <w:spacing w:line="500" w:lineRule="exact"/>
        <w:ind w:firstLine="0" w:firstLineChars="0"/>
        <w:rPr>
          <w:rFonts w:hint="eastAsia" w:ascii="宋体" w:hAnsi="宋体" w:eastAsia="宋体" w:cs="宋体"/>
          <w:kern w:val="0"/>
          <w:szCs w:val="28"/>
          <w:highlight w:val="none"/>
        </w:rPr>
      </w:pPr>
    </w:p>
    <w:p>
      <w:pPr>
        <w:adjustRightInd w:val="0"/>
        <w:snapToGrid w:val="0"/>
        <w:rPr>
          <w:rFonts w:hint="eastAsia" w:ascii="宋体" w:hAnsi="宋体" w:eastAsia="宋体" w:cs="宋体"/>
          <w:kern w:val="0"/>
          <w:sz w:val="28"/>
          <w:szCs w:val="28"/>
          <w:highlight w:val="none"/>
        </w:rPr>
      </w:pPr>
    </w:p>
    <w:p>
      <w:pP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br w:type="page"/>
      </w:r>
    </w:p>
    <w:p>
      <w:pPr>
        <w:adjustRightInd w:val="0"/>
        <w:snapToGrid w:val="0"/>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附件二</w:t>
      </w:r>
    </w:p>
    <w:p>
      <w:pPr>
        <w:pStyle w:val="20"/>
        <w:adjustRightInd w:val="0"/>
        <w:snapToGrid w:val="0"/>
        <w:rPr>
          <w:rFonts w:hint="eastAsia" w:ascii="宋体" w:hAnsi="宋体" w:eastAsia="宋体" w:cs="宋体"/>
          <w:highlight w:val="none"/>
        </w:rPr>
      </w:pPr>
      <w:bookmarkStart w:id="81" w:name="_Toc17914"/>
      <w:bookmarkStart w:id="82" w:name="_Toc22275"/>
      <w:r>
        <w:rPr>
          <w:rFonts w:hint="eastAsia" w:ascii="宋体" w:hAnsi="宋体" w:eastAsia="宋体" w:cs="宋体"/>
          <w:bCs w:val="0"/>
          <w:highlight w:val="none"/>
        </w:rPr>
        <w:t>装备</w:t>
      </w:r>
      <w:r>
        <w:rPr>
          <w:rFonts w:hint="eastAsia" w:ascii="宋体" w:hAnsi="宋体" w:eastAsia="宋体" w:cs="宋体"/>
          <w:highlight w:val="none"/>
        </w:rPr>
        <w:t>型号数量供应需求表</w:t>
      </w:r>
      <w:bookmarkEnd w:id="81"/>
      <w:bookmarkEnd w:id="82"/>
    </w:p>
    <w:p>
      <w:pPr>
        <w:pStyle w:val="20"/>
        <w:adjustRightInd w:val="0"/>
        <w:snapToGrid w:val="0"/>
        <w:spacing w:before="0" w:after="0" w:line="400" w:lineRule="exact"/>
        <w:ind w:firstLine="177" w:firstLineChars="98"/>
        <w:jc w:val="left"/>
        <w:outlineLvl w:val="9"/>
        <w:rPr>
          <w:rFonts w:hint="eastAsia" w:ascii="宋体" w:hAnsi="宋体" w:eastAsia="宋体" w:cs="宋体"/>
          <w:kern w:val="0"/>
          <w:szCs w:val="28"/>
          <w:highlight w:val="none"/>
        </w:rPr>
      </w:pPr>
      <w:r>
        <w:rPr>
          <w:rFonts w:hint="eastAsia" w:ascii="宋体" w:hAnsi="宋体" w:eastAsia="宋体" w:cs="宋体"/>
          <w:sz w:val="18"/>
          <w:szCs w:val="18"/>
          <w:highlight w:val="none"/>
        </w:rPr>
        <w:t xml:space="preserve">             </w:t>
      </w:r>
    </w:p>
    <w:tbl>
      <w:tblPr>
        <w:tblStyle w:val="24"/>
        <w:tblW w:w="9214" w:type="dxa"/>
        <w:jc w:val="center"/>
        <w:tblLayout w:type="fixed"/>
        <w:tblCellMar>
          <w:top w:w="0" w:type="dxa"/>
          <w:left w:w="108" w:type="dxa"/>
          <w:bottom w:w="0" w:type="dxa"/>
          <w:right w:w="108" w:type="dxa"/>
        </w:tblCellMar>
      </w:tblPr>
      <w:tblGrid>
        <w:gridCol w:w="587"/>
        <w:gridCol w:w="516"/>
        <w:gridCol w:w="529"/>
        <w:gridCol w:w="521"/>
        <w:gridCol w:w="1021"/>
        <w:gridCol w:w="1050"/>
        <w:gridCol w:w="707"/>
        <w:gridCol w:w="1221"/>
        <w:gridCol w:w="2545"/>
        <w:gridCol w:w="517"/>
      </w:tblGrid>
      <w:tr>
        <w:tblPrEx>
          <w:tblCellMar>
            <w:top w:w="0" w:type="dxa"/>
            <w:left w:w="108" w:type="dxa"/>
            <w:bottom w:w="0" w:type="dxa"/>
            <w:right w:w="108" w:type="dxa"/>
          </w:tblCellMar>
        </w:tblPrEx>
        <w:trPr>
          <w:trHeight w:val="1219"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序号</w:t>
            </w:r>
          </w:p>
        </w:tc>
        <w:tc>
          <w:tcPr>
            <w:tcW w:w="1045" w:type="dxa"/>
            <w:gridSpan w:val="2"/>
            <w:tcBorders>
              <w:top w:val="single" w:color="000000" w:sz="4" w:space="0"/>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货物名称</w:t>
            </w:r>
          </w:p>
        </w:tc>
        <w:tc>
          <w:tcPr>
            <w:tcW w:w="521" w:type="dxa"/>
            <w:tcBorders>
              <w:top w:val="single" w:color="000000" w:sz="4" w:space="0"/>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数量</w:t>
            </w:r>
          </w:p>
        </w:tc>
        <w:tc>
          <w:tcPr>
            <w:tcW w:w="1021" w:type="dxa"/>
            <w:tcBorders>
              <w:top w:val="single" w:color="000000" w:sz="4" w:space="0"/>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中标</w:t>
            </w:r>
          </w:p>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单价</w:t>
            </w:r>
          </w:p>
          <w:p>
            <w:pPr>
              <w:widowControl/>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（万元）</w:t>
            </w:r>
          </w:p>
        </w:tc>
        <w:tc>
          <w:tcPr>
            <w:tcW w:w="1050" w:type="dxa"/>
            <w:tcBorders>
              <w:top w:val="single" w:color="000000" w:sz="4" w:space="0"/>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中标</w:t>
            </w:r>
          </w:p>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总价</w:t>
            </w:r>
          </w:p>
          <w:p>
            <w:pPr>
              <w:widowControl/>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（万元）</w:t>
            </w:r>
          </w:p>
        </w:tc>
        <w:tc>
          <w:tcPr>
            <w:tcW w:w="707"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所属</w:t>
            </w:r>
          </w:p>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支队</w:t>
            </w:r>
          </w:p>
        </w:tc>
        <w:tc>
          <w:tcPr>
            <w:tcW w:w="1221"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支队联系人及联系方式</w:t>
            </w:r>
          </w:p>
        </w:tc>
        <w:tc>
          <w:tcPr>
            <w:tcW w:w="2545"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支队收货地址</w:t>
            </w:r>
          </w:p>
        </w:tc>
        <w:tc>
          <w:tcPr>
            <w:tcW w:w="517" w:type="dxa"/>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备注</w:t>
            </w: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16"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1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合计</w:t>
            </w: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bottom"/>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bottom"/>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60" w:hRule="atLeast"/>
          <w:jc w:val="center"/>
        </w:trPr>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备注</w:t>
            </w: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1.此表由甲方填写后，将盖章的彩色扫描件和电子版发至乙方指定邮箱。</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20" w:hRule="atLeast"/>
          <w:jc w:val="center"/>
        </w:trPr>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rPr>
                <w:rFonts w:hint="eastAsia" w:ascii="宋体" w:hAnsi="宋体" w:eastAsia="宋体" w:cs="宋体"/>
                <w:sz w:val="21"/>
                <w:szCs w:val="21"/>
                <w:highlight w:val="none"/>
              </w:rPr>
            </w:pP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2.乙方严格按照需方提出的号型进行生产和供货。乙方不按此供货时，甲方有权拒收。</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797" w:hRule="atLeast"/>
          <w:jc w:val="center"/>
        </w:trPr>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rPr>
                <w:rFonts w:hint="eastAsia" w:ascii="宋体" w:hAnsi="宋体" w:eastAsia="宋体" w:cs="宋体"/>
                <w:sz w:val="21"/>
                <w:szCs w:val="21"/>
                <w:highlight w:val="none"/>
              </w:rPr>
            </w:pP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3.甲方所属各支队如对具体号型和数量有调整，乙方在确保总数量不变的前提下，乙方与甲方所属各支队协商解决。</w:t>
            </w:r>
            <w:r>
              <w:rPr>
                <w:rFonts w:hint="eastAsia" w:ascii="宋体" w:hAnsi="宋体" w:eastAsia="宋体" w:cs="宋体"/>
                <w:b/>
                <w:kern w:val="0"/>
                <w:sz w:val="21"/>
                <w:szCs w:val="21"/>
                <w:highlight w:val="none"/>
              </w:rPr>
              <w:t>此表数据有误时，甲方应在此表发乙方后10日予以变更。</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r>
    </w:tbl>
    <w:p>
      <w:pPr>
        <w:pStyle w:val="20"/>
        <w:adjustRightInd w:val="0"/>
        <w:snapToGrid w:val="0"/>
        <w:spacing w:before="0" w:after="0" w:line="400" w:lineRule="exact"/>
        <w:ind w:firstLine="315" w:firstLineChars="98"/>
        <w:jc w:val="left"/>
        <w:outlineLvl w:val="9"/>
        <w:rPr>
          <w:rFonts w:hint="eastAsia" w:ascii="宋体" w:hAnsi="宋体" w:eastAsia="宋体" w:cs="宋体"/>
          <w:kern w:val="0"/>
          <w:szCs w:val="28"/>
          <w:highlight w:val="none"/>
        </w:rPr>
      </w:pPr>
    </w:p>
    <w:p>
      <w:pPr>
        <w:rPr>
          <w:rFonts w:hint="eastAsia" w:ascii="宋体" w:hAnsi="宋体" w:eastAsia="宋体" w:cs="宋体"/>
          <w:highlight w:val="none"/>
        </w:rPr>
      </w:pPr>
    </w:p>
    <w:p>
      <w:pPr>
        <w:rPr>
          <w:rFonts w:hint="eastAsia" w:ascii="宋体" w:hAnsi="宋体" w:eastAsia="宋体" w:cs="宋体"/>
          <w:kern w:val="0"/>
          <w:szCs w:val="28"/>
          <w:highlight w:val="none"/>
        </w:rPr>
      </w:pPr>
      <w:r>
        <w:rPr>
          <w:rFonts w:hint="eastAsia" w:ascii="宋体" w:hAnsi="宋体" w:eastAsia="宋体" w:cs="宋体"/>
          <w:kern w:val="0"/>
          <w:szCs w:val="28"/>
          <w:highlight w:val="none"/>
        </w:rPr>
        <w:br w:type="page"/>
      </w:r>
    </w:p>
    <w:p>
      <w:pPr>
        <w:adjustRightInd w:val="0"/>
        <w:snapToGrid w:val="0"/>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附件三</w:t>
      </w:r>
    </w:p>
    <w:p>
      <w:pPr>
        <w:pStyle w:val="5"/>
        <w:spacing w:line="480" w:lineRule="exact"/>
        <w:ind w:firstLine="0" w:firstLineChars="0"/>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发货清单</w:t>
      </w:r>
    </w:p>
    <w:tbl>
      <w:tblPr>
        <w:tblStyle w:val="24"/>
        <w:tblW w:w="9294" w:type="dxa"/>
        <w:jc w:val="center"/>
        <w:tblLayout w:type="fixed"/>
        <w:tblCellMar>
          <w:top w:w="0" w:type="dxa"/>
          <w:left w:w="108" w:type="dxa"/>
          <w:bottom w:w="0" w:type="dxa"/>
          <w:right w:w="108" w:type="dxa"/>
        </w:tblCellMar>
      </w:tblPr>
      <w:tblGrid>
        <w:gridCol w:w="572"/>
        <w:gridCol w:w="1684"/>
        <w:gridCol w:w="1684"/>
        <w:gridCol w:w="851"/>
        <w:gridCol w:w="86"/>
        <w:gridCol w:w="2182"/>
        <w:gridCol w:w="2235"/>
      </w:tblGrid>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收物单位：</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收物地址：</w:t>
            </w:r>
          </w:p>
        </w:tc>
      </w:tr>
      <w:tr>
        <w:tblPrEx>
          <w:tblCellMar>
            <w:top w:w="0" w:type="dxa"/>
            <w:left w:w="108" w:type="dxa"/>
            <w:bottom w:w="0" w:type="dxa"/>
            <w:right w:w="108" w:type="dxa"/>
          </w:tblCellMar>
        </w:tblPrEx>
        <w:trPr>
          <w:trHeight w:val="567" w:hRule="exact"/>
          <w:jc w:val="center"/>
        </w:trPr>
        <w:tc>
          <w:tcPr>
            <w:tcW w:w="9294" w:type="dxa"/>
            <w:gridSpan w:val="7"/>
            <w:tcBorders>
              <w:bottom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收物人：                   手机：</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发物单位（盖章）：</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发物地址：</w:t>
            </w:r>
          </w:p>
        </w:tc>
      </w:tr>
      <w:tr>
        <w:tblPrEx>
          <w:tblCellMar>
            <w:top w:w="0" w:type="dxa"/>
            <w:left w:w="108" w:type="dxa"/>
            <w:bottom w:w="0" w:type="dxa"/>
            <w:right w:w="108" w:type="dxa"/>
          </w:tblCellMar>
        </w:tblPrEx>
        <w:trPr>
          <w:trHeight w:val="567" w:hRule="exact"/>
          <w:jc w:val="center"/>
        </w:trPr>
        <w:tc>
          <w:tcPr>
            <w:tcW w:w="9294" w:type="dxa"/>
            <w:gridSpan w:val="7"/>
            <w:tcBorders>
              <w:bottom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发物人：                   手机：</w:t>
            </w:r>
          </w:p>
        </w:tc>
      </w:tr>
      <w:tr>
        <w:tblPrEx>
          <w:tblCellMar>
            <w:top w:w="0" w:type="dxa"/>
            <w:left w:w="108" w:type="dxa"/>
            <w:bottom w:w="0" w:type="dxa"/>
            <w:right w:w="108" w:type="dxa"/>
          </w:tblCellMar>
        </w:tblPrEx>
        <w:trPr>
          <w:trHeight w:val="383" w:hRule="atLeast"/>
          <w:jc w:val="center"/>
        </w:trPr>
        <w:tc>
          <w:tcPr>
            <w:tcW w:w="5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序号</w:t>
            </w:r>
          </w:p>
        </w:tc>
        <w:tc>
          <w:tcPr>
            <w:tcW w:w="1684" w:type="dxa"/>
            <w:tcBorders>
              <w:top w:val="single" w:color="000000" w:sz="4" w:space="0"/>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品名</w:t>
            </w:r>
          </w:p>
        </w:tc>
        <w:tc>
          <w:tcPr>
            <w:tcW w:w="1684" w:type="dxa"/>
            <w:tcBorders>
              <w:top w:val="single" w:color="000000" w:sz="4" w:space="0"/>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型号</w:t>
            </w:r>
          </w:p>
        </w:tc>
        <w:tc>
          <w:tcPr>
            <w:tcW w:w="851" w:type="dxa"/>
            <w:tcBorders>
              <w:top w:val="single" w:color="000000" w:sz="4" w:space="0"/>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计量</w:t>
            </w:r>
          </w:p>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单位</w:t>
            </w:r>
          </w:p>
        </w:tc>
        <w:tc>
          <w:tcPr>
            <w:tcW w:w="2268" w:type="dxa"/>
            <w:gridSpan w:val="2"/>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合同约定交货数量</w:t>
            </w:r>
          </w:p>
          <w:p>
            <w:pPr>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（由发物单位填写）</w:t>
            </w:r>
          </w:p>
        </w:tc>
        <w:tc>
          <w:tcPr>
            <w:tcW w:w="2235" w:type="dxa"/>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本次交货和到货数量</w:t>
            </w:r>
          </w:p>
          <w:p>
            <w:pPr>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（由发物单位填写）</w:t>
            </w: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vMerge w:val="restart"/>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备注</w:t>
            </w: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1.收货单位对照此清单，确认货物包装完好、品名、数量、号型准确无误后，收货单位方可盖章、签字。</w:t>
            </w:r>
          </w:p>
        </w:tc>
      </w:tr>
      <w:tr>
        <w:tblPrEx>
          <w:tblCellMar>
            <w:top w:w="0" w:type="dxa"/>
            <w:left w:w="108" w:type="dxa"/>
            <w:bottom w:w="0" w:type="dxa"/>
            <w:right w:w="108" w:type="dxa"/>
          </w:tblCellMar>
        </w:tblPrEx>
        <w:trPr>
          <w:trHeight w:val="328" w:hRule="atLeast"/>
          <w:jc w:val="center"/>
        </w:trPr>
        <w:tc>
          <w:tcPr>
            <w:tcW w:w="572" w:type="dxa"/>
            <w:vMerge w:val="continue"/>
            <w:tcBorders>
              <w:top w:val="nil"/>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sz w:val="21"/>
                <w:szCs w:val="21"/>
                <w:highlight w:val="none"/>
              </w:rPr>
            </w:pP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2.本交货清单一式三份，接收单位留存一份，发货单位留存二份（一份交吉林省消防救援总队）。</w:t>
            </w:r>
          </w:p>
        </w:tc>
      </w:tr>
      <w:tr>
        <w:tblPrEx>
          <w:tblCellMar>
            <w:top w:w="0" w:type="dxa"/>
            <w:left w:w="108" w:type="dxa"/>
            <w:bottom w:w="0" w:type="dxa"/>
            <w:right w:w="108" w:type="dxa"/>
          </w:tblCellMar>
        </w:tblPrEx>
        <w:trPr>
          <w:trHeight w:val="504" w:hRule="atLeast"/>
          <w:jc w:val="center"/>
        </w:trPr>
        <w:tc>
          <w:tcPr>
            <w:tcW w:w="572" w:type="dxa"/>
            <w:vMerge w:val="continue"/>
            <w:tcBorders>
              <w:top w:val="nil"/>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sz w:val="21"/>
                <w:szCs w:val="21"/>
                <w:highlight w:val="none"/>
              </w:rPr>
            </w:pP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3.确认收货和盖章、签字后，收货单位将此清单的彩色扫描件发至发货厂家邮箱： </w:t>
            </w:r>
          </w:p>
        </w:tc>
      </w:tr>
      <w:tr>
        <w:tblPrEx>
          <w:tblCellMar>
            <w:top w:w="0" w:type="dxa"/>
            <w:left w:w="108" w:type="dxa"/>
            <w:bottom w:w="0" w:type="dxa"/>
            <w:right w:w="108" w:type="dxa"/>
          </w:tblCellMar>
        </w:tblPrEx>
        <w:trPr>
          <w:trHeight w:val="439" w:hRule="atLeast"/>
          <w:jc w:val="center"/>
        </w:trPr>
        <w:tc>
          <w:tcPr>
            <w:tcW w:w="9294" w:type="dxa"/>
            <w:gridSpan w:val="7"/>
            <w:tcBorders>
              <w:top w:val="single" w:color="000000" w:sz="4" w:space="0"/>
              <w:left w:val="nil"/>
              <w:bottom w:val="nil"/>
              <w:right w:val="nil"/>
            </w:tcBorders>
            <w:shd w:val="clear" w:color="auto" w:fill="FFFFFF"/>
            <w:vAlign w:val="center"/>
          </w:tcPr>
          <w:p>
            <w:pPr>
              <w:widowControl/>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1018" w:hRule="atLeast"/>
          <w:jc w:val="center"/>
        </w:trPr>
        <w:tc>
          <w:tcPr>
            <w:tcW w:w="4877" w:type="dxa"/>
            <w:gridSpan w:val="5"/>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收货单位（盖章）：</w:t>
            </w:r>
          </w:p>
        </w:tc>
        <w:tc>
          <w:tcPr>
            <w:tcW w:w="4417" w:type="dxa"/>
            <w:gridSpan w:val="2"/>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签收人(双人签字)：</w:t>
            </w:r>
          </w:p>
        </w:tc>
      </w:tr>
      <w:tr>
        <w:tblPrEx>
          <w:tblCellMar>
            <w:top w:w="0" w:type="dxa"/>
            <w:left w:w="108" w:type="dxa"/>
            <w:bottom w:w="0" w:type="dxa"/>
            <w:right w:w="108" w:type="dxa"/>
          </w:tblCellMar>
        </w:tblPrEx>
        <w:trPr>
          <w:trHeight w:val="597" w:hRule="atLeas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97" w:hRule="atLeas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签收时间：    年   月   日</w:t>
            </w:r>
          </w:p>
        </w:tc>
      </w:tr>
    </w:tbl>
    <w:p>
      <w:pPr>
        <w:rPr>
          <w:rFonts w:hint="eastAsia" w:ascii="宋体" w:hAnsi="宋体" w:eastAsia="宋体" w:cs="宋体"/>
          <w:highlight w:val="none"/>
        </w:rPr>
      </w:pPr>
    </w:p>
    <w:p>
      <w:pPr>
        <w:rPr>
          <w:rFonts w:hint="eastAsia" w:ascii="宋体" w:hAnsi="宋体" w:eastAsia="宋体" w:cs="宋体"/>
          <w:highlight w:val="none"/>
        </w:rPr>
      </w:pPr>
      <w:r>
        <w:rPr>
          <w:rFonts w:hint="eastAsia" w:ascii="宋体" w:hAnsi="宋体" w:eastAsia="宋体" w:cs="宋体"/>
          <w:highlight w:val="none"/>
        </w:rPr>
        <w:br w:type="page"/>
      </w:r>
    </w:p>
    <w:p>
      <w:pPr>
        <w:pStyle w:val="6"/>
        <w:spacing w:line="240" w:lineRule="auto"/>
        <w:jc w:val="center"/>
        <w:rPr>
          <w:rFonts w:hint="eastAsia" w:ascii="宋体" w:hAnsi="宋体" w:eastAsia="宋体" w:cs="宋体"/>
          <w:highlight w:val="none"/>
        </w:rPr>
        <w:sectPr>
          <w:footerReference r:id="rId7" w:type="default"/>
          <w:pgSz w:w="11906" w:h="16838"/>
          <w:pgMar w:top="1361" w:right="1304" w:bottom="1247" w:left="1304" w:header="680" w:footer="680" w:gutter="0"/>
          <w:cols w:space="720" w:num="1"/>
          <w:docGrid w:linePitch="312" w:charSpace="0"/>
        </w:sectPr>
      </w:pPr>
    </w:p>
    <w:p>
      <w:pPr>
        <w:adjustRightInd w:val="0"/>
        <w:snapToGrid w:val="0"/>
        <w:rPr>
          <w:rFonts w:hint="eastAsia" w:ascii="宋体" w:hAnsi="宋体" w:eastAsia="宋体" w:cs="宋体"/>
          <w:highlight w:val="none"/>
          <w:lang w:val="en-US" w:eastAsia="zh-CN"/>
        </w:rPr>
        <w:sectPr>
          <w:pgSz w:w="11906" w:h="16838"/>
          <w:pgMar w:top="1361" w:right="1304" w:bottom="1247" w:left="1304" w:header="680" w:footer="680" w:gutter="0"/>
          <w:cols w:space="720" w:num="1"/>
          <w:docGrid w:linePitch="312" w:charSpace="0"/>
        </w:sectPr>
      </w:pPr>
      <w:r>
        <w:rPr>
          <w:rFonts w:hint="eastAsia" w:ascii="宋体" w:hAnsi="宋体" w:eastAsia="宋体" w:cs="宋体"/>
          <w:kern w:val="0"/>
          <w:sz w:val="28"/>
          <w:szCs w:val="28"/>
          <w:highlight w:val="none"/>
        </w:rPr>
        <w:t>附件</w:t>
      </w:r>
      <w:r>
        <w:rPr>
          <w:rFonts w:hint="eastAsia" w:ascii="宋体" w:hAnsi="宋体" w:eastAsia="宋体" w:cs="宋体"/>
          <w:kern w:val="0"/>
          <w:sz w:val="28"/>
          <w:szCs w:val="28"/>
          <w:highlight w:val="none"/>
          <w:lang w:val="en-US" w:eastAsia="zh-CN"/>
        </w:rPr>
        <w:t>四、售后服务承诺书</w:t>
      </w:r>
    </w:p>
    <w:p>
      <w:pPr>
        <w:pStyle w:val="6"/>
        <w:spacing w:line="240" w:lineRule="auto"/>
        <w:jc w:val="center"/>
        <w:rPr>
          <w:rFonts w:hint="eastAsia" w:ascii="宋体" w:hAnsi="宋体" w:eastAsia="宋体" w:cs="宋体"/>
          <w:sz w:val="36"/>
          <w:szCs w:val="36"/>
          <w:highlight w:val="none"/>
        </w:rPr>
      </w:pPr>
      <w:r>
        <w:rPr>
          <w:rFonts w:hint="eastAsia" w:ascii="宋体" w:hAnsi="宋体" w:eastAsia="宋体" w:cs="宋体"/>
          <w:highlight w:val="none"/>
        </w:rPr>
        <w:t>政府采购合同条款及格式</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合同编号：</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 xml:space="preserve">签订地点： </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签订日期：</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采购任务编号：</w:t>
      </w:r>
    </w:p>
    <w:p>
      <w:pPr>
        <w:pStyle w:val="1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需方（甲方、订货方</w:t>
      </w:r>
      <w:r>
        <w:rPr>
          <w:rFonts w:hint="eastAsia" w:ascii="宋体" w:hAnsi="宋体" w:eastAsia="宋体" w:cs="宋体"/>
          <w:bCs/>
          <w:sz w:val="24"/>
          <w:szCs w:val="24"/>
          <w:highlight w:val="none"/>
          <w:lang w:eastAsia="zh-CN"/>
        </w:rPr>
        <w:t>、采购人</w:t>
      </w:r>
      <w:r>
        <w:rPr>
          <w:rFonts w:hint="eastAsia" w:ascii="宋体" w:hAnsi="宋体" w:eastAsia="宋体" w:cs="宋体"/>
          <w:bCs/>
          <w:sz w:val="24"/>
          <w:szCs w:val="24"/>
          <w:highlight w:val="none"/>
        </w:rPr>
        <w:t>）：</w:t>
      </w:r>
    </w:p>
    <w:p>
      <w:pPr>
        <w:spacing w:line="360" w:lineRule="auto"/>
        <w:ind w:firstLine="480" w:firstLineChars="200"/>
        <w:rPr>
          <w:rFonts w:hint="eastAsia" w:ascii="宋体" w:hAnsi="宋体" w:eastAsia="宋体" w:cs="宋体"/>
          <w:bCs/>
          <w:sz w:val="24"/>
          <w:highlight w:val="none"/>
          <w:u w:val="single"/>
        </w:rPr>
      </w:pPr>
      <w:r>
        <w:rPr>
          <w:rFonts w:hint="eastAsia" w:ascii="宋体" w:hAnsi="宋体" w:eastAsia="宋体" w:cs="宋体"/>
          <w:bCs/>
          <w:sz w:val="24"/>
          <w:highlight w:val="none"/>
        </w:rPr>
        <w:t>供方（乙方、投标人、中标人）：</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（需方、甲方、</w:t>
      </w:r>
      <w:r>
        <w:rPr>
          <w:rFonts w:hint="eastAsia" w:ascii="宋体" w:hAnsi="宋体" w:eastAsia="宋体" w:cs="宋体"/>
          <w:bCs/>
          <w:sz w:val="24"/>
          <w:highlight w:val="none"/>
          <w:lang w:eastAsia="zh-CN"/>
        </w:rPr>
        <w:t>采购人</w:t>
      </w:r>
      <w:r>
        <w:rPr>
          <w:rFonts w:hint="eastAsia" w:ascii="宋体" w:hAnsi="宋体" w:eastAsia="宋体" w:cs="宋体"/>
          <w:bCs/>
          <w:sz w:val="24"/>
          <w:highlight w:val="none"/>
        </w:rPr>
        <w:t>、</w:t>
      </w:r>
      <w:r>
        <w:rPr>
          <w:rFonts w:hint="eastAsia" w:ascii="宋体" w:hAnsi="宋体" w:eastAsia="宋体" w:cs="宋体"/>
          <w:bCs/>
          <w:sz w:val="24"/>
          <w:highlight w:val="none"/>
          <w:lang w:eastAsia="zh-CN"/>
        </w:rPr>
        <w:t>买方</w:t>
      </w:r>
      <w:r>
        <w:rPr>
          <w:rFonts w:hint="eastAsia" w:ascii="宋体" w:hAnsi="宋体" w:eastAsia="宋体" w:cs="宋体"/>
          <w:bCs/>
          <w:sz w:val="24"/>
          <w:highlight w:val="none"/>
        </w:rPr>
        <w:t>）需求的“</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 xml:space="preserve">（货物名称）经        以编号为 </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的招标文件在国内公开招标，经评标委员会评定</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（供方、乙方、中标人、卖方、投标人）（包号）为中标单位。甲乙双方经友好协商，依据吉林省消防救援总队与乙方订立的《     （第  包）总体协议》（以下简称《总体协议》），及《中华人民共和国民法典》和有关法律法规，遵循平等、自愿、公平和诚实信用原则，同意按照下面的条款和条件订立本合同，共同信守。</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 xml:space="preserve">一、货物名称、品牌、规格、数量 </w:t>
      </w:r>
    </w:p>
    <w:tbl>
      <w:tblPr>
        <w:tblStyle w:val="24"/>
        <w:tblW w:w="9384"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48"/>
        <w:gridCol w:w="1152"/>
        <w:gridCol w:w="2520"/>
        <w:gridCol w:w="900"/>
        <w:gridCol w:w="1260"/>
        <w:gridCol w:w="20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货物名称</w:t>
            </w:r>
          </w:p>
        </w:tc>
        <w:tc>
          <w:tcPr>
            <w:tcW w:w="1152" w:type="dxa"/>
            <w:vAlign w:val="center"/>
          </w:tcPr>
          <w:p>
            <w:pPr>
              <w:spacing w:line="360" w:lineRule="auto"/>
              <w:ind w:firstLine="240" w:firstLineChars="100"/>
              <w:rPr>
                <w:rFonts w:hint="eastAsia" w:ascii="宋体" w:hAnsi="宋体" w:eastAsia="宋体" w:cs="宋体"/>
                <w:sz w:val="24"/>
                <w:highlight w:val="none"/>
              </w:rPr>
            </w:pPr>
            <w:r>
              <w:rPr>
                <w:rFonts w:hint="eastAsia" w:ascii="宋体" w:hAnsi="宋体" w:eastAsia="宋体" w:cs="宋体"/>
                <w:sz w:val="24"/>
                <w:highlight w:val="none"/>
              </w:rPr>
              <w:t>品牌</w:t>
            </w:r>
          </w:p>
        </w:tc>
        <w:tc>
          <w:tcPr>
            <w:tcW w:w="2520"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规格型号及配置</w:t>
            </w:r>
          </w:p>
        </w:tc>
        <w:tc>
          <w:tcPr>
            <w:tcW w:w="900"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数量</w:t>
            </w:r>
          </w:p>
        </w:tc>
        <w:tc>
          <w:tcPr>
            <w:tcW w:w="1260"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单价(元)</w:t>
            </w:r>
          </w:p>
        </w:tc>
        <w:tc>
          <w:tcPr>
            <w:tcW w:w="2004"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小计金额(元)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c>
          <w:tcPr>
            <w:tcW w:w="1548" w:type="dxa"/>
            <w:vAlign w:val="center"/>
          </w:tcPr>
          <w:p>
            <w:pPr>
              <w:spacing w:line="360" w:lineRule="auto"/>
              <w:jc w:val="center"/>
              <w:rPr>
                <w:rFonts w:hint="eastAsia" w:ascii="宋体" w:hAnsi="宋体" w:eastAsia="宋体" w:cs="宋体"/>
                <w:sz w:val="24"/>
                <w:highlight w:val="none"/>
              </w:rPr>
            </w:pPr>
          </w:p>
        </w:tc>
        <w:tc>
          <w:tcPr>
            <w:tcW w:w="1152" w:type="dxa"/>
            <w:vAlign w:val="center"/>
          </w:tcPr>
          <w:p>
            <w:pPr>
              <w:spacing w:line="360" w:lineRule="auto"/>
              <w:jc w:val="center"/>
              <w:rPr>
                <w:rFonts w:hint="eastAsia" w:ascii="宋体" w:hAnsi="宋体" w:eastAsia="宋体" w:cs="宋体"/>
                <w:sz w:val="24"/>
                <w:highlight w:val="none"/>
              </w:rPr>
            </w:pPr>
          </w:p>
        </w:tc>
        <w:tc>
          <w:tcPr>
            <w:tcW w:w="2520" w:type="dxa"/>
            <w:vAlign w:val="center"/>
          </w:tcPr>
          <w:p>
            <w:pPr>
              <w:spacing w:line="360" w:lineRule="auto"/>
              <w:jc w:val="center"/>
              <w:rPr>
                <w:rFonts w:hint="eastAsia" w:ascii="宋体" w:hAnsi="宋体" w:eastAsia="宋体" w:cs="宋体"/>
                <w:sz w:val="24"/>
                <w:highlight w:val="none"/>
              </w:rPr>
            </w:pPr>
          </w:p>
        </w:tc>
        <w:tc>
          <w:tcPr>
            <w:tcW w:w="900" w:type="dxa"/>
            <w:vAlign w:val="center"/>
          </w:tcPr>
          <w:p>
            <w:pPr>
              <w:spacing w:line="360" w:lineRule="auto"/>
              <w:jc w:val="center"/>
              <w:rPr>
                <w:rFonts w:hint="eastAsia" w:ascii="宋体" w:hAnsi="宋体" w:eastAsia="宋体" w:cs="宋体"/>
                <w:sz w:val="24"/>
                <w:highlight w:val="none"/>
              </w:rPr>
            </w:pPr>
          </w:p>
        </w:tc>
        <w:tc>
          <w:tcPr>
            <w:tcW w:w="1260" w:type="dxa"/>
            <w:vAlign w:val="center"/>
          </w:tcPr>
          <w:p>
            <w:pPr>
              <w:spacing w:line="360" w:lineRule="auto"/>
              <w:jc w:val="center"/>
              <w:rPr>
                <w:rFonts w:hint="eastAsia" w:ascii="宋体" w:hAnsi="宋体" w:eastAsia="宋体" w:cs="宋体"/>
                <w:sz w:val="24"/>
                <w:highlight w:val="none"/>
              </w:rPr>
            </w:pPr>
          </w:p>
        </w:tc>
        <w:tc>
          <w:tcPr>
            <w:tcW w:w="2004" w:type="dxa"/>
            <w:vAlign w:val="center"/>
          </w:tcPr>
          <w:p>
            <w:pPr>
              <w:spacing w:line="360" w:lineRule="auto"/>
              <w:jc w:val="center"/>
              <w:rPr>
                <w:rFonts w:hint="eastAsia" w:ascii="宋体" w:hAnsi="宋体" w:eastAsia="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hint="eastAsia" w:ascii="宋体" w:hAnsi="宋体" w:eastAsia="宋体" w:cs="宋体"/>
                <w:sz w:val="24"/>
                <w:highlight w:val="none"/>
              </w:rPr>
            </w:pPr>
          </w:p>
        </w:tc>
        <w:tc>
          <w:tcPr>
            <w:tcW w:w="1152" w:type="dxa"/>
            <w:vAlign w:val="center"/>
          </w:tcPr>
          <w:p>
            <w:pPr>
              <w:spacing w:line="360" w:lineRule="auto"/>
              <w:jc w:val="center"/>
              <w:rPr>
                <w:rFonts w:hint="eastAsia" w:ascii="宋体" w:hAnsi="宋体" w:eastAsia="宋体" w:cs="宋体"/>
                <w:sz w:val="24"/>
                <w:highlight w:val="none"/>
              </w:rPr>
            </w:pPr>
          </w:p>
        </w:tc>
        <w:tc>
          <w:tcPr>
            <w:tcW w:w="2520" w:type="dxa"/>
            <w:vAlign w:val="center"/>
          </w:tcPr>
          <w:p>
            <w:pPr>
              <w:spacing w:line="360" w:lineRule="auto"/>
              <w:jc w:val="center"/>
              <w:rPr>
                <w:rFonts w:hint="eastAsia" w:ascii="宋体" w:hAnsi="宋体" w:eastAsia="宋体" w:cs="宋体"/>
                <w:sz w:val="24"/>
                <w:highlight w:val="none"/>
              </w:rPr>
            </w:pPr>
          </w:p>
        </w:tc>
        <w:tc>
          <w:tcPr>
            <w:tcW w:w="900" w:type="dxa"/>
            <w:vAlign w:val="center"/>
          </w:tcPr>
          <w:p>
            <w:pPr>
              <w:spacing w:line="360" w:lineRule="auto"/>
              <w:jc w:val="center"/>
              <w:rPr>
                <w:rFonts w:hint="eastAsia" w:ascii="宋体" w:hAnsi="宋体" w:eastAsia="宋体" w:cs="宋体"/>
                <w:sz w:val="24"/>
                <w:highlight w:val="none"/>
              </w:rPr>
            </w:pPr>
          </w:p>
        </w:tc>
        <w:tc>
          <w:tcPr>
            <w:tcW w:w="1260" w:type="dxa"/>
            <w:vAlign w:val="center"/>
          </w:tcPr>
          <w:p>
            <w:pPr>
              <w:spacing w:line="360" w:lineRule="auto"/>
              <w:jc w:val="center"/>
              <w:rPr>
                <w:rFonts w:hint="eastAsia" w:ascii="宋体" w:hAnsi="宋体" w:eastAsia="宋体" w:cs="宋体"/>
                <w:sz w:val="24"/>
                <w:highlight w:val="none"/>
              </w:rPr>
            </w:pPr>
          </w:p>
        </w:tc>
        <w:tc>
          <w:tcPr>
            <w:tcW w:w="2004" w:type="dxa"/>
            <w:vAlign w:val="center"/>
          </w:tcPr>
          <w:p>
            <w:pPr>
              <w:spacing w:line="360" w:lineRule="auto"/>
              <w:jc w:val="center"/>
              <w:rPr>
                <w:rFonts w:hint="eastAsia" w:ascii="宋体" w:hAnsi="宋体" w:eastAsia="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hint="eastAsia" w:ascii="宋体" w:hAnsi="宋体" w:eastAsia="宋体" w:cs="宋体"/>
                <w:sz w:val="24"/>
                <w:highlight w:val="none"/>
              </w:rPr>
            </w:pPr>
          </w:p>
        </w:tc>
        <w:tc>
          <w:tcPr>
            <w:tcW w:w="1152" w:type="dxa"/>
            <w:vAlign w:val="center"/>
          </w:tcPr>
          <w:p>
            <w:pPr>
              <w:spacing w:line="360" w:lineRule="auto"/>
              <w:jc w:val="center"/>
              <w:rPr>
                <w:rFonts w:hint="eastAsia" w:ascii="宋体" w:hAnsi="宋体" w:eastAsia="宋体" w:cs="宋体"/>
                <w:sz w:val="24"/>
                <w:highlight w:val="none"/>
              </w:rPr>
            </w:pPr>
          </w:p>
        </w:tc>
        <w:tc>
          <w:tcPr>
            <w:tcW w:w="2520" w:type="dxa"/>
            <w:vAlign w:val="center"/>
          </w:tcPr>
          <w:p>
            <w:pPr>
              <w:spacing w:line="360" w:lineRule="auto"/>
              <w:jc w:val="center"/>
              <w:rPr>
                <w:rFonts w:hint="eastAsia" w:ascii="宋体" w:hAnsi="宋体" w:eastAsia="宋体" w:cs="宋体"/>
                <w:sz w:val="24"/>
                <w:highlight w:val="none"/>
              </w:rPr>
            </w:pPr>
          </w:p>
        </w:tc>
        <w:tc>
          <w:tcPr>
            <w:tcW w:w="900" w:type="dxa"/>
            <w:vAlign w:val="center"/>
          </w:tcPr>
          <w:p>
            <w:pPr>
              <w:spacing w:line="360" w:lineRule="auto"/>
              <w:jc w:val="center"/>
              <w:rPr>
                <w:rFonts w:hint="eastAsia" w:ascii="宋体" w:hAnsi="宋体" w:eastAsia="宋体" w:cs="宋体"/>
                <w:sz w:val="24"/>
                <w:highlight w:val="none"/>
              </w:rPr>
            </w:pPr>
          </w:p>
        </w:tc>
        <w:tc>
          <w:tcPr>
            <w:tcW w:w="1260" w:type="dxa"/>
            <w:vAlign w:val="center"/>
          </w:tcPr>
          <w:p>
            <w:pPr>
              <w:spacing w:line="360" w:lineRule="auto"/>
              <w:jc w:val="center"/>
              <w:rPr>
                <w:rFonts w:hint="eastAsia" w:ascii="宋体" w:hAnsi="宋体" w:eastAsia="宋体" w:cs="宋体"/>
                <w:sz w:val="24"/>
                <w:highlight w:val="none"/>
              </w:rPr>
            </w:pPr>
          </w:p>
        </w:tc>
        <w:tc>
          <w:tcPr>
            <w:tcW w:w="2004" w:type="dxa"/>
            <w:vAlign w:val="center"/>
          </w:tcPr>
          <w:p>
            <w:pPr>
              <w:spacing w:line="360" w:lineRule="auto"/>
              <w:jc w:val="center"/>
              <w:rPr>
                <w:rFonts w:hint="eastAsia" w:ascii="宋体" w:hAnsi="宋体" w:eastAsia="宋体" w:cs="宋体"/>
                <w:sz w:val="24"/>
                <w:highlight w:val="none"/>
              </w:rPr>
            </w:pPr>
          </w:p>
        </w:tc>
      </w:tr>
    </w:tbl>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二、合同价款</w:t>
      </w:r>
    </w:p>
    <w:p>
      <w:pPr>
        <w:ind w:firstLine="480"/>
        <w:rPr>
          <w:rFonts w:hint="eastAsia" w:ascii="宋体" w:hAnsi="宋体" w:eastAsia="宋体" w:cs="宋体"/>
          <w:b/>
          <w:bCs/>
          <w:sz w:val="24"/>
          <w:highlight w:val="none"/>
        </w:rPr>
      </w:pPr>
      <w:r>
        <w:rPr>
          <w:rFonts w:hint="eastAsia" w:ascii="宋体" w:hAnsi="宋体" w:eastAsia="宋体" w:cs="宋体"/>
          <w:sz w:val="24"/>
          <w:highlight w:val="none"/>
        </w:rPr>
        <w:t>2.1合同总价：人民币（大写）              元，（小写）            元。</w:t>
      </w:r>
      <w:r>
        <w:rPr>
          <w:rFonts w:hint="eastAsia" w:ascii="宋体" w:hAnsi="宋体" w:eastAsia="宋体" w:cs="宋体"/>
          <w:b/>
          <w:bCs/>
          <w:sz w:val="24"/>
          <w:highlight w:val="none"/>
        </w:rPr>
        <w:t>该总价包含货物的成本、运输费、包装费、装卸费、劳务费、保险、利润、税金及涉及到该货物到指定地点的一切费用。需方除本费用及合同另有约定外，不承担任何费用。</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三、交货地点及交货时间</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3.1交货地点：吉林省消防救援总队</w:t>
      </w:r>
      <w:r>
        <w:rPr>
          <w:rFonts w:hint="eastAsia" w:ascii="宋体" w:hAnsi="宋体" w:eastAsia="宋体" w:cs="宋体"/>
          <w:b/>
          <w:sz w:val="24"/>
          <w:highlight w:val="none"/>
          <w:lang w:val="zh-CN"/>
        </w:rPr>
        <w:t>指定地点（地址</w:t>
      </w:r>
      <w:r>
        <w:rPr>
          <w:rFonts w:hint="eastAsia" w:ascii="宋体" w:hAnsi="宋体" w:eastAsia="宋体" w:cs="宋体"/>
          <w:b/>
          <w:color w:val="auto"/>
          <w:sz w:val="24"/>
          <w:highlight w:val="none"/>
          <w:lang w:val="zh-CN"/>
        </w:rPr>
        <w:t>：</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lang w:val="zh-CN"/>
        </w:rPr>
        <w:t>，收物人：</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lang w:val="zh-CN"/>
        </w:rPr>
        <w:t>，手机：</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lang w:val="zh-CN"/>
        </w:rPr>
        <w:t>）。</w:t>
      </w:r>
      <w:r>
        <w:rPr>
          <w:rFonts w:hint="eastAsia" w:ascii="宋体" w:hAnsi="宋体" w:eastAsia="宋体" w:cs="宋体"/>
          <w:b/>
          <w:color w:val="auto"/>
          <w:sz w:val="24"/>
          <w:highlight w:val="none"/>
        </w:rPr>
        <w:t>中标人负责</w:t>
      </w:r>
      <w:r>
        <w:rPr>
          <w:rFonts w:hint="eastAsia" w:ascii="宋体" w:hAnsi="宋体" w:eastAsia="宋体" w:cs="宋体"/>
          <w:b/>
          <w:sz w:val="24"/>
          <w:highlight w:val="none"/>
        </w:rPr>
        <w:t>将货物安全完好运抵交货地点（货</w:t>
      </w:r>
      <w:r>
        <w:rPr>
          <w:rFonts w:hint="eastAsia" w:ascii="宋体" w:hAnsi="宋体" w:eastAsia="宋体" w:cs="宋体"/>
          <w:b/>
          <w:bCs/>
          <w:color w:val="000000" w:themeColor="text1"/>
          <w:sz w:val="24"/>
          <w:highlight w:val="none"/>
          <w14:textFill>
            <w14:solidFill>
              <w14:schemeClr w14:val="tx1"/>
            </w14:solidFill>
          </w14:textFill>
        </w:rPr>
        <w:t>物在途的一切风险及运输、卸货等费用由乙方承担）并保证验收合格。</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bCs/>
          <w:sz w:val="24"/>
          <w:highlight w:val="none"/>
        </w:rPr>
        <w:t>3.</w:t>
      </w:r>
      <w:r>
        <w:rPr>
          <w:rFonts w:hint="eastAsia" w:ascii="宋体" w:hAnsi="宋体" w:eastAsia="宋体" w:cs="宋体"/>
          <w:b/>
          <w:sz w:val="24"/>
          <w:highlight w:val="none"/>
        </w:rPr>
        <w:t>2交货时间：乙方应于《总体协议》签订之日起</w:t>
      </w:r>
      <w:r>
        <w:rPr>
          <w:rFonts w:hint="eastAsia" w:ascii="宋体" w:hAnsi="宋体" w:eastAsia="宋体" w:cs="宋体"/>
          <w:b/>
          <w:color w:val="0000FF"/>
          <w:sz w:val="24"/>
          <w:highlight w:val="none"/>
        </w:rPr>
        <w:t>4</w:t>
      </w:r>
      <w:r>
        <w:rPr>
          <w:rFonts w:hint="eastAsia" w:ascii="宋体" w:hAnsi="宋体" w:eastAsia="宋体" w:cs="宋体"/>
          <w:b/>
          <w:sz w:val="24"/>
          <w:highlight w:val="none"/>
        </w:rPr>
        <w:t>个月内向甲方交付全部货物。</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3.3.考虑到乙方供货单位较多的实际情况，在甲方和乙方未协商一致的情况下，甲方不得强制乙方变更乙方在投标时做出的供货时间承诺，甲方不得以此为由拖延合同签订。</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四、履约保证金</w:t>
      </w:r>
    </w:p>
    <w:p>
      <w:pPr>
        <w:spacing w:line="360" w:lineRule="auto"/>
        <w:ind w:firstLine="480" w:firstLineChars="200"/>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rPr>
        <w:t>4.1吉林省消防救援总队</w:t>
      </w:r>
      <w:r>
        <w:rPr>
          <w:rFonts w:hint="eastAsia" w:ascii="宋体" w:hAnsi="宋体" w:eastAsia="宋体" w:cs="宋体"/>
          <w:color w:val="000000"/>
          <w:sz w:val="24"/>
          <w:highlight w:val="none"/>
          <w:lang w:val="zh-CN"/>
        </w:rPr>
        <w:t>已与乙方签订《总体协议》，乙方向吉林省消防救援总队提交了履约保证金。甲方不再单独收取乙方履约保证金。</w:t>
      </w:r>
    </w:p>
    <w:p>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4.2对于乙方依据本合同约定应承担的违约责任/索赔金额/罚金，甲方有权报告吉林省消防救援总队扣留其保管的履约保证金予以抵扣或委托吉林省消防救援总队向出具独立保函的单位主张索赔。</w:t>
      </w:r>
    </w:p>
    <w:p>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4</w:t>
      </w:r>
      <w:r>
        <w:rPr>
          <w:rFonts w:hint="eastAsia" w:ascii="宋体" w:hAnsi="宋体" w:eastAsia="宋体" w:cs="宋体"/>
          <w:color w:val="auto"/>
          <w:sz w:val="24"/>
          <w:highlight w:val="none"/>
        </w:rPr>
        <w:t>.3无论履约保证金、独立保函，甲方随时都有权对由乙方生产的尚未使用的仍在质量保证期内的</w:t>
      </w:r>
      <w:r>
        <w:rPr>
          <w:rFonts w:hint="eastAsia" w:ascii="宋体" w:hAnsi="宋体" w:eastAsia="宋体" w:cs="宋体"/>
          <w:color w:val="000000"/>
          <w:sz w:val="24"/>
          <w:highlight w:val="none"/>
        </w:rPr>
        <w:t>库存产品发生的质量问题向乙方主张索赔。</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 xml:space="preserve">五、付款 </w:t>
      </w:r>
    </w:p>
    <w:p>
      <w:pPr>
        <w:spacing w:line="360" w:lineRule="auto"/>
        <w:rPr>
          <w:rFonts w:hint="eastAsia" w:ascii="宋体" w:hAnsi="宋体" w:eastAsia="宋体" w:cs="宋体"/>
          <w:bCs/>
          <w:color w:val="auto"/>
          <w:sz w:val="24"/>
          <w:highlight w:val="none"/>
          <w:lang w:val="zh-CN"/>
        </w:rPr>
      </w:pPr>
      <w:r>
        <w:rPr>
          <w:rFonts w:hint="eastAsia" w:ascii="宋体" w:hAnsi="宋体" w:eastAsia="宋体" w:cs="宋体"/>
          <w:b/>
          <w:color w:val="000000" w:themeColor="text1"/>
          <w:sz w:val="24"/>
          <w:highlight w:val="none"/>
          <w14:textFill>
            <w14:solidFill>
              <w14:schemeClr w14:val="tx1"/>
            </w14:solidFill>
          </w14:textFill>
        </w:rPr>
        <w:t xml:space="preserve">    </w:t>
      </w:r>
      <w:r>
        <w:rPr>
          <w:rFonts w:hint="eastAsia" w:ascii="宋体" w:hAnsi="宋体" w:eastAsia="宋体" w:cs="宋体"/>
          <w:color w:val="000000"/>
          <w:sz w:val="24"/>
          <w:highlight w:val="none"/>
        </w:rPr>
        <w:t>5.</w:t>
      </w:r>
      <w:r>
        <w:rPr>
          <w:rFonts w:hint="eastAsia" w:ascii="宋体" w:hAnsi="宋体" w:eastAsia="宋体" w:cs="宋体"/>
          <w:color w:val="000000"/>
          <w:sz w:val="24"/>
          <w:highlight w:val="none"/>
          <w:lang w:val="zh-CN"/>
        </w:rPr>
        <w:t>1合同签订前乙方向</w:t>
      </w:r>
      <w:r>
        <w:rPr>
          <w:rFonts w:hint="eastAsia" w:ascii="宋体" w:hAnsi="宋体" w:eastAsia="宋体" w:cs="宋体"/>
          <w:color w:val="000000"/>
          <w:sz w:val="24"/>
          <w:highlight w:val="none"/>
        </w:rPr>
        <w:t>吉林省消防</w:t>
      </w:r>
      <w:r>
        <w:rPr>
          <w:rFonts w:hint="eastAsia" w:ascii="宋体" w:hAnsi="宋体" w:eastAsia="宋体" w:cs="宋体"/>
          <w:color w:val="auto"/>
          <w:sz w:val="24"/>
          <w:highlight w:val="none"/>
        </w:rPr>
        <w:t>救援总队</w:t>
      </w:r>
      <w:r>
        <w:rPr>
          <w:rFonts w:hint="eastAsia" w:ascii="宋体" w:hAnsi="宋体" w:eastAsia="宋体" w:cs="宋体"/>
          <w:color w:val="auto"/>
          <w:sz w:val="24"/>
          <w:highlight w:val="none"/>
          <w:lang w:val="zh-CN"/>
        </w:rPr>
        <w:t>支付合同总价款5％（</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的履约保证金。</w:t>
      </w:r>
      <w:r>
        <w:rPr>
          <w:rFonts w:hint="eastAsia" w:ascii="宋体" w:hAnsi="宋体" w:eastAsia="宋体" w:cs="宋体"/>
          <w:color w:val="auto"/>
          <w:sz w:val="24"/>
          <w:highlight w:val="none"/>
        </w:rPr>
        <w:t>甲乙双方</w:t>
      </w:r>
      <w:r>
        <w:rPr>
          <w:rFonts w:hint="eastAsia" w:ascii="宋体" w:hAnsi="宋体" w:eastAsia="宋体" w:cs="宋体"/>
          <w:color w:val="auto"/>
          <w:sz w:val="24"/>
          <w:highlight w:val="none"/>
          <w:lang w:val="zh-CN"/>
        </w:rPr>
        <w:t>签订合同后20日内，甲</w:t>
      </w:r>
      <w:r>
        <w:rPr>
          <w:rFonts w:hint="eastAsia" w:ascii="宋体" w:hAnsi="宋体" w:eastAsia="宋体" w:cs="宋体"/>
          <w:color w:val="auto"/>
          <w:sz w:val="24"/>
          <w:highlight w:val="none"/>
        </w:rPr>
        <w:t>方</w:t>
      </w:r>
      <w:r>
        <w:rPr>
          <w:rFonts w:hint="eastAsia" w:ascii="宋体" w:hAnsi="宋体" w:eastAsia="宋体" w:cs="宋体"/>
          <w:color w:val="auto"/>
          <w:sz w:val="24"/>
          <w:highlight w:val="none"/>
          <w:lang w:val="zh-CN"/>
        </w:rPr>
        <w:t>向乙方支付30%</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货款；到货并验收合格，且收到乙方开具的合同等额的符合</w:t>
      </w:r>
      <w:r>
        <w:rPr>
          <w:rFonts w:hint="eastAsia" w:ascii="宋体" w:hAnsi="宋体" w:eastAsia="宋体" w:cs="宋体"/>
          <w:color w:val="auto"/>
          <w:sz w:val="24"/>
          <w:highlight w:val="none"/>
        </w:rPr>
        <w:t>需</w:t>
      </w:r>
      <w:r>
        <w:rPr>
          <w:rFonts w:hint="eastAsia" w:ascii="宋体" w:hAnsi="宋体" w:eastAsia="宋体" w:cs="宋体"/>
          <w:color w:val="auto"/>
          <w:sz w:val="24"/>
          <w:highlight w:val="none"/>
          <w:lang w:val="zh-CN"/>
        </w:rPr>
        <w:t>方要求的税务发票后在</w:t>
      </w:r>
      <w:r>
        <w:rPr>
          <w:rFonts w:hint="eastAsia" w:ascii="宋体" w:hAnsi="宋体" w:eastAsia="宋体" w:cs="宋体"/>
          <w:color w:val="auto"/>
          <w:sz w:val="24"/>
          <w:highlight w:val="none"/>
        </w:rPr>
        <w:t>20</w:t>
      </w:r>
      <w:r>
        <w:rPr>
          <w:rFonts w:hint="eastAsia" w:ascii="宋体" w:hAnsi="宋体" w:eastAsia="宋体" w:cs="宋体"/>
          <w:color w:val="auto"/>
          <w:sz w:val="24"/>
          <w:highlight w:val="none"/>
          <w:lang w:val="zh-CN"/>
        </w:rPr>
        <w:t>日内，甲方向乙方支付70%</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货款；货物质保期（</w:t>
      </w:r>
      <w:r>
        <w:rPr>
          <w:rFonts w:hint="eastAsia" w:ascii="宋体" w:hAnsi="宋体" w:eastAsia="宋体" w:cs="宋体"/>
          <w:color w:val="auto"/>
          <w:sz w:val="24"/>
          <w:highlight w:val="none"/>
        </w:rPr>
        <w:t>自验收合格之日起</w:t>
      </w:r>
      <w:r>
        <w:rPr>
          <w:rFonts w:hint="eastAsia" w:ascii="宋体" w:hAnsi="宋体" w:eastAsia="宋体" w:cs="宋体"/>
          <w:color w:val="0000FF"/>
          <w:sz w:val="24"/>
          <w:highlight w:val="none"/>
          <w:lang w:val="en-US" w:eastAsia="zh-CN"/>
        </w:rPr>
        <w:t>X</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zh-CN"/>
        </w:rPr>
        <w:t>）满后，若无质量问题或质量问题已解决达到甲方要求，向乙方无息返还5％</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的履约保证金；</w:t>
      </w:r>
      <w:r>
        <w:rPr>
          <w:rFonts w:hint="eastAsia" w:ascii="宋体" w:hAnsi="宋体" w:eastAsia="宋体" w:cs="宋体"/>
          <w:color w:val="auto"/>
          <w:sz w:val="24"/>
          <w:highlight w:val="none"/>
        </w:rPr>
        <w:t>甲</w:t>
      </w:r>
      <w:r>
        <w:rPr>
          <w:rFonts w:hint="eastAsia" w:ascii="宋体" w:hAnsi="宋体" w:eastAsia="宋体" w:cs="宋体"/>
          <w:color w:val="auto"/>
          <w:sz w:val="24"/>
          <w:highlight w:val="none"/>
          <w:lang w:val="zh-CN"/>
        </w:rPr>
        <w:t>方付款前，乙方应为</w:t>
      </w:r>
      <w:r>
        <w:rPr>
          <w:rFonts w:hint="eastAsia" w:ascii="宋体" w:hAnsi="宋体" w:eastAsia="宋体" w:cs="宋体"/>
          <w:color w:val="auto"/>
          <w:sz w:val="24"/>
          <w:highlight w:val="none"/>
        </w:rPr>
        <w:t>甲</w:t>
      </w:r>
      <w:r>
        <w:rPr>
          <w:rFonts w:hint="eastAsia" w:ascii="宋体" w:hAnsi="宋体" w:eastAsia="宋体" w:cs="宋体"/>
          <w:color w:val="auto"/>
          <w:sz w:val="24"/>
          <w:highlight w:val="none"/>
          <w:lang w:val="zh-CN"/>
        </w:rPr>
        <w:t>方开具符合甲方要求的发票，否则</w:t>
      </w:r>
      <w:r>
        <w:rPr>
          <w:rFonts w:hint="eastAsia" w:ascii="宋体" w:hAnsi="宋体" w:eastAsia="宋体" w:cs="宋体"/>
          <w:color w:val="auto"/>
          <w:sz w:val="24"/>
          <w:highlight w:val="none"/>
        </w:rPr>
        <w:t>甲</w:t>
      </w:r>
      <w:r>
        <w:rPr>
          <w:rFonts w:hint="eastAsia" w:ascii="宋体" w:hAnsi="宋体" w:eastAsia="宋体" w:cs="宋体"/>
          <w:color w:val="auto"/>
          <w:sz w:val="24"/>
          <w:highlight w:val="none"/>
          <w:lang w:val="zh-CN"/>
        </w:rPr>
        <w:t>方有权拒绝付款且不视为违约。</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5.2若因乙方未及时在合同供货期限内供货或因验收不达标，导致项目资金被财政部门收回的，甲方有权解除合同，由乙方承担全部责任，乙方退还甲方全部已支付货款，同时甲方扣留全部履约保证金作为违约金。</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六、货物质量和验收</w:t>
      </w:r>
    </w:p>
    <w:p>
      <w:pPr>
        <w:widowControl/>
        <w:adjustRightInd w:val="0"/>
        <w:spacing w:line="360" w:lineRule="auto"/>
        <w:ind w:firstLine="480" w:firstLineChars="200"/>
        <w:jc w:val="left"/>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6.1关于本合同项下货物的质量和验收，按吉林省消防救援总队与乙方签订的《总体协议》内容执行。</w:t>
      </w:r>
    </w:p>
    <w:p>
      <w:pPr>
        <w:widowControl/>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6.2乙方交付全部货物后30日内，吉林省消防救援总队组织验收小组对全部货物进行到货验收。如到货验收未通过，乙方应根据验收报告对问题进行整改或更换。甲方对货物验收通过，并不代表对货物的隐蔽瑕疵予以接受，如甲方发现货物存在隐蔽瑕疵，无论发现隐蔽瑕疵之日距到货验收之日是否超过质保期，甲方均有权自发现隐蔽瑕疵之日起1年内要求乙方承担违约责任。</w:t>
      </w:r>
    </w:p>
    <w:p>
      <w:pPr>
        <w:widowControl/>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6.3其他验收方面的约定，按照采购人与乙方签署的合同约定执行。</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七、知识产权及有关规定</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7.1 供方应保证需方在使用本合同项下的货物或其任何一部分时免受第三方提出侵犯其知识产权、商标权或工业设计权的起诉。如果发生此类问题，供方应负责交涉</w:t>
      </w:r>
      <w:r>
        <w:rPr>
          <w:rFonts w:hint="eastAsia" w:ascii="宋体" w:hAnsi="宋体" w:eastAsia="宋体" w:cs="宋体"/>
          <w:sz w:val="24"/>
          <w:highlight w:val="none"/>
          <w:lang w:eastAsia="zh-Hans"/>
        </w:rPr>
        <w:t>解决，因此造成</w:t>
      </w:r>
      <w:r>
        <w:rPr>
          <w:rFonts w:hint="eastAsia" w:ascii="宋体" w:hAnsi="宋体" w:eastAsia="宋体" w:cs="宋体"/>
          <w:sz w:val="24"/>
          <w:highlight w:val="none"/>
        </w:rPr>
        <w:t>需</w:t>
      </w:r>
      <w:r>
        <w:rPr>
          <w:rFonts w:hint="eastAsia" w:ascii="宋体" w:hAnsi="宋体" w:eastAsia="宋体" w:cs="宋体"/>
          <w:sz w:val="24"/>
          <w:highlight w:val="none"/>
          <w:lang w:eastAsia="zh-Hans"/>
        </w:rPr>
        <w:t>方损失的，</w:t>
      </w:r>
      <w:r>
        <w:rPr>
          <w:rFonts w:hint="eastAsia" w:ascii="宋体" w:hAnsi="宋体" w:eastAsia="宋体" w:cs="宋体"/>
          <w:sz w:val="24"/>
          <w:highlight w:val="none"/>
        </w:rPr>
        <w:t>供</w:t>
      </w:r>
      <w:r>
        <w:rPr>
          <w:rFonts w:hint="eastAsia" w:ascii="宋体" w:hAnsi="宋体" w:eastAsia="宋体" w:cs="宋体"/>
          <w:sz w:val="24"/>
          <w:highlight w:val="none"/>
          <w:lang w:eastAsia="zh-Hans"/>
        </w:rPr>
        <w:t>方还应向</w:t>
      </w:r>
      <w:r>
        <w:rPr>
          <w:rFonts w:hint="eastAsia" w:ascii="宋体" w:hAnsi="宋体" w:eastAsia="宋体" w:cs="宋体"/>
          <w:sz w:val="24"/>
          <w:highlight w:val="none"/>
        </w:rPr>
        <w:t>需</w:t>
      </w:r>
      <w:r>
        <w:rPr>
          <w:rFonts w:hint="eastAsia" w:ascii="宋体" w:hAnsi="宋体" w:eastAsia="宋体" w:cs="宋体"/>
          <w:sz w:val="24"/>
          <w:highlight w:val="none"/>
          <w:lang w:eastAsia="zh-Hans"/>
        </w:rPr>
        <w:t>方</w:t>
      </w:r>
      <w:r>
        <w:rPr>
          <w:rFonts w:hint="eastAsia" w:ascii="宋体" w:hAnsi="宋体" w:eastAsia="宋体" w:cs="宋体"/>
          <w:sz w:val="24"/>
          <w:highlight w:val="none"/>
        </w:rPr>
        <w:t>承担</w:t>
      </w:r>
      <w:r>
        <w:rPr>
          <w:rFonts w:hint="eastAsia" w:ascii="宋体" w:hAnsi="宋体" w:eastAsia="宋体" w:cs="宋体"/>
          <w:sz w:val="24"/>
          <w:highlight w:val="none"/>
          <w:lang w:eastAsia="zh-Hans"/>
        </w:rPr>
        <w:t>损害赔偿</w:t>
      </w:r>
      <w:r>
        <w:rPr>
          <w:rFonts w:hint="eastAsia" w:ascii="宋体" w:hAnsi="宋体" w:eastAsia="宋体" w:cs="宋体"/>
          <w:sz w:val="24"/>
          <w:highlight w:val="none"/>
        </w:rPr>
        <w:t>责任。</w:t>
      </w:r>
      <w:r>
        <w:rPr>
          <w:rFonts w:hint="eastAsia" w:ascii="宋体" w:hAnsi="宋体" w:eastAsia="宋体" w:cs="宋体"/>
          <w:sz w:val="24"/>
          <w:highlight w:val="none"/>
          <w:lang w:val="en-US" w:eastAsia="zh-CN"/>
        </w:rPr>
        <w:t>还需赔偿甲方因维权产生的诉讼费、律师费、评估费等损失。</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7.2 供方应保证所供货物符合国家的有关规定。</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八、伴随服务</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8.1供方应提供所交付货物的全套技术文件资料，包括产品目录、图纸、操作手册、使用说明、维护手册和服务指南等。</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8.2供方还应提供下列服务：货物的运输、集成和试运行；提供货物组装和维修所需的工具；在质量保证期内对所交付货物提供运行监督、维修、保养等；在制造厂家和/或在项目现场就货物的安装调试、运行、维护等对需方人员进行培训。</w:t>
      </w:r>
    </w:p>
    <w:p>
      <w:pPr>
        <w:spacing w:line="360" w:lineRule="auto"/>
        <w:ind w:firstLine="480" w:firstLineChars="200"/>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8.3乙方在交付货物时，须附着由“消防装备物资信息采购系统”统一发行的装备物资二维码（或RFID），二维码要清晰整洁，固定牢固且具有永久性，扫描后显示信息要包括产品信息、图片、使用说明等详细信息。</w:t>
      </w:r>
    </w:p>
    <w:p>
      <w:pPr>
        <w:spacing w:line="360" w:lineRule="auto"/>
        <w:ind w:firstLine="480" w:firstLineChars="200"/>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8.</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上述伴随服务的费用应包含在合同价中，不单独进行支付。</w:t>
      </w:r>
    </w:p>
    <w:p>
      <w:pPr>
        <w:spacing w:line="360" w:lineRule="auto"/>
        <w:ind w:firstLine="482" w:firstLineChars="200"/>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九、质量保证期及售后服务</w:t>
      </w:r>
    </w:p>
    <w:p>
      <w:pPr>
        <w:spacing w:line="360" w:lineRule="auto"/>
        <w:ind w:firstLine="482" w:firstLineChars="200"/>
        <w:rPr>
          <w:rFonts w:hint="eastAsia" w:ascii="宋体" w:hAnsi="宋体" w:eastAsia="宋体" w:cs="宋体"/>
          <w:color w:val="000000"/>
          <w:kern w:val="0"/>
          <w:sz w:val="24"/>
          <w:highlight w:val="none"/>
        </w:rPr>
      </w:pPr>
      <w:r>
        <w:rPr>
          <w:rFonts w:hint="eastAsia" w:ascii="宋体" w:hAnsi="宋体" w:eastAsia="宋体" w:cs="宋体"/>
          <w:b/>
          <w:sz w:val="24"/>
          <w:highlight w:val="none"/>
        </w:rPr>
        <w:t>9.1质保期：自货物最终验收合格之日起质保</w:t>
      </w:r>
      <w:r>
        <w:rPr>
          <w:rFonts w:hint="eastAsia" w:ascii="宋体" w:hAnsi="宋体" w:eastAsia="宋体" w:cs="宋体"/>
          <w:b/>
          <w:color w:val="0000FF"/>
          <w:sz w:val="24"/>
          <w:highlight w:val="none"/>
        </w:rPr>
        <w:t>X</w:t>
      </w:r>
      <w:r>
        <w:rPr>
          <w:rFonts w:hint="eastAsia" w:ascii="宋体" w:hAnsi="宋体" w:eastAsia="宋体" w:cs="宋体"/>
          <w:b/>
          <w:sz w:val="24"/>
          <w:highlight w:val="none"/>
        </w:rPr>
        <w:t>年，保修期</w:t>
      </w:r>
      <w:r>
        <w:rPr>
          <w:rFonts w:hint="eastAsia" w:ascii="宋体" w:hAnsi="宋体" w:eastAsia="宋体" w:cs="宋体"/>
          <w:b/>
          <w:color w:val="0000FF"/>
          <w:sz w:val="24"/>
          <w:highlight w:val="none"/>
        </w:rPr>
        <w:t>X</w:t>
      </w:r>
      <w:r>
        <w:rPr>
          <w:rFonts w:hint="eastAsia" w:ascii="宋体" w:hAnsi="宋体" w:eastAsia="宋体" w:cs="宋体"/>
          <w:b/>
          <w:sz w:val="24"/>
          <w:highlight w:val="none"/>
        </w:rPr>
        <w:t>年，保修期自质保期届满之日起计算。保修期内的质量问题必须及时免费提供维修服务，人工、备品、备件及耗材承诺保证供应且价格优惠。</w:t>
      </w:r>
      <w:r>
        <w:rPr>
          <w:rFonts w:hint="eastAsia" w:ascii="宋体" w:hAnsi="宋体" w:eastAsia="宋体" w:cs="宋体"/>
          <w:color w:val="000000"/>
          <w:kern w:val="0"/>
          <w:sz w:val="24"/>
          <w:highlight w:val="none"/>
        </w:rPr>
        <w:t>在质量保证期中甲方发现货物无法正常使用或导致人身或财产损害，则乙方应按本合同约定区分质量问题的性质向甲方承担违约责任，对于所造成的人身或财产损害，乙方应全额赔偿，甲方亦会根据人身或财产损害的情形，就乙方未提供质量合格货物的违法/犯罪行为向有管辖权的行政机关/司法机关进行移送。</w:t>
      </w:r>
    </w:p>
    <w:p>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bCs/>
          <w:sz w:val="24"/>
          <w:highlight w:val="none"/>
        </w:rPr>
        <w:t>9.2售后服务要求：</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9.2.1、货物最终由</w:t>
      </w:r>
      <w:r>
        <w:rPr>
          <w:rFonts w:hint="eastAsia" w:ascii="宋体" w:hAnsi="宋体" w:eastAsia="宋体" w:cs="宋体"/>
          <w:color w:val="000000"/>
          <w:kern w:val="0"/>
          <w:sz w:val="24"/>
          <w:highlight w:val="none"/>
          <w:lang w:eastAsia="zh-CN"/>
        </w:rPr>
        <w:t>采购人</w:t>
      </w:r>
      <w:r>
        <w:rPr>
          <w:rFonts w:hint="eastAsia" w:ascii="宋体" w:hAnsi="宋体" w:eastAsia="宋体" w:cs="宋体"/>
          <w:color w:val="000000"/>
          <w:kern w:val="0"/>
          <w:sz w:val="24"/>
          <w:highlight w:val="none"/>
        </w:rPr>
        <w:t>验收，达到本招标文件规定的各项技术指标和设备的产品标准，达到安全防护要求，并提供完整的销售发票，国家有关质检机构出具的检验报告或证书（如果招标文件技术需求要求提供），制造厂商出具的质量检验证书、产品合格证等资料，视为验收合格。验收以招标文件和中标人的投标文件技术参数资料为标准，如果上述文件有不一致之处，以中标人的投标文件中全部技术参数为准进行验收。如果在现场的安装和调试由于投标人的责任被延误，则质量保证期将相应延长。验收发现恶意提供劣质标的，如以次充好、低于招标技术参数、同批货物中明显有不合格产品等情况，</w:t>
      </w:r>
      <w:r>
        <w:rPr>
          <w:rFonts w:hint="eastAsia" w:ascii="宋体" w:hAnsi="宋体" w:eastAsia="宋体" w:cs="宋体"/>
          <w:color w:val="000000"/>
          <w:kern w:val="0"/>
          <w:sz w:val="24"/>
          <w:highlight w:val="none"/>
          <w:lang w:eastAsia="zh-CN"/>
        </w:rPr>
        <w:t>采购人</w:t>
      </w:r>
      <w:r>
        <w:rPr>
          <w:rFonts w:hint="eastAsia" w:ascii="宋体" w:hAnsi="宋体" w:eastAsia="宋体" w:cs="宋体"/>
          <w:color w:val="000000"/>
          <w:kern w:val="0"/>
          <w:sz w:val="24"/>
          <w:highlight w:val="none"/>
        </w:rPr>
        <w:t>无论使用与否，投标人应无条件接受退货，并承担所有与认证鉴定有关的全部费用及</w:t>
      </w:r>
      <w:r>
        <w:rPr>
          <w:rFonts w:hint="eastAsia" w:ascii="宋体" w:hAnsi="宋体" w:eastAsia="宋体" w:cs="宋体"/>
          <w:color w:val="000000"/>
          <w:kern w:val="0"/>
          <w:sz w:val="24"/>
          <w:highlight w:val="none"/>
          <w:lang w:eastAsia="zh-CN"/>
        </w:rPr>
        <w:t>采购人</w:t>
      </w:r>
      <w:r>
        <w:rPr>
          <w:rFonts w:hint="eastAsia" w:ascii="宋体" w:hAnsi="宋体" w:eastAsia="宋体" w:cs="宋体"/>
          <w:color w:val="000000"/>
          <w:kern w:val="0"/>
          <w:sz w:val="24"/>
          <w:highlight w:val="none"/>
        </w:rPr>
        <w:t xml:space="preserve">蒙受的全部直接损失。 </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9.2.2、备件供应和售后服务设施：</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1、备件供应：</w:t>
      </w:r>
      <w:r>
        <w:rPr>
          <w:rFonts w:hint="eastAsia" w:ascii="宋体" w:hAnsi="宋体" w:eastAsia="宋体" w:cs="宋体"/>
          <w:color w:val="000000"/>
          <w:kern w:val="0"/>
          <w:sz w:val="24"/>
          <w:highlight w:val="none"/>
          <w:lang w:eastAsia="zh-Hans"/>
        </w:rPr>
        <w:t>质保期</w:t>
      </w:r>
      <w:r>
        <w:rPr>
          <w:rFonts w:hint="eastAsia" w:ascii="宋体" w:hAnsi="宋体" w:eastAsia="宋体" w:cs="宋体"/>
          <w:color w:val="000000"/>
          <w:kern w:val="0"/>
          <w:sz w:val="24"/>
          <w:highlight w:val="none"/>
        </w:rPr>
        <w:t>内的人工、备品、备件及耗材免费供应。保修期内的质量问题必须及时免费提供维修服务，人工、备品、备件及耗材承诺保证供应且价格优惠；提供全寿命周期的主要耗损件、易损件及更换总成的目录和年度价格清单，并承诺保证供应且价格合理。</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2、有完善售后体系：    </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2.1所投产品保修期内的质量问题，投标人必须及时免费提供维修服务。保修期外、正常服役期内，有义务继续提供维修、零配件供应等服务。实行缺陷产品召回制，免费负责维修和更换零部件。如有重大质量问题，必须按照国内相关法律规定、商务合同约定程序进行退货、更换装备等。</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2.2提供售后培训和定期巡检。装备交付时对指战员进行集中培训，确保学懂弄通并熟练操作。每年派技术人员到消防救援站进行巡检，建立常态化培训和巡检机制。</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2.3投标人需设立24小时值守电话，保证畅通并即时响应售后受理渠道。维修技术人员必须在指定时间内到达现场并开展维修。遇不可抗力，</w:t>
      </w:r>
      <w:r>
        <w:rPr>
          <w:rFonts w:hint="eastAsia" w:ascii="宋体" w:hAnsi="宋体" w:eastAsia="宋体" w:cs="宋体"/>
          <w:color w:val="000000"/>
          <w:kern w:val="0"/>
          <w:sz w:val="24"/>
          <w:highlight w:val="none"/>
          <w:lang w:val="en-US" w:eastAsia="zh-CN"/>
        </w:rPr>
        <w:t>不能</w:t>
      </w:r>
      <w:r>
        <w:rPr>
          <w:rFonts w:hint="eastAsia" w:ascii="宋体" w:hAnsi="宋体" w:eastAsia="宋体" w:cs="宋体"/>
          <w:color w:val="000000"/>
          <w:kern w:val="0"/>
          <w:sz w:val="24"/>
          <w:highlight w:val="none"/>
        </w:rPr>
        <w:t>在甲方指定的时间内到达维修地点的，要及时通知报修单位并说明原因。</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2.4提供联勤联动机制。遇有重大灾害事故处置，要快速响应，投标人需选派素质好、业务精的人员遂行技术保障，提供技术支持、现场抢修等应急技术服务。</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2.5投标人对消防救援队伍提出的维修需求,要及时响应、远程指导修复。对不能修复的,要派技术人员</w:t>
      </w:r>
      <w:r>
        <w:rPr>
          <w:rFonts w:hint="eastAsia" w:ascii="宋体" w:hAnsi="宋体" w:eastAsia="宋体" w:cs="宋体"/>
          <w:color w:val="0000FF"/>
          <w:sz w:val="24"/>
          <w:highlight w:val="none"/>
          <w:lang w:val="en-US" w:eastAsia="zh-CN"/>
        </w:rPr>
        <w:t>X</w:t>
      </w:r>
      <w:r>
        <w:rPr>
          <w:rFonts w:hint="eastAsia" w:ascii="宋体" w:hAnsi="宋体" w:eastAsia="宋体" w:cs="宋体"/>
          <w:color w:val="000000"/>
          <w:kern w:val="0"/>
          <w:sz w:val="24"/>
          <w:highlight w:val="none"/>
        </w:rPr>
        <w:t>小时内到场维修。国内有配件的一般故障在</w:t>
      </w:r>
      <w:r>
        <w:rPr>
          <w:rFonts w:hint="eastAsia" w:ascii="宋体" w:hAnsi="宋体" w:eastAsia="宋体" w:cs="宋体"/>
          <w:color w:val="0000FF"/>
          <w:sz w:val="24"/>
          <w:highlight w:val="none"/>
          <w:lang w:val="en-US" w:eastAsia="zh-CN"/>
        </w:rPr>
        <w:t>X</w:t>
      </w:r>
      <w:r>
        <w:rPr>
          <w:rFonts w:hint="eastAsia" w:ascii="宋体" w:hAnsi="宋体" w:eastAsia="宋体" w:cs="宋体"/>
          <w:color w:val="000000"/>
          <w:kern w:val="0"/>
          <w:sz w:val="24"/>
          <w:highlight w:val="none"/>
        </w:rPr>
        <w:t>小时内修复,较大故障一周内修复。国内没有配件的,应在</w:t>
      </w:r>
      <w:r>
        <w:rPr>
          <w:rFonts w:hint="eastAsia" w:ascii="宋体" w:hAnsi="宋体" w:eastAsia="宋体" w:cs="宋体"/>
          <w:color w:val="0000FF"/>
          <w:sz w:val="24"/>
          <w:highlight w:val="none"/>
          <w:lang w:val="en-US" w:eastAsia="zh-CN"/>
        </w:rPr>
        <w:t>X</w:t>
      </w:r>
      <w:r>
        <w:rPr>
          <w:rFonts w:hint="eastAsia" w:ascii="宋体" w:hAnsi="宋体" w:eastAsia="宋体" w:cs="宋体"/>
          <w:color w:val="000000"/>
          <w:kern w:val="0"/>
          <w:sz w:val="24"/>
          <w:highlight w:val="none"/>
        </w:rPr>
        <w:t>日内提供配件并修复。</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color w:val="000000"/>
          <w:kern w:val="0"/>
          <w:sz w:val="24"/>
          <w:highlight w:val="none"/>
        </w:rPr>
        <w:t>2.6在质保期内发生的质量问题,或在寿命期内发现的设计、制造缺陷, 投标人负责召回,召回时间不得超过60日。</w:t>
      </w:r>
      <w:r>
        <w:rPr>
          <w:rFonts w:hint="eastAsia" w:ascii="宋体" w:hAnsi="宋体" w:eastAsia="宋体" w:cs="宋体"/>
          <w:sz w:val="24"/>
          <w:highlight w:val="none"/>
        </w:rPr>
        <w:t xml:space="preserve"> </w:t>
      </w:r>
    </w:p>
    <w:p>
      <w:pPr>
        <w:spacing w:line="360" w:lineRule="auto"/>
        <w:rPr>
          <w:rFonts w:hint="eastAsia" w:ascii="宋体" w:hAnsi="宋体" w:eastAsia="宋体" w:cs="宋体"/>
          <w:b/>
          <w:sz w:val="24"/>
          <w:highlight w:val="none"/>
        </w:rPr>
      </w:pPr>
      <w:r>
        <w:rPr>
          <w:rFonts w:hint="eastAsia" w:ascii="宋体" w:hAnsi="宋体" w:eastAsia="宋体" w:cs="宋体"/>
          <w:b/>
          <w:sz w:val="24"/>
          <w:highlight w:val="none"/>
        </w:rPr>
        <w:t xml:space="preserve">    十、质量保证</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10.1 乙方应保证所提供的货物是原制造厂商制造的、经过合法销售渠道取得的、全新的、未使用过的，并完全符合合同</w:t>
      </w:r>
      <w:r>
        <w:rPr>
          <w:rFonts w:hint="eastAsia" w:ascii="宋体" w:hAnsi="宋体" w:eastAsia="宋体" w:cs="宋体"/>
          <w:sz w:val="24"/>
          <w:highlight w:val="none"/>
          <w:lang w:eastAsia="zh-Hans"/>
        </w:rPr>
        <w:t>约定</w:t>
      </w:r>
      <w:r>
        <w:rPr>
          <w:rFonts w:hint="eastAsia" w:ascii="宋体" w:hAnsi="宋体" w:eastAsia="宋体" w:cs="宋体"/>
          <w:sz w:val="24"/>
          <w:highlight w:val="none"/>
        </w:rPr>
        <w:t>的品牌、规格型号、技术性能、配置、质量、数量等要求。供方应保证其所提供的货物在正常使用和保养条件下，在其使用寿命期内具有满意的性能。在货物最终验收合格交付后不少于本合同第九条约定的质量保证期内，供方应对其交付的货物由于设计、工艺或材料的缺陷而产生的故障负责。</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10.2 在质量保证期内，如果货物的规格型号、技术性能、原产地及制造厂商以及其他质量技术指标与合同约定不符，或证实货物是有缺陷的，包括潜在的缺陷或使用不符合要求的材料等，需方应尽快以书面形式向供方提出本保证下的索赔。</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10.3在质量保证期内，供方在接到需方的通知后，应在本合同第九条约定的响应时间内,免费维修和/或更换有缺陷的货物或部件。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10.4 如果供方在接到需方通知后，在本合同第九条约定的响应时间内没有弥补缺陷，需方可采取必要的补救措施，但其风险和费用将由供方负担，并且需方根据合同规定对供方行使的其他权利不受影响。</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十一、索赔</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11.1需方有权根据当地国家技术监督局、进出口商品检验局或其他具有法定资格的质检机构出具的检验证书向供方提出索赔。</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11.2如果供方对缺陷负有责任且需方提出索赔，供方应按照需方同意的下列一种或多种方式解决索赔事宜：</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（1）供方同意退货并将货款退还给需方，并承担由此发生的一切损失和费用，</w:t>
      </w:r>
      <w:r>
        <w:rPr>
          <w:rFonts w:hint="eastAsia" w:ascii="宋体" w:hAnsi="宋体" w:eastAsia="宋体" w:cs="宋体"/>
          <w:sz w:val="24"/>
          <w:highlight w:val="none"/>
          <w:lang w:val="en-US" w:eastAsia="zh-CN"/>
        </w:rPr>
        <w:t>具体以本合同或者采购人与乙方签署的合同约定为准。</w:t>
      </w:r>
      <w:r>
        <w:rPr>
          <w:rFonts w:hint="eastAsia" w:ascii="宋体" w:hAnsi="宋体" w:eastAsia="宋体" w:cs="宋体"/>
          <w:sz w:val="24"/>
          <w:highlight w:val="none"/>
        </w:rPr>
        <w:t>包括</w:t>
      </w:r>
      <w:r>
        <w:rPr>
          <w:rFonts w:hint="eastAsia" w:ascii="宋体" w:hAnsi="宋体" w:eastAsia="宋体" w:cs="宋体"/>
          <w:sz w:val="24"/>
          <w:highlight w:val="none"/>
          <w:lang w:eastAsia="zh-Hans"/>
        </w:rPr>
        <w:t>但不限于</w:t>
      </w:r>
      <w:r>
        <w:rPr>
          <w:rFonts w:hint="eastAsia" w:ascii="宋体" w:hAnsi="宋体" w:eastAsia="宋体" w:cs="宋体"/>
          <w:sz w:val="24"/>
          <w:highlight w:val="none"/>
        </w:rPr>
        <w:t>利息、银行手续费、运费、保险费、检验费、仓储费、装卸费以及为保护退回货物所需的其他必要费用。</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（2）根据货物低劣、损坏程度以及需方所遭受损失的金额，经过供需双方商定降低货物的价格。</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（3）用符合合同</w:t>
      </w:r>
      <w:r>
        <w:rPr>
          <w:rFonts w:hint="eastAsia" w:ascii="宋体" w:hAnsi="宋体" w:eastAsia="宋体" w:cs="宋体"/>
          <w:sz w:val="24"/>
          <w:highlight w:val="none"/>
          <w:lang w:eastAsia="zh-Hans"/>
        </w:rPr>
        <w:t>约定</w:t>
      </w:r>
      <w:r>
        <w:rPr>
          <w:rFonts w:hint="eastAsia" w:ascii="宋体" w:hAnsi="宋体" w:eastAsia="宋体" w:cs="宋体"/>
          <w:sz w:val="24"/>
          <w:highlight w:val="none"/>
        </w:rPr>
        <w:t>的规格、质量和性能要求的新零件、部件和／或设备来更换有缺陷的部分和／或修补缺陷部分，供方应承担一切费用和风险，并负担需方蒙受的全部直接损失。供方应同时按合同第九条的规定，相应延长修补和／或更换件的质量保证期。</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11.3如果在需方发出索赔通知后十天内，供方未作答复，上述索赔应视为已被供方接受。如供方未能在接到需方索赔通知后十天内或需方同意的延长期限内，按照本合同11.2条规定的任何一种或多种方式解决索赔事宜并征得需方同意，需方有权从应付货款或从供方提交的履约保证金中扣回索赔金额，并拥有对赔偿不足部分进一步索赔的权利。</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十二、供方履约延误</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12.1 供方应按照合同规定的时间、地点交货和提供服务。</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12.2 如供方无正当理由拖延交货或不按投标文件提供服务，需方报请吉林省消防救援总队，吉林省消防救援总队将根据《总体协议》扣留履约保证金作为违约金，对于供方造成的损失超过履约保证金的部分，吉林省消防救援总队有权要求供方照实际损失予以赔偿并可以主张</w:t>
      </w:r>
      <w:r>
        <w:rPr>
          <w:rFonts w:hint="eastAsia" w:ascii="宋体" w:hAnsi="宋体" w:eastAsia="宋体" w:cs="宋体"/>
          <w:sz w:val="24"/>
          <w:highlight w:val="none"/>
          <w:lang w:val="en-US" w:eastAsia="zh-CN"/>
        </w:rPr>
        <w:t>解除</w:t>
      </w:r>
      <w:r>
        <w:rPr>
          <w:rFonts w:hint="eastAsia" w:ascii="宋体" w:hAnsi="宋体" w:eastAsia="宋体" w:cs="宋体"/>
          <w:sz w:val="24"/>
          <w:highlight w:val="none"/>
        </w:rPr>
        <w:t>合同。</w:t>
      </w:r>
    </w:p>
    <w:p>
      <w:pPr>
        <w:spacing w:line="360" w:lineRule="auto"/>
        <w:ind w:firstLine="600" w:firstLineChars="250"/>
        <w:rPr>
          <w:rFonts w:hint="eastAsia" w:ascii="宋体" w:hAnsi="宋体" w:eastAsia="宋体" w:cs="宋体"/>
          <w:sz w:val="24"/>
          <w:highlight w:val="none"/>
        </w:rPr>
      </w:pPr>
      <w:r>
        <w:rPr>
          <w:rFonts w:hint="eastAsia" w:ascii="宋体" w:hAnsi="宋体" w:eastAsia="宋体" w:cs="宋体"/>
          <w:sz w:val="24"/>
          <w:highlight w:val="none"/>
        </w:rPr>
        <w:t>12.3 在履行合同过程中，如果供方遇到可能妨碍其按时交货和提供服务的情况，应及时以书面形式将拖延的事实，可能拖延的期限和理由通知需方。需方在收到供方通知后，应尽快对情况进行评价，并确定是否通过修改合同，酌情延长交货时间和/或延期提供服务，或者终止合同。</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十三、违约问题处理</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13.1误期赔偿</w:t>
      </w:r>
    </w:p>
    <w:p>
      <w:pPr>
        <w:spacing w:line="360" w:lineRule="auto"/>
        <w:ind w:firstLine="480" w:firstLineChars="200"/>
        <w:jc w:val="left"/>
        <w:rPr>
          <w:rFonts w:hint="eastAsia" w:ascii="宋体" w:hAnsi="宋体" w:eastAsia="宋体" w:cs="宋体"/>
          <w:color w:val="FF0000"/>
          <w:sz w:val="24"/>
          <w:highlight w:val="none"/>
        </w:rPr>
      </w:pPr>
      <w:r>
        <w:rPr>
          <w:rFonts w:hint="eastAsia" w:ascii="宋体" w:hAnsi="宋体" w:eastAsia="宋体" w:cs="宋体"/>
          <w:sz w:val="24"/>
          <w:highlight w:val="none"/>
        </w:rPr>
        <w:t>13.1.1除合同第十四条规定外，如果供方没有按照合同规定的时间交货和提供服务，</w:t>
      </w:r>
      <w:r>
        <w:rPr>
          <w:rFonts w:hint="eastAsia" w:ascii="宋体" w:hAnsi="宋体" w:eastAsia="宋体" w:cs="宋体"/>
          <w:sz w:val="24"/>
          <w:highlight w:val="none"/>
          <w:lang w:eastAsia="zh-Hans"/>
        </w:rPr>
        <w:t>需</w:t>
      </w:r>
      <w:r>
        <w:rPr>
          <w:rFonts w:hint="eastAsia" w:ascii="宋体" w:hAnsi="宋体" w:eastAsia="宋体" w:cs="宋体"/>
          <w:sz w:val="24"/>
          <w:highlight w:val="none"/>
        </w:rPr>
        <w:t>方有权要求供方支付误期赔偿费。误期赔偿费每天按迟交货物的交货价或延期服务的服务费用的万分之五计收，直至交货或提供服务为止，误期赔偿金以合同总价5%为上限。一天按24小时计算，不足一天按一天计算，误</w:t>
      </w:r>
      <w:r>
        <w:rPr>
          <w:rFonts w:hint="eastAsia" w:ascii="宋体" w:hAnsi="宋体" w:eastAsia="宋体" w:cs="宋体"/>
          <w:color w:val="000000"/>
          <w:sz w:val="24"/>
          <w:highlight w:val="none"/>
        </w:rPr>
        <w:t>期超过30日的，需方有权单方解除合同并扣留履约保证金，对于供方造成的实际损失超过履约保证金的部分，需方有权要求供方按照实际损失予以赔偿。</w:t>
      </w:r>
      <w:r>
        <w:rPr>
          <w:rFonts w:hint="eastAsia" w:ascii="宋体" w:hAnsi="宋体" w:eastAsia="宋体" w:cs="宋体"/>
          <w:color w:val="000000"/>
          <w:sz w:val="24"/>
          <w:highlight w:val="none"/>
          <w:lang w:val="en-US" w:eastAsia="zh-CN"/>
        </w:rPr>
        <w:t>乙方需退还全部货款，另外乙方还需赔偿甲方维权产生的全部费用，包括但不限于鉴定费、律师费、保全担保费、公证费、诉讼费、标的物涨价产生的差额产生的费用等。</w:t>
      </w:r>
    </w:p>
    <w:p>
      <w:pPr>
        <w:spacing w:line="360" w:lineRule="auto"/>
        <w:ind w:firstLine="480" w:firstLineChars="20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13.1.2误期赔偿费可从应付货款和/或履约保证金中扣除。</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w:t>
      </w: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sz w:val="24"/>
          <w:highlight w:val="none"/>
        </w:rPr>
        <w:t>3收取误期赔偿费不影响需方采取合同规定的其他补救措施的权利。</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w:t>
      </w: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sz w:val="24"/>
          <w:highlight w:val="none"/>
        </w:rPr>
        <w:t>4供方如未能按本合同第九条、第十条规定进行售后服务，在收到需方书面故障处理通知之日起一个月内仍未能解决故障，需方将按出现故障设备供货价格从设备余款或履约保证金中扣除。</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13.1.5本合同解除后不影响需方向供方追责的权利。</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13.2产品质量问题</w:t>
      </w:r>
    </w:p>
    <w:p>
      <w:pPr>
        <w:spacing w:line="360" w:lineRule="auto"/>
        <w:ind w:firstLine="480" w:firstLineChars="200"/>
        <w:jc w:val="left"/>
        <w:rPr>
          <w:rFonts w:hint="eastAsia" w:ascii="宋体" w:hAnsi="宋体" w:eastAsia="宋体" w:cs="宋体"/>
          <w:sz w:val="24"/>
          <w:highlight w:val="none"/>
          <w:lang w:val="zh-CN"/>
        </w:rPr>
      </w:pPr>
      <w:r>
        <w:rPr>
          <w:rFonts w:hint="eastAsia" w:ascii="宋体" w:hAnsi="宋体" w:eastAsia="宋体" w:cs="宋体"/>
          <w:sz w:val="24"/>
          <w:highlight w:val="none"/>
        </w:rPr>
        <w:t>质保期内若出现质量问题</w:t>
      </w:r>
      <w:r>
        <w:rPr>
          <w:rFonts w:hint="eastAsia" w:ascii="宋体" w:hAnsi="宋体" w:eastAsia="宋体" w:cs="宋体"/>
          <w:sz w:val="24"/>
          <w:highlight w:val="none"/>
          <w:lang w:val="zh-CN"/>
        </w:rPr>
        <w:t>，乙方应免费及时维修更换，如因乙方原因导致甲方利益受损，甲方有权扣留履约保证金，对于乙方造成的损失超过履约保证金的部分，甲方有权要求乙方照实际损失予以赔偿。</w:t>
      </w:r>
      <w:r>
        <w:rPr>
          <w:rFonts w:hint="eastAsia" w:ascii="宋体" w:hAnsi="宋体" w:eastAsia="宋体" w:cs="宋体"/>
          <w:sz w:val="24"/>
          <w:highlight w:val="none"/>
        </w:rPr>
        <w:t>若因乙方提供相关手续资料不及时，影响甲方使用的，按照本合同误期赔偿执行</w:t>
      </w:r>
      <w:r>
        <w:rPr>
          <w:rFonts w:hint="eastAsia" w:ascii="宋体" w:hAnsi="宋体" w:eastAsia="宋体" w:cs="宋体"/>
          <w:sz w:val="24"/>
          <w:highlight w:val="none"/>
          <w:lang w:val="zh-CN"/>
        </w:rPr>
        <w:t>。</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13.3货物验收问题</w:t>
      </w:r>
    </w:p>
    <w:p>
      <w:pPr>
        <w:spacing w:line="360" w:lineRule="auto"/>
        <w:ind w:firstLine="480" w:firstLineChars="200"/>
        <w:jc w:val="left"/>
        <w:rPr>
          <w:rFonts w:hint="eastAsia" w:ascii="宋体" w:hAnsi="宋体" w:eastAsia="宋体" w:cs="宋体"/>
          <w:color w:val="FF0000"/>
          <w:sz w:val="24"/>
          <w:highlight w:val="none"/>
        </w:rPr>
      </w:pPr>
      <w:r>
        <w:rPr>
          <w:rFonts w:hint="eastAsia" w:ascii="宋体" w:hAnsi="宋体" w:eastAsia="宋体" w:cs="宋体"/>
          <w:sz w:val="24"/>
          <w:highlight w:val="none"/>
        </w:rPr>
        <w:t>验收不合格的货物，乙方按照验收下达的整改期限内进行整改，整改后，仍未达到合同约定技术要求的，</w:t>
      </w:r>
      <w:r>
        <w:rPr>
          <w:rFonts w:hint="eastAsia" w:ascii="宋体" w:hAnsi="宋体" w:eastAsia="宋体" w:cs="宋体"/>
          <w:sz w:val="24"/>
          <w:highlight w:val="none"/>
          <w:lang w:val="en-US" w:eastAsia="zh-CN"/>
        </w:rPr>
        <w:t>或在甲方指定的期限内未完成整改的</w:t>
      </w:r>
      <w:r>
        <w:rPr>
          <w:rFonts w:hint="eastAsia" w:ascii="宋体" w:hAnsi="宋体" w:eastAsia="宋体" w:cs="宋体"/>
          <w:sz w:val="24"/>
          <w:highlight w:val="none"/>
        </w:rPr>
        <w:t>，甲方有权单方解除合同，所产生的费用由乙方承担，同时甲方扣留全部履约保证金，对于乙方造成的损失超过履约保证金的部分，甲方有权要求乙方照实际损失予以赔偿。乙方须退还甲方已付款，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color w:val="000000" w:themeColor="text1"/>
          <w:sz w:val="24"/>
          <w:highlight w:val="none"/>
          <w14:textFill>
            <w14:solidFill>
              <w14:schemeClr w14:val="tx1"/>
            </w14:solidFill>
          </w14:textFill>
        </w:rPr>
        <w:t>十四、</w:t>
      </w:r>
      <w:r>
        <w:rPr>
          <w:rFonts w:hint="eastAsia" w:ascii="宋体" w:hAnsi="宋体" w:eastAsia="宋体" w:cs="宋体"/>
          <w:b/>
          <w:sz w:val="24"/>
          <w:highlight w:val="none"/>
        </w:rPr>
        <w:t>不可抗力</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14.1 由于不可抗力事件，导致任何一方不能执行本协议中的部分或全部义务时，应及时通知对方，受不可抗力影响的一方在不可抗力影响范围内免除责任。</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14.2 本条所述的“不可抗力”系指那些双方无法控制，不可预见的事件，但不包括供需双方的违约或疏忽。这些事件包括但不限于：战争、严重火灾、洪水、台风、地震以及其它供需双方商定的事件(供需双方认定国家政策重大变化属不可抗力)。</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14.3 在不可抗力事件发生后，当事方应尽快以书面形式将不可抗力的情况和原因以及因不可抗力导致合同不能履行的证据等通知对方。供需双方应尽实际可能继续履行合同义务，并积极寻求采取合理的方案履行不受不可抗力影响的其他事项。供需双方应通过友好协商在合理的时间内达成进一步履行合同的协议。</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十五、税费</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15.1 根据现行法律规定对需方征收的与本合同有关的一切税费均由需方负担。</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15.2 根据现行法律规定对供方征收的与本合同有关的一切税费均由供方负担。</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15.3 在中国境外发生的与执行本合同有关的一切税费均由供方负担。</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十六、争端的解决</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16.1 供需双方应通过友好协商，解决在执行本合同过程中所发生的或与本合同有关的一切争端。如从协商开始十（10）天内仍不能解决，</w:t>
      </w:r>
      <w:r>
        <w:rPr>
          <w:rFonts w:hint="eastAsia" w:ascii="宋体" w:hAnsi="宋体" w:eastAsia="宋体" w:cs="宋体"/>
          <w:sz w:val="24"/>
          <w:highlight w:val="none"/>
          <w:lang w:val="en-US" w:eastAsia="zh-CN"/>
        </w:rPr>
        <w:t>可向法院申请诉前调解</w:t>
      </w:r>
      <w:r>
        <w:rPr>
          <w:rFonts w:hint="eastAsia" w:ascii="宋体" w:hAnsi="宋体" w:eastAsia="宋体" w:cs="宋体"/>
          <w:sz w:val="24"/>
          <w:highlight w:val="none"/>
        </w:rPr>
        <w:t>。</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16.2 如果调解不成，直接进入诉讼程序</w:t>
      </w:r>
      <w:r>
        <w:rPr>
          <w:rFonts w:hint="eastAsia" w:ascii="宋体" w:hAnsi="宋体" w:eastAsia="宋体" w:cs="宋体"/>
          <w:sz w:val="24"/>
          <w:highlight w:val="none"/>
          <w:lang w:eastAsia="zh-CN"/>
        </w:rPr>
        <w:t>，</w:t>
      </w:r>
      <w:r>
        <w:rPr>
          <w:rFonts w:hint="eastAsia" w:ascii="宋体" w:hAnsi="宋体" w:eastAsia="宋体" w:cs="宋体"/>
          <w:sz w:val="24"/>
          <w:highlight w:val="none"/>
        </w:rPr>
        <w:t>供需双方的任何一方可以向合同签订地</w:t>
      </w:r>
      <w:r>
        <w:rPr>
          <w:rFonts w:hint="eastAsia" w:ascii="宋体" w:hAnsi="宋体" w:eastAsia="宋体" w:cs="宋体"/>
          <w:sz w:val="24"/>
          <w:highlight w:val="none"/>
          <w:lang w:eastAsia="zh-Hans"/>
        </w:rPr>
        <w:t>所在地</w:t>
      </w:r>
      <w:r>
        <w:rPr>
          <w:rFonts w:hint="eastAsia" w:ascii="宋体" w:hAnsi="宋体" w:eastAsia="宋体" w:cs="宋体"/>
          <w:sz w:val="24"/>
          <w:highlight w:val="none"/>
        </w:rPr>
        <w:t>人民法院提起诉讼。</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16.3诉讼费除法院另有裁决外均由败诉方负担。</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16.4在诉讼期间，除正在进行诉讼的部分外，本合同的其它部分应继续执行。</w:t>
      </w:r>
    </w:p>
    <w:p>
      <w:pPr>
        <w:spacing w:line="360" w:lineRule="auto"/>
        <w:ind w:firstLine="480" w:firstLineChars="200"/>
        <w:rPr>
          <w:rFonts w:hint="eastAsia" w:ascii="宋体" w:hAnsi="宋体" w:eastAsia="宋体" w:cs="宋体"/>
          <w:b/>
          <w:sz w:val="24"/>
          <w:highlight w:val="none"/>
        </w:rPr>
      </w:pPr>
      <w:r>
        <w:rPr>
          <w:rFonts w:hint="eastAsia" w:ascii="宋体" w:hAnsi="宋体" w:eastAsia="宋体" w:cs="宋体"/>
          <w:sz w:val="24"/>
          <w:highlight w:val="none"/>
        </w:rPr>
        <w:t>16.5 本合同产生争端，双方同意按《总体协议》第八条执行。</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十七、违约终止合同</w:t>
      </w:r>
    </w:p>
    <w:p>
      <w:pPr>
        <w:spacing w:line="360" w:lineRule="auto"/>
        <w:rPr>
          <w:rFonts w:hint="eastAsia" w:ascii="宋体" w:hAnsi="宋体" w:eastAsia="宋体" w:cs="宋体"/>
          <w:color w:val="FF0000"/>
          <w:sz w:val="24"/>
          <w:highlight w:val="none"/>
        </w:rPr>
      </w:pPr>
      <w:r>
        <w:rPr>
          <w:rFonts w:hint="eastAsia" w:ascii="宋体" w:hAnsi="宋体" w:eastAsia="宋体" w:cs="宋体"/>
          <w:sz w:val="24"/>
          <w:highlight w:val="none"/>
        </w:rPr>
        <w:t xml:space="preserve">    17.1 在需方因供方违约而按合同约定采取的任何补救措施不受影响的情况下，需方可在下列情况下向供方发出书面通知，提出</w:t>
      </w:r>
      <w:r>
        <w:rPr>
          <w:rFonts w:hint="eastAsia" w:ascii="宋体" w:hAnsi="宋体" w:eastAsia="宋体" w:cs="宋体"/>
          <w:sz w:val="24"/>
          <w:highlight w:val="none"/>
          <w:lang w:val="en-US" w:eastAsia="zh-CN"/>
        </w:rPr>
        <w:t>解除</w:t>
      </w:r>
      <w:r>
        <w:rPr>
          <w:rFonts w:hint="eastAsia" w:ascii="宋体" w:hAnsi="宋体" w:eastAsia="宋体" w:cs="宋体"/>
          <w:sz w:val="24"/>
          <w:highlight w:val="none"/>
        </w:rPr>
        <w:t>部分或全部合同。供方因其违约而给需方造成损害的，需方有权扣留全部履约保证金，对于供方造成的损失超过履约保证金的部分，需方有权要求供方照实际损失予以赔偿。</w:t>
      </w:r>
      <w:r>
        <w:rPr>
          <w:rFonts w:hint="eastAsia" w:ascii="宋体" w:hAnsi="宋体" w:eastAsia="宋体" w:cs="宋体"/>
          <w:sz w:val="24"/>
          <w:highlight w:val="none"/>
          <w:lang w:val="en-US" w:eastAsia="zh-CN"/>
        </w:rPr>
        <w:t>如甲方选择解除合同的，乙方须退还甲方已付货款，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（1）如果供方未能在合同规定的限期或需方同意延长的限期内提供部分或全部货物和服务。</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（2）如果供方未能履行合同规定的全部或部分义务。</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3）如果需方认为供方在本合同的竞争或实施中有腐败和欺诈行为。为此，定义如下：“腐败行为”是指提供、给予、接受或索取任何有价值的东西来影响采购人员在采购过程或合同实施过程中的行为；“欺诈行为”是指为了影响采购过程或合同实施过程而谎报事实，损害采购人的利益，包括供货单位之间串通，人为地使供货活动丧失竞争性，损害采购人所能获得的权益。</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17.2 如果需方根据上述第17.1款的规定，终止了全部或部分合同，需方可以依其认为适当的条件和方法购买与未交货物类似的货物，供方应对购买类似货物所超出的那部分费用负责。供方提交的履约保证金将被作为需方采取上述补救措施的购买资金的一部分。并且，供方应继续履行合同中未终止的部分。</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十八、破产终止合同</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18.1 如果供方破产或丧失清偿能力，需方可在任何时候以书面形式通知供方终止合同而不给供方补偿。该终止合同将不损害或影响需方已经采取或将要采取任何补救措施的权利。</w:t>
      </w:r>
    </w:p>
    <w:p>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十九、合同转让和分包</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供方不得部分转让和分包或全部转让和分包其应履行的合同义务，否则需方有权单方解除本合同并要求供方支付合同总价款5%的违约金。</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二十、适用法律</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本合同按照中华人民共和国的现行法律进行解释。</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二十一、合同生效</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本合同在供需双方法定代表人或其授权代理人签字并加盖公章并且吉林省消防救援总队收到供方提交的履约保证金后生效。 </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二十二、合同附件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下列文件构成本合同不可分割的组成部分，与本合同具有同等法律效力：</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1、招标文件及澄清、补充文件；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2、供方的投标文件、在投标期间的书面承诺文件和售后服务承诺书；        </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3、产品样本、说明书；</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4、中标通知书；</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5、政府采购验收报告单；</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6、合同的其他附件：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上述合同附件如果有不一致之处，以日期在后的和对甲方方有利的为准。</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二十三、合同修改</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color w:val="auto"/>
          <w:sz w:val="24"/>
          <w:highlight w:val="none"/>
        </w:rPr>
        <w:t>除供需双方签署</w:t>
      </w:r>
      <w:r>
        <w:rPr>
          <w:rFonts w:hint="eastAsia" w:ascii="宋体" w:hAnsi="宋体" w:eastAsia="宋体" w:cs="宋体"/>
          <w:sz w:val="24"/>
          <w:highlight w:val="none"/>
        </w:rPr>
        <w:t>书面修改、补充协议，并成为本合同不可分割的一部分之外，本合同条件不得有任何变化或修改。</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二十四、合同备案</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自本合同订立之日起七个工作日内，由需方负责向政府采购监督管理部门备案。</w:t>
      </w:r>
    </w:p>
    <w:p>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二十五、政府采购法对政府采购合同变更终止的规定：</w:t>
      </w:r>
      <w:r>
        <w:rPr>
          <w:rFonts w:hint="eastAsia" w:ascii="宋体" w:hAnsi="宋体" w:eastAsia="宋体" w:cs="宋体"/>
          <w:sz w:val="24"/>
          <w:highlight w:val="none"/>
        </w:rPr>
        <w:t>“政府采购合同的双方当事人不得擅自变更、中止或者终止合同。政府采购合同继续履行将损害国家利益和社会公共利益的，双方当事人应当变更、中止或者终止合同。有过错的一方应当承担赔偿责任，双方都有过错的，各自承担相应的责任。”在本合同中，双方当事人指供需双方。</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lang w:eastAsia="zh-Hans"/>
        </w:rPr>
        <w:t>甲</w:t>
      </w:r>
      <w:r>
        <w:rPr>
          <w:rFonts w:hint="eastAsia" w:ascii="宋体" w:hAnsi="宋体" w:eastAsia="宋体" w:cs="宋体"/>
          <w:sz w:val="24"/>
          <w:highlight w:val="none"/>
        </w:rPr>
        <w:t>方（</w:t>
      </w:r>
      <w:r>
        <w:rPr>
          <w:rFonts w:hint="eastAsia" w:ascii="宋体" w:hAnsi="宋体" w:eastAsia="宋体" w:cs="宋体"/>
          <w:sz w:val="24"/>
          <w:highlight w:val="none"/>
          <w:lang w:eastAsia="zh-Hans"/>
        </w:rPr>
        <w:t>盖章</w:t>
      </w: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lang w:eastAsia="zh-Hans"/>
        </w:rPr>
        <w:t>乙</w:t>
      </w:r>
      <w:r>
        <w:rPr>
          <w:rFonts w:hint="eastAsia" w:ascii="宋体" w:hAnsi="宋体" w:eastAsia="宋体" w:cs="宋体"/>
          <w:sz w:val="24"/>
          <w:highlight w:val="none"/>
        </w:rPr>
        <w:t>方（</w:t>
      </w:r>
      <w:r>
        <w:rPr>
          <w:rFonts w:hint="eastAsia" w:ascii="宋体" w:hAnsi="宋体" w:eastAsia="宋体" w:cs="宋体"/>
          <w:sz w:val="24"/>
          <w:highlight w:val="none"/>
          <w:lang w:eastAsia="zh-Hans"/>
        </w:rPr>
        <w:t>盖章</w:t>
      </w:r>
      <w:r>
        <w:rPr>
          <w:rFonts w:hint="eastAsia" w:ascii="宋体" w:hAnsi="宋体" w:eastAsia="宋体" w:cs="宋体"/>
          <w:sz w:val="24"/>
          <w:highlight w:val="none"/>
        </w:rPr>
        <w:t>）：</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地址：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地址：</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       </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法定代表人 ：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法定代表人 :              </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或授权</w:t>
      </w:r>
      <w:r>
        <w:rPr>
          <w:rFonts w:hint="eastAsia" w:ascii="宋体" w:hAnsi="宋体" w:eastAsia="宋体" w:cs="宋体"/>
          <w:sz w:val="24"/>
          <w:highlight w:val="none"/>
          <w:lang w:eastAsia="zh-Hans"/>
        </w:rPr>
        <w:t>代理</w:t>
      </w:r>
      <w:r>
        <w:rPr>
          <w:rFonts w:hint="eastAsia" w:ascii="宋体" w:hAnsi="宋体" w:eastAsia="宋体" w:cs="宋体"/>
          <w:sz w:val="24"/>
          <w:highlight w:val="none"/>
        </w:rPr>
        <w:t xml:space="preserve">人：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或授权代理人：</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邮政编码：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邮政编码：</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电话：                                  电话：</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传    真：                              传    真：</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联 系 人：                              联 系 人：</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开户银行：                              开户银行：</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账户名称:                               账户名称：</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账    号：                              账    号：</w:t>
      </w:r>
    </w:p>
    <w:p>
      <w:pPr>
        <w:spacing w:line="360" w:lineRule="auto"/>
        <w:ind w:firstLine="480" w:firstLineChars="200"/>
        <w:outlineLvl w:val="0"/>
        <w:rPr>
          <w:rFonts w:hint="eastAsia" w:ascii="宋体" w:hAnsi="宋体" w:eastAsia="宋体" w:cs="宋体"/>
          <w:sz w:val="24"/>
          <w:lang w:eastAsia="zh-Hans"/>
        </w:rPr>
      </w:pPr>
      <w:bookmarkStart w:id="83" w:name="_Toc13078"/>
      <w:bookmarkStart w:id="84" w:name="_Toc7938"/>
      <w:r>
        <w:rPr>
          <w:rFonts w:hint="eastAsia" w:ascii="宋体" w:hAnsi="宋体" w:eastAsia="宋体" w:cs="宋体"/>
          <w:sz w:val="24"/>
          <w:highlight w:val="none"/>
          <w:lang w:eastAsia="zh-Hans"/>
        </w:rPr>
        <w:t xml:space="preserve">年   月  日          </w:t>
      </w:r>
      <w:r>
        <w:rPr>
          <w:rFonts w:hint="eastAsia" w:ascii="宋体" w:hAnsi="宋体" w:eastAsia="宋体" w:cs="宋体"/>
          <w:sz w:val="24"/>
          <w:highlight w:val="none"/>
        </w:rPr>
        <w:t xml:space="preserve">   </w:t>
      </w:r>
      <w:r>
        <w:rPr>
          <w:rFonts w:hint="eastAsia" w:ascii="宋体" w:hAnsi="宋体" w:eastAsia="宋体" w:cs="宋体"/>
          <w:sz w:val="24"/>
          <w:highlight w:val="none"/>
          <w:lang w:eastAsia="zh-Hans"/>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lang w:eastAsia="zh-Hans"/>
        </w:rPr>
        <w:t>年   月  日</w:t>
      </w:r>
      <w:bookmarkEnd w:id="83"/>
      <w:bookmarkEnd w:id="84"/>
    </w:p>
    <w:p>
      <w:pPr>
        <w:rPr>
          <w:rFonts w:hint="eastAsia" w:ascii="宋体" w:hAnsi="宋体" w:eastAsia="宋体" w:cs="宋体"/>
          <w:sz w:val="24"/>
          <w:lang w:eastAsia="zh-Hans"/>
        </w:rPr>
      </w:pPr>
    </w:p>
    <w:p>
      <w:pPr>
        <w:pStyle w:val="4"/>
        <w:outlineLvl w:val="9"/>
        <w:rPr>
          <w:rFonts w:hint="eastAsia" w:ascii="宋体" w:hAnsi="宋体" w:eastAsia="宋体" w:cs="宋体"/>
          <w:sz w:val="24"/>
          <w:lang w:eastAsia="zh-Hans"/>
        </w:rPr>
      </w:pPr>
    </w:p>
    <w:p>
      <w:pPr>
        <w:pStyle w:val="5"/>
        <w:rPr>
          <w:rFonts w:hint="eastAsia" w:ascii="宋体" w:hAnsi="宋体" w:eastAsia="宋体" w:cs="宋体"/>
          <w:sz w:val="24"/>
          <w:lang w:eastAsia="zh-Hans"/>
        </w:rPr>
      </w:pPr>
    </w:p>
    <w:p>
      <w:pPr>
        <w:pStyle w:val="5"/>
        <w:rPr>
          <w:rFonts w:hint="eastAsia" w:ascii="宋体" w:hAnsi="宋体" w:eastAsia="宋体" w:cs="宋体"/>
          <w:sz w:val="24"/>
          <w:lang w:eastAsia="zh-Hans"/>
        </w:rPr>
      </w:pPr>
    </w:p>
    <w:p>
      <w:pPr>
        <w:pStyle w:val="5"/>
        <w:rPr>
          <w:rFonts w:hint="eastAsia" w:ascii="宋体" w:hAnsi="宋体" w:eastAsia="宋体" w:cs="宋体"/>
          <w:sz w:val="24"/>
          <w:lang w:eastAsia="zh-Hans"/>
        </w:rPr>
      </w:pPr>
    </w:p>
    <w:p>
      <w:pPr>
        <w:numPr>
          <w:ilvl w:val="0"/>
          <w:numId w:val="6"/>
        </w:numPr>
        <w:spacing w:line="360" w:lineRule="auto"/>
        <w:jc w:val="center"/>
        <w:outlineLvl w:val="0"/>
        <w:rPr>
          <w:rFonts w:hint="eastAsia" w:ascii="宋体" w:hAnsi="宋体" w:eastAsia="宋体" w:cs="宋体"/>
          <w:b/>
          <w:color w:val="auto"/>
          <w:sz w:val="36"/>
          <w:szCs w:val="36"/>
          <w:highlight w:val="none"/>
        </w:rPr>
      </w:pPr>
      <w:bookmarkStart w:id="85" w:name="_Toc9767"/>
      <w:r>
        <w:rPr>
          <w:rFonts w:hint="eastAsia" w:ascii="宋体" w:hAnsi="宋体" w:eastAsia="宋体" w:cs="宋体"/>
          <w:b/>
          <w:color w:val="auto"/>
          <w:sz w:val="36"/>
          <w:szCs w:val="36"/>
          <w:highlight w:val="none"/>
        </w:rPr>
        <w:t>技术</w:t>
      </w:r>
      <w:bookmarkStart w:id="86" w:name="_Toc419230801"/>
      <w:bookmarkStart w:id="87" w:name="_Toc155544236"/>
      <w:bookmarkStart w:id="88" w:name="_Toc356283733"/>
      <w:bookmarkStart w:id="89" w:name="_Toc142819438"/>
      <w:bookmarkStart w:id="90" w:name="_Toc137493721"/>
      <w:r>
        <w:rPr>
          <w:rFonts w:hint="eastAsia" w:ascii="宋体" w:hAnsi="宋体" w:eastAsia="宋体" w:cs="宋体"/>
          <w:b/>
          <w:color w:val="auto"/>
          <w:sz w:val="36"/>
          <w:szCs w:val="36"/>
          <w:highlight w:val="none"/>
        </w:rPr>
        <w:t>需求</w:t>
      </w:r>
      <w:bookmarkEnd w:id="85"/>
    </w:p>
    <w:p>
      <w:pPr>
        <w:pStyle w:val="3"/>
        <w:bidi w:val="0"/>
        <w:spacing w:line="360" w:lineRule="auto"/>
        <w:rPr>
          <w:rFonts w:hint="eastAsia" w:ascii="宋体" w:hAnsi="宋体" w:eastAsia="宋体" w:cs="宋体"/>
          <w:lang w:val="en-US" w:eastAsia="zh-CN"/>
        </w:rPr>
      </w:pPr>
      <w:r>
        <w:rPr>
          <w:rFonts w:hint="eastAsia" w:ascii="宋体" w:hAnsi="宋体" w:eastAsia="宋体" w:cs="宋体"/>
        </w:rPr>
        <w:t>01</w:t>
      </w:r>
      <w:r>
        <w:rPr>
          <w:rFonts w:hint="eastAsia" w:ascii="宋体" w:hAnsi="宋体" w:eastAsia="宋体" w:cs="宋体"/>
          <w:color w:val="auto"/>
          <w:highlight w:val="none"/>
        </w:rPr>
        <w:t>移动式消防炮</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一、总体要求：</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1.1水力自摆炮</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*1.2消防炮可存放于内径尺寸（长×宽×高）=68cm×38cm×48cm的箱内</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二、技术要求</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*1.1额定流量：≥40 L/s</w:t>
      </w:r>
    </w:p>
    <w:p>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 xml:space="preserve">1.2额定压力：0.8 </w:t>
      </w:r>
      <w:r>
        <w:rPr>
          <w:rFonts w:hint="eastAsia" w:ascii="宋体" w:hAnsi="宋体" w:eastAsia="宋体" w:cs="宋体"/>
          <w:color w:val="auto"/>
          <w:sz w:val="24"/>
          <w:szCs w:val="24"/>
          <w:highlight w:val="none"/>
          <w:lang w:eastAsia="zh-CN"/>
        </w:rPr>
        <w:t>MPa</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*1.3 0.8 </w:t>
      </w:r>
      <w:r>
        <w:rPr>
          <w:rFonts w:hint="eastAsia" w:ascii="宋体" w:hAnsi="宋体" w:eastAsia="宋体" w:cs="宋体"/>
          <w:color w:val="auto"/>
          <w:sz w:val="24"/>
          <w:szCs w:val="24"/>
          <w:highlight w:val="none"/>
          <w:lang w:eastAsia="zh-CN"/>
        </w:rPr>
        <w:t>MPa</w:t>
      </w:r>
      <w:r>
        <w:rPr>
          <w:rFonts w:hint="eastAsia" w:ascii="宋体" w:hAnsi="宋体" w:eastAsia="宋体" w:cs="宋体"/>
          <w:color w:val="auto"/>
          <w:sz w:val="24"/>
          <w:szCs w:val="24"/>
          <w:highlight w:val="none"/>
        </w:rPr>
        <w:t>水射程：≥60 m</w:t>
      </w:r>
    </w:p>
    <w:p>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FF0000"/>
          <w:sz w:val="24"/>
          <w:szCs w:val="24"/>
          <w:highlight w:val="none"/>
          <w:lang w:val="en-US" w:eastAsia="zh-CN"/>
        </w:rPr>
        <w:t>产品优势</w:t>
      </w:r>
      <w:r>
        <w:rPr>
          <w:rFonts w:hint="eastAsia" w:ascii="宋体" w:hAnsi="宋体" w:eastAsia="宋体" w:cs="宋体"/>
          <w:color w:val="FF0000"/>
          <w:sz w:val="24"/>
          <w:szCs w:val="24"/>
          <w:highlight w:val="none"/>
        </w:rPr>
        <w:t xml:space="preserve">☆0.8 </w:t>
      </w:r>
      <w:r>
        <w:rPr>
          <w:rFonts w:hint="eastAsia" w:ascii="宋体" w:hAnsi="宋体" w:eastAsia="宋体" w:cs="宋体"/>
          <w:color w:val="FF0000"/>
          <w:sz w:val="24"/>
          <w:szCs w:val="24"/>
          <w:highlight w:val="none"/>
          <w:lang w:eastAsia="zh-CN"/>
        </w:rPr>
        <w:t>MPa</w:t>
      </w:r>
      <w:r>
        <w:rPr>
          <w:rFonts w:hint="eastAsia" w:ascii="宋体" w:hAnsi="宋体" w:eastAsia="宋体" w:cs="宋体"/>
          <w:color w:val="FF0000"/>
          <w:sz w:val="24"/>
          <w:szCs w:val="24"/>
          <w:highlight w:val="none"/>
        </w:rPr>
        <w:t>水射程</w:t>
      </w:r>
      <w:r>
        <w:rPr>
          <w:rFonts w:hint="eastAsia" w:ascii="宋体" w:hAnsi="宋体" w:eastAsia="宋体" w:cs="宋体"/>
          <w:color w:val="FF0000"/>
          <w:sz w:val="24"/>
          <w:szCs w:val="24"/>
          <w:highlight w:val="none"/>
          <w:lang w:eastAsia="zh-CN"/>
        </w:rPr>
        <w:t>：</w:t>
      </w:r>
      <w:r>
        <w:rPr>
          <w:rFonts w:hint="eastAsia" w:ascii="宋体" w:hAnsi="宋体" w:eastAsia="宋体" w:cs="宋体"/>
          <w:color w:val="FF0000"/>
          <w:sz w:val="24"/>
          <w:szCs w:val="24"/>
          <w:highlight w:val="none"/>
        </w:rPr>
        <w:t>m</w:t>
      </w:r>
      <w:r>
        <w:rPr>
          <w:rFonts w:hint="eastAsia" w:ascii="宋体" w:hAnsi="宋体" w:eastAsia="宋体" w:cs="宋体"/>
          <w:color w:val="FF0000"/>
          <w:sz w:val="24"/>
          <w:szCs w:val="24"/>
          <w:highlight w:val="none"/>
          <w:lang w:eastAsia="zh-CN"/>
        </w:rPr>
        <w:t>；</w:t>
      </w:r>
      <w:r>
        <w:rPr>
          <w:rFonts w:hint="eastAsia" w:ascii="宋体" w:hAnsi="宋体" w:eastAsia="宋体" w:cs="宋体"/>
          <w:bCs/>
          <w:color w:val="FF0000"/>
          <w:sz w:val="24"/>
          <w:szCs w:val="24"/>
          <w:highlight w:val="none"/>
        </w:rPr>
        <w:t>分为五档，一至五挡分别为：</w:t>
      </w:r>
      <w:r>
        <w:rPr>
          <w:rFonts w:hint="eastAsia" w:ascii="宋体" w:hAnsi="宋体" w:eastAsia="宋体" w:cs="宋体"/>
          <w:bCs/>
          <w:color w:val="FF0000"/>
          <w:sz w:val="24"/>
          <w:szCs w:val="24"/>
          <w:highlight w:val="none"/>
          <w:lang w:val="en-US" w:eastAsia="zh-CN"/>
        </w:rPr>
        <w:t>射程</w:t>
      </w:r>
      <w:r>
        <w:rPr>
          <w:rFonts w:hint="eastAsia" w:ascii="宋体" w:hAnsi="宋体" w:eastAsia="宋体" w:cs="宋体"/>
          <w:bCs/>
          <w:color w:val="FF0000"/>
          <w:sz w:val="24"/>
          <w:szCs w:val="24"/>
          <w:highlight w:val="none"/>
        </w:rPr>
        <w:t>＞80； 80≥</w:t>
      </w:r>
      <w:r>
        <w:rPr>
          <w:rFonts w:hint="eastAsia" w:ascii="宋体" w:hAnsi="宋体" w:eastAsia="宋体" w:cs="宋体"/>
          <w:bCs/>
          <w:color w:val="FF0000"/>
          <w:sz w:val="24"/>
          <w:szCs w:val="24"/>
          <w:highlight w:val="none"/>
          <w:lang w:val="en-US" w:eastAsia="zh-CN"/>
        </w:rPr>
        <w:t>射程</w:t>
      </w:r>
      <w:r>
        <w:rPr>
          <w:rFonts w:hint="eastAsia" w:ascii="宋体" w:hAnsi="宋体" w:eastAsia="宋体" w:cs="宋体"/>
          <w:bCs/>
          <w:color w:val="FF0000"/>
          <w:sz w:val="24"/>
          <w:szCs w:val="24"/>
          <w:highlight w:val="none"/>
        </w:rPr>
        <w:t>＞75；75≥</w:t>
      </w:r>
      <w:r>
        <w:rPr>
          <w:rFonts w:hint="eastAsia" w:ascii="宋体" w:hAnsi="宋体" w:eastAsia="宋体" w:cs="宋体"/>
          <w:bCs/>
          <w:color w:val="FF0000"/>
          <w:sz w:val="24"/>
          <w:szCs w:val="24"/>
          <w:highlight w:val="none"/>
          <w:lang w:val="en-US" w:eastAsia="zh-CN"/>
        </w:rPr>
        <w:t>射程</w:t>
      </w:r>
      <w:r>
        <w:rPr>
          <w:rFonts w:hint="eastAsia" w:ascii="宋体" w:hAnsi="宋体" w:eastAsia="宋体" w:cs="宋体"/>
          <w:bCs/>
          <w:color w:val="FF0000"/>
          <w:sz w:val="24"/>
          <w:szCs w:val="24"/>
          <w:highlight w:val="none"/>
        </w:rPr>
        <w:t>＞70；70≥</w:t>
      </w:r>
      <w:r>
        <w:rPr>
          <w:rFonts w:hint="eastAsia" w:ascii="宋体" w:hAnsi="宋体" w:eastAsia="宋体" w:cs="宋体"/>
          <w:bCs/>
          <w:color w:val="FF0000"/>
          <w:sz w:val="24"/>
          <w:szCs w:val="24"/>
          <w:highlight w:val="none"/>
          <w:lang w:val="en-US" w:eastAsia="zh-CN"/>
        </w:rPr>
        <w:t>射程</w:t>
      </w:r>
      <w:r>
        <w:rPr>
          <w:rFonts w:hint="eastAsia" w:ascii="宋体" w:hAnsi="宋体" w:eastAsia="宋体" w:cs="宋体"/>
          <w:bCs/>
          <w:color w:val="FF0000"/>
          <w:sz w:val="24"/>
          <w:szCs w:val="24"/>
          <w:highlight w:val="none"/>
        </w:rPr>
        <w:t>＞65；65≥</w:t>
      </w:r>
      <w:r>
        <w:rPr>
          <w:rFonts w:hint="eastAsia" w:ascii="宋体" w:hAnsi="宋体" w:eastAsia="宋体" w:cs="宋体"/>
          <w:bCs/>
          <w:color w:val="FF0000"/>
          <w:sz w:val="24"/>
          <w:szCs w:val="24"/>
          <w:highlight w:val="none"/>
          <w:lang w:val="en-US" w:eastAsia="zh-CN"/>
        </w:rPr>
        <w:t>射程</w:t>
      </w:r>
      <w:r>
        <w:rPr>
          <w:rFonts w:hint="eastAsia" w:ascii="宋体" w:hAnsi="宋体" w:eastAsia="宋体" w:cs="宋体"/>
          <w:bCs/>
          <w:color w:val="FF0000"/>
          <w:sz w:val="24"/>
          <w:szCs w:val="24"/>
          <w:highlight w:val="none"/>
        </w:rPr>
        <w:t>＞60</w:t>
      </w:r>
      <w:r>
        <w:rPr>
          <w:rFonts w:hint="eastAsia" w:ascii="宋体" w:hAnsi="宋体" w:eastAsia="宋体" w:cs="宋体"/>
          <w:bCs/>
          <w:color w:val="FF0000"/>
          <w:sz w:val="24"/>
          <w:szCs w:val="24"/>
          <w:highlight w:val="none"/>
          <w:lang w:eastAsia="zh-CN"/>
        </w:rPr>
        <w:t>；</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1.4仰角范围：+30°— +70°</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1.5水平回转角：≥40°</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1.6喷雾角：0°— 90°可调</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1.7自摆角：≥40°</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1.8可配发泡管使用，泡沫喷射距离≥60 m</w:t>
      </w:r>
    </w:p>
    <w:p>
      <w:pPr>
        <w:autoSpaceDE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*1.9质量：≤20kg。</w:t>
      </w:r>
    </w:p>
    <w:p>
      <w:pPr>
        <w:spacing w:line="360" w:lineRule="auto"/>
        <w:rPr>
          <w:rFonts w:hint="eastAsia" w:ascii="宋体" w:hAnsi="宋体" w:eastAsia="宋体" w:cs="宋体"/>
          <w:color w:val="FF0000"/>
          <w:sz w:val="24"/>
          <w:szCs w:val="24"/>
          <w:highlight w:val="none"/>
          <w:lang w:eastAsia="zh-CN"/>
        </w:rPr>
      </w:pPr>
      <w:r>
        <w:rPr>
          <w:rFonts w:hint="eastAsia" w:ascii="宋体" w:hAnsi="宋体" w:eastAsia="宋体" w:cs="宋体"/>
          <w:color w:val="FF0000"/>
          <w:sz w:val="24"/>
          <w:szCs w:val="24"/>
          <w:highlight w:val="none"/>
          <w:lang w:val="en-US" w:eastAsia="zh-CN"/>
        </w:rPr>
        <w:t>产品优势</w:t>
      </w:r>
      <w:r>
        <w:rPr>
          <w:rFonts w:hint="eastAsia" w:ascii="宋体" w:hAnsi="宋体" w:eastAsia="宋体" w:cs="宋体"/>
          <w:color w:val="FF0000"/>
          <w:sz w:val="24"/>
          <w:szCs w:val="24"/>
          <w:highlight w:val="none"/>
        </w:rPr>
        <w:t>☆质量</w:t>
      </w:r>
      <w:r>
        <w:rPr>
          <w:rFonts w:hint="eastAsia" w:ascii="宋体" w:hAnsi="宋体" w:eastAsia="宋体" w:cs="宋体"/>
          <w:color w:val="FF0000"/>
          <w:sz w:val="24"/>
          <w:szCs w:val="24"/>
          <w:highlight w:val="none"/>
          <w:lang w:eastAsia="zh-CN"/>
        </w:rPr>
        <w:t>：</w:t>
      </w:r>
      <w:r>
        <w:rPr>
          <w:rFonts w:hint="eastAsia" w:ascii="宋体" w:hAnsi="宋体" w:eastAsia="宋体" w:cs="宋体"/>
          <w:color w:val="FF0000"/>
          <w:sz w:val="24"/>
          <w:szCs w:val="24"/>
          <w:highlight w:val="none"/>
        </w:rPr>
        <w:t>kg</w:t>
      </w:r>
      <w:r>
        <w:rPr>
          <w:rFonts w:hint="eastAsia" w:ascii="宋体" w:hAnsi="宋体" w:eastAsia="宋体" w:cs="宋体"/>
          <w:color w:val="FF0000"/>
          <w:sz w:val="24"/>
          <w:szCs w:val="24"/>
          <w:highlight w:val="none"/>
          <w:lang w:eastAsia="zh-CN"/>
        </w:rPr>
        <w:t>；</w:t>
      </w:r>
      <w:r>
        <w:rPr>
          <w:rFonts w:hint="eastAsia" w:ascii="宋体" w:hAnsi="宋体" w:eastAsia="宋体" w:cs="宋体"/>
          <w:bCs/>
          <w:color w:val="FF0000"/>
          <w:sz w:val="24"/>
          <w:szCs w:val="24"/>
          <w:highlight w:val="none"/>
        </w:rPr>
        <w:t>分为五档，一至五挡分别为： 质量＜12；12≤质量＜14；14≤质量＜16；16≤质量＜18；18≤质量＜20；</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三、其他要求</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3.1消防炮明显位置上应设置清晰永久性标志牌。</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3.2提供国家级检验机构出具的检测报告，提供检测机构应经国家认证认可监督管理部门批准依法取得相应资质的有效证明材料，否则不予认定。</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3.3供货时，须提供</w:t>
      </w:r>
      <w:r>
        <w:rPr>
          <w:rFonts w:hint="eastAsia" w:ascii="宋体" w:hAnsi="宋体" w:eastAsia="宋体" w:cs="宋体"/>
          <w:color w:val="auto"/>
          <w:sz w:val="24"/>
          <w:szCs w:val="24"/>
          <w:highlight w:val="none"/>
          <w:lang w:eastAsia="zh-CN"/>
        </w:rPr>
        <w:t>使用说明书</w:t>
      </w:r>
      <w:r>
        <w:rPr>
          <w:rFonts w:hint="eastAsia" w:ascii="宋体" w:hAnsi="宋体" w:eastAsia="宋体" w:cs="宋体"/>
          <w:color w:val="auto"/>
          <w:sz w:val="24"/>
          <w:szCs w:val="24"/>
          <w:highlight w:val="none"/>
        </w:rPr>
        <w:t>、品牌、生产厂家详细地址、联络方式及代理商的详细地址和售后服务联络方式。</w:t>
      </w:r>
    </w:p>
    <w:p>
      <w:pPr>
        <w:adjustRightInd w:val="0"/>
        <w:snapToGrid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四</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可能采取的验收办法</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4.1现场对</w:t>
      </w:r>
      <w:r>
        <w:rPr>
          <w:rFonts w:hint="eastAsia" w:ascii="宋体" w:hAnsi="宋体" w:eastAsia="宋体" w:cs="宋体"/>
          <w:color w:val="auto"/>
          <w:sz w:val="24"/>
          <w:szCs w:val="24"/>
          <w:highlight w:val="none"/>
        </w:rPr>
        <w:t>流量</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射程</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仰角</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水平回转角</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喷雾角</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自摆角</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质量</w:t>
      </w:r>
      <w:r>
        <w:rPr>
          <w:rFonts w:hint="eastAsia" w:ascii="宋体" w:hAnsi="宋体" w:eastAsia="宋体" w:cs="宋体"/>
          <w:color w:val="auto"/>
          <w:sz w:val="24"/>
          <w:szCs w:val="24"/>
          <w:highlight w:val="none"/>
          <w:lang w:val="en-US" w:eastAsia="zh-CN"/>
        </w:rPr>
        <w:t>进行</w:t>
      </w:r>
      <w:r>
        <w:rPr>
          <w:rFonts w:hint="eastAsia" w:ascii="宋体" w:hAnsi="宋体" w:eastAsia="宋体" w:cs="宋体"/>
          <w:bCs/>
          <w:color w:val="auto"/>
          <w:sz w:val="24"/>
          <w:szCs w:val="24"/>
          <w:highlight w:val="none"/>
          <w:lang w:val="en-US" w:eastAsia="zh-CN"/>
        </w:rPr>
        <w:t>测试</w:t>
      </w:r>
      <w:r>
        <w:rPr>
          <w:rFonts w:hint="eastAsia" w:ascii="宋体" w:hAnsi="宋体" w:eastAsia="宋体" w:cs="宋体"/>
          <w:color w:val="auto"/>
          <w:sz w:val="24"/>
          <w:szCs w:val="24"/>
          <w:highlight w:val="none"/>
          <w:lang w:val="en-US" w:eastAsia="zh-CN"/>
        </w:rPr>
        <w:t>。</w:t>
      </w:r>
    </w:p>
    <w:p>
      <w:pPr>
        <w:adjustRightInd w:val="0"/>
        <w:snapToGrid w:val="0"/>
        <w:spacing w:line="360" w:lineRule="auto"/>
        <w:jc w:val="left"/>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4.2聘请未中标人员进行验收。</w:t>
      </w:r>
    </w:p>
    <w:bookmarkEnd w:id="86"/>
    <w:bookmarkEnd w:id="87"/>
    <w:bookmarkEnd w:id="88"/>
    <w:bookmarkEnd w:id="89"/>
    <w:bookmarkEnd w:id="90"/>
    <w:p>
      <w:pPr>
        <w:pStyle w:val="33"/>
        <w:numPr>
          <w:ilvl w:val="0"/>
          <w:numId w:val="0"/>
        </w:numPr>
        <w:spacing w:line="360" w:lineRule="auto"/>
        <w:rPr>
          <w:rFonts w:hint="eastAsia" w:ascii="宋体" w:hAnsi="宋体" w:eastAsia="宋体" w:cs="宋体"/>
          <w:b/>
          <w:bCs/>
          <w:color w:val="0000FF"/>
          <w:kern w:val="0"/>
          <w:sz w:val="24"/>
          <w:highlight w:val="yellow"/>
          <w:lang w:eastAsia="zh-CN" w:bidi="ar"/>
        </w:rPr>
      </w:pPr>
    </w:p>
    <w:p>
      <w:pPr>
        <w:spacing w:line="360" w:lineRule="auto"/>
        <w:jc w:val="center"/>
        <w:outlineLvl w:val="0"/>
        <w:rPr>
          <w:rFonts w:hint="eastAsia" w:ascii="宋体" w:hAnsi="宋体" w:eastAsia="宋体" w:cs="宋体"/>
          <w:b/>
          <w:color w:val="auto"/>
          <w:sz w:val="36"/>
          <w:szCs w:val="36"/>
          <w:highlight w:val="none"/>
        </w:rPr>
      </w:pPr>
      <w:bookmarkStart w:id="91" w:name="_Toc32331"/>
      <w:r>
        <w:rPr>
          <w:rFonts w:hint="eastAsia" w:ascii="宋体" w:hAnsi="宋体" w:eastAsia="宋体" w:cs="宋体"/>
          <w:b/>
          <w:color w:val="auto"/>
          <w:sz w:val="36"/>
          <w:szCs w:val="36"/>
          <w:highlight w:val="none"/>
        </w:rPr>
        <w:t>第六章投标文件构成及格式</w:t>
      </w:r>
      <w:bookmarkEnd w:id="91"/>
    </w:p>
    <w:p>
      <w:pPr>
        <w:spacing w:line="360" w:lineRule="auto"/>
        <w:ind w:left="420"/>
        <w:jc w:val="center"/>
        <w:rPr>
          <w:rFonts w:hint="eastAsia" w:ascii="宋体" w:hAnsi="宋体" w:eastAsia="宋体" w:cs="宋体"/>
          <w:color w:val="auto"/>
          <w:sz w:val="24"/>
          <w:highlight w:val="none"/>
        </w:rPr>
      </w:pPr>
    </w:p>
    <w:p>
      <w:pPr>
        <w:pStyle w:val="14"/>
        <w:spacing w:line="360" w:lineRule="auto"/>
        <w:outlineLvl w:val="0"/>
        <w:rPr>
          <w:rFonts w:hint="eastAsia" w:ascii="宋体" w:hAnsi="宋体" w:eastAsia="宋体" w:cs="宋体"/>
          <w:bCs/>
          <w:color w:val="auto"/>
          <w:szCs w:val="24"/>
          <w:highlight w:val="none"/>
        </w:rPr>
      </w:pPr>
      <w:bookmarkStart w:id="92" w:name="_Toc19528"/>
      <w:r>
        <w:rPr>
          <w:rFonts w:hint="eastAsia" w:ascii="宋体" w:hAnsi="宋体" w:eastAsia="宋体" w:cs="宋体"/>
          <w:bCs/>
          <w:color w:val="auto"/>
          <w:szCs w:val="24"/>
          <w:highlight w:val="none"/>
        </w:rPr>
        <w:t>采购人特别声明：</w:t>
      </w:r>
      <w:bookmarkEnd w:id="92"/>
    </w:p>
    <w:p>
      <w:pPr>
        <w:pStyle w:val="35"/>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投标人应提交本“投标文件格式”所列举和要求的全部投标文件，并且所提交的投标文件都是真实有效的，否则，将是投标人的风险。</w:t>
      </w:r>
    </w:p>
    <w:p>
      <w:pPr>
        <w:spacing w:line="360" w:lineRule="auto"/>
        <w:rPr>
          <w:rFonts w:hint="eastAsia" w:ascii="宋体" w:hAnsi="宋体" w:eastAsia="宋体" w:cs="宋体"/>
          <w:b/>
          <w:color w:val="auto"/>
          <w:sz w:val="24"/>
          <w:szCs w:val="28"/>
          <w:highlight w:val="none"/>
        </w:rPr>
        <w:sectPr>
          <w:headerReference r:id="rId8" w:type="default"/>
          <w:footerReference r:id="rId9" w:type="default"/>
          <w:pgSz w:w="11906" w:h="16838"/>
          <w:pgMar w:top="1361" w:right="1304" w:bottom="1247" w:left="1304" w:header="680" w:footer="680" w:gutter="0"/>
          <w:cols w:space="720" w:num="1"/>
          <w:docGrid w:linePitch="312" w:charSpace="0"/>
        </w:sect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格式一</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bCs/>
          <w:color w:val="auto"/>
          <w:sz w:val="24"/>
          <w:szCs w:val="28"/>
          <w:highlight w:val="none"/>
        </w:rPr>
        <w:t>开标一览表（格式）</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项目名称：</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项目编号：</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投标人名称（加盖公章）：</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bCs/>
          <w:color w:val="auto"/>
          <w:sz w:val="24"/>
          <w:highlight w:val="none"/>
        </w:rPr>
        <w:t>或授权代理人（签字）：</w:t>
      </w:r>
    </w:p>
    <w:p>
      <w:pPr>
        <w:spacing w:line="360" w:lineRule="auto"/>
        <w:rPr>
          <w:rFonts w:hint="eastAsia" w:ascii="宋体" w:hAnsi="宋体" w:eastAsia="宋体" w:cs="宋体"/>
          <w:bCs/>
          <w:color w:val="auto"/>
          <w:sz w:val="24"/>
          <w:highlight w:val="none"/>
        </w:rPr>
      </w:pP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时间：</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日</w:t>
      </w:r>
      <w:r>
        <w:rPr>
          <w:rFonts w:hint="eastAsia" w:ascii="宋体" w:hAnsi="宋体" w:eastAsia="宋体" w:cs="宋体"/>
          <w:bCs/>
          <w:color w:val="auto"/>
          <w:sz w:val="24"/>
          <w:highlight w:val="none"/>
          <w:lang w:val="en-US" w:eastAsia="zh-CN"/>
        </w:rPr>
        <w:t xml:space="preserve">              标段</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货币单位:</w:t>
      </w:r>
      <w:r>
        <w:rPr>
          <w:rFonts w:hint="eastAsia" w:ascii="宋体" w:hAnsi="宋体" w:eastAsia="宋体" w:cs="宋体"/>
          <w:b w:val="0"/>
          <w:bCs w:val="0"/>
          <w:i w:val="0"/>
          <w:iCs/>
          <w:color w:val="auto"/>
          <w:sz w:val="24"/>
          <w:highlight w:val="none"/>
          <w:u w:val="single"/>
        </w:rPr>
        <w:t>元</w:t>
      </w:r>
    </w:p>
    <w:tbl>
      <w:tblPr>
        <w:tblStyle w:val="24"/>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3138"/>
        <w:gridCol w:w="703"/>
        <w:gridCol w:w="904"/>
        <w:gridCol w:w="913"/>
        <w:gridCol w:w="1245"/>
        <w:gridCol w:w="1095"/>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50"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序号</w:t>
            </w:r>
          </w:p>
        </w:tc>
        <w:tc>
          <w:tcPr>
            <w:tcW w:w="3138"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投标货物名称</w:t>
            </w:r>
          </w:p>
        </w:tc>
        <w:tc>
          <w:tcPr>
            <w:tcW w:w="703"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单价</w:t>
            </w:r>
          </w:p>
        </w:tc>
        <w:tc>
          <w:tcPr>
            <w:tcW w:w="904"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数量</w:t>
            </w:r>
          </w:p>
        </w:tc>
        <w:tc>
          <w:tcPr>
            <w:tcW w:w="913"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总价</w:t>
            </w:r>
          </w:p>
        </w:tc>
        <w:tc>
          <w:tcPr>
            <w:tcW w:w="1245"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color w:val="auto"/>
                <w:sz w:val="24"/>
                <w:highlight w:val="none"/>
              </w:rPr>
              <w:t>合同履行期限</w:t>
            </w:r>
            <w:r>
              <w:rPr>
                <w:rFonts w:hint="eastAsia" w:ascii="宋体" w:hAnsi="宋体" w:eastAsia="宋体" w:cs="宋体"/>
                <w:color w:val="auto"/>
                <w:sz w:val="24"/>
                <w:highlight w:val="none"/>
                <w:lang w:eastAsia="zh-CN"/>
              </w:rPr>
              <w:t>（交货期）</w:t>
            </w:r>
          </w:p>
        </w:tc>
        <w:tc>
          <w:tcPr>
            <w:tcW w:w="1095" w:type="dxa"/>
            <w:vAlign w:val="center"/>
          </w:tcPr>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投标保证金</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有/无</w:t>
            </w:r>
            <w:r>
              <w:rPr>
                <w:rFonts w:hint="eastAsia" w:ascii="宋体" w:hAnsi="宋体" w:eastAsia="宋体" w:cs="宋体"/>
                <w:bCs/>
                <w:color w:val="auto"/>
                <w:sz w:val="24"/>
                <w:highlight w:val="none"/>
                <w:lang w:eastAsia="zh-CN"/>
              </w:rPr>
              <w:t>）</w:t>
            </w:r>
          </w:p>
        </w:tc>
        <w:tc>
          <w:tcPr>
            <w:tcW w:w="720" w:type="dxa"/>
            <w:vAlign w:val="center"/>
          </w:tcPr>
          <w:p>
            <w:pPr>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9468" w:type="dxa"/>
            <w:gridSpan w:val="8"/>
            <w:vAlign w:val="center"/>
          </w:tcPr>
          <w:p>
            <w:pP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投标总价：</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1.本“开标一览表”用于开标时唱标使用。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2.此表中的各项内容应与投标文件的相应内容一致。</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i/>
          <w:color w:val="auto"/>
          <w:sz w:val="24"/>
          <w:highlight w:val="none"/>
          <w:u w:val="single"/>
        </w:rPr>
        <w:t>此表应按投标人须知的要求单独密封和标记，并按目录顺序加入投标文件中，与投标文件同时递交。</w:t>
      </w:r>
    </w:p>
    <w:p>
      <w:pPr>
        <w:spacing w:line="360" w:lineRule="auto"/>
        <w:ind w:firstLine="480" w:firstLineChars="200"/>
        <w:outlineLvl w:val="0"/>
        <w:rPr>
          <w:rFonts w:hint="eastAsia" w:ascii="宋体" w:hAnsi="宋体" w:eastAsia="宋体" w:cs="宋体"/>
          <w:color w:val="auto"/>
          <w:sz w:val="24"/>
          <w:highlight w:val="none"/>
        </w:rPr>
      </w:pPr>
      <w:bookmarkStart w:id="93" w:name="_Toc24519"/>
      <w:r>
        <w:rPr>
          <w:rFonts w:hint="eastAsia" w:ascii="宋体" w:hAnsi="宋体" w:eastAsia="宋体" w:cs="宋体"/>
          <w:color w:val="auto"/>
          <w:sz w:val="24"/>
          <w:highlight w:val="none"/>
        </w:rPr>
        <w:t>4.此表可根据需要自行拉长加宽。（可根据实际情况调整）</w:t>
      </w:r>
      <w:bookmarkEnd w:id="93"/>
    </w:p>
    <w:p>
      <w:pPr>
        <w:spacing w:line="360" w:lineRule="auto"/>
        <w:ind w:firstLine="480" w:firstLineChars="200"/>
        <w:outlineLvl w:val="0"/>
        <w:rPr>
          <w:rFonts w:hint="eastAsia" w:ascii="宋体" w:hAnsi="宋体" w:eastAsia="宋体" w:cs="宋体"/>
          <w:color w:val="auto"/>
          <w:sz w:val="24"/>
          <w:highlight w:val="none"/>
        </w:rPr>
      </w:pPr>
      <w:bookmarkStart w:id="94" w:name="_Toc27349"/>
      <w:r>
        <w:rPr>
          <w:rFonts w:hint="eastAsia" w:ascii="宋体" w:hAnsi="宋体" w:eastAsia="宋体" w:cs="宋体"/>
          <w:color w:val="auto"/>
          <w:sz w:val="24"/>
          <w:highlight w:val="none"/>
        </w:rPr>
        <w:t>5.投标人报价应为优惠条件折算后的最终价格。评标过程中不再接受价优惠条件的价格折算。</w:t>
      </w:r>
      <w:bookmarkEnd w:id="94"/>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格式二：</w:t>
      </w:r>
    </w:p>
    <w:p>
      <w:pPr>
        <w:pStyle w:val="14"/>
        <w:spacing w:line="360" w:lineRule="auto"/>
        <w:jc w:val="center"/>
        <w:outlineLvl w:val="0"/>
        <w:rPr>
          <w:rFonts w:hint="eastAsia" w:ascii="宋体" w:hAnsi="宋体" w:eastAsia="宋体" w:cs="宋体"/>
          <w:b/>
          <w:bCs/>
          <w:color w:val="auto"/>
          <w:szCs w:val="28"/>
          <w:highlight w:val="none"/>
        </w:rPr>
      </w:pPr>
      <w:bookmarkStart w:id="95" w:name="_Toc32569"/>
      <w:r>
        <w:rPr>
          <w:rFonts w:hint="eastAsia" w:ascii="宋体" w:hAnsi="宋体" w:eastAsia="宋体" w:cs="宋体"/>
          <w:b/>
          <w:bCs/>
          <w:color w:val="auto"/>
          <w:szCs w:val="28"/>
          <w:highlight w:val="none"/>
        </w:rPr>
        <w:t>投标函（格式）</w:t>
      </w:r>
      <w:bookmarkEnd w:id="95"/>
    </w:p>
    <w:p>
      <w:pPr>
        <w:pStyle w:val="14"/>
        <w:widowControl/>
        <w:spacing w:line="300" w:lineRule="auto"/>
        <w:outlineLvl w:val="0"/>
        <w:rPr>
          <w:rFonts w:hint="eastAsia" w:ascii="宋体" w:hAnsi="宋体" w:eastAsia="宋体" w:cs="宋体"/>
          <w:color w:val="auto"/>
          <w:kern w:val="0"/>
          <w:szCs w:val="24"/>
          <w:highlight w:val="none"/>
          <w:u w:val="single"/>
          <w:lang w:eastAsia="zh-CN"/>
        </w:rPr>
      </w:pPr>
      <w:bookmarkStart w:id="96" w:name="_Toc20182"/>
      <w:r>
        <w:rPr>
          <w:rFonts w:hint="eastAsia" w:ascii="宋体" w:hAnsi="宋体" w:eastAsia="宋体" w:cs="宋体"/>
          <w:color w:val="auto"/>
          <w:kern w:val="0"/>
          <w:szCs w:val="24"/>
          <w:highlight w:val="none"/>
        </w:rPr>
        <w:t>致：</w:t>
      </w:r>
      <w:bookmarkEnd w:id="96"/>
      <w:r>
        <w:rPr>
          <w:rFonts w:hint="eastAsia" w:ascii="宋体" w:hAnsi="宋体" w:eastAsia="宋体" w:cs="宋体"/>
          <w:color w:val="auto"/>
          <w:kern w:val="0"/>
          <w:szCs w:val="24"/>
          <w:highlight w:val="none"/>
          <w:lang w:eastAsia="zh-CN"/>
        </w:rPr>
        <w:t>中科高盛咨询集团有限公司</w:t>
      </w:r>
    </w:p>
    <w:p>
      <w:pPr>
        <w:spacing w:line="300" w:lineRule="auto"/>
        <w:ind w:left="239" w:leftChars="114" w:firstLine="240" w:firstLineChars="100"/>
        <w:outlineLvl w:val="0"/>
        <w:rPr>
          <w:rFonts w:hint="eastAsia" w:ascii="宋体" w:hAnsi="宋体" w:eastAsia="宋体" w:cs="宋体"/>
          <w:color w:val="auto"/>
          <w:sz w:val="24"/>
          <w:highlight w:val="none"/>
        </w:rPr>
      </w:pPr>
      <w:bookmarkStart w:id="97" w:name="_Toc29009"/>
      <w:r>
        <w:rPr>
          <w:rFonts w:hint="eastAsia" w:ascii="宋体" w:hAnsi="宋体" w:eastAsia="宋体" w:cs="宋体"/>
          <w:color w:val="auto"/>
          <w:sz w:val="24"/>
          <w:highlight w:val="none"/>
        </w:rPr>
        <w:t>根据贵方招标采购项目的编号为</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招标文件，本投标人正式授权的下述签字人（姓名和职务）代表投标人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（投标人的名称），提交下述投标文件正本1份，副本</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份,电子版</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份。</w:t>
      </w:r>
      <w:bookmarkEnd w:id="97"/>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（1）投标报价一览表；</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（2）投标货物及技术规格偏离表、商务条款偏离表；</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（3）投标人须知第3条要求的资格证明文件；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（4）售后服务承诺书；</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（5）金额为人民币</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元的投标保证金；</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（6）投标人须知第8条要求投标人提交的全部文件；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（7）有关质量保证的各项文件。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据此函，签字人兹宣布同意如下：</w:t>
      </w:r>
    </w:p>
    <w:p>
      <w:pPr>
        <w:tabs>
          <w:tab w:val="left" w:pos="8175"/>
        </w:tabs>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(1)按招标文件规定提供货物及服务的投标总价为（大写）人民币</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(2)我们保证根据招标文件规定履行合同责任和义务。</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(3)我们已详细审核了全部招标文件，包括招标文件的修改、补充文件（如果有的话）、参考资料及有关的附件，我们知道必须放弃提出含糊不清或误解的问题的权利。</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(4)我们同意在投标人须知第15.1条规定的开标日期起遵循本投标书，并在投标人须知第11条规定的投标有效期满之前均具有约束力，并有可能中标。</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(5)我们如果在规定的投标有效期内撤回投标，则我们的投标保证金可被贵方没收。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(6)我们同意向贵方提供贵方可能要求的与本投标有关的任何证据或资料。</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(7)我们完全理解贵方不一定要接受最低报价的投标或收到的任何投标。</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(8)本投标自开标之日起90天内有效。</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与本投标有关的正式通信地址为：</w:t>
      </w:r>
    </w:p>
    <w:p>
      <w:pPr>
        <w:spacing w:line="300" w:lineRule="auto"/>
        <w:ind w:firstLine="570"/>
        <w:rPr>
          <w:rFonts w:hint="eastAsia" w:ascii="宋体" w:hAnsi="宋体" w:eastAsia="宋体" w:cs="宋体"/>
          <w:color w:val="auto"/>
          <w:sz w:val="24"/>
          <w:highlight w:val="none"/>
        </w:rPr>
      </w:pP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地址：</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电话、传真或电传：</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邮政编码：</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投标人代表姓名：</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地址：</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公章：</w:t>
      </w:r>
    </w:p>
    <w:p>
      <w:pPr>
        <w:spacing w:line="30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日期：</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rPr>
          <w:rFonts w:hint="eastAsia" w:ascii="宋体" w:hAnsi="宋体" w:eastAsia="宋体" w:cs="宋体"/>
          <w:b/>
          <w:color w:val="auto"/>
          <w:sz w:val="24"/>
          <w:szCs w:val="28"/>
          <w:highlight w:val="none"/>
        </w:rPr>
      </w:pPr>
      <w:bookmarkStart w:id="98" w:name="chapter7"/>
      <w:bookmarkEnd w:id="98"/>
      <w:r>
        <w:rPr>
          <w:rFonts w:hint="eastAsia" w:ascii="宋体" w:hAnsi="宋体" w:eastAsia="宋体" w:cs="宋体"/>
          <w:b/>
          <w:color w:val="auto"/>
          <w:sz w:val="24"/>
          <w:szCs w:val="28"/>
          <w:highlight w:val="none"/>
        </w:rPr>
        <w:br w:type="page"/>
      </w:r>
      <w:r>
        <w:rPr>
          <w:rFonts w:hint="eastAsia" w:ascii="宋体" w:hAnsi="宋体" w:eastAsia="宋体" w:cs="宋体"/>
          <w:b/>
          <w:color w:val="auto"/>
          <w:sz w:val="24"/>
          <w:szCs w:val="28"/>
          <w:highlight w:val="none"/>
        </w:rPr>
        <w:t>格式三：</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投标报价一览表（格式）</w:t>
      </w:r>
    </w:p>
    <w:p>
      <w:pPr>
        <w:spacing w:line="360" w:lineRule="auto"/>
        <w:jc w:val="center"/>
        <w:rPr>
          <w:rFonts w:hint="eastAsia" w:ascii="宋体" w:hAnsi="宋体" w:eastAsia="宋体" w:cs="宋体"/>
          <w:bCs/>
          <w:color w:val="auto"/>
          <w:sz w:val="24"/>
          <w:highlight w:val="none"/>
        </w:rPr>
      </w:pPr>
    </w:p>
    <w:p>
      <w:pPr>
        <w:spacing w:line="360" w:lineRule="auto"/>
        <w:ind w:firstLine="480" w:firstLineChars="200"/>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项目名称：</w:t>
      </w:r>
      <w:r>
        <w:rPr>
          <w:rFonts w:hint="eastAsia" w:ascii="宋体" w:hAnsi="宋体" w:eastAsia="宋体" w:cs="宋体"/>
          <w:bCs/>
          <w:color w:val="auto"/>
          <w:sz w:val="24"/>
          <w:highlight w:val="none"/>
          <w:lang w:val="en-US" w:eastAsia="zh-CN"/>
        </w:rPr>
        <w:t xml:space="preserve">                    标段</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货币单位:</w:t>
      </w:r>
      <w:r>
        <w:rPr>
          <w:rFonts w:hint="eastAsia" w:ascii="宋体" w:hAnsi="宋体" w:eastAsia="宋体" w:cs="宋体"/>
          <w:b w:val="0"/>
          <w:bCs w:val="0"/>
          <w:i w:val="0"/>
          <w:iCs/>
          <w:color w:val="auto"/>
          <w:sz w:val="24"/>
          <w:highlight w:val="none"/>
          <w:u w:val="none"/>
        </w:rPr>
        <w:t>元</w:t>
      </w:r>
    </w:p>
    <w:tbl>
      <w:tblPr>
        <w:tblStyle w:val="24"/>
        <w:tblW w:w="951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479"/>
        <w:gridCol w:w="1650"/>
        <w:gridCol w:w="800"/>
        <w:gridCol w:w="1353"/>
        <w:gridCol w:w="1097"/>
        <w:gridCol w:w="1675"/>
        <w:gridCol w:w="963"/>
        <w:gridCol w:w="15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959" w:hRule="atLeast"/>
          <w:jc w:val="center"/>
        </w:trPr>
        <w:tc>
          <w:tcPr>
            <w:tcW w:w="479" w:type="dxa"/>
            <w:tcBorders>
              <w:top w:val="single" w:color="auto" w:sz="12"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序号</w:t>
            </w:r>
          </w:p>
        </w:tc>
        <w:tc>
          <w:tcPr>
            <w:tcW w:w="1650" w:type="dxa"/>
            <w:tcBorders>
              <w:top w:val="single" w:color="auto" w:sz="12" w:space="0"/>
              <w:bottom w:val="double" w:color="auto" w:sz="6" w:space="0"/>
              <w:right w:val="single" w:color="auto" w:sz="4"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名称</w:t>
            </w:r>
          </w:p>
        </w:tc>
        <w:tc>
          <w:tcPr>
            <w:tcW w:w="800" w:type="dxa"/>
            <w:tcBorders>
              <w:top w:val="single" w:color="auto" w:sz="12" w:space="0"/>
              <w:left w:val="single" w:color="auto" w:sz="4"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品牌</w:t>
            </w:r>
          </w:p>
        </w:tc>
        <w:tc>
          <w:tcPr>
            <w:tcW w:w="1353" w:type="dxa"/>
            <w:tcBorders>
              <w:top w:val="single" w:color="auto" w:sz="12" w:space="0"/>
              <w:bottom w:val="double" w:color="auto" w:sz="6"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型号和规格</w:t>
            </w:r>
          </w:p>
        </w:tc>
        <w:tc>
          <w:tcPr>
            <w:tcW w:w="1097" w:type="dxa"/>
            <w:tcBorders>
              <w:top w:val="single" w:color="auto" w:sz="12" w:space="0"/>
              <w:bottom w:val="double" w:color="auto" w:sz="6"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数量（a）</w:t>
            </w:r>
          </w:p>
        </w:tc>
        <w:tc>
          <w:tcPr>
            <w:tcW w:w="1675" w:type="dxa"/>
            <w:tcBorders>
              <w:top w:val="single" w:color="auto" w:sz="12" w:space="0"/>
              <w:bottom w:val="double" w:color="auto" w:sz="6" w:space="0"/>
            </w:tcBorders>
            <w:vAlign w:val="center"/>
          </w:tcPr>
          <w:p>
            <w:pPr>
              <w:spacing w:line="24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原产地和</w:t>
            </w:r>
          </w:p>
          <w:p>
            <w:pPr>
              <w:spacing w:line="24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制造商名称</w:t>
            </w:r>
          </w:p>
        </w:tc>
        <w:tc>
          <w:tcPr>
            <w:tcW w:w="963" w:type="dxa"/>
            <w:tcBorders>
              <w:top w:val="single" w:color="auto" w:sz="12" w:space="0"/>
              <w:bottom w:val="double" w:color="auto" w:sz="6" w:space="0"/>
              <w:right w:val="single" w:color="auto" w:sz="4"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单价（b）</w:t>
            </w:r>
          </w:p>
        </w:tc>
        <w:tc>
          <w:tcPr>
            <w:tcW w:w="1500" w:type="dxa"/>
            <w:tcBorders>
              <w:top w:val="single" w:color="auto" w:sz="12"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总价（a）*（b）</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80"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left w:val="single" w:color="auto" w:sz="4" w:space="0"/>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0" w:hRule="atLeast"/>
          <w:jc w:val="center"/>
        </w:trPr>
        <w:tc>
          <w:tcPr>
            <w:tcW w:w="2929" w:type="dxa"/>
            <w:gridSpan w:val="3"/>
            <w:tcBorders>
              <w:right w:val="single" w:color="auto" w:sz="4" w:space="0"/>
            </w:tcBorders>
            <w:vAlign w:val="center"/>
          </w:tcPr>
          <w:p>
            <w:pPr>
              <w:spacing w:line="360" w:lineRule="auto"/>
              <w:ind w:firstLine="480" w:firstLineChars="20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总计（投标总价）：</w:t>
            </w:r>
          </w:p>
        </w:tc>
        <w:tc>
          <w:tcPr>
            <w:tcW w:w="6588" w:type="dxa"/>
            <w:gridSpan w:val="5"/>
            <w:tcBorders>
              <w:left w:val="single" w:color="auto" w:sz="4" w:space="0"/>
            </w:tcBorders>
            <w:vAlign w:val="center"/>
          </w:tcPr>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人民币大写：                      小写：</w:t>
            </w:r>
          </w:p>
        </w:tc>
      </w:tr>
    </w:tbl>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1.与本项目有关的各种费用均应包含在总报价中。</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2.如果投标人提供价格折扣优惠，应在表中明确填列。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3.如果与货物需求和技术规格、商务条款的要求有偏差，应填写“投标货物及技术规格偏离表、商务条款偏离表”（见格式四）。</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4.要说明的问题可另附页说明并签字和加盖公章。</w:t>
      </w:r>
    </w:p>
    <w:p>
      <w:pPr>
        <w:spacing w:line="360" w:lineRule="auto"/>
        <w:ind w:firstLine="480" w:firstLineChars="200"/>
        <w:outlineLvl w:val="0"/>
        <w:rPr>
          <w:rFonts w:hint="eastAsia" w:ascii="宋体" w:hAnsi="宋体" w:eastAsia="宋体" w:cs="宋体"/>
          <w:color w:val="auto"/>
          <w:sz w:val="24"/>
          <w:highlight w:val="none"/>
        </w:rPr>
      </w:pPr>
      <w:bookmarkStart w:id="99" w:name="_Toc28379"/>
      <w:r>
        <w:rPr>
          <w:rFonts w:hint="eastAsia" w:ascii="宋体" w:hAnsi="宋体" w:eastAsia="宋体" w:cs="宋体"/>
          <w:color w:val="auto"/>
          <w:sz w:val="24"/>
          <w:highlight w:val="none"/>
        </w:rPr>
        <w:t>5.此表可根据需要自行拉长加宽。</w:t>
      </w:r>
      <w:bookmarkEnd w:id="99"/>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格式四：</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投标货物及技术规格偏离表（格式）</w:t>
      </w:r>
    </w:p>
    <w:p>
      <w:pPr>
        <w:spacing w:line="360" w:lineRule="auto"/>
        <w:jc w:val="center"/>
        <w:outlineLvl w:val="9"/>
        <w:rPr>
          <w:rFonts w:hint="eastAsia" w:ascii="宋体" w:hAnsi="宋体" w:eastAsia="宋体" w:cs="宋体"/>
          <w:b/>
          <w:color w:val="auto"/>
          <w:sz w:val="24"/>
          <w:szCs w:val="28"/>
          <w:highlight w:val="none"/>
        </w:rPr>
      </w:pPr>
    </w:p>
    <w:p>
      <w:pPr>
        <w:spacing w:line="360" w:lineRule="auto"/>
        <w:jc w:val="center"/>
        <w:outlineLvl w:val="9"/>
        <w:rPr>
          <w:rFonts w:hint="eastAsia" w:ascii="宋体" w:hAnsi="宋体" w:eastAsia="宋体" w:cs="宋体"/>
          <w:b/>
          <w:color w:val="auto"/>
          <w:sz w:val="24"/>
          <w:szCs w:val="28"/>
          <w:highlight w:val="none"/>
        </w:rPr>
      </w:pPr>
    </w:p>
    <w:p>
      <w:pPr>
        <w:pStyle w:val="14"/>
        <w:spacing w:line="360" w:lineRule="auto"/>
        <w:ind w:firstLine="480" w:firstLineChars="200"/>
        <w:outlineLvl w:val="0"/>
        <w:rPr>
          <w:rFonts w:hint="eastAsia" w:ascii="宋体" w:hAnsi="宋体" w:eastAsia="宋体" w:cs="宋体"/>
          <w:color w:val="auto"/>
          <w:szCs w:val="24"/>
          <w:highlight w:val="none"/>
        </w:rPr>
      </w:pPr>
      <w:bookmarkStart w:id="100" w:name="_Toc15482"/>
      <w:r>
        <w:rPr>
          <w:rFonts w:hint="eastAsia" w:ascii="宋体" w:hAnsi="宋体" w:eastAsia="宋体" w:cs="宋体"/>
          <w:color w:val="auto"/>
          <w:szCs w:val="24"/>
          <w:highlight w:val="none"/>
        </w:rPr>
        <w:t>项目名称：</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bCs/>
          <w:color w:val="auto"/>
          <w:sz w:val="24"/>
          <w:highlight w:val="none"/>
          <w:lang w:val="en-US" w:eastAsia="zh-CN"/>
        </w:rPr>
        <w:t>标段</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               </w:t>
      </w:r>
      <w:bookmarkEnd w:id="100"/>
      <w:r>
        <w:rPr>
          <w:rFonts w:hint="eastAsia" w:ascii="宋体" w:hAnsi="宋体" w:eastAsia="宋体" w:cs="宋体"/>
          <w:color w:val="auto"/>
          <w:szCs w:val="24"/>
          <w:highlight w:val="none"/>
        </w:rPr>
        <w:t>项目编号：</w:t>
      </w:r>
    </w:p>
    <w:tbl>
      <w:tblPr>
        <w:tblStyle w:val="24"/>
        <w:tblW w:w="8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043"/>
        <w:gridCol w:w="2451"/>
        <w:gridCol w:w="3052"/>
        <w:gridCol w:w="80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9" w:hRule="atLeast"/>
          <w:jc w:val="center"/>
        </w:trPr>
        <w:tc>
          <w:tcPr>
            <w:tcW w:w="646" w:type="dxa"/>
            <w:vAlign w:val="center"/>
          </w:tcPr>
          <w:p>
            <w:pPr>
              <w:spacing w:line="360" w:lineRule="auto"/>
              <w:jc w:val="center"/>
              <w:outlineLvl w:val="0"/>
              <w:rPr>
                <w:rFonts w:hint="eastAsia" w:ascii="宋体" w:hAnsi="宋体" w:eastAsia="宋体" w:cs="宋体"/>
                <w:color w:val="auto"/>
                <w:sz w:val="24"/>
                <w:highlight w:val="none"/>
              </w:rPr>
            </w:pPr>
            <w:bookmarkStart w:id="101" w:name="_Toc24919"/>
            <w:r>
              <w:rPr>
                <w:rFonts w:hint="eastAsia" w:ascii="宋体" w:hAnsi="宋体" w:eastAsia="宋体" w:cs="宋体"/>
                <w:color w:val="auto"/>
                <w:sz w:val="24"/>
                <w:highlight w:val="none"/>
              </w:rPr>
              <w:t>序号</w:t>
            </w:r>
            <w:bookmarkEnd w:id="101"/>
          </w:p>
        </w:tc>
        <w:tc>
          <w:tcPr>
            <w:tcW w:w="1043" w:type="dxa"/>
            <w:vAlign w:val="center"/>
          </w:tcPr>
          <w:p>
            <w:pPr>
              <w:spacing w:line="360" w:lineRule="auto"/>
              <w:jc w:val="center"/>
              <w:outlineLvl w:val="0"/>
              <w:rPr>
                <w:rFonts w:hint="eastAsia" w:ascii="宋体" w:hAnsi="宋体" w:eastAsia="宋体" w:cs="宋体"/>
                <w:color w:val="auto"/>
                <w:sz w:val="24"/>
                <w:highlight w:val="none"/>
              </w:rPr>
            </w:pPr>
            <w:bookmarkStart w:id="102" w:name="_Toc26696"/>
            <w:r>
              <w:rPr>
                <w:rFonts w:hint="eastAsia" w:ascii="宋体" w:hAnsi="宋体" w:eastAsia="宋体" w:cs="宋体"/>
                <w:color w:val="auto"/>
                <w:sz w:val="24"/>
                <w:highlight w:val="none"/>
              </w:rPr>
              <w:t>货物名称</w:t>
            </w:r>
            <w:bookmarkEnd w:id="102"/>
          </w:p>
        </w:tc>
        <w:tc>
          <w:tcPr>
            <w:tcW w:w="2451" w:type="dxa"/>
            <w:vAlign w:val="center"/>
          </w:tcPr>
          <w:p>
            <w:pPr>
              <w:spacing w:line="360" w:lineRule="auto"/>
              <w:jc w:val="center"/>
              <w:outlineLvl w:val="0"/>
              <w:rPr>
                <w:rFonts w:hint="eastAsia" w:ascii="宋体" w:hAnsi="宋体" w:eastAsia="宋体" w:cs="宋体"/>
                <w:color w:val="auto"/>
                <w:sz w:val="24"/>
                <w:highlight w:val="none"/>
              </w:rPr>
            </w:pPr>
            <w:bookmarkStart w:id="103" w:name="_Toc22219"/>
            <w:r>
              <w:rPr>
                <w:rFonts w:hint="eastAsia" w:ascii="宋体" w:hAnsi="宋体" w:eastAsia="宋体" w:cs="宋体"/>
                <w:color w:val="auto"/>
                <w:sz w:val="24"/>
                <w:highlight w:val="none"/>
              </w:rPr>
              <w:t>招标文件规定的货物需求、技术规格</w:t>
            </w:r>
            <w:bookmarkEnd w:id="103"/>
          </w:p>
        </w:tc>
        <w:tc>
          <w:tcPr>
            <w:tcW w:w="3052" w:type="dxa"/>
            <w:vAlign w:val="center"/>
          </w:tcPr>
          <w:p>
            <w:pPr>
              <w:spacing w:line="360" w:lineRule="auto"/>
              <w:jc w:val="center"/>
              <w:outlineLvl w:val="0"/>
              <w:rPr>
                <w:rFonts w:hint="eastAsia" w:ascii="宋体" w:hAnsi="宋体" w:eastAsia="宋体" w:cs="宋体"/>
                <w:color w:val="auto"/>
                <w:sz w:val="24"/>
                <w:highlight w:val="none"/>
              </w:rPr>
            </w:pPr>
            <w:bookmarkStart w:id="104" w:name="_Toc5484"/>
            <w:r>
              <w:rPr>
                <w:rFonts w:hint="eastAsia" w:ascii="宋体" w:hAnsi="宋体" w:eastAsia="宋体" w:cs="宋体"/>
                <w:color w:val="auto"/>
                <w:sz w:val="24"/>
                <w:highlight w:val="none"/>
              </w:rPr>
              <w:t>投标文件对应的货物情况、技术规格</w:t>
            </w:r>
            <w:bookmarkEnd w:id="104"/>
          </w:p>
        </w:tc>
        <w:tc>
          <w:tcPr>
            <w:tcW w:w="802" w:type="dxa"/>
            <w:vAlign w:val="center"/>
          </w:tcPr>
          <w:p>
            <w:pPr>
              <w:spacing w:line="360" w:lineRule="auto"/>
              <w:jc w:val="center"/>
              <w:outlineLvl w:val="0"/>
              <w:rPr>
                <w:rFonts w:hint="eastAsia" w:ascii="宋体" w:hAnsi="宋体" w:eastAsia="宋体" w:cs="宋体"/>
                <w:color w:val="auto"/>
                <w:sz w:val="24"/>
                <w:highlight w:val="none"/>
              </w:rPr>
            </w:pPr>
            <w:bookmarkStart w:id="105" w:name="_Toc15994"/>
            <w:r>
              <w:rPr>
                <w:rFonts w:hint="eastAsia" w:ascii="宋体" w:hAnsi="宋体" w:eastAsia="宋体" w:cs="宋体"/>
                <w:color w:val="auto"/>
                <w:sz w:val="24"/>
                <w:highlight w:val="none"/>
              </w:rPr>
              <w:t>是否偏离</w:t>
            </w:r>
            <w:bookmarkEnd w:id="105"/>
          </w:p>
        </w:tc>
        <w:tc>
          <w:tcPr>
            <w:tcW w:w="962" w:type="dxa"/>
            <w:vAlign w:val="center"/>
          </w:tcPr>
          <w:p>
            <w:pPr>
              <w:spacing w:line="360" w:lineRule="auto"/>
              <w:jc w:val="center"/>
              <w:outlineLvl w:val="0"/>
              <w:rPr>
                <w:rFonts w:hint="eastAsia" w:ascii="宋体" w:hAnsi="宋体" w:eastAsia="宋体" w:cs="宋体"/>
                <w:color w:val="auto"/>
                <w:sz w:val="24"/>
                <w:highlight w:val="none"/>
              </w:rPr>
            </w:pPr>
            <w:bookmarkStart w:id="106" w:name="_Toc18988"/>
            <w:r>
              <w:rPr>
                <w:rFonts w:hint="eastAsia" w:ascii="宋体" w:hAnsi="宋体" w:eastAsia="宋体" w:cs="宋体"/>
                <w:color w:val="auto"/>
                <w:sz w:val="24"/>
                <w:highlight w:val="none"/>
              </w:rPr>
              <w:t>备注</w:t>
            </w:r>
            <w:bookmarkEnd w:id="10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pStyle w:val="9"/>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1.技术条款均应根据投标文件对招标文件的偏离情况相对应地填列。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2.表内如果填列不全，可另外附页说明并按规定签字和加盖公章。</w:t>
      </w:r>
    </w:p>
    <w:p>
      <w:pPr>
        <w:spacing w:line="360" w:lineRule="auto"/>
        <w:ind w:firstLine="480" w:firstLineChars="200"/>
        <w:outlineLvl w:val="0"/>
        <w:rPr>
          <w:rFonts w:hint="eastAsia" w:ascii="宋体" w:hAnsi="宋体" w:eastAsia="宋体" w:cs="宋体"/>
          <w:color w:val="auto"/>
          <w:sz w:val="24"/>
          <w:highlight w:val="none"/>
        </w:rPr>
      </w:pPr>
      <w:bookmarkStart w:id="107" w:name="_Toc12661"/>
      <w:r>
        <w:rPr>
          <w:rFonts w:hint="eastAsia" w:ascii="宋体" w:hAnsi="宋体" w:eastAsia="宋体" w:cs="宋体"/>
          <w:color w:val="auto"/>
          <w:sz w:val="24"/>
          <w:highlight w:val="none"/>
        </w:rPr>
        <w:t>3.采购人要求投标人认真填写本表。</w:t>
      </w:r>
      <w:bookmarkEnd w:id="107"/>
    </w:p>
    <w:p>
      <w:pPr>
        <w:spacing w:line="360" w:lineRule="auto"/>
        <w:ind w:firstLine="480" w:firstLineChars="200"/>
        <w:outlineLvl w:val="0"/>
        <w:rPr>
          <w:rFonts w:hint="eastAsia" w:ascii="宋体" w:hAnsi="宋体" w:eastAsia="宋体" w:cs="宋体"/>
          <w:color w:val="auto"/>
          <w:sz w:val="24"/>
          <w:highlight w:val="none"/>
        </w:rPr>
      </w:pPr>
      <w:bookmarkStart w:id="108" w:name="_Toc16301"/>
      <w:r>
        <w:rPr>
          <w:rFonts w:hint="eastAsia" w:ascii="宋体" w:hAnsi="宋体" w:eastAsia="宋体" w:cs="宋体"/>
          <w:color w:val="auto"/>
          <w:sz w:val="24"/>
          <w:highlight w:val="none"/>
        </w:rPr>
        <w:t>4.此表可根据需要自行拉长加宽。</w:t>
      </w:r>
      <w:bookmarkEnd w:id="108"/>
    </w:p>
    <w:p>
      <w:pPr>
        <w:spacing w:line="360" w:lineRule="auto"/>
        <w:ind w:firstLine="480" w:firstLineChars="200"/>
        <w:outlineLvl w:val="0"/>
        <w:rPr>
          <w:rFonts w:hint="eastAsia" w:ascii="宋体" w:hAnsi="宋体" w:eastAsia="宋体" w:cs="宋体"/>
          <w:color w:val="auto"/>
          <w:sz w:val="24"/>
          <w:highlight w:val="none"/>
        </w:rPr>
      </w:pPr>
      <w:bookmarkStart w:id="109" w:name="_Toc24379"/>
      <w:r>
        <w:rPr>
          <w:rFonts w:hint="eastAsia" w:ascii="宋体" w:hAnsi="宋体" w:eastAsia="宋体" w:cs="宋体"/>
          <w:color w:val="auto"/>
          <w:sz w:val="24"/>
          <w:highlight w:val="none"/>
        </w:rPr>
        <w:t>5.如“是否偏离”填写是，请在备注栏须填写正偏离或负偏离，如“是否偏离”填否备注栏填写无。</w:t>
      </w:r>
      <w:bookmarkEnd w:id="109"/>
    </w:p>
    <w:p>
      <w:pPr>
        <w:spacing w:line="360" w:lineRule="auto"/>
        <w:ind w:firstLine="482" w:firstLineChars="200"/>
        <w:outlineLvl w:val="0"/>
        <w:rPr>
          <w:rFonts w:hint="eastAsia" w:ascii="宋体" w:hAnsi="宋体" w:eastAsia="宋体" w:cs="宋体"/>
          <w:b/>
          <w:bCs/>
          <w:color w:val="auto"/>
          <w:sz w:val="24"/>
          <w:highlight w:val="none"/>
          <w:lang w:val="en-US" w:eastAsia="zh-CN"/>
        </w:rPr>
      </w:pPr>
    </w:p>
    <w:p>
      <w:pPr>
        <w:pStyle w:val="10"/>
        <w:rPr>
          <w:rFonts w:hint="eastAsia" w:ascii="宋体" w:hAnsi="宋体" w:eastAsia="宋体" w:cs="宋体"/>
          <w:color w:val="auto"/>
          <w:highlight w:val="none"/>
          <w:lang w:val="en-US" w:eastAsia="zh-CN"/>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jc w:val="center"/>
        <w:outlineLvl w:val="9"/>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商务条款偏离表（格式）</w:t>
      </w:r>
    </w:p>
    <w:p>
      <w:pPr>
        <w:spacing w:line="360" w:lineRule="auto"/>
        <w:jc w:val="center"/>
        <w:outlineLvl w:val="9"/>
        <w:rPr>
          <w:rFonts w:hint="eastAsia" w:ascii="宋体" w:hAnsi="宋体" w:eastAsia="宋体" w:cs="宋体"/>
          <w:b/>
          <w:color w:val="auto"/>
          <w:sz w:val="24"/>
          <w:szCs w:val="28"/>
          <w:highlight w:val="none"/>
        </w:rPr>
      </w:pPr>
    </w:p>
    <w:p>
      <w:pPr>
        <w:spacing w:line="360" w:lineRule="auto"/>
        <w:jc w:val="center"/>
        <w:outlineLvl w:val="9"/>
        <w:rPr>
          <w:rFonts w:hint="eastAsia" w:ascii="宋体" w:hAnsi="宋体" w:eastAsia="宋体" w:cs="宋体"/>
          <w:b/>
          <w:color w:val="auto"/>
          <w:sz w:val="24"/>
          <w:szCs w:val="28"/>
          <w:highlight w:val="none"/>
        </w:rPr>
      </w:pPr>
    </w:p>
    <w:p>
      <w:pPr>
        <w:pStyle w:val="14"/>
        <w:spacing w:line="360" w:lineRule="auto"/>
        <w:ind w:firstLine="480" w:firstLineChars="200"/>
        <w:outlineLvl w:val="0"/>
        <w:rPr>
          <w:rFonts w:hint="eastAsia" w:ascii="宋体" w:hAnsi="宋体" w:eastAsia="宋体" w:cs="宋体"/>
          <w:color w:val="auto"/>
          <w:szCs w:val="24"/>
          <w:highlight w:val="none"/>
        </w:rPr>
      </w:pPr>
      <w:bookmarkStart w:id="110" w:name="_Toc20559"/>
      <w:r>
        <w:rPr>
          <w:rFonts w:hint="eastAsia" w:ascii="宋体" w:hAnsi="宋体" w:eastAsia="宋体" w:cs="宋体"/>
          <w:color w:val="auto"/>
          <w:szCs w:val="24"/>
          <w:highlight w:val="none"/>
        </w:rPr>
        <w:t>项目名称：</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bCs/>
          <w:color w:val="auto"/>
          <w:sz w:val="24"/>
          <w:highlight w:val="none"/>
          <w:lang w:val="en-US" w:eastAsia="zh-CN"/>
        </w:rPr>
        <w:t>标段</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项目编号：</w:t>
      </w:r>
      <w:bookmarkEnd w:id="110"/>
    </w:p>
    <w:tbl>
      <w:tblPr>
        <w:tblStyle w:val="24"/>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200"/>
        <w:gridCol w:w="2941"/>
        <w:gridCol w:w="3090"/>
        <w:gridCol w:w="888"/>
        <w:gridCol w:w="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vAlign w:val="center"/>
          </w:tcPr>
          <w:p>
            <w:pPr>
              <w:spacing w:line="360" w:lineRule="auto"/>
              <w:jc w:val="center"/>
              <w:outlineLvl w:val="0"/>
              <w:rPr>
                <w:rFonts w:hint="eastAsia" w:ascii="宋体" w:hAnsi="宋体" w:eastAsia="宋体" w:cs="宋体"/>
                <w:color w:val="auto"/>
                <w:sz w:val="24"/>
                <w:highlight w:val="none"/>
              </w:rPr>
            </w:pPr>
            <w:bookmarkStart w:id="111" w:name="_Toc19945"/>
            <w:r>
              <w:rPr>
                <w:rFonts w:hint="eastAsia" w:ascii="宋体" w:hAnsi="宋体" w:eastAsia="宋体" w:cs="宋体"/>
                <w:color w:val="auto"/>
                <w:sz w:val="24"/>
                <w:highlight w:val="none"/>
              </w:rPr>
              <w:t>序号</w:t>
            </w:r>
            <w:bookmarkEnd w:id="111"/>
          </w:p>
        </w:tc>
        <w:tc>
          <w:tcPr>
            <w:tcW w:w="1200" w:type="dxa"/>
            <w:vAlign w:val="center"/>
          </w:tcPr>
          <w:p>
            <w:pPr>
              <w:spacing w:line="360" w:lineRule="auto"/>
              <w:jc w:val="center"/>
              <w:outlineLvl w:val="0"/>
              <w:rPr>
                <w:rFonts w:hint="eastAsia" w:ascii="宋体" w:hAnsi="宋体" w:eastAsia="宋体" w:cs="宋体"/>
                <w:color w:val="auto"/>
                <w:sz w:val="24"/>
                <w:highlight w:val="none"/>
              </w:rPr>
            </w:pPr>
            <w:bookmarkStart w:id="112" w:name="_Toc13926"/>
            <w:r>
              <w:rPr>
                <w:rFonts w:hint="eastAsia" w:ascii="宋体" w:hAnsi="宋体" w:eastAsia="宋体" w:cs="宋体"/>
                <w:color w:val="auto"/>
                <w:sz w:val="24"/>
                <w:highlight w:val="none"/>
              </w:rPr>
              <w:t>货物名称</w:t>
            </w:r>
            <w:bookmarkEnd w:id="112"/>
          </w:p>
        </w:tc>
        <w:tc>
          <w:tcPr>
            <w:tcW w:w="2941" w:type="dxa"/>
            <w:vAlign w:val="center"/>
          </w:tcPr>
          <w:p>
            <w:pPr>
              <w:spacing w:line="360" w:lineRule="auto"/>
              <w:jc w:val="center"/>
              <w:outlineLvl w:val="0"/>
              <w:rPr>
                <w:rFonts w:hint="eastAsia" w:ascii="宋体" w:hAnsi="宋体" w:eastAsia="宋体" w:cs="宋体"/>
                <w:color w:val="auto"/>
                <w:sz w:val="24"/>
                <w:highlight w:val="none"/>
              </w:rPr>
            </w:pPr>
            <w:bookmarkStart w:id="113" w:name="_Toc19652"/>
            <w:r>
              <w:rPr>
                <w:rFonts w:hint="eastAsia" w:ascii="宋体" w:hAnsi="宋体" w:eastAsia="宋体" w:cs="宋体"/>
                <w:color w:val="auto"/>
                <w:sz w:val="24"/>
                <w:highlight w:val="none"/>
              </w:rPr>
              <w:t>招标文件规定的商务条款</w:t>
            </w:r>
            <w:bookmarkEnd w:id="113"/>
          </w:p>
        </w:tc>
        <w:tc>
          <w:tcPr>
            <w:tcW w:w="3090" w:type="dxa"/>
            <w:vAlign w:val="center"/>
          </w:tcPr>
          <w:p>
            <w:pPr>
              <w:spacing w:line="360" w:lineRule="auto"/>
              <w:jc w:val="center"/>
              <w:outlineLvl w:val="0"/>
              <w:rPr>
                <w:rFonts w:hint="eastAsia" w:ascii="宋体" w:hAnsi="宋体" w:eastAsia="宋体" w:cs="宋体"/>
                <w:color w:val="auto"/>
                <w:sz w:val="24"/>
                <w:highlight w:val="none"/>
              </w:rPr>
            </w:pPr>
            <w:bookmarkStart w:id="114" w:name="_Toc6384"/>
            <w:r>
              <w:rPr>
                <w:rFonts w:hint="eastAsia" w:ascii="宋体" w:hAnsi="宋体" w:eastAsia="宋体" w:cs="宋体"/>
                <w:color w:val="auto"/>
                <w:sz w:val="24"/>
                <w:highlight w:val="none"/>
              </w:rPr>
              <w:t>投标文件对应的商务条款</w:t>
            </w:r>
            <w:bookmarkEnd w:id="114"/>
          </w:p>
        </w:tc>
        <w:tc>
          <w:tcPr>
            <w:tcW w:w="888" w:type="dxa"/>
            <w:vAlign w:val="center"/>
          </w:tcPr>
          <w:p>
            <w:pPr>
              <w:spacing w:line="360" w:lineRule="auto"/>
              <w:jc w:val="center"/>
              <w:outlineLvl w:val="0"/>
              <w:rPr>
                <w:rFonts w:hint="eastAsia" w:ascii="宋体" w:hAnsi="宋体" w:eastAsia="宋体" w:cs="宋体"/>
                <w:color w:val="auto"/>
                <w:sz w:val="24"/>
                <w:highlight w:val="none"/>
              </w:rPr>
            </w:pPr>
            <w:bookmarkStart w:id="115" w:name="_Toc17750"/>
            <w:r>
              <w:rPr>
                <w:rFonts w:hint="eastAsia" w:ascii="宋体" w:hAnsi="宋体" w:eastAsia="宋体" w:cs="宋体"/>
                <w:color w:val="auto"/>
                <w:sz w:val="24"/>
                <w:highlight w:val="none"/>
              </w:rPr>
              <w:t>是否偏离</w:t>
            </w:r>
            <w:bookmarkEnd w:id="115"/>
          </w:p>
        </w:tc>
        <w:tc>
          <w:tcPr>
            <w:tcW w:w="748" w:type="dxa"/>
            <w:vAlign w:val="center"/>
          </w:tcPr>
          <w:p>
            <w:pPr>
              <w:spacing w:line="360" w:lineRule="auto"/>
              <w:jc w:val="center"/>
              <w:outlineLvl w:val="0"/>
              <w:rPr>
                <w:rFonts w:hint="eastAsia" w:ascii="宋体" w:hAnsi="宋体" w:eastAsia="宋体" w:cs="宋体"/>
                <w:color w:val="auto"/>
                <w:sz w:val="24"/>
                <w:highlight w:val="none"/>
              </w:rPr>
            </w:pPr>
            <w:bookmarkStart w:id="116" w:name="_Toc27935"/>
            <w:r>
              <w:rPr>
                <w:rFonts w:hint="eastAsia" w:ascii="宋体" w:hAnsi="宋体" w:eastAsia="宋体" w:cs="宋体"/>
                <w:color w:val="auto"/>
                <w:sz w:val="24"/>
                <w:highlight w:val="none"/>
              </w:rPr>
              <w:t>备注</w:t>
            </w:r>
            <w:bookmarkEnd w:id="1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pStyle w:val="9"/>
        <w:spacing w:line="36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1.商务条款均应根据投标文件对招标文件的偏离情况相对应地填列。</w:t>
      </w:r>
    </w:p>
    <w:p>
      <w:pPr>
        <w:pStyle w:val="9"/>
        <w:spacing w:line="36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2.商务条款可填写</w:t>
      </w:r>
      <w:r>
        <w:rPr>
          <w:rFonts w:hint="eastAsia" w:ascii="宋体" w:hAnsi="宋体" w:eastAsia="宋体" w:cs="宋体"/>
          <w:b/>
          <w:bCs/>
          <w:color w:val="auto"/>
          <w:sz w:val="24"/>
          <w:highlight w:val="none"/>
        </w:rPr>
        <w:t>付款条件、合同履行期限</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交货</w:t>
      </w:r>
      <w:r>
        <w:rPr>
          <w:rFonts w:hint="eastAsia" w:ascii="宋体" w:hAnsi="宋体" w:eastAsia="宋体" w:cs="宋体"/>
          <w:b/>
          <w:bCs/>
          <w:color w:val="auto"/>
          <w:sz w:val="24"/>
          <w:highlight w:val="none"/>
          <w:lang w:val="en-US" w:eastAsia="zh-CN"/>
        </w:rPr>
        <w:t>地点</w:t>
      </w:r>
      <w:r>
        <w:rPr>
          <w:rFonts w:hint="eastAsia" w:ascii="宋体" w:hAnsi="宋体" w:eastAsia="宋体" w:cs="宋体"/>
          <w:b/>
          <w:bCs/>
          <w:color w:val="auto"/>
          <w:sz w:val="24"/>
          <w:highlight w:val="none"/>
        </w:rPr>
        <w:t>、交货方式、售后服务</w:t>
      </w:r>
      <w:r>
        <w:rPr>
          <w:rFonts w:hint="eastAsia" w:ascii="宋体" w:hAnsi="宋体" w:eastAsia="宋体" w:cs="宋体"/>
          <w:color w:val="auto"/>
          <w:sz w:val="24"/>
          <w:highlight w:val="none"/>
        </w:rPr>
        <w:t>等重要条款方面的偏离情况，但不限于以上条款。</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3.表内如果填列不全，可另外附页说明并按规定签字和加盖公章。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bookmarkStart w:id="117" w:name="_Toc24259"/>
      <w:r>
        <w:rPr>
          <w:rFonts w:hint="eastAsia" w:ascii="宋体" w:hAnsi="宋体" w:eastAsia="宋体" w:cs="宋体"/>
          <w:color w:val="auto"/>
          <w:sz w:val="24"/>
          <w:highlight w:val="none"/>
        </w:rPr>
        <w:t>4.采购人要求投标人认真填写本表。</w:t>
      </w:r>
      <w:bookmarkEnd w:id="117"/>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bookmarkStart w:id="118" w:name="_Toc16140"/>
      <w:r>
        <w:rPr>
          <w:rFonts w:hint="eastAsia" w:ascii="宋体" w:hAnsi="宋体" w:eastAsia="宋体" w:cs="宋体"/>
          <w:color w:val="auto"/>
          <w:sz w:val="24"/>
          <w:highlight w:val="none"/>
        </w:rPr>
        <w:t>5.此表可根据需要自行拉长加宽。</w:t>
      </w:r>
      <w:bookmarkEnd w:id="118"/>
    </w:p>
    <w:p>
      <w:pPr>
        <w:spacing w:line="360" w:lineRule="auto"/>
        <w:ind w:firstLine="480" w:firstLineChars="200"/>
        <w:rPr>
          <w:rFonts w:hint="eastAsia" w:ascii="宋体" w:hAnsi="宋体" w:eastAsia="宋体" w:cs="宋体"/>
          <w:color w:val="auto"/>
          <w:sz w:val="24"/>
          <w:highlight w:val="none"/>
        </w:rPr>
      </w:pPr>
      <w:bookmarkStart w:id="119" w:name="_Toc28163"/>
      <w:r>
        <w:rPr>
          <w:rFonts w:hint="eastAsia" w:ascii="宋体" w:hAnsi="宋体" w:eastAsia="宋体" w:cs="宋体"/>
          <w:color w:val="auto"/>
          <w:sz w:val="24"/>
          <w:highlight w:val="none"/>
        </w:rPr>
        <w:t>6.如有正偏离的商务条款，须在商务条款偏离表中体现，如未在商务条款偏离表中填写，视为其商务条款全部满足。</w:t>
      </w:r>
      <w:bookmarkEnd w:id="119"/>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pStyle w:val="14"/>
        <w:spacing w:line="360" w:lineRule="auto"/>
        <w:outlineLvl w:val="9"/>
        <w:rPr>
          <w:rFonts w:hint="eastAsia" w:ascii="宋体" w:hAnsi="宋体" w:eastAsia="宋体" w:cs="宋体"/>
          <w:color w:val="auto"/>
          <w:szCs w:val="24"/>
          <w:highlight w:val="none"/>
        </w:rPr>
        <w:sectPr>
          <w:pgSz w:w="11906" w:h="16838"/>
          <w:pgMar w:top="1361" w:right="1304" w:bottom="1247" w:left="1304" w:header="680" w:footer="680" w:gutter="0"/>
          <w:cols w:space="720" w:num="1"/>
          <w:docGrid w:linePitch="312" w:charSpace="0"/>
        </w:sectPr>
      </w:pPr>
    </w:p>
    <w:p>
      <w:pPr>
        <w:pStyle w:val="2"/>
        <w:jc w:val="center"/>
        <w:rPr>
          <w:rFonts w:hint="eastAsia" w:ascii="宋体" w:hAnsi="宋体" w:eastAsia="宋体" w:cs="宋体"/>
          <w:b/>
          <w:bCs/>
          <w:color w:val="auto"/>
          <w:sz w:val="24"/>
          <w:szCs w:val="24"/>
          <w:highlight w:val="none"/>
        </w:rPr>
      </w:pPr>
      <w:bookmarkStart w:id="120" w:name="_Toc25436"/>
      <w:r>
        <w:rPr>
          <w:rFonts w:hint="eastAsia" w:ascii="宋体" w:hAnsi="宋体" w:eastAsia="宋体" w:cs="宋体"/>
          <w:b/>
          <w:bCs/>
          <w:color w:val="auto"/>
          <w:sz w:val="24"/>
          <w:szCs w:val="24"/>
          <w:highlight w:val="none"/>
        </w:rPr>
        <w:t>投标产品实物三视图</w:t>
      </w:r>
    </w:p>
    <w:p>
      <w:pPr>
        <w:pStyle w:val="2"/>
        <w:rPr>
          <w:rFonts w:hint="eastAsia" w:ascii="宋体" w:hAnsi="宋体" w:eastAsia="宋体" w:cs="宋体"/>
          <w:b/>
          <w:bCs/>
          <w:color w:val="auto"/>
          <w:sz w:val="24"/>
          <w:szCs w:val="24"/>
          <w:highlight w:val="none"/>
        </w:rPr>
      </w:pPr>
    </w:p>
    <w:p>
      <w:pPr>
        <w:pStyle w:val="2"/>
        <w:spacing w:line="360" w:lineRule="auto"/>
        <w:rPr>
          <w:rFonts w:hint="eastAsia" w:ascii="宋体" w:hAnsi="宋体" w:eastAsia="宋体" w:cs="宋体"/>
          <w:color w:val="FF0000"/>
          <w:highlight w:val="none"/>
        </w:rPr>
      </w:pPr>
      <w:r>
        <w:rPr>
          <w:rFonts w:hint="eastAsia" w:ascii="宋体" w:hAnsi="宋体" w:eastAsia="宋体" w:cs="宋体"/>
          <w:b/>
          <w:bCs/>
          <w:color w:val="FF0000"/>
          <w:sz w:val="24"/>
          <w:szCs w:val="24"/>
          <w:highlight w:val="none"/>
        </w:rPr>
        <w:t>注：投标人须提供全部产品的外观三视图，三视图须为产品实物拍摄的彩色图片，不得使用设计图或效果图。</w:t>
      </w:r>
    </w:p>
    <w:p>
      <w:pPr>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br w:type="page"/>
      </w:r>
    </w:p>
    <w:p>
      <w:pPr>
        <w:pStyle w:val="14"/>
        <w:spacing w:line="360" w:lineRule="auto"/>
        <w:outlineLvl w:val="0"/>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格式五：</w:t>
      </w:r>
      <w:bookmarkEnd w:id="120"/>
    </w:p>
    <w:p>
      <w:pPr>
        <w:spacing w:line="360" w:lineRule="auto"/>
        <w:jc w:val="center"/>
        <w:outlineLvl w:val="0"/>
        <w:rPr>
          <w:rFonts w:hint="eastAsia" w:ascii="宋体" w:hAnsi="宋体" w:eastAsia="宋体" w:cs="宋体"/>
          <w:b/>
          <w:color w:val="auto"/>
          <w:sz w:val="24"/>
          <w:szCs w:val="28"/>
          <w:highlight w:val="none"/>
        </w:rPr>
      </w:pPr>
      <w:bookmarkStart w:id="121" w:name="_Toc26504"/>
      <w:r>
        <w:rPr>
          <w:rFonts w:hint="eastAsia" w:ascii="宋体" w:hAnsi="宋体" w:eastAsia="宋体" w:cs="宋体"/>
          <w:b/>
          <w:color w:val="auto"/>
          <w:sz w:val="24"/>
          <w:szCs w:val="28"/>
          <w:highlight w:val="none"/>
        </w:rPr>
        <w:t>售后服务承诺书（格式）</w:t>
      </w:r>
      <w:bookmarkEnd w:id="121"/>
    </w:p>
    <w:p>
      <w:pPr>
        <w:spacing w:line="360" w:lineRule="auto"/>
        <w:jc w:val="center"/>
        <w:outlineLvl w:val="9"/>
        <w:rPr>
          <w:rFonts w:hint="eastAsia" w:ascii="宋体" w:hAnsi="宋体" w:eastAsia="宋体" w:cs="宋体"/>
          <w:b/>
          <w:bCs/>
          <w:color w:val="auto"/>
          <w:sz w:val="24"/>
          <w:szCs w:val="28"/>
          <w:highlight w:val="none"/>
        </w:rPr>
      </w:pPr>
    </w:p>
    <w:p>
      <w:pPr>
        <w:spacing w:line="360" w:lineRule="auto"/>
        <w:jc w:val="center"/>
        <w:outlineLvl w:val="9"/>
        <w:rPr>
          <w:rFonts w:hint="eastAsia" w:ascii="宋体" w:hAnsi="宋体" w:eastAsia="宋体" w:cs="宋体"/>
          <w:b/>
          <w:bCs/>
          <w:color w:val="auto"/>
          <w:sz w:val="24"/>
          <w:szCs w:val="28"/>
          <w:highlight w:val="none"/>
        </w:rPr>
      </w:pPr>
    </w:p>
    <w:p>
      <w:pPr>
        <w:spacing w:line="360" w:lineRule="auto"/>
        <w:outlineLvl w:val="0"/>
        <w:rPr>
          <w:rFonts w:hint="eastAsia" w:ascii="宋体" w:hAnsi="宋体" w:eastAsia="宋体" w:cs="宋体"/>
          <w:bCs/>
          <w:color w:val="auto"/>
          <w:sz w:val="24"/>
          <w:highlight w:val="none"/>
        </w:rPr>
      </w:pPr>
      <w:bookmarkStart w:id="122" w:name="_Toc11665"/>
      <w:r>
        <w:rPr>
          <w:rFonts w:hint="eastAsia" w:ascii="宋体" w:hAnsi="宋体" w:eastAsia="宋体" w:cs="宋体"/>
          <w:color w:val="auto"/>
          <w:kern w:val="0"/>
          <w:sz w:val="24"/>
          <w:highlight w:val="none"/>
          <w:lang w:eastAsia="zh-CN"/>
        </w:rPr>
        <w:t>中科高盛咨询集团有限公司</w:t>
      </w:r>
      <w:r>
        <w:rPr>
          <w:rFonts w:hint="eastAsia" w:ascii="宋体" w:hAnsi="宋体" w:eastAsia="宋体" w:cs="宋体"/>
          <w:bCs/>
          <w:color w:val="auto"/>
          <w:sz w:val="24"/>
          <w:highlight w:val="none"/>
        </w:rPr>
        <w:t>：</w:t>
      </w:r>
      <w:bookmarkEnd w:id="122"/>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bCs/>
          <w:color w:val="auto"/>
          <w:sz w:val="24"/>
          <w:highlight w:val="none"/>
        </w:rPr>
        <w:t>我公司自愿参加</w:t>
      </w:r>
      <w:r>
        <w:rPr>
          <w:rFonts w:hint="eastAsia" w:ascii="宋体" w:hAnsi="宋体" w:eastAsia="宋体" w:cs="宋体"/>
          <w:bCs/>
          <w:color w:val="auto"/>
          <w:sz w:val="24"/>
          <w:highlight w:val="none"/>
          <w:u w:val="single"/>
        </w:rPr>
        <w:t>　　　　</w:t>
      </w:r>
      <w:r>
        <w:rPr>
          <w:rFonts w:hint="eastAsia" w:ascii="宋体" w:hAnsi="宋体" w:eastAsia="宋体" w:cs="宋体"/>
          <w:bCs/>
          <w:color w:val="auto"/>
          <w:sz w:val="24"/>
          <w:highlight w:val="none"/>
        </w:rPr>
        <w:t>项目（项目编号</w:t>
      </w:r>
      <w:r>
        <w:rPr>
          <w:rFonts w:hint="eastAsia" w:ascii="宋体" w:hAnsi="宋体" w:eastAsia="宋体" w:cs="宋体"/>
          <w:color w:val="auto"/>
          <w:sz w:val="24"/>
          <w:highlight w:val="none"/>
        </w:rPr>
        <w:t>）的投标。我公司郑重承诺，如果我公司的投标被评定为中标，我公司对于中标货物，除完全响应招标文件合同条款对伴随服务和售后服务的所有要求外，还将按照以下条款提供优质和完善的售后服务：</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1.自货物最终验收合格之日起质保</w:t>
      </w:r>
      <w:r>
        <w:rPr>
          <w:rFonts w:hint="eastAsia" w:ascii="宋体" w:hAnsi="宋体" w:eastAsia="宋体" w:cs="宋体"/>
          <w:sz w:val="24"/>
          <w:u w:val="single"/>
        </w:rPr>
        <w:t xml:space="preserve">   </w:t>
      </w:r>
      <w:r>
        <w:rPr>
          <w:rFonts w:hint="eastAsia" w:ascii="宋体" w:hAnsi="宋体" w:eastAsia="宋体" w:cs="宋体"/>
          <w:sz w:val="24"/>
        </w:rPr>
        <w:t>年，质保期自验收合格之日起计算，保修期</w:t>
      </w:r>
      <w:r>
        <w:rPr>
          <w:rFonts w:hint="eastAsia" w:ascii="宋体" w:hAnsi="宋体" w:eastAsia="宋体" w:cs="宋体"/>
          <w:sz w:val="24"/>
          <w:u w:val="single"/>
        </w:rPr>
        <w:t xml:space="preserve">  </w:t>
      </w:r>
      <w:r>
        <w:rPr>
          <w:rFonts w:hint="eastAsia" w:ascii="宋体" w:hAnsi="宋体" w:eastAsia="宋体" w:cs="宋体"/>
          <w:sz w:val="24"/>
        </w:rPr>
        <w:t>年，保修期自质保期届满之日起计算。(质保期内的人工、备品、备件及耗材免费供应。保修期内的质量问题必须及时免费提供维修服务，人工、备品、备件及耗材承诺保证供应且价格优惠)</w:t>
      </w:r>
      <w:r>
        <w:rPr>
          <w:rFonts w:hint="eastAsia" w:ascii="宋体" w:hAnsi="宋体" w:eastAsia="宋体" w:cs="宋体"/>
          <w:b/>
          <w:bCs/>
          <w:sz w:val="24"/>
        </w:rPr>
        <w:t>（此项内容投标单位应按照实际情况填写）</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2.投标人对消防救援队伍提出的维修需求,要及时响应、远程指导修复。对远程指导不能修复的,要派技术人员</w:t>
      </w:r>
      <w:r>
        <w:rPr>
          <w:rFonts w:hint="eastAsia" w:ascii="宋体" w:hAnsi="宋体" w:eastAsia="宋体" w:cs="宋体"/>
          <w:sz w:val="24"/>
          <w:u w:val="single"/>
        </w:rPr>
        <w:t xml:space="preserve">    </w:t>
      </w:r>
      <w:r>
        <w:rPr>
          <w:rFonts w:hint="eastAsia" w:ascii="宋体" w:hAnsi="宋体" w:eastAsia="宋体" w:cs="宋体"/>
          <w:sz w:val="24"/>
        </w:rPr>
        <w:t>小时内到场维修。国内有配件的一般故障在</w:t>
      </w:r>
      <w:r>
        <w:rPr>
          <w:rFonts w:hint="eastAsia" w:ascii="宋体" w:hAnsi="宋体" w:eastAsia="宋体" w:cs="宋体"/>
          <w:sz w:val="24"/>
          <w:u w:val="single"/>
        </w:rPr>
        <w:t xml:space="preserve">  </w:t>
      </w:r>
      <w:r>
        <w:rPr>
          <w:rFonts w:hint="eastAsia" w:ascii="宋体" w:hAnsi="宋体" w:eastAsia="宋体" w:cs="宋体"/>
          <w:sz w:val="24"/>
        </w:rPr>
        <w:t>小时内修复,较大故障</w:t>
      </w:r>
      <w:r>
        <w:rPr>
          <w:rFonts w:hint="eastAsia" w:ascii="宋体" w:hAnsi="宋体" w:eastAsia="宋体" w:cs="宋体"/>
          <w:sz w:val="24"/>
          <w:u w:val="single"/>
        </w:rPr>
        <w:t xml:space="preserve">   </w:t>
      </w:r>
      <w:r>
        <w:rPr>
          <w:rFonts w:hint="eastAsia" w:ascii="宋体" w:hAnsi="宋体" w:eastAsia="宋体" w:cs="宋体"/>
          <w:sz w:val="24"/>
        </w:rPr>
        <w:t xml:space="preserve">内修复。国内没有配件的,应在60日内提供配件并修复。同时设立24小时值守电话（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b/>
          <w:bCs/>
          <w:sz w:val="24"/>
        </w:rPr>
        <w:t>（此项内容投标单位应按照实际情况填写）</w:t>
      </w:r>
    </w:p>
    <w:p>
      <w:pPr>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sz w:val="24"/>
          <w:szCs w:val="24"/>
        </w:rPr>
        <w:t>3.售后服务其他相关要求内容</w:t>
      </w:r>
      <w:r>
        <w:rPr>
          <w:rFonts w:hint="eastAsia" w:ascii="宋体" w:hAnsi="宋体" w:eastAsia="宋体" w:cs="宋体"/>
          <w:b/>
          <w:bCs/>
          <w:sz w:val="24"/>
          <w:szCs w:val="24"/>
        </w:rPr>
        <w:t>（此项内容投标单位格式内容自拟）</w:t>
      </w:r>
    </w:p>
    <w:p>
      <w:pPr>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w:t>
      </w: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23" w:name="_Toc9788"/>
      <w:r>
        <w:rPr>
          <w:rFonts w:hint="eastAsia" w:ascii="宋体" w:hAnsi="宋体" w:eastAsia="宋体" w:cs="宋体"/>
          <w:color w:val="auto"/>
          <w:sz w:val="24"/>
          <w:highlight w:val="none"/>
        </w:rPr>
        <w:t>投标单位全称（公章）：</w:t>
      </w:r>
      <w:bookmarkEnd w:id="123"/>
    </w:p>
    <w:p>
      <w:pPr>
        <w:spacing w:line="360" w:lineRule="auto"/>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24" w:name="_Toc21657"/>
      <w:r>
        <w:rPr>
          <w:rFonts w:hint="eastAsia" w:ascii="宋体" w:hAnsi="宋体" w:eastAsia="宋体" w:cs="宋体"/>
          <w:color w:val="auto"/>
          <w:sz w:val="24"/>
          <w:highlight w:val="none"/>
        </w:rPr>
        <w:t>法定代表人或授权代理人签字：</w:t>
      </w:r>
      <w:bookmarkEnd w:id="124"/>
    </w:p>
    <w:p>
      <w:pPr>
        <w:spacing w:line="360" w:lineRule="auto"/>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25" w:name="_Toc22107"/>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bookmarkEnd w:id="125"/>
    </w:p>
    <w:p>
      <w:pPr>
        <w:pStyle w:val="14"/>
        <w:spacing w:line="360" w:lineRule="auto"/>
        <w:outlineLvl w:val="9"/>
        <w:rPr>
          <w:rFonts w:hint="eastAsia" w:ascii="宋体" w:hAnsi="宋体" w:eastAsia="宋体" w:cs="宋体"/>
          <w:color w:val="auto"/>
          <w:szCs w:val="24"/>
          <w:highlight w:val="none"/>
        </w:rPr>
      </w:pPr>
    </w:p>
    <w:p>
      <w:pPr>
        <w:pStyle w:val="14"/>
        <w:spacing w:line="360" w:lineRule="auto"/>
        <w:outlineLvl w:val="9"/>
        <w:rPr>
          <w:rFonts w:hint="eastAsia" w:ascii="宋体" w:hAnsi="宋体" w:eastAsia="宋体" w:cs="宋体"/>
          <w:b/>
          <w:color w:val="auto"/>
          <w:szCs w:val="28"/>
          <w:highlight w:val="none"/>
        </w:rPr>
      </w:pPr>
    </w:p>
    <w:p>
      <w:pPr>
        <w:pStyle w:val="14"/>
        <w:spacing w:line="360" w:lineRule="auto"/>
        <w:outlineLvl w:val="9"/>
        <w:rPr>
          <w:rFonts w:hint="eastAsia" w:ascii="宋体" w:hAnsi="宋体" w:eastAsia="宋体" w:cs="宋体"/>
          <w:b/>
          <w:color w:val="auto"/>
          <w:szCs w:val="28"/>
          <w:highlight w:val="none"/>
        </w:rPr>
      </w:pPr>
    </w:p>
    <w:p>
      <w:pPr>
        <w:rPr>
          <w:rFonts w:hint="eastAsia" w:ascii="宋体" w:hAnsi="宋体" w:eastAsia="宋体" w:cs="宋体"/>
          <w:b/>
          <w:color w:val="auto"/>
          <w:szCs w:val="28"/>
          <w:highlight w:val="none"/>
        </w:rPr>
      </w:pPr>
      <w:bookmarkStart w:id="126" w:name="_Toc26805"/>
      <w:r>
        <w:rPr>
          <w:rFonts w:hint="eastAsia" w:ascii="宋体" w:hAnsi="宋体" w:eastAsia="宋体" w:cs="宋体"/>
          <w:b/>
          <w:color w:val="auto"/>
          <w:szCs w:val="28"/>
          <w:highlight w:val="none"/>
        </w:rPr>
        <w:br w:type="page"/>
      </w:r>
    </w:p>
    <w:p>
      <w:pPr>
        <w:pStyle w:val="14"/>
        <w:spacing w:line="360" w:lineRule="auto"/>
        <w:outlineLvl w:val="0"/>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格式六：</w:t>
      </w:r>
      <w:bookmarkEnd w:id="126"/>
    </w:p>
    <w:p>
      <w:pPr>
        <w:spacing w:line="360" w:lineRule="auto"/>
        <w:jc w:val="center"/>
        <w:outlineLvl w:val="0"/>
        <w:rPr>
          <w:rFonts w:hint="eastAsia" w:ascii="宋体" w:hAnsi="宋体" w:eastAsia="宋体" w:cs="宋体"/>
          <w:b/>
          <w:color w:val="auto"/>
          <w:sz w:val="24"/>
          <w:szCs w:val="28"/>
          <w:highlight w:val="none"/>
        </w:rPr>
      </w:pPr>
      <w:bookmarkStart w:id="127" w:name="_Toc28720"/>
      <w:r>
        <w:rPr>
          <w:rFonts w:hint="eastAsia" w:ascii="宋体" w:hAnsi="宋体" w:eastAsia="宋体" w:cs="宋体"/>
          <w:b/>
          <w:color w:val="auto"/>
          <w:sz w:val="24"/>
          <w:szCs w:val="28"/>
          <w:highlight w:val="none"/>
        </w:rPr>
        <w:t>法人身份证明（格式）</w:t>
      </w:r>
      <w:bookmarkEnd w:id="127"/>
    </w:p>
    <w:p>
      <w:pPr>
        <w:spacing w:line="360" w:lineRule="auto"/>
        <w:jc w:val="center"/>
        <w:outlineLvl w:val="9"/>
        <w:rPr>
          <w:rFonts w:hint="eastAsia" w:ascii="宋体" w:hAnsi="宋体" w:eastAsia="宋体" w:cs="宋体"/>
          <w:color w:val="auto"/>
          <w:sz w:val="24"/>
          <w:highlight w:val="none"/>
        </w:rPr>
      </w:pPr>
    </w:p>
    <w:p>
      <w:pPr>
        <w:spacing w:line="360" w:lineRule="auto"/>
        <w:ind w:firstLine="480" w:firstLineChars="200"/>
        <w:jc w:val="left"/>
        <w:outlineLvl w:val="0"/>
        <w:rPr>
          <w:rFonts w:hint="eastAsia" w:ascii="宋体" w:hAnsi="宋体" w:eastAsia="宋体" w:cs="宋体"/>
          <w:color w:val="auto"/>
          <w:sz w:val="24"/>
          <w:highlight w:val="none"/>
        </w:rPr>
      </w:pPr>
      <w:bookmarkStart w:id="128" w:name="_Toc19927"/>
      <w:r>
        <w:rPr>
          <w:rFonts w:hint="eastAsia" w:ascii="宋体" w:hAnsi="宋体" w:eastAsia="宋体" w:cs="宋体"/>
          <w:color w:val="auto"/>
          <w:sz w:val="24"/>
          <w:highlight w:val="none"/>
        </w:rPr>
        <w:t>兹证明：      （被证明人姓名）现任     公司的     （职务），系公司的</w:t>
      </w:r>
      <w:r>
        <w:rPr>
          <w:rFonts w:hint="eastAsia" w:ascii="宋体" w:hAnsi="宋体" w:eastAsia="宋体" w:cs="宋体"/>
          <w:color w:val="auto"/>
          <w:sz w:val="24"/>
          <w:highlight w:val="none"/>
          <w:lang w:val="en-US" w:eastAsia="zh-CN"/>
        </w:rPr>
        <w:t>法定代表</w:t>
      </w:r>
      <w:r>
        <w:rPr>
          <w:rFonts w:hint="eastAsia" w:ascii="宋体" w:hAnsi="宋体" w:eastAsia="宋体" w:cs="宋体"/>
          <w:color w:val="auto"/>
          <w:sz w:val="24"/>
          <w:highlight w:val="none"/>
        </w:rPr>
        <w:t>人。</w:t>
      </w:r>
      <w:bookmarkEnd w:id="128"/>
    </w:p>
    <w:p>
      <w:pPr>
        <w:spacing w:line="360" w:lineRule="auto"/>
        <w:ind w:firstLine="480" w:firstLineChars="200"/>
        <w:outlineLvl w:val="0"/>
        <w:rPr>
          <w:rFonts w:hint="eastAsia" w:ascii="宋体" w:hAnsi="宋体" w:eastAsia="宋体" w:cs="宋体"/>
          <w:color w:val="auto"/>
          <w:sz w:val="24"/>
          <w:highlight w:val="none"/>
        </w:rPr>
      </w:pPr>
      <w:bookmarkStart w:id="129" w:name="_Toc2443"/>
      <w:r>
        <w:rPr>
          <w:rFonts w:hint="eastAsia" w:ascii="宋体" w:hAnsi="宋体" w:eastAsia="宋体" w:cs="宋体"/>
          <w:color w:val="auto"/>
          <w:sz w:val="24"/>
          <w:highlight w:val="none"/>
        </w:rPr>
        <w:t>特此证明。</w:t>
      </w:r>
      <w:bookmarkEnd w:id="129"/>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30" w:name="_Toc1442"/>
      <w:r>
        <w:rPr>
          <w:rFonts w:hint="eastAsia" w:ascii="宋体" w:hAnsi="宋体" w:eastAsia="宋体" w:cs="宋体"/>
          <w:color w:val="auto"/>
          <w:sz w:val="24"/>
          <w:highlight w:val="none"/>
        </w:rPr>
        <w:t>投标单位全称（公章）：</w:t>
      </w:r>
      <w:bookmarkEnd w:id="130"/>
    </w:p>
    <w:p>
      <w:pPr>
        <w:spacing w:line="360" w:lineRule="auto"/>
        <w:ind w:firstLine="480" w:firstLineChars="200"/>
        <w:outlineLvl w:val="0"/>
        <w:rPr>
          <w:rFonts w:hint="eastAsia" w:ascii="宋体" w:hAnsi="宋体" w:eastAsia="宋体" w:cs="宋体"/>
          <w:color w:val="auto"/>
          <w:sz w:val="24"/>
          <w:highlight w:val="none"/>
        </w:rPr>
      </w:pPr>
      <w:bookmarkStart w:id="131" w:name="_Toc15411"/>
      <w:r>
        <w:rPr>
          <w:rFonts w:hint="eastAsia" w:ascii="宋体" w:hAnsi="宋体" w:eastAsia="宋体" w:cs="宋体"/>
          <w:color w:val="auto"/>
          <w:sz w:val="24"/>
          <w:highlight w:val="none"/>
        </w:rPr>
        <w:t>地址：</w:t>
      </w:r>
      <w:bookmarkEnd w:id="131"/>
    </w:p>
    <w:p>
      <w:pPr>
        <w:spacing w:line="360" w:lineRule="auto"/>
        <w:ind w:firstLine="480" w:firstLineChars="200"/>
        <w:outlineLvl w:val="0"/>
        <w:rPr>
          <w:rFonts w:hint="eastAsia" w:ascii="宋体" w:hAnsi="宋体" w:eastAsia="宋体" w:cs="宋体"/>
          <w:color w:val="auto"/>
          <w:sz w:val="24"/>
          <w:highlight w:val="none"/>
        </w:rPr>
      </w:pPr>
      <w:bookmarkStart w:id="132" w:name="_Toc11951"/>
      <w:r>
        <w:rPr>
          <w:rFonts w:hint="eastAsia" w:ascii="宋体" w:hAnsi="宋体" w:eastAsia="宋体" w:cs="宋体"/>
          <w:color w:val="auto"/>
          <w:sz w:val="24"/>
          <w:highlight w:val="none"/>
        </w:rPr>
        <w:t>被证明人签字：</w:t>
      </w:r>
      <w:bookmarkEnd w:id="132"/>
    </w:p>
    <w:p>
      <w:pPr>
        <w:spacing w:line="360" w:lineRule="auto"/>
        <w:ind w:firstLine="555"/>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33" w:name="_Toc4257"/>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bookmarkEnd w:id="133"/>
    </w:p>
    <w:p>
      <w:pPr>
        <w:pStyle w:val="14"/>
        <w:spacing w:line="360" w:lineRule="auto"/>
        <w:outlineLvl w:val="9"/>
        <w:rPr>
          <w:rFonts w:hint="eastAsia" w:ascii="宋体" w:hAnsi="宋体" w:eastAsia="宋体" w:cs="宋体"/>
          <w:color w:val="auto"/>
          <w:szCs w:val="24"/>
          <w:highlight w:val="none"/>
        </w:rPr>
      </w:pPr>
    </w:p>
    <w:p>
      <w:pPr>
        <w:pStyle w:val="14"/>
        <w:spacing w:line="360" w:lineRule="auto"/>
        <w:jc w:val="center"/>
        <w:outlineLvl w:val="0"/>
        <w:rPr>
          <w:rFonts w:hint="eastAsia" w:ascii="宋体" w:hAnsi="宋体" w:eastAsia="宋体" w:cs="宋体"/>
          <w:color w:val="auto"/>
          <w:szCs w:val="24"/>
          <w:highlight w:val="none"/>
        </w:rPr>
      </w:pPr>
      <w:bookmarkStart w:id="134" w:name="_Toc2762"/>
      <w:r>
        <w:rPr>
          <w:rFonts w:hint="eastAsia" w:ascii="宋体" w:hAnsi="宋体" w:eastAsia="宋体" w:cs="宋体"/>
          <w:color w:val="auto"/>
          <w:sz w:val="24"/>
          <w:highlight w:val="none"/>
          <w:lang w:val="en-US" w:eastAsia="zh-CN"/>
        </w:rPr>
        <w:t>法定代表</w:t>
      </w:r>
      <w:r>
        <w:rPr>
          <w:rFonts w:hint="eastAsia" w:ascii="宋体" w:hAnsi="宋体" w:eastAsia="宋体" w:cs="宋体"/>
          <w:color w:val="auto"/>
          <w:sz w:val="24"/>
          <w:highlight w:val="none"/>
        </w:rPr>
        <w:t>人</w:t>
      </w:r>
      <w:r>
        <w:rPr>
          <w:rFonts w:hint="eastAsia" w:ascii="宋体" w:hAnsi="宋体" w:eastAsia="宋体" w:cs="宋体"/>
          <w:color w:val="auto"/>
          <w:szCs w:val="24"/>
          <w:highlight w:val="none"/>
        </w:rPr>
        <w:t>身份证粘帖处</w:t>
      </w:r>
      <w:bookmarkEnd w:id="134"/>
    </w:p>
    <w:p>
      <w:pPr>
        <w:pStyle w:val="14"/>
        <w:spacing w:line="360" w:lineRule="auto"/>
        <w:outlineLvl w:val="9"/>
        <w:rPr>
          <w:rFonts w:hint="eastAsia" w:ascii="宋体" w:hAnsi="宋体" w:eastAsia="宋体" w:cs="宋体"/>
          <w:color w:val="auto"/>
          <w:szCs w:val="24"/>
          <w:highlight w:val="none"/>
        </w:rPr>
      </w:pPr>
    </w:p>
    <w:p>
      <w:pPr>
        <w:pStyle w:val="14"/>
        <w:spacing w:line="360" w:lineRule="auto"/>
        <w:outlineLvl w:val="9"/>
        <w:rPr>
          <w:rFonts w:hint="eastAsia" w:ascii="宋体" w:hAnsi="宋体" w:eastAsia="宋体" w:cs="宋体"/>
          <w:b/>
          <w:color w:val="auto"/>
          <w:szCs w:val="28"/>
          <w:highlight w:val="none"/>
        </w:rPr>
      </w:pPr>
    </w:p>
    <w:p>
      <w:pPr>
        <w:pStyle w:val="14"/>
        <w:spacing w:line="360" w:lineRule="auto"/>
        <w:outlineLvl w:val="9"/>
        <w:rPr>
          <w:rFonts w:hint="eastAsia" w:ascii="宋体" w:hAnsi="宋体" w:eastAsia="宋体" w:cs="宋体"/>
          <w:b/>
          <w:color w:val="auto"/>
          <w:szCs w:val="28"/>
          <w:highlight w:val="none"/>
        </w:rPr>
        <w:sectPr>
          <w:pgSz w:w="11906" w:h="16838"/>
          <w:pgMar w:top="1361" w:right="1304" w:bottom="1247" w:left="1304" w:header="680" w:footer="680" w:gutter="0"/>
          <w:cols w:space="720" w:num="1"/>
          <w:docGrid w:linePitch="312" w:charSpace="0"/>
        </w:sectPr>
      </w:pPr>
    </w:p>
    <w:p>
      <w:pPr>
        <w:pStyle w:val="14"/>
        <w:spacing w:line="360" w:lineRule="auto"/>
        <w:outlineLvl w:val="0"/>
        <w:rPr>
          <w:rFonts w:hint="eastAsia" w:ascii="宋体" w:hAnsi="宋体" w:eastAsia="宋体" w:cs="宋体"/>
          <w:b/>
          <w:color w:val="auto"/>
          <w:szCs w:val="28"/>
          <w:highlight w:val="none"/>
        </w:rPr>
      </w:pPr>
      <w:bookmarkStart w:id="135" w:name="_Toc6079"/>
      <w:r>
        <w:rPr>
          <w:rFonts w:hint="eastAsia" w:ascii="宋体" w:hAnsi="宋体" w:eastAsia="宋体" w:cs="宋体"/>
          <w:b/>
          <w:color w:val="auto"/>
          <w:szCs w:val="28"/>
          <w:highlight w:val="none"/>
        </w:rPr>
        <w:t>格式七：</w:t>
      </w:r>
      <w:bookmarkEnd w:id="135"/>
    </w:p>
    <w:p>
      <w:pPr>
        <w:snapToGrid w:val="0"/>
        <w:spacing w:line="360" w:lineRule="auto"/>
        <w:jc w:val="center"/>
        <w:textAlignment w:val="bottom"/>
        <w:outlineLvl w:val="0"/>
        <w:rPr>
          <w:rFonts w:hint="eastAsia" w:ascii="宋体" w:hAnsi="宋体" w:eastAsia="宋体" w:cs="宋体"/>
          <w:b/>
          <w:color w:val="auto"/>
          <w:sz w:val="24"/>
          <w:szCs w:val="28"/>
          <w:highlight w:val="none"/>
        </w:rPr>
      </w:pPr>
      <w:bookmarkStart w:id="136" w:name="_Toc11329"/>
      <w:r>
        <w:rPr>
          <w:rFonts w:hint="eastAsia" w:ascii="宋体" w:hAnsi="宋体" w:eastAsia="宋体" w:cs="宋体"/>
          <w:b/>
          <w:color w:val="auto"/>
          <w:sz w:val="24"/>
          <w:szCs w:val="28"/>
          <w:highlight w:val="none"/>
        </w:rPr>
        <w:t>法定代表人授权书（格式）</w:t>
      </w:r>
      <w:bookmarkEnd w:id="136"/>
    </w:p>
    <w:p>
      <w:pPr>
        <w:snapToGrid w:val="0"/>
        <w:spacing w:line="360" w:lineRule="auto"/>
        <w:jc w:val="center"/>
        <w:textAlignment w:val="bottom"/>
        <w:rPr>
          <w:rFonts w:hint="eastAsia" w:ascii="宋体" w:hAnsi="宋体" w:eastAsia="宋体" w:cs="宋体"/>
          <w:b/>
          <w:bCs/>
          <w:color w:val="auto"/>
          <w:sz w:val="24"/>
          <w:szCs w:val="28"/>
          <w:highlight w:val="none"/>
        </w:rPr>
      </w:pPr>
    </w:p>
    <w:p>
      <w:pPr>
        <w:snapToGrid w:val="0"/>
        <w:spacing w:line="360" w:lineRule="auto"/>
        <w:textAlignment w:val="bottom"/>
        <w:rPr>
          <w:rFonts w:hint="eastAsia" w:ascii="宋体" w:hAnsi="宋体" w:eastAsia="宋体" w:cs="宋体"/>
          <w:color w:val="auto"/>
          <w:sz w:val="24"/>
          <w:highlight w:val="none"/>
        </w:rPr>
      </w:pPr>
    </w:p>
    <w:p>
      <w:pPr>
        <w:snapToGrid w:val="0"/>
        <w:spacing w:line="360" w:lineRule="auto"/>
        <w:ind w:firstLine="480" w:firstLineChars="20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本授权书声明：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法定代表人</w:t>
      </w:r>
      <w:r>
        <w:rPr>
          <w:rFonts w:hint="eastAsia" w:ascii="宋体" w:hAnsi="宋体" w:eastAsia="宋体" w:cs="宋体"/>
          <w:color w:val="auto"/>
          <w:sz w:val="24"/>
          <w:highlight w:val="none"/>
          <w:u w:val="single"/>
        </w:rPr>
        <w:t>姓名、职务）</w:t>
      </w:r>
      <w:r>
        <w:rPr>
          <w:rFonts w:hint="eastAsia" w:ascii="宋体" w:hAnsi="宋体" w:eastAsia="宋体" w:cs="宋体"/>
          <w:color w:val="auto"/>
          <w:sz w:val="24"/>
          <w:highlight w:val="none"/>
        </w:rPr>
        <w:t>授权</w:t>
      </w:r>
      <w:r>
        <w:rPr>
          <w:rFonts w:hint="eastAsia" w:ascii="宋体" w:hAnsi="宋体" w:eastAsia="宋体" w:cs="宋体"/>
          <w:color w:val="auto"/>
          <w:sz w:val="24"/>
          <w:highlight w:val="none"/>
          <w:u w:val="single"/>
        </w:rPr>
        <w:t xml:space="preserve">        （被授权人的姓名、职务）</w:t>
      </w:r>
      <w:r>
        <w:rPr>
          <w:rFonts w:hint="eastAsia" w:ascii="宋体" w:hAnsi="宋体" w:eastAsia="宋体" w:cs="宋体"/>
          <w:color w:val="auto"/>
          <w:sz w:val="24"/>
          <w:highlight w:val="none"/>
        </w:rPr>
        <w:t>为本公司的合法代理人，就</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w:t>
      </w:r>
      <w:r>
        <w:rPr>
          <w:rFonts w:hint="eastAsia" w:ascii="宋体" w:hAnsi="宋体" w:eastAsia="宋体" w:cs="宋体"/>
          <w:color w:val="auto"/>
          <w:sz w:val="24"/>
          <w:highlight w:val="none"/>
          <w:lang w:val="en-US" w:eastAsia="zh-CN"/>
        </w:rPr>
        <w:t>项目</w:t>
      </w:r>
      <w:r>
        <w:rPr>
          <w:rFonts w:hint="eastAsia" w:ascii="宋体" w:hAnsi="宋体" w:eastAsia="宋体" w:cs="宋体"/>
          <w:color w:val="auto"/>
          <w:sz w:val="24"/>
          <w:highlight w:val="none"/>
        </w:rPr>
        <w:t>编号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）的投标以及合同的谈判、签约、执行、完成和保修等全权负责，以本公司名义处理一切与之有关的事务。</w:t>
      </w: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本授权书于</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日签字生效，特此声明。</w:t>
      </w:r>
    </w:p>
    <w:p>
      <w:pPr>
        <w:snapToGrid w:val="0"/>
        <w:spacing w:line="360" w:lineRule="auto"/>
        <w:ind w:firstLine="975"/>
        <w:textAlignment w:val="bottom"/>
        <w:rPr>
          <w:rFonts w:hint="eastAsia" w:ascii="宋体" w:hAnsi="宋体" w:eastAsia="宋体" w:cs="宋体"/>
          <w:color w:val="auto"/>
          <w:sz w:val="24"/>
          <w:highlight w:val="none"/>
        </w:rPr>
      </w:pPr>
    </w:p>
    <w:p>
      <w:pPr>
        <w:snapToGrid w:val="0"/>
        <w:spacing w:line="360" w:lineRule="auto"/>
        <w:ind w:firstLine="975"/>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投标人名称（盖章）：</w:t>
      </w:r>
    </w:p>
    <w:p>
      <w:pPr>
        <w:snapToGrid w:val="0"/>
        <w:spacing w:line="360" w:lineRule="auto"/>
        <w:ind w:firstLine="972" w:firstLineChars="405"/>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p>
      <w:pPr>
        <w:snapToGrid w:val="0"/>
        <w:spacing w:line="360" w:lineRule="auto"/>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mc:AlternateContent>
          <mc:Choice Requires="wps">
            <w:drawing>
              <wp:anchor distT="0" distB="0" distL="114300" distR="114300" simplePos="0" relativeHeight="251659264" behindDoc="0" locked="0" layoutInCell="0" allowOverlap="1">
                <wp:simplePos x="0" y="0"/>
                <wp:positionH relativeFrom="column">
                  <wp:posOffset>2753360</wp:posOffset>
                </wp:positionH>
                <wp:positionV relativeFrom="paragraph">
                  <wp:posOffset>179705</wp:posOffset>
                </wp:positionV>
                <wp:extent cx="139319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139319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216.8pt;margin-top:14.15pt;height:0pt;width:109.7pt;z-index:251659264;mso-width-relative:page;mso-height-relative:page;" filled="f" stroked="t" coordsize="21600,21600" o:allowincell="f" o:gfxdata="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S3JBatYAAAAJAQAADwAAAAAAAAABACAAAAAiAAAAZHJzL2Rvd25yZXYueG1sUEsBAhQAFAAA&#10;AAgAh07iQOLjCMjxAQAA5gMAAA4AAAAAAAAAAQAgAAAAJQEAAGRycy9lMm9Eb2MueG1sUEsFBgAA&#10;AAAGAAYAWQEAAIgFAAAAAA==&#10;">
                <v:fill on="f" focussize="0,0"/>
                <v:stroke color="#000000" joinstyle="round"/>
                <v:imagedata o:title=""/>
                <o:lock v:ext="edit" aspectratio="f"/>
              </v:line>
            </w:pict>
          </mc:Fallback>
        </mc:AlternateContent>
      </w:r>
      <w:r>
        <w:rPr>
          <w:rFonts w:hint="eastAsia" w:ascii="宋体" w:hAnsi="宋体" w:eastAsia="宋体" w:cs="宋体"/>
          <w:color w:val="auto"/>
          <w:sz w:val="24"/>
          <w:highlight w:val="none"/>
        </w:rPr>
        <w:t>授权人（</w:t>
      </w: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）签字：</w:t>
      </w:r>
    </w:p>
    <w:p>
      <w:pPr>
        <w:snapToGrid w:val="0"/>
        <w:spacing w:line="360" w:lineRule="auto"/>
        <w:textAlignment w:val="bottom"/>
        <w:rPr>
          <w:rFonts w:hint="eastAsia" w:ascii="宋体" w:hAnsi="宋体" w:eastAsia="宋体" w:cs="宋体"/>
          <w:color w:val="auto"/>
          <w:sz w:val="24"/>
          <w:highlight w:val="none"/>
          <w:u w:val="single"/>
        </w:rPr>
      </w:pPr>
    </w:p>
    <w:p>
      <w:pPr>
        <w:snapToGrid w:val="0"/>
        <w:spacing w:line="360" w:lineRule="auto"/>
        <w:textAlignment w:val="bottom"/>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2767330</wp:posOffset>
                </wp:positionH>
                <wp:positionV relativeFrom="paragraph">
                  <wp:posOffset>193675</wp:posOffset>
                </wp:positionV>
                <wp:extent cx="1360170" cy="4445"/>
                <wp:effectExtent l="0" t="0" r="0" b="0"/>
                <wp:wrapNone/>
                <wp:docPr id="1" name="直线 3"/>
                <wp:cNvGraphicFramePr/>
                <a:graphic xmlns:a="http://schemas.openxmlformats.org/drawingml/2006/main">
                  <a:graphicData uri="http://schemas.microsoft.com/office/word/2010/wordprocessingShape">
                    <wps:wsp>
                      <wps:cNvCnPr/>
                      <wps:spPr>
                        <a:xfrm>
                          <a:off x="0" y="0"/>
                          <a:ext cx="1360170"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217.9pt;margin-top:15.25pt;height:0.35pt;width:107.1pt;z-index:251660288;mso-width-relative:page;mso-height-relative:page;" filled="f" stroked="t" coordsize="21600,21600" o:gfxdata="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CZWj&#10;SdcAAAAJAQAADwAAAAAAAAABACAAAAAiAAAAZHJzL2Rvd25yZXYueG1sUEsBAhQAFAAAAAgAh07i&#10;QHy3dWHqAQAA3gMAAA4AAAAAAAAAAQAgAAAAJgEAAGRycy9lMm9Eb2MueG1sUEsFBgAAAAAGAAYA&#10;WQEAAIIFAAAAAA==&#10;">
                <v:fill on="f" focussize="0,0"/>
                <v:stroke color="#000000" joinstyle="round"/>
                <v:imagedata o:title=""/>
                <o:lock v:ext="edit" aspectratio="f"/>
              </v:line>
            </w:pict>
          </mc:Fallback>
        </mc:AlternateContent>
      </w:r>
      <w:r>
        <w:rPr>
          <w:rFonts w:hint="eastAsia" w:ascii="宋体" w:hAnsi="宋体" w:eastAsia="宋体" w:cs="宋体"/>
          <w:color w:val="auto"/>
          <w:sz w:val="24"/>
          <w:highlight w:val="none"/>
        </w:rPr>
        <w:t>被授权人（代理人）签字：</w:t>
      </w:r>
    </w:p>
    <w:p>
      <w:pPr>
        <w:snapToGrid w:val="0"/>
        <w:spacing w:line="360" w:lineRule="auto"/>
        <w:textAlignment w:val="bottom"/>
        <w:rPr>
          <w:rFonts w:hint="eastAsia" w:ascii="宋体" w:hAnsi="宋体" w:eastAsia="宋体" w:cs="宋体"/>
          <w:bCs/>
          <w:color w:val="auto"/>
          <w:sz w:val="24"/>
          <w:highlight w:val="none"/>
        </w:rPr>
      </w:pPr>
    </w:p>
    <w:p>
      <w:pPr>
        <w:snapToGrid w:val="0"/>
        <w:spacing w:line="360" w:lineRule="auto"/>
        <w:textAlignment w:val="bottom"/>
        <w:rPr>
          <w:rFonts w:hint="eastAsia" w:ascii="宋体" w:hAnsi="宋体" w:eastAsia="宋体" w:cs="宋体"/>
          <w:bCs/>
          <w:color w:val="auto"/>
          <w:sz w:val="24"/>
          <w:highlight w:val="none"/>
        </w:rPr>
      </w:pPr>
    </w:p>
    <w:p>
      <w:pPr>
        <w:snapToGrid w:val="0"/>
        <w:spacing w:line="360" w:lineRule="auto"/>
        <w:textAlignment w:val="bottom"/>
        <w:rPr>
          <w:rFonts w:hint="eastAsia" w:ascii="宋体" w:hAnsi="宋体" w:eastAsia="宋体" w:cs="宋体"/>
          <w:bCs/>
          <w:color w:val="auto"/>
          <w:sz w:val="24"/>
          <w:highlight w:val="none"/>
        </w:rPr>
      </w:pPr>
    </w:p>
    <w:p>
      <w:pPr>
        <w:pStyle w:val="14"/>
        <w:spacing w:line="360" w:lineRule="auto"/>
        <w:jc w:val="center"/>
        <w:outlineLvl w:val="0"/>
        <w:rPr>
          <w:rFonts w:hint="eastAsia" w:ascii="宋体" w:hAnsi="宋体" w:eastAsia="宋体" w:cs="宋体"/>
          <w:color w:val="auto"/>
          <w:szCs w:val="24"/>
          <w:highlight w:val="none"/>
        </w:rPr>
      </w:pPr>
      <w:bookmarkStart w:id="137" w:name="_Toc29577"/>
      <w:r>
        <w:rPr>
          <w:rFonts w:hint="eastAsia" w:ascii="宋体" w:hAnsi="宋体" w:eastAsia="宋体" w:cs="宋体"/>
          <w:color w:val="auto"/>
          <w:szCs w:val="24"/>
          <w:highlight w:val="none"/>
        </w:rPr>
        <w:t>被授权人身份证粘帖处</w:t>
      </w:r>
      <w:bookmarkEnd w:id="137"/>
    </w:p>
    <w:p>
      <w:pPr>
        <w:snapToGrid w:val="0"/>
        <w:spacing w:line="360" w:lineRule="auto"/>
        <w:textAlignment w:val="bottom"/>
        <w:rPr>
          <w:rFonts w:hint="eastAsia" w:ascii="宋体" w:hAnsi="宋体" w:eastAsia="宋体" w:cs="宋体"/>
          <w:b/>
          <w:bCs/>
          <w:color w:val="auto"/>
          <w:sz w:val="24"/>
          <w:szCs w:val="28"/>
          <w:highlight w:val="none"/>
        </w:rPr>
      </w:pPr>
    </w:p>
    <w:p>
      <w:pPr>
        <w:pStyle w:val="13"/>
        <w:spacing w:line="500" w:lineRule="exact"/>
        <w:jc w:val="left"/>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napToGrid w:val="0"/>
        <w:spacing w:line="360" w:lineRule="auto"/>
        <w:textAlignment w:val="bottom"/>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w:t>
      </w:r>
      <w:r>
        <w:rPr>
          <w:rFonts w:hint="eastAsia" w:ascii="宋体" w:hAnsi="宋体" w:eastAsia="宋体" w:cs="宋体"/>
          <w:b/>
          <w:color w:val="auto"/>
          <w:sz w:val="24"/>
          <w:szCs w:val="28"/>
          <w:highlight w:val="none"/>
          <w:lang w:val="en-US" w:eastAsia="zh-CN"/>
        </w:rPr>
        <w:t>八</w:t>
      </w:r>
      <w:r>
        <w:rPr>
          <w:rFonts w:hint="eastAsia" w:ascii="宋体" w:hAnsi="宋体" w:eastAsia="宋体" w:cs="宋体"/>
          <w:b/>
          <w:color w:val="auto"/>
          <w:sz w:val="24"/>
          <w:szCs w:val="28"/>
          <w:highlight w:val="none"/>
        </w:rPr>
        <w:t>：</w:t>
      </w:r>
    </w:p>
    <w:p>
      <w:pPr>
        <w:widowControl/>
        <w:autoSpaceDE w:val="0"/>
        <w:autoSpaceDN w:val="0"/>
        <w:ind w:right="-12"/>
        <w:jc w:val="center"/>
        <w:textAlignment w:val="bottom"/>
        <w:outlineLvl w:val="0"/>
        <w:rPr>
          <w:rFonts w:hint="eastAsia" w:ascii="宋体" w:hAnsi="宋体" w:eastAsia="宋体" w:cs="宋体"/>
          <w:bCs/>
          <w:color w:val="auto"/>
          <w:sz w:val="24"/>
          <w:highlight w:val="none"/>
        </w:rPr>
      </w:pPr>
      <w:r>
        <w:rPr>
          <w:rFonts w:hint="eastAsia" w:ascii="宋体" w:hAnsi="宋体" w:eastAsia="宋体" w:cs="宋体"/>
          <w:b/>
          <w:color w:val="auto"/>
          <w:sz w:val="24"/>
          <w:highlight w:val="none"/>
        </w:rPr>
        <w:t xml:space="preserve"> </w:t>
      </w:r>
      <w:bookmarkStart w:id="138" w:name="_Toc23748"/>
      <w:r>
        <w:rPr>
          <w:rFonts w:hint="eastAsia" w:ascii="宋体" w:hAnsi="宋体" w:eastAsia="宋体" w:cs="宋体"/>
          <w:b/>
          <w:color w:val="auto"/>
          <w:sz w:val="24"/>
          <w:highlight w:val="none"/>
        </w:rPr>
        <w:t>中小企业声明函</w:t>
      </w:r>
      <w:r>
        <w:rPr>
          <w:rFonts w:hint="eastAsia" w:ascii="宋体" w:hAnsi="宋体" w:eastAsia="宋体" w:cs="宋体"/>
          <w:b/>
          <w:color w:val="auto"/>
          <w:sz w:val="24"/>
          <w:szCs w:val="28"/>
          <w:highlight w:val="none"/>
        </w:rPr>
        <w:t>（格式）</w:t>
      </w:r>
      <w:bookmarkEnd w:id="138"/>
    </w:p>
    <w:p>
      <w:pPr>
        <w:pStyle w:val="19"/>
        <w:snapToGrid w:val="0"/>
        <w:spacing w:beforeAutospacing="0" w:afterAutospacing="0" w:line="440" w:lineRule="exact"/>
        <w:jc w:val="both"/>
        <w:rPr>
          <w:rFonts w:hint="eastAsia" w:ascii="宋体" w:hAnsi="宋体" w:eastAsia="宋体" w:cs="宋体"/>
          <w:bCs/>
          <w:color w:val="auto"/>
          <w:highlight w:val="none"/>
        </w:rPr>
      </w:pPr>
    </w:p>
    <w:p>
      <w:pPr>
        <w:pStyle w:val="19"/>
        <w:snapToGrid w:val="0"/>
        <w:spacing w:beforeAutospacing="0" w:afterAutospacing="0" w:line="440" w:lineRule="exact"/>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中小企业声明函</w:t>
      </w:r>
    </w:p>
    <w:p>
      <w:pPr>
        <w:keepNext w:val="0"/>
        <w:keepLines w:val="0"/>
        <w:pageBreakBefore w:val="0"/>
        <w:widowControl w:val="0"/>
        <w:kinsoku/>
        <w:wordWrap/>
        <w:overflowPunct/>
        <w:topLinePunct w:val="0"/>
        <w:autoSpaceDE/>
        <w:autoSpaceDN/>
        <w:bidi w:val="0"/>
        <w:adjustRightInd w:val="0"/>
        <w:snapToGrid w:val="0"/>
        <w:spacing w:line="520" w:lineRule="atLeast"/>
        <w:ind w:firstLine="56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采购活动，提供的货物全部由符合政策要求的中小企业制造。相关企业 （含联合体中的中小企业、签订分包意向协议的中小企业） 的具体情况如下：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 企业、微型企业）</w:t>
      </w: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 企业、微型企业）</w:t>
      </w: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以上企业，不属于大企业的分支机构，不存在控股股东为大企业的情形，也不存在与大企业的负责人为同一人的情形。</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本企业对上述声明内容的真实性负责。如有虚假，将依法承担相应责任。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textAlignment w:val="auto"/>
        <w:rPr>
          <w:rFonts w:hint="eastAsia" w:ascii="宋体" w:hAnsi="宋体" w:eastAsia="宋体" w:cs="宋体"/>
          <w:color w:val="auto"/>
          <w:sz w:val="24"/>
          <w:szCs w:val="24"/>
          <w:highlight w:val="none"/>
          <w:lang w:eastAsia="zh-CN"/>
        </w:rPr>
      </w:pPr>
    </w:p>
    <w:p>
      <w:pPr>
        <w:spacing w:line="440" w:lineRule="exact"/>
        <w:jc w:val="center"/>
        <w:rPr>
          <w:rFonts w:hint="eastAsia" w:ascii="宋体" w:hAnsi="宋体" w:eastAsia="宋体" w:cs="宋体"/>
          <w:b/>
          <w:bCs/>
          <w:color w:val="auto"/>
          <w:sz w:val="24"/>
          <w:highlight w:val="none"/>
          <w:lang w:val="zh-CN"/>
        </w:rPr>
      </w:pPr>
      <w:r>
        <w:rPr>
          <w:rFonts w:hint="eastAsia" w:ascii="宋体" w:hAnsi="宋体" w:eastAsia="宋体" w:cs="宋体"/>
          <w:color w:val="auto"/>
          <w:sz w:val="24"/>
          <w:szCs w:val="24"/>
          <w:highlight w:val="none"/>
          <w:lang w:eastAsia="zh-CN"/>
        </w:rPr>
        <w:t>注：</w:t>
      </w:r>
      <w:r>
        <w:rPr>
          <w:rFonts w:hint="eastAsia" w:ascii="宋体" w:hAnsi="宋体" w:eastAsia="宋体" w:cs="宋体"/>
          <w:color w:val="auto"/>
          <w:sz w:val="24"/>
          <w:szCs w:val="24"/>
          <w:highlight w:val="none"/>
        </w:rPr>
        <w:t>从业人员、营业收入、资产总额填报上一年度数据，无上一年度数据的新成立企业可不填报。</w:t>
      </w:r>
    </w:p>
    <w:p>
      <w:pPr>
        <w:spacing w:line="440" w:lineRule="exact"/>
        <w:jc w:val="center"/>
        <w:rPr>
          <w:rFonts w:hint="eastAsia" w:ascii="宋体" w:hAnsi="宋体" w:eastAsia="宋体" w:cs="宋体"/>
          <w:b/>
          <w:bCs/>
          <w:color w:val="auto"/>
          <w:sz w:val="24"/>
          <w:highlight w:val="none"/>
          <w:lang w:val="zh-CN"/>
        </w:rPr>
      </w:pPr>
    </w:p>
    <w:p>
      <w:pPr>
        <w:rPr>
          <w:rFonts w:hint="eastAsia" w:ascii="宋体" w:hAnsi="宋体" w:eastAsia="宋体" w:cs="宋体"/>
          <w:color w:val="auto"/>
          <w:highlight w:val="none"/>
        </w:rPr>
        <w:sectPr>
          <w:pgSz w:w="11906" w:h="16838"/>
          <w:pgMar w:top="1361" w:right="1304" w:bottom="1247" w:left="1304" w:header="680" w:footer="680" w:gutter="0"/>
          <w:cols w:space="720" w:num="1"/>
          <w:docGrid w:linePitch="312" w:charSpace="0"/>
        </w:sectPr>
      </w:pPr>
      <w:r>
        <w:rPr>
          <w:rFonts w:hint="eastAsia" w:ascii="宋体" w:hAnsi="宋体" w:eastAsia="宋体" w:cs="宋体"/>
          <w:b/>
          <w:bCs/>
          <w:color w:val="auto"/>
          <w:sz w:val="24"/>
          <w:highlight w:val="none"/>
        </w:rPr>
        <w:t>注：如投标人虚假承诺本声明函，中标的投标人采购人有权拒绝与其签署合同，并追究其法律责任，未中标投标人视为其虚假响应，并将此虚假响应情况报送主管部门处理。</w:t>
      </w:r>
    </w:p>
    <w:p>
      <w:pPr>
        <w:spacing w:before="0" w:after="0" w:line="240" w:lineRule="auto"/>
        <w:ind w:left="0" w:right="-12" w:firstLine="0"/>
        <w:jc w:val="center"/>
        <w:outlineLvl w:val="0"/>
        <w:rPr>
          <w:rFonts w:hint="eastAsia" w:ascii="宋体" w:hAnsi="宋体" w:eastAsia="宋体" w:cs="宋体"/>
          <w:b/>
          <w:color w:val="auto"/>
          <w:spacing w:val="0"/>
          <w:position w:val="0"/>
          <w:sz w:val="24"/>
          <w:highlight w:val="none"/>
          <w:shd w:val="clear" w:fill="auto"/>
        </w:rPr>
      </w:pPr>
      <w:bookmarkStart w:id="139" w:name="_Toc20734"/>
      <w:r>
        <w:rPr>
          <w:rFonts w:hint="eastAsia" w:ascii="宋体" w:hAnsi="宋体" w:eastAsia="宋体" w:cs="宋体"/>
          <w:b/>
          <w:color w:val="auto"/>
          <w:spacing w:val="0"/>
          <w:position w:val="0"/>
          <w:sz w:val="24"/>
          <w:highlight w:val="none"/>
          <w:shd w:val="clear" w:fill="auto"/>
        </w:rPr>
        <w:t>残疾人福利性单位声明函</w:t>
      </w:r>
      <w:bookmarkEnd w:id="139"/>
    </w:p>
    <w:p>
      <w:pPr>
        <w:autoSpaceDE w:val="0"/>
        <w:autoSpaceDN w:val="0"/>
        <w:adjustRightInd w:val="0"/>
        <w:spacing w:beforeLines="50" w:afterLines="50"/>
        <w:ind w:firstLine="480" w:firstLineChars="200"/>
        <w:jc w:val="center"/>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（如果是，提供）</w:t>
      </w:r>
    </w:p>
    <w:p>
      <w:pPr>
        <w:autoSpaceDE w:val="0"/>
        <w:autoSpaceDN w:val="0"/>
        <w:adjustRightInd w:val="0"/>
        <w:spacing w:beforeLines="50" w:afterLines="5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货物），或者提供其他残疾人福利性单位制造的货物（不包括使用非残疾人福利性单位注册商标的货物）。</w:t>
      </w:r>
    </w:p>
    <w:p>
      <w:pPr>
        <w:autoSpaceDE w:val="0"/>
        <w:autoSpaceDN w:val="0"/>
        <w:adjustRightInd w:val="0"/>
        <w:spacing w:beforeLines="50" w:afterLines="5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本单位对上述声明的真实性负责。如有虚假，将依法承担相应责任。</w:t>
      </w:r>
    </w:p>
    <w:p>
      <w:pPr>
        <w:adjustRightInd w:val="0"/>
        <w:snapToGrid w:val="0"/>
        <w:ind w:firstLine="480" w:firstLineChars="200"/>
        <w:rPr>
          <w:rFonts w:hint="eastAsia" w:ascii="宋体" w:hAnsi="宋体" w:eastAsia="宋体" w:cs="宋体"/>
          <w:snapToGrid w:val="0"/>
          <w:color w:val="auto"/>
          <w:kern w:val="0"/>
          <w:sz w:val="24"/>
          <w:highlight w:val="none"/>
        </w:rPr>
      </w:pPr>
    </w:p>
    <w:p>
      <w:pPr>
        <w:adjustRightInd w:val="0"/>
        <w:snapToGrid w:val="0"/>
        <w:ind w:firstLine="480" w:firstLineChars="200"/>
        <w:rPr>
          <w:rFonts w:hint="eastAsia" w:ascii="宋体" w:hAnsi="宋体" w:eastAsia="宋体" w:cs="宋体"/>
          <w:snapToGrid w:val="0"/>
          <w:color w:val="auto"/>
          <w:kern w:val="0"/>
          <w:sz w:val="24"/>
          <w:highlight w:val="none"/>
        </w:rPr>
      </w:pP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                                         </w:t>
      </w:r>
    </w:p>
    <w:p>
      <w:pPr>
        <w:adjustRightInd w:val="0"/>
        <w:snapToGrid w:val="0"/>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adjustRightInd w:val="0"/>
        <w:snapToGrid w:val="0"/>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投标人名称（</w:t>
      </w:r>
      <w:r>
        <w:rPr>
          <w:rFonts w:hint="eastAsia" w:ascii="宋体" w:hAnsi="宋体" w:eastAsia="宋体" w:cs="宋体"/>
          <w:color w:val="auto"/>
          <w:sz w:val="24"/>
          <w:highlight w:val="none"/>
          <w:lang w:eastAsia="zh-CN"/>
        </w:rPr>
        <w:t>盖</w:t>
      </w:r>
      <w:r>
        <w:rPr>
          <w:rFonts w:hint="eastAsia" w:ascii="宋体" w:hAnsi="宋体" w:eastAsia="宋体" w:cs="宋体"/>
          <w:color w:val="auto"/>
          <w:sz w:val="24"/>
          <w:highlight w:val="none"/>
        </w:rPr>
        <w:t>章）：</w:t>
      </w:r>
      <w:r>
        <w:rPr>
          <w:rFonts w:hint="eastAsia" w:ascii="宋体" w:hAnsi="宋体" w:eastAsia="宋体" w:cs="宋体"/>
          <w:color w:val="auto"/>
          <w:sz w:val="24"/>
          <w:highlight w:val="none"/>
          <w:u w:val="single"/>
        </w:rPr>
        <w:t xml:space="preserve">                                    </w:t>
      </w: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color w:val="auto"/>
          <w:sz w:val="24"/>
          <w:highlight w:val="none"/>
          <w:lang w:val="en-US" w:eastAsia="zh-CN"/>
        </w:rPr>
        <w:t>法定代表人</w:t>
      </w: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或授权代表（签</w:t>
      </w:r>
      <w:r>
        <w:rPr>
          <w:rFonts w:hint="eastAsia" w:ascii="宋体" w:hAnsi="宋体" w:eastAsia="宋体" w:cs="宋体"/>
          <w:snapToGrid w:val="0"/>
          <w:color w:val="auto"/>
          <w:kern w:val="0"/>
          <w:sz w:val="24"/>
          <w:highlight w:val="none"/>
          <w:lang w:eastAsia="zh-CN"/>
        </w:rPr>
        <w:t>字</w:t>
      </w:r>
      <w:r>
        <w:rPr>
          <w:rFonts w:hint="eastAsia" w:ascii="宋体" w:hAnsi="宋体" w:eastAsia="宋体" w:cs="宋体"/>
          <w:snapToGrid w:val="0"/>
          <w:color w:val="auto"/>
          <w:kern w:val="0"/>
          <w:sz w:val="24"/>
          <w:highlight w:val="none"/>
        </w:rPr>
        <w:t>）</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p>
    <w:p>
      <w:pPr>
        <w:tabs>
          <w:tab w:val="left" w:pos="1573"/>
        </w:tabs>
        <w:rPr>
          <w:rFonts w:hint="eastAsia" w:ascii="宋体" w:hAnsi="宋体" w:eastAsia="宋体" w:cs="宋体"/>
          <w:color w:val="auto"/>
          <w:sz w:val="24"/>
          <w:highlight w:val="none"/>
        </w:rPr>
      </w:pPr>
    </w:p>
    <w:p>
      <w:pPr>
        <w:pStyle w:val="11"/>
        <w:adjustRightInd w:val="0"/>
        <w:snapToGrid w:val="0"/>
        <w:ind w:firstLine="0"/>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 xml:space="preserve">                    </w:t>
      </w:r>
    </w:p>
    <w:p>
      <w:pPr>
        <w:pStyle w:val="11"/>
        <w:adjustRightInd w:val="0"/>
        <w:snapToGrid w:val="0"/>
        <w:ind w:firstLine="480" w:firstLineChars="200"/>
        <w:rPr>
          <w:rFonts w:hint="eastAsia" w:ascii="宋体" w:hAnsi="宋体" w:eastAsia="宋体" w:cs="宋体"/>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日期:</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年</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月</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日</w:t>
      </w:r>
    </w:p>
    <w:p>
      <w:pPr>
        <w:adjustRightInd w:val="0"/>
        <w:snapToGrid w:val="0"/>
        <w:ind w:firstLine="480" w:firstLineChars="200"/>
        <w:rPr>
          <w:rFonts w:hint="eastAsia" w:ascii="宋体" w:hAnsi="宋体" w:eastAsia="宋体" w:cs="宋体"/>
          <w:snapToGrid w:val="0"/>
          <w:color w:val="auto"/>
          <w:kern w:val="0"/>
          <w:sz w:val="24"/>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b/>
          <w:bCs/>
          <w:color w:val="auto"/>
          <w:sz w:val="30"/>
          <w:szCs w:val="30"/>
          <w:highlight w:val="none"/>
        </w:rPr>
      </w:pPr>
    </w:p>
    <w:p>
      <w:pPr>
        <w:rPr>
          <w:rFonts w:hint="eastAsia" w:ascii="宋体" w:hAnsi="宋体" w:eastAsia="宋体" w:cs="宋体"/>
          <w:b/>
          <w:bCs/>
          <w:color w:val="auto"/>
          <w:sz w:val="30"/>
          <w:szCs w:val="30"/>
          <w:highlight w:val="none"/>
        </w:rPr>
      </w:pPr>
    </w:p>
    <w:p>
      <w:pPr>
        <w:rPr>
          <w:rFonts w:hint="eastAsia" w:ascii="宋体" w:hAnsi="宋体" w:eastAsia="宋体" w:cs="宋体"/>
          <w:color w:val="auto"/>
          <w:kern w:val="0"/>
          <w:sz w:val="30"/>
          <w:szCs w:val="30"/>
          <w:highlight w:val="none"/>
        </w:rPr>
      </w:pPr>
      <w:r>
        <w:rPr>
          <w:rFonts w:hint="eastAsia" w:ascii="宋体" w:hAnsi="宋体" w:eastAsia="宋体" w:cs="宋体"/>
          <w:color w:val="auto"/>
          <w:kern w:val="0"/>
          <w:sz w:val="30"/>
          <w:szCs w:val="30"/>
          <w:highlight w:val="none"/>
        </w:rPr>
        <w:br w:type="page"/>
      </w:r>
    </w:p>
    <w:p>
      <w:pPr>
        <w:spacing w:before="0" w:after="0" w:line="240" w:lineRule="auto"/>
        <w:ind w:left="0" w:right="-12"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省级以上监狱管理局、戒毒管理局（含新疆生产建设兵团）出具的属于监狱企业的证明文件</w:t>
      </w:r>
    </w:p>
    <w:p>
      <w:pPr>
        <w:autoSpaceDE w:val="0"/>
        <w:autoSpaceDN w:val="0"/>
        <w:adjustRightInd w:val="0"/>
        <w:spacing w:beforeLines="50" w:afterLines="50"/>
        <w:jc w:val="center"/>
        <w:rPr>
          <w:rStyle w:val="27"/>
          <w:rFonts w:hint="eastAsia" w:ascii="宋体" w:hAnsi="宋体" w:eastAsia="宋体" w:cs="宋体"/>
          <w:b w:val="0"/>
          <w:bCs w:val="0"/>
          <w:color w:val="auto"/>
          <w:sz w:val="36"/>
          <w:szCs w:val="36"/>
          <w:highlight w:val="none"/>
        </w:rPr>
      </w:pPr>
      <w:r>
        <w:rPr>
          <w:rFonts w:hint="eastAsia" w:ascii="宋体" w:hAnsi="宋体" w:eastAsia="宋体" w:cs="宋体"/>
          <w:color w:val="auto"/>
          <w:kern w:val="0"/>
          <w:sz w:val="24"/>
          <w:highlight w:val="none"/>
        </w:rPr>
        <w:t>（如果是，提供）</w:t>
      </w:r>
    </w:p>
    <w:p>
      <w:pPr>
        <w:autoSpaceDE w:val="0"/>
        <w:autoSpaceDN w:val="0"/>
        <w:adjustRightInd w:val="0"/>
        <w:spacing w:beforeLines="50" w:afterLines="50"/>
        <w:jc w:val="center"/>
        <w:rPr>
          <w:rStyle w:val="27"/>
          <w:rFonts w:hint="eastAsia" w:ascii="宋体" w:hAnsi="宋体" w:eastAsia="宋体" w:cs="宋体"/>
          <w:b w:val="0"/>
          <w:bCs w:val="0"/>
          <w:color w:val="auto"/>
          <w:sz w:val="36"/>
          <w:szCs w:val="36"/>
          <w:highlight w:val="none"/>
        </w:rPr>
      </w:pPr>
    </w:p>
    <w:p>
      <w:pPr>
        <w:rPr>
          <w:rFonts w:hint="eastAsia" w:ascii="宋体" w:hAnsi="宋体" w:eastAsia="宋体" w:cs="宋体"/>
          <w:color w:val="auto"/>
          <w:kern w:val="0"/>
          <w:sz w:val="30"/>
          <w:szCs w:val="30"/>
          <w:highlight w:val="none"/>
        </w:rPr>
        <w:sectPr>
          <w:pgSz w:w="11906" w:h="16838"/>
          <w:pgMar w:top="1361" w:right="1304" w:bottom="1247" w:left="1304" w:header="680" w:footer="680" w:gutter="0"/>
          <w:cols w:space="720" w:num="1"/>
          <w:docGrid w:linePitch="312" w:charSpace="0"/>
        </w:sectPr>
      </w:pPr>
    </w:p>
    <w:p>
      <w:pPr>
        <w:ind w:left="-48" w:leftChars="-23" w:right="-65" w:rightChars="-31"/>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中小企业划型标准</w:t>
      </w:r>
    </w:p>
    <w:tbl>
      <w:tblPr>
        <w:tblStyle w:val="24"/>
        <w:tblW w:w="13873" w:type="dxa"/>
        <w:jc w:val="center"/>
        <w:tblLayout w:type="fixed"/>
        <w:tblCellMar>
          <w:top w:w="0" w:type="dxa"/>
          <w:left w:w="108" w:type="dxa"/>
          <w:bottom w:w="0" w:type="dxa"/>
          <w:right w:w="108" w:type="dxa"/>
        </w:tblCellMar>
      </w:tblPr>
      <w:tblGrid>
        <w:gridCol w:w="468"/>
        <w:gridCol w:w="1872"/>
        <w:gridCol w:w="1149"/>
        <w:gridCol w:w="885"/>
        <w:gridCol w:w="902"/>
        <w:gridCol w:w="1063"/>
        <w:gridCol w:w="905"/>
        <w:gridCol w:w="957"/>
        <w:gridCol w:w="1063"/>
        <w:gridCol w:w="921"/>
        <w:gridCol w:w="963"/>
        <w:gridCol w:w="1063"/>
        <w:gridCol w:w="846"/>
        <w:gridCol w:w="816"/>
      </w:tblGrid>
      <w:tr>
        <w:tblPrEx>
          <w:tblCellMar>
            <w:top w:w="0" w:type="dxa"/>
            <w:left w:w="108" w:type="dxa"/>
            <w:bottom w:w="0" w:type="dxa"/>
            <w:right w:w="108" w:type="dxa"/>
          </w:tblCellMar>
        </w:tblPrEx>
        <w:trPr>
          <w:trHeight w:val="500" w:hRule="atLeast"/>
          <w:tblHeader/>
          <w:jc w:val="center"/>
        </w:trPr>
        <w:tc>
          <w:tcPr>
            <w:tcW w:w="468" w:type="dxa"/>
            <w:vMerge w:val="restart"/>
            <w:tcBorders>
              <w:top w:val="single" w:color="auto" w:sz="4" w:space="0"/>
              <w:left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序号</w:t>
            </w:r>
          </w:p>
        </w:tc>
        <w:tc>
          <w:tcPr>
            <w:tcW w:w="1872" w:type="dxa"/>
            <w:vMerge w:val="restart"/>
            <w:tcBorders>
              <w:top w:val="single" w:color="auto" w:sz="4" w:space="0"/>
              <w:left w:val="nil"/>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行业</w:t>
            </w:r>
          </w:p>
        </w:tc>
        <w:tc>
          <w:tcPr>
            <w:tcW w:w="2936"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大型企业</w:t>
            </w:r>
          </w:p>
        </w:tc>
        <w:tc>
          <w:tcPr>
            <w:tcW w:w="2925"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中型企业</w:t>
            </w:r>
          </w:p>
        </w:tc>
        <w:tc>
          <w:tcPr>
            <w:tcW w:w="2947"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小型企业</w:t>
            </w:r>
          </w:p>
        </w:tc>
        <w:tc>
          <w:tcPr>
            <w:tcW w:w="2725"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微型企业</w:t>
            </w:r>
          </w:p>
        </w:tc>
      </w:tr>
      <w:tr>
        <w:tblPrEx>
          <w:tblCellMar>
            <w:top w:w="0" w:type="dxa"/>
            <w:left w:w="108" w:type="dxa"/>
            <w:bottom w:w="0" w:type="dxa"/>
            <w:right w:w="108" w:type="dxa"/>
          </w:tblCellMar>
        </w:tblPrEx>
        <w:trPr>
          <w:trHeight w:val="226" w:hRule="atLeast"/>
          <w:tblHeader/>
          <w:jc w:val="center"/>
        </w:trPr>
        <w:tc>
          <w:tcPr>
            <w:tcW w:w="468" w:type="dxa"/>
            <w:vMerge w:val="continue"/>
            <w:tcBorders>
              <w:left w:val="single" w:color="auto" w:sz="4" w:space="0"/>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p>
        </w:tc>
        <w:tc>
          <w:tcPr>
            <w:tcW w:w="1872" w:type="dxa"/>
            <w:vMerge w:val="continue"/>
            <w:tcBorders>
              <w:left w:val="nil"/>
              <w:bottom w:val="single" w:color="auto" w:sz="4" w:space="0"/>
              <w:right w:val="single" w:color="auto" w:sz="4" w:space="0"/>
            </w:tcBorders>
            <w:vAlign w:val="center"/>
          </w:tcPr>
          <w:p>
            <w:pPr>
              <w:ind w:left="-48" w:leftChars="-23" w:right="-65" w:rightChars="-31"/>
              <w:jc w:val="left"/>
              <w:rPr>
                <w:rFonts w:hint="eastAsia" w:ascii="宋体" w:hAnsi="宋体" w:eastAsia="宋体" w:cs="宋体"/>
                <w:b/>
                <w:color w:val="auto"/>
                <w:kern w:val="0"/>
                <w:szCs w:val="21"/>
                <w:highlight w:val="none"/>
              </w:rPr>
            </w:pPr>
          </w:p>
        </w:tc>
        <w:tc>
          <w:tcPr>
            <w:tcW w:w="1149"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885"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02"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905"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57"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921" w:type="dxa"/>
            <w:tcBorders>
              <w:top w:val="nil"/>
              <w:left w:val="nil"/>
              <w:bottom w:val="single" w:color="auto" w:sz="4" w:space="0"/>
              <w:right w:val="single" w:color="auto" w:sz="4" w:space="0"/>
            </w:tcBorders>
            <w:vAlign w:val="center"/>
          </w:tcPr>
          <w:p>
            <w:pPr>
              <w:ind w:left="119" w:leftChars="-23" w:right="-65" w:rightChars="-31" w:hanging="167" w:hangingChars="79"/>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846"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816"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r>
      <w:tr>
        <w:tblPrEx>
          <w:tblCellMar>
            <w:top w:w="0" w:type="dxa"/>
            <w:left w:w="108" w:type="dxa"/>
            <w:bottom w:w="0" w:type="dxa"/>
            <w:right w:w="108" w:type="dxa"/>
          </w:tblCellMar>
        </w:tblPrEx>
        <w:trPr>
          <w:trHeight w:val="369" w:hRule="atLeast"/>
          <w:jc w:val="center"/>
        </w:trPr>
        <w:tc>
          <w:tcPr>
            <w:tcW w:w="468" w:type="dxa"/>
            <w:tcBorders>
              <w:top w:val="single" w:color="auto" w:sz="4" w:space="0"/>
              <w:left w:val="single" w:color="auto" w:sz="4" w:space="0"/>
              <w:bottom w:val="single" w:color="auto" w:sz="4" w:space="0"/>
              <w:right w:val="single" w:color="auto" w:sz="4" w:space="0"/>
            </w:tcBorders>
            <w:vAlign w:val="center"/>
          </w:tcPr>
          <w:p>
            <w:pPr>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w:t>
            </w:r>
          </w:p>
        </w:tc>
        <w:tc>
          <w:tcPr>
            <w:tcW w:w="1872" w:type="dxa"/>
            <w:tcBorders>
              <w:top w:val="single" w:color="auto" w:sz="4" w:space="0"/>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农、林、牧、渔业</w:t>
            </w:r>
          </w:p>
        </w:tc>
        <w:tc>
          <w:tcPr>
            <w:tcW w:w="1149" w:type="dxa"/>
            <w:tcBorders>
              <w:top w:val="single" w:color="auto" w:sz="4" w:space="0"/>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2</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工业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3</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建筑业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4</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批发业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5</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零售业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6</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交通运输业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7</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仓储业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8</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邮政业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9</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住宿业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10</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餐饮业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11</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信息传输业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12</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lang w:eastAsia="zh-CN"/>
              </w:rPr>
            </w:pPr>
            <w:r>
              <w:rPr>
                <w:rFonts w:hint="eastAsia" w:ascii="宋体" w:hAnsi="宋体" w:eastAsia="宋体" w:cs="宋体"/>
                <w:b/>
                <w:color w:val="auto"/>
                <w:kern w:val="0"/>
                <w:szCs w:val="21"/>
                <w:highlight w:val="none"/>
              </w:rPr>
              <w:t>软件和信息技术</w:t>
            </w:r>
            <w:r>
              <w:rPr>
                <w:rFonts w:hint="eastAsia" w:ascii="宋体" w:hAnsi="宋体" w:eastAsia="宋体" w:cs="宋体"/>
                <w:b/>
                <w:color w:val="auto"/>
                <w:kern w:val="0"/>
                <w:szCs w:val="21"/>
                <w:highlight w:val="none"/>
                <w:lang w:val="en-US" w:eastAsia="zh-CN"/>
              </w:rPr>
              <w:t>服务业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13</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房地产开发经验</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且,≥5000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且,≥2000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或,＜2000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14</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物业管理</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15</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租赁和商务</w:t>
            </w:r>
            <w:r>
              <w:rPr>
                <w:rFonts w:hint="eastAsia" w:ascii="宋体" w:hAnsi="宋体" w:eastAsia="宋体" w:cs="宋体"/>
                <w:b/>
                <w:color w:val="auto"/>
                <w:kern w:val="0"/>
                <w:szCs w:val="21"/>
                <w:highlight w:val="none"/>
                <w:lang w:val="en-US" w:eastAsia="zh-CN"/>
              </w:rPr>
              <w:t>服务</w:t>
            </w:r>
            <w:r>
              <w:rPr>
                <w:rFonts w:hint="eastAsia" w:ascii="宋体" w:hAnsi="宋体" w:eastAsia="宋体" w:cs="宋体"/>
                <w:b/>
                <w:color w:val="auto"/>
                <w:kern w:val="0"/>
                <w:szCs w:val="21"/>
                <w:highlight w:val="none"/>
              </w:rPr>
              <w:t>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或,≥120000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且,≥8000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且,≥100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16</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其他未列明行业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bl>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r>
        <w:rPr>
          <w:rFonts w:hint="eastAsia" w:ascii="宋体" w:hAnsi="宋体" w:eastAsia="宋体" w:cs="宋体"/>
          <w:color w:val="auto"/>
          <w:highlight w:val="none"/>
        </w:rPr>
        <w:br w:type="page"/>
      </w:r>
    </w:p>
    <w:p>
      <w:pPr>
        <w:rPr>
          <w:rFonts w:hint="eastAsia" w:ascii="宋体" w:hAnsi="宋体" w:eastAsia="宋体" w:cs="宋体"/>
          <w:color w:val="auto"/>
          <w:highlight w:val="none"/>
          <w:lang w:val="en-US" w:eastAsia="zh-CN"/>
        </w:rPr>
        <w:sectPr>
          <w:pgSz w:w="16838" w:h="11906" w:orient="landscape"/>
          <w:pgMar w:top="1304" w:right="1361" w:bottom="1304" w:left="1247" w:header="680" w:footer="680" w:gutter="0"/>
          <w:cols w:space="0" w:num="1"/>
          <w:rtlGutter w:val="0"/>
          <w:docGrid w:linePitch="312" w:charSpace="0"/>
        </w:sectPr>
      </w:pPr>
    </w:p>
    <w:p>
      <w:pPr>
        <w:snapToGrid w:val="0"/>
        <w:spacing w:line="360" w:lineRule="auto"/>
        <w:textAlignment w:val="bottom"/>
        <w:rPr>
          <w:rFonts w:hint="eastAsia" w:ascii="宋体" w:hAnsi="宋体" w:eastAsia="宋体" w:cs="宋体"/>
          <w:color w:val="auto"/>
          <w:highlight w:val="none"/>
        </w:rPr>
      </w:pPr>
      <w:r>
        <w:rPr>
          <w:rFonts w:hint="eastAsia" w:ascii="宋体" w:hAnsi="宋体" w:eastAsia="宋体" w:cs="宋体"/>
          <w:b/>
          <w:color w:val="auto"/>
          <w:sz w:val="24"/>
          <w:szCs w:val="28"/>
          <w:highlight w:val="none"/>
        </w:rPr>
        <w:t>格式</w:t>
      </w:r>
      <w:r>
        <w:rPr>
          <w:rFonts w:hint="eastAsia" w:ascii="宋体" w:hAnsi="宋体" w:eastAsia="宋体" w:cs="宋体"/>
          <w:b/>
          <w:color w:val="auto"/>
          <w:sz w:val="24"/>
          <w:szCs w:val="28"/>
          <w:highlight w:val="none"/>
          <w:lang w:val="en-US" w:eastAsia="zh-CN"/>
        </w:rPr>
        <w:t>九</w:t>
      </w:r>
      <w:r>
        <w:rPr>
          <w:rFonts w:hint="eastAsia" w:ascii="宋体" w:hAnsi="宋体" w:eastAsia="宋体" w:cs="宋体"/>
          <w:b/>
          <w:color w:val="auto"/>
          <w:sz w:val="24"/>
          <w:szCs w:val="28"/>
          <w:highlight w:val="none"/>
        </w:rPr>
        <w:t>：</w:t>
      </w:r>
      <w:r>
        <w:rPr>
          <w:rFonts w:hint="eastAsia" w:ascii="宋体" w:hAnsi="宋体" w:eastAsia="宋体" w:cs="宋体"/>
          <w:b/>
          <w:color w:val="auto"/>
          <w:sz w:val="24"/>
          <w:szCs w:val="28"/>
          <w:highlight w:val="none"/>
          <w:lang w:eastAsia="zh-CN"/>
        </w:rPr>
        <w:t>招标</w:t>
      </w:r>
      <w:r>
        <w:rPr>
          <w:rFonts w:hint="eastAsia" w:ascii="宋体" w:hAnsi="宋体" w:eastAsia="宋体" w:cs="宋体"/>
          <w:b/>
          <w:color w:val="auto"/>
          <w:sz w:val="24"/>
          <w:szCs w:val="28"/>
          <w:highlight w:val="none"/>
        </w:rPr>
        <w:t>文件中要求的资料或投标</w:t>
      </w:r>
      <w:r>
        <w:rPr>
          <w:rFonts w:hint="eastAsia" w:ascii="宋体" w:hAnsi="宋体" w:eastAsia="宋体" w:cs="宋体"/>
          <w:b/>
          <w:color w:val="auto"/>
          <w:sz w:val="24"/>
          <w:szCs w:val="28"/>
          <w:highlight w:val="none"/>
          <w:lang w:val="en-US" w:eastAsia="zh-CN"/>
        </w:rPr>
        <w:t>人</w:t>
      </w:r>
      <w:r>
        <w:rPr>
          <w:rFonts w:hint="eastAsia" w:ascii="宋体" w:hAnsi="宋体" w:eastAsia="宋体" w:cs="宋体"/>
          <w:b/>
          <w:color w:val="auto"/>
          <w:sz w:val="24"/>
          <w:szCs w:val="28"/>
          <w:highlight w:val="none"/>
        </w:rPr>
        <w:t>认为针对本项目有必要提供的资料，附后。</w:t>
      </w:r>
    </w:p>
    <w:p>
      <w:pPr>
        <w:pStyle w:val="2"/>
        <w:numPr>
          <w:ilvl w:val="0"/>
          <w:numId w:val="0"/>
        </w:numPr>
        <w:rPr>
          <w:rFonts w:hint="eastAsia" w:ascii="宋体" w:hAnsi="宋体" w:eastAsia="宋体" w:cs="宋体"/>
          <w:color w:val="auto"/>
          <w:sz w:val="24"/>
          <w:szCs w:val="24"/>
          <w:highlight w:val="none"/>
          <w:lang w:val="en-US" w:eastAsia="zh-CN"/>
        </w:rPr>
      </w:pPr>
    </w:p>
    <w:p>
      <w:pPr>
        <w:pStyle w:val="2"/>
        <w:numPr>
          <w:ilvl w:val="0"/>
          <w:numId w:val="0"/>
        </w:num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1.具备有效的营业执照，标书内提供复印件加盖公章。</w:t>
      </w:r>
    </w:p>
    <w:p>
      <w:pPr>
        <w:numPr>
          <w:ilvl w:val="0"/>
          <w:numId w:val="0"/>
        </w:numPr>
        <w:rPr>
          <w:rFonts w:hint="eastAsia" w:ascii="宋体" w:hAnsi="宋体" w:eastAsia="宋体" w:cs="宋体"/>
          <w:sz w:val="24"/>
          <w:szCs w:val="24"/>
          <w:highlight w:val="none"/>
          <w:lang w:val="en-US" w:eastAsia="zh-CN"/>
        </w:rPr>
      </w:pPr>
    </w:p>
    <w:p>
      <w:pPr>
        <w:pStyle w:val="2"/>
        <w:rPr>
          <w:rFonts w:hint="eastAsia" w:ascii="宋体" w:hAnsi="宋体" w:eastAsia="宋体" w:cs="宋体"/>
          <w:sz w:val="24"/>
          <w:szCs w:val="24"/>
          <w:highlight w:val="none"/>
          <w:lang w:val="en-US" w:eastAsia="zh-CN"/>
        </w:rPr>
      </w:pPr>
    </w:p>
    <w:p>
      <w:pPr>
        <w:pStyle w:val="2"/>
        <w:rPr>
          <w:rFonts w:hint="eastAsia" w:ascii="宋体" w:hAnsi="宋体" w:eastAsia="宋体" w:cs="宋体"/>
          <w:highlight w:val="none"/>
          <w:lang w:val="en-US" w:eastAsia="zh-CN"/>
        </w:rPr>
      </w:pPr>
      <w:r>
        <w:rPr>
          <w:rFonts w:hint="eastAsia" w:ascii="宋体" w:hAnsi="宋体" w:eastAsia="宋体" w:cs="宋体"/>
          <w:sz w:val="24"/>
          <w:szCs w:val="24"/>
          <w:highlight w:val="none"/>
          <w:lang w:val="en-US" w:eastAsia="zh-CN"/>
        </w:rPr>
        <w:t>2.投标人认为针对本项目有必要提供的资料，附后。</w:t>
      </w:r>
    </w:p>
    <w:p>
      <w:pPr>
        <w:rPr>
          <w:rFonts w:hint="eastAsia" w:ascii="宋体" w:hAnsi="宋体" w:eastAsia="宋体" w:cs="宋体"/>
          <w:color w:val="auto"/>
          <w:highlight w:val="none"/>
          <w:lang w:val="en-US" w:eastAsia="zh-CN"/>
        </w:rPr>
      </w:pPr>
    </w:p>
    <w:sectPr>
      <w:pgSz w:w="11906" w:h="16838"/>
      <w:pgMar w:top="1361" w:right="1304" w:bottom="1247" w:left="1304" w:header="680" w:footer="68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方正仿宋_GBK">
    <w:altName w:val="微软雅黑"/>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28"/>
        <w:rFonts w:hint="default"/>
      </w:rPr>
    </w:pPr>
    <w:r>
      <w:fldChar w:fldCharType="begin"/>
    </w:r>
    <w:r>
      <w:rPr>
        <w:rStyle w:val="28"/>
      </w:rPr>
      <w:instrText xml:space="preserve">PAGE  </w:instrText>
    </w:r>
    <w:r>
      <w:fldChar w:fldCharType="separate"/>
    </w:r>
    <w:r>
      <w:rPr>
        <w:rStyle w:val="28"/>
      </w:rPr>
      <w:t>33</w:t>
    </w:r>
    <w:r>
      <w:fldChar w:fldCharType="end"/>
    </w:r>
  </w:p>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4320"/>
        <w:tab w:val="right" w:pos="8640"/>
        <w:tab w:val="clear" w:pos="4153"/>
        <w:tab w:val="clear" w:pos="8306"/>
      </w:tabs>
      <w:rPr>
        <w:rStyle w:val="28"/>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67945" cy="162560"/>
              <wp:effectExtent l="0" t="0" r="0" b="0"/>
              <wp:wrapNone/>
              <wp:docPr id="2" name="文本框 1"/>
              <wp:cNvGraphicFramePr/>
              <a:graphic xmlns:a="http://schemas.openxmlformats.org/drawingml/2006/main">
                <a:graphicData uri="http://schemas.microsoft.com/office/word/2010/wordprocessingShape">
                  <wps:wsp>
                    <wps:cNvSpPr txBox="1"/>
                    <wps:spPr>
                      <a:xfrm>
                        <a:off x="0" y="0"/>
                        <a:ext cx="67945" cy="162560"/>
                      </a:xfrm>
                      <a:prstGeom prst="rect">
                        <a:avLst/>
                      </a:prstGeom>
                      <a:noFill/>
                      <a:ln w="9525">
                        <a:noFill/>
                      </a:ln>
                      <a:effectLst/>
                    </wps:spPr>
                    <wps:txbx>
                      <w:txbxContent>
                        <w:p>
                          <w:pPr>
                            <w:snapToGrid w:val="0"/>
                            <w:rPr>
                              <w:sz w:val="18"/>
                              <w:szCs w:val="18"/>
                            </w:rPr>
                          </w:pPr>
                          <w:r>
                            <w:fldChar w:fldCharType="begin"/>
                          </w:r>
                          <w:r>
                            <w:instrText xml:space="preserve"> PAGE  \* MERGEFORMAT </w:instrText>
                          </w:r>
                          <w:r>
                            <w:fldChar w:fldCharType="separate"/>
                          </w:r>
                          <w:r>
                            <w:t>27</w:t>
                          </w:r>
                          <w: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2.8pt;width:5.35pt;mso-position-horizontal:center;mso-position-horizontal-relative:margin;mso-wrap-style:none;z-index:251661312;mso-width-relative:page;mso-height-relative:page;" filled="f" stroked="f" coordsize="21600,21600" o:gfxdata="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sA4ATRAAAAAwEAAA8AAAAAAAAAAQAg&#10;AAAAIgAAAGRycy9kb3ducmV2LnhtbFBLAQIUABQAAAAIAIdO4kCM5Q/s3AEAAK0DAAAOAAAAAAAA&#10;AAEAIAAAACABAABkcnMvZTJvRG9jLnhtbFBLBQYAAAAABgAGAFkBAABuBQAAAAA=&#10;">
              <v:fill on="f" focussize="0,0"/>
              <v:stroke on="f"/>
              <v:imagedata o:title=""/>
              <o:lock v:ext="edit" aspectratio="f"/>
              <v:textbox inset="0mm,0mm,0mm,0mm" style="mso-fit-shape-to-text:t;">
                <w:txbxContent>
                  <w:p>
                    <w:pPr>
                      <w:snapToGrid w:val="0"/>
                      <w:rPr>
                        <w:sz w:val="18"/>
                        <w:szCs w:val="18"/>
                      </w:rPr>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rFonts w:hint="default"/>
        <w:lang w:val="zh-CN"/>
      </w:rPr>
      <w:t>29</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0F214F"/>
    <w:multiLevelType w:val="singleLevel"/>
    <w:tmpl w:val="930F214F"/>
    <w:lvl w:ilvl="0" w:tentative="0">
      <w:start w:val="25"/>
      <w:numFmt w:val="decimal"/>
      <w:suff w:val="nothing"/>
      <w:lvlText w:val="%1、"/>
      <w:lvlJc w:val="left"/>
      <w:rPr>
        <w:rFonts w:hint="default" w:ascii="宋体" w:hAnsi="宋体" w:eastAsia="宋体" w:cs="宋体"/>
        <w:sz w:val="24"/>
        <w:szCs w:val="24"/>
      </w:rPr>
    </w:lvl>
  </w:abstractNum>
  <w:abstractNum w:abstractNumId="1">
    <w:nsid w:val="1A2EBBC9"/>
    <w:multiLevelType w:val="singleLevel"/>
    <w:tmpl w:val="1A2EBBC9"/>
    <w:lvl w:ilvl="0" w:tentative="0">
      <w:start w:val="1"/>
      <w:numFmt w:val="decimal"/>
      <w:suff w:val="space"/>
      <w:lvlText w:val="%1."/>
      <w:lvlJc w:val="left"/>
    </w:lvl>
  </w:abstractNum>
  <w:abstractNum w:abstractNumId="2">
    <w:nsid w:val="34A048A5"/>
    <w:multiLevelType w:val="singleLevel"/>
    <w:tmpl w:val="34A048A5"/>
    <w:lvl w:ilvl="0" w:tentative="0">
      <w:start w:val="2"/>
      <w:numFmt w:val="decimal"/>
      <w:suff w:val="nothing"/>
      <w:lvlText w:val="（%1）"/>
      <w:lvlJc w:val="left"/>
    </w:lvl>
  </w:abstractNum>
  <w:abstractNum w:abstractNumId="3">
    <w:nsid w:val="37BB16B3"/>
    <w:multiLevelType w:val="singleLevel"/>
    <w:tmpl w:val="37BB16B3"/>
    <w:lvl w:ilvl="0" w:tentative="0">
      <w:start w:val="4"/>
      <w:numFmt w:val="decimal"/>
      <w:suff w:val="nothing"/>
      <w:lvlText w:val="%1）"/>
      <w:lvlJc w:val="left"/>
    </w:lvl>
  </w:abstractNum>
  <w:abstractNum w:abstractNumId="4">
    <w:nsid w:val="582BD15B"/>
    <w:multiLevelType w:val="singleLevel"/>
    <w:tmpl w:val="582BD15B"/>
    <w:lvl w:ilvl="0" w:tentative="0">
      <w:start w:val="1"/>
      <w:numFmt w:val="decimal"/>
      <w:suff w:val="nothing"/>
      <w:lvlText w:val="%1、"/>
      <w:lvlJc w:val="left"/>
    </w:lvl>
  </w:abstractNum>
  <w:abstractNum w:abstractNumId="5">
    <w:nsid w:val="59E97DD3"/>
    <w:multiLevelType w:val="singleLevel"/>
    <w:tmpl w:val="59E97DD3"/>
    <w:lvl w:ilvl="0" w:tentative="0">
      <w:start w:val="5"/>
      <w:numFmt w:val="chineseCounting"/>
      <w:suff w:val="space"/>
      <w:lvlText w:val="第%1章"/>
      <w:lvlJc w:val="left"/>
    </w:lvl>
  </w:abstractNum>
  <w:abstractNum w:abstractNumId="6">
    <w:nsid w:val="62563222"/>
    <w:multiLevelType w:val="singleLevel"/>
    <w:tmpl w:val="62563222"/>
    <w:lvl w:ilvl="0" w:tentative="0">
      <w:start w:val="13"/>
      <w:numFmt w:val="chineseCounting"/>
      <w:suff w:val="nothing"/>
      <w:lvlText w:val="%1、"/>
      <w:lvlJc w:val="left"/>
      <w:rPr>
        <w:rFonts w:hint="eastAsia"/>
      </w:rPr>
    </w:lvl>
  </w:abstractNum>
  <w:num w:numId="1">
    <w:abstractNumId w:val="2"/>
  </w:num>
  <w:num w:numId="2">
    <w:abstractNumId w:val="4"/>
  </w:num>
  <w:num w:numId="3">
    <w:abstractNumId w:val="0"/>
  </w:num>
  <w:num w:numId="4">
    <w:abstractNumId w:val="3"/>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kYjQzYzg4YmNiNjRhYTI3NzVjNTgzOWFkNjczYjIifQ=="/>
    <w:docVar w:name="KSO_WPS_MARK_KEY" w:val="3a8dd6f0-86a0-400f-b549-b911255953cf"/>
  </w:docVars>
  <w:rsids>
    <w:rsidRoot w:val="00D26E14"/>
    <w:rsid w:val="00010DA5"/>
    <w:rsid w:val="00027ACF"/>
    <w:rsid w:val="00037738"/>
    <w:rsid w:val="00072AA6"/>
    <w:rsid w:val="0015118F"/>
    <w:rsid w:val="001A617D"/>
    <w:rsid w:val="001C048E"/>
    <w:rsid w:val="001D4A9C"/>
    <w:rsid w:val="001D5048"/>
    <w:rsid w:val="00226F97"/>
    <w:rsid w:val="00245C38"/>
    <w:rsid w:val="00251BAE"/>
    <w:rsid w:val="002C61A0"/>
    <w:rsid w:val="002F2DD4"/>
    <w:rsid w:val="0030212D"/>
    <w:rsid w:val="00346CC8"/>
    <w:rsid w:val="003D2D3B"/>
    <w:rsid w:val="00411CA3"/>
    <w:rsid w:val="00433511"/>
    <w:rsid w:val="00441793"/>
    <w:rsid w:val="00444A2C"/>
    <w:rsid w:val="00456548"/>
    <w:rsid w:val="004B1D61"/>
    <w:rsid w:val="004E7DAB"/>
    <w:rsid w:val="00512CFE"/>
    <w:rsid w:val="00554EF5"/>
    <w:rsid w:val="005A1412"/>
    <w:rsid w:val="00691D29"/>
    <w:rsid w:val="0069410B"/>
    <w:rsid w:val="006A72B0"/>
    <w:rsid w:val="006E7E4A"/>
    <w:rsid w:val="00754AE7"/>
    <w:rsid w:val="00784712"/>
    <w:rsid w:val="007967B1"/>
    <w:rsid w:val="007C1DF1"/>
    <w:rsid w:val="00810110"/>
    <w:rsid w:val="008E7BD6"/>
    <w:rsid w:val="008F549D"/>
    <w:rsid w:val="00910CE1"/>
    <w:rsid w:val="00912995"/>
    <w:rsid w:val="00963D6E"/>
    <w:rsid w:val="00965F57"/>
    <w:rsid w:val="009A13B3"/>
    <w:rsid w:val="009A7605"/>
    <w:rsid w:val="009E37C6"/>
    <w:rsid w:val="00A10993"/>
    <w:rsid w:val="00A73522"/>
    <w:rsid w:val="00A83AD0"/>
    <w:rsid w:val="00AF1B76"/>
    <w:rsid w:val="00B22BA0"/>
    <w:rsid w:val="00B74B69"/>
    <w:rsid w:val="00C00E64"/>
    <w:rsid w:val="00C823C4"/>
    <w:rsid w:val="00C97CCC"/>
    <w:rsid w:val="00CA7EEA"/>
    <w:rsid w:val="00D26E14"/>
    <w:rsid w:val="00D31671"/>
    <w:rsid w:val="00D5688F"/>
    <w:rsid w:val="00D57192"/>
    <w:rsid w:val="00DB30A7"/>
    <w:rsid w:val="00E27EFA"/>
    <w:rsid w:val="00EA0B3B"/>
    <w:rsid w:val="00EB0391"/>
    <w:rsid w:val="00EE01F9"/>
    <w:rsid w:val="00EE7CB0"/>
    <w:rsid w:val="00EF7950"/>
    <w:rsid w:val="00F32B09"/>
    <w:rsid w:val="00F620E2"/>
    <w:rsid w:val="00F63313"/>
    <w:rsid w:val="00F701C5"/>
    <w:rsid w:val="00F9257B"/>
    <w:rsid w:val="00FB01BE"/>
    <w:rsid w:val="00FE0150"/>
    <w:rsid w:val="01001B5E"/>
    <w:rsid w:val="01005789"/>
    <w:rsid w:val="012515C4"/>
    <w:rsid w:val="0136557F"/>
    <w:rsid w:val="013701DC"/>
    <w:rsid w:val="01395070"/>
    <w:rsid w:val="013E2686"/>
    <w:rsid w:val="01415CD2"/>
    <w:rsid w:val="01437C9C"/>
    <w:rsid w:val="014E4B8E"/>
    <w:rsid w:val="014F6641"/>
    <w:rsid w:val="01536131"/>
    <w:rsid w:val="01637748"/>
    <w:rsid w:val="01671BDD"/>
    <w:rsid w:val="01967DCC"/>
    <w:rsid w:val="01A050EF"/>
    <w:rsid w:val="01A772B8"/>
    <w:rsid w:val="01BE271D"/>
    <w:rsid w:val="01C56903"/>
    <w:rsid w:val="01D86637"/>
    <w:rsid w:val="01DA56C9"/>
    <w:rsid w:val="01DD1E9F"/>
    <w:rsid w:val="01E7687A"/>
    <w:rsid w:val="01EE5E5A"/>
    <w:rsid w:val="01F571E8"/>
    <w:rsid w:val="01FB0577"/>
    <w:rsid w:val="01FB2325"/>
    <w:rsid w:val="021358C1"/>
    <w:rsid w:val="023E0FE9"/>
    <w:rsid w:val="02400F62"/>
    <w:rsid w:val="02556937"/>
    <w:rsid w:val="02573F78"/>
    <w:rsid w:val="02816CCE"/>
    <w:rsid w:val="02820350"/>
    <w:rsid w:val="02834C9F"/>
    <w:rsid w:val="0288005D"/>
    <w:rsid w:val="028C3301"/>
    <w:rsid w:val="02AB1157"/>
    <w:rsid w:val="02AB3D4B"/>
    <w:rsid w:val="02B63EF1"/>
    <w:rsid w:val="02BC1AB4"/>
    <w:rsid w:val="02C10E79"/>
    <w:rsid w:val="02D54E81"/>
    <w:rsid w:val="02D74204"/>
    <w:rsid w:val="02DD5C29"/>
    <w:rsid w:val="02E61A4A"/>
    <w:rsid w:val="02E9716B"/>
    <w:rsid w:val="02ED089D"/>
    <w:rsid w:val="02EE3C38"/>
    <w:rsid w:val="02F0175E"/>
    <w:rsid w:val="02FA25DD"/>
    <w:rsid w:val="03062D2F"/>
    <w:rsid w:val="030D3EAE"/>
    <w:rsid w:val="030F42DA"/>
    <w:rsid w:val="031F3DF1"/>
    <w:rsid w:val="03253AFD"/>
    <w:rsid w:val="033D1953"/>
    <w:rsid w:val="034E1DBA"/>
    <w:rsid w:val="034E4F93"/>
    <w:rsid w:val="035603B6"/>
    <w:rsid w:val="036B6D74"/>
    <w:rsid w:val="03801C58"/>
    <w:rsid w:val="03802AE2"/>
    <w:rsid w:val="039B5B6E"/>
    <w:rsid w:val="03A367D0"/>
    <w:rsid w:val="03AC1B29"/>
    <w:rsid w:val="03AF1619"/>
    <w:rsid w:val="03C2134C"/>
    <w:rsid w:val="03C3204C"/>
    <w:rsid w:val="03D35307"/>
    <w:rsid w:val="03E575A6"/>
    <w:rsid w:val="03EE2A99"/>
    <w:rsid w:val="04194CE4"/>
    <w:rsid w:val="041D2A27"/>
    <w:rsid w:val="04243BC4"/>
    <w:rsid w:val="04293B45"/>
    <w:rsid w:val="043833BC"/>
    <w:rsid w:val="043A3F73"/>
    <w:rsid w:val="043D09D3"/>
    <w:rsid w:val="043F793E"/>
    <w:rsid w:val="04401327"/>
    <w:rsid w:val="04492F15"/>
    <w:rsid w:val="044F0706"/>
    <w:rsid w:val="045D1075"/>
    <w:rsid w:val="04673CA2"/>
    <w:rsid w:val="04762137"/>
    <w:rsid w:val="04826D2E"/>
    <w:rsid w:val="04856BD6"/>
    <w:rsid w:val="04AC10AC"/>
    <w:rsid w:val="04C52B8F"/>
    <w:rsid w:val="04D23811"/>
    <w:rsid w:val="04DD5D12"/>
    <w:rsid w:val="04EE7F1F"/>
    <w:rsid w:val="04EF43C3"/>
    <w:rsid w:val="04F03C97"/>
    <w:rsid w:val="04F82B4C"/>
    <w:rsid w:val="05075A9C"/>
    <w:rsid w:val="05145BD8"/>
    <w:rsid w:val="051C2760"/>
    <w:rsid w:val="052F2A11"/>
    <w:rsid w:val="053D095D"/>
    <w:rsid w:val="053F5E49"/>
    <w:rsid w:val="0549680B"/>
    <w:rsid w:val="054F4E62"/>
    <w:rsid w:val="05600E48"/>
    <w:rsid w:val="056E44A8"/>
    <w:rsid w:val="05746676"/>
    <w:rsid w:val="057C72D3"/>
    <w:rsid w:val="05821B2A"/>
    <w:rsid w:val="058663AA"/>
    <w:rsid w:val="059D5F9C"/>
    <w:rsid w:val="05A01219"/>
    <w:rsid w:val="05A2768B"/>
    <w:rsid w:val="05C3315A"/>
    <w:rsid w:val="05EB743C"/>
    <w:rsid w:val="05F044FD"/>
    <w:rsid w:val="06043E9E"/>
    <w:rsid w:val="06150C97"/>
    <w:rsid w:val="061A6A13"/>
    <w:rsid w:val="061C5145"/>
    <w:rsid w:val="06231E4A"/>
    <w:rsid w:val="062956B3"/>
    <w:rsid w:val="06302BC9"/>
    <w:rsid w:val="063B1871"/>
    <w:rsid w:val="064A740F"/>
    <w:rsid w:val="064F7FD8"/>
    <w:rsid w:val="06585F98"/>
    <w:rsid w:val="065B7836"/>
    <w:rsid w:val="0662102D"/>
    <w:rsid w:val="066E57BB"/>
    <w:rsid w:val="067304F4"/>
    <w:rsid w:val="067526A6"/>
    <w:rsid w:val="06831FB6"/>
    <w:rsid w:val="06853471"/>
    <w:rsid w:val="069A3B90"/>
    <w:rsid w:val="06A25465"/>
    <w:rsid w:val="06B17456"/>
    <w:rsid w:val="06B30A6D"/>
    <w:rsid w:val="06BB2083"/>
    <w:rsid w:val="06CE0008"/>
    <w:rsid w:val="06D27AF8"/>
    <w:rsid w:val="06D849E3"/>
    <w:rsid w:val="06DA4BFF"/>
    <w:rsid w:val="06DF5D71"/>
    <w:rsid w:val="06E23AB3"/>
    <w:rsid w:val="07027CB2"/>
    <w:rsid w:val="07205F69"/>
    <w:rsid w:val="07302A71"/>
    <w:rsid w:val="0744651C"/>
    <w:rsid w:val="07527666"/>
    <w:rsid w:val="075E0113"/>
    <w:rsid w:val="07692CEA"/>
    <w:rsid w:val="076D5A73"/>
    <w:rsid w:val="078A03D3"/>
    <w:rsid w:val="07B94814"/>
    <w:rsid w:val="07C5140B"/>
    <w:rsid w:val="07E35D35"/>
    <w:rsid w:val="07F910B5"/>
    <w:rsid w:val="08065580"/>
    <w:rsid w:val="08183C31"/>
    <w:rsid w:val="08206641"/>
    <w:rsid w:val="08283748"/>
    <w:rsid w:val="08597DA5"/>
    <w:rsid w:val="086504F8"/>
    <w:rsid w:val="08670714"/>
    <w:rsid w:val="089D2EB8"/>
    <w:rsid w:val="08A96637"/>
    <w:rsid w:val="08D4742C"/>
    <w:rsid w:val="08E6788B"/>
    <w:rsid w:val="08F06081"/>
    <w:rsid w:val="08F24234"/>
    <w:rsid w:val="08F5187C"/>
    <w:rsid w:val="08FF094D"/>
    <w:rsid w:val="090860C6"/>
    <w:rsid w:val="090B72F2"/>
    <w:rsid w:val="09167A44"/>
    <w:rsid w:val="092B5F96"/>
    <w:rsid w:val="092C1016"/>
    <w:rsid w:val="092E0A66"/>
    <w:rsid w:val="093079A7"/>
    <w:rsid w:val="093267F5"/>
    <w:rsid w:val="093D53EF"/>
    <w:rsid w:val="0946032A"/>
    <w:rsid w:val="09473B2C"/>
    <w:rsid w:val="094A5C45"/>
    <w:rsid w:val="095353A6"/>
    <w:rsid w:val="09563BBA"/>
    <w:rsid w:val="096F5AD2"/>
    <w:rsid w:val="09840E52"/>
    <w:rsid w:val="0988000E"/>
    <w:rsid w:val="099F12A5"/>
    <w:rsid w:val="09A10630"/>
    <w:rsid w:val="09B039F5"/>
    <w:rsid w:val="09BA4874"/>
    <w:rsid w:val="09C33728"/>
    <w:rsid w:val="09D04097"/>
    <w:rsid w:val="09D27E0F"/>
    <w:rsid w:val="09DE3D12"/>
    <w:rsid w:val="09E12345"/>
    <w:rsid w:val="09E518F1"/>
    <w:rsid w:val="0A025187"/>
    <w:rsid w:val="0A046516"/>
    <w:rsid w:val="0A132C02"/>
    <w:rsid w:val="0A14667A"/>
    <w:rsid w:val="0A171CC6"/>
    <w:rsid w:val="0A1C5AFB"/>
    <w:rsid w:val="0A1E3055"/>
    <w:rsid w:val="0A252635"/>
    <w:rsid w:val="0A2A7852"/>
    <w:rsid w:val="0A46326B"/>
    <w:rsid w:val="0A4972F7"/>
    <w:rsid w:val="0A4E1BC9"/>
    <w:rsid w:val="0A767E31"/>
    <w:rsid w:val="0A7C6506"/>
    <w:rsid w:val="0A8A2498"/>
    <w:rsid w:val="0A8A427A"/>
    <w:rsid w:val="0A995807"/>
    <w:rsid w:val="0AA01CBB"/>
    <w:rsid w:val="0AA20035"/>
    <w:rsid w:val="0AA25A34"/>
    <w:rsid w:val="0AA3524B"/>
    <w:rsid w:val="0AAC0660"/>
    <w:rsid w:val="0AB3797D"/>
    <w:rsid w:val="0AB86248"/>
    <w:rsid w:val="0ABA0FCF"/>
    <w:rsid w:val="0AC11C1A"/>
    <w:rsid w:val="0AC260D6"/>
    <w:rsid w:val="0ADD6A6C"/>
    <w:rsid w:val="0ADE59D1"/>
    <w:rsid w:val="0ADF4DDA"/>
    <w:rsid w:val="0AE1059D"/>
    <w:rsid w:val="0AE503D6"/>
    <w:rsid w:val="0AEC3153"/>
    <w:rsid w:val="0AEC4F01"/>
    <w:rsid w:val="0AEC7E43"/>
    <w:rsid w:val="0AEE2B7D"/>
    <w:rsid w:val="0B266665"/>
    <w:rsid w:val="0B281C58"/>
    <w:rsid w:val="0B291CB1"/>
    <w:rsid w:val="0B2D2AC3"/>
    <w:rsid w:val="0B61769D"/>
    <w:rsid w:val="0B744DAB"/>
    <w:rsid w:val="0B7F3FC7"/>
    <w:rsid w:val="0B840F21"/>
    <w:rsid w:val="0B8415DD"/>
    <w:rsid w:val="0B867103"/>
    <w:rsid w:val="0B8964F9"/>
    <w:rsid w:val="0B9462D7"/>
    <w:rsid w:val="0BA17C64"/>
    <w:rsid w:val="0BA7412C"/>
    <w:rsid w:val="0BAA7486"/>
    <w:rsid w:val="0BAE0408"/>
    <w:rsid w:val="0BB828D6"/>
    <w:rsid w:val="0BCE5224"/>
    <w:rsid w:val="0BD31C1D"/>
    <w:rsid w:val="0BD66D26"/>
    <w:rsid w:val="0BDE6F3F"/>
    <w:rsid w:val="0BF24799"/>
    <w:rsid w:val="0BF508FF"/>
    <w:rsid w:val="0BFE6C9A"/>
    <w:rsid w:val="0C044ED7"/>
    <w:rsid w:val="0C05627A"/>
    <w:rsid w:val="0C0F0EA7"/>
    <w:rsid w:val="0C143C92"/>
    <w:rsid w:val="0C175FAD"/>
    <w:rsid w:val="0C2D57D1"/>
    <w:rsid w:val="0C3E178C"/>
    <w:rsid w:val="0C3F131E"/>
    <w:rsid w:val="0C402AA0"/>
    <w:rsid w:val="0C5B0DF3"/>
    <w:rsid w:val="0C6274FE"/>
    <w:rsid w:val="0C796C68"/>
    <w:rsid w:val="0C886C9D"/>
    <w:rsid w:val="0C9870EE"/>
    <w:rsid w:val="0CAC42D5"/>
    <w:rsid w:val="0CB437FC"/>
    <w:rsid w:val="0CB84E9E"/>
    <w:rsid w:val="0CC21D86"/>
    <w:rsid w:val="0CC55A09"/>
    <w:rsid w:val="0CC872A8"/>
    <w:rsid w:val="0CCC6D98"/>
    <w:rsid w:val="0CD345CA"/>
    <w:rsid w:val="0CDA41BA"/>
    <w:rsid w:val="0CDC0CE9"/>
    <w:rsid w:val="0D0B106A"/>
    <w:rsid w:val="0D31309F"/>
    <w:rsid w:val="0D3E6003"/>
    <w:rsid w:val="0D4728C2"/>
    <w:rsid w:val="0D562B05"/>
    <w:rsid w:val="0D59015A"/>
    <w:rsid w:val="0D7A17DA"/>
    <w:rsid w:val="0D7F622D"/>
    <w:rsid w:val="0D804905"/>
    <w:rsid w:val="0D8C6527"/>
    <w:rsid w:val="0D9A0C44"/>
    <w:rsid w:val="0DA56E4B"/>
    <w:rsid w:val="0DBC6E0C"/>
    <w:rsid w:val="0DD00B0A"/>
    <w:rsid w:val="0DD73C46"/>
    <w:rsid w:val="0DF5231E"/>
    <w:rsid w:val="0DFE11D3"/>
    <w:rsid w:val="0E0D1416"/>
    <w:rsid w:val="0E110D22"/>
    <w:rsid w:val="0E166955"/>
    <w:rsid w:val="0E197DBB"/>
    <w:rsid w:val="0E215F2D"/>
    <w:rsid w:val="0E3015A8"/>
    <w:rsid w:val="0E3746E5"/>
    <w:rsid w:val="0E43308A"/>
    <w:rsid w:val="0E5C414B"/>
    <w:rsid w:val="0E6059EA"/>
    <w:rsid w:val="0E6179B4"/>
    <w:rsid w:val="0E6574A4"/>
    <w:rsid w:val="0E770F85"/>
    <w:rsid w:val="0E8536A2"/>
    <w:rsid w:val="0E927B6D"/>
    <w:rsid w:val="0EA06649"/>
    <w:rsid w:val="0EA06A90"/>
    <w:rsid w:val="0EA9219A"/>
    <w:rsid w:val="0EAE69C1"/>
    <w:rsid w:val="0EB421D9"/>
    <w:rsid w:val="0EC62FEB"/>
    <w:rsid w:val="0ECA5559"/>
    <w:rsid w:val="0ED939EE"/>
    <w:rsid w:val="0EE24651"/>
    <w:rsid w:val="0EE91E83"/>
    <w:rsid w:val="0EF22ADE"/>
    <w:rsid w:val="0F01496B"/>
    <w:rsid w:val="0F056766"/>
    <w:rsid w:val="0F0767AD"/>
    <w:rsid w:val="0F264E85"/>
    <w:rsid w:val="0F2F360E"/>
    <w:rsid w:val="0F362BEE"/>
    <w:rsid w:val="0F384BB8"/>
    <w:rsid w:val="0F3F5F47"/>
    <w:rsid w:val="0F4A0448"/>
    <w:rsid w:val="0F4F5A5E"/>
    <w:rsid w:val="0F607C6B"/>
    <w:rsid w:val="0F706100"/>
    <w:rsid w:val="0F863EB5"/>
    <w:rsid w:val="0F890F70"/>
    <w:rsid w:val="0F8948D0"/>
    <w:rsid w:val="0F955B67"/>
    <w:rsid w:val="0F966E70"/>
    <w:rsid w:val="0FA07574"/>
    <w:rsid w:val="0FB104C7"/>
    <w:rsid w:val="0FB73D2F"/>
    <w:rsid w:val="0FC41FA8"/>
    <w:rsid w:val="0FD06B9F"/>
    <w:rsid w:val="0FD51098"/>
    <w:rsid w:val="0FD515B0"/>
    <w:rsid w:val="0FF62F1B"/>
    <w:rsid w:val="0FF7237E"/>
    <w:rsid w:val="0FF757D3"/>
    <w:rsid w:val="0FFA3A24"/>
    <w:rsid w:val="0FFA3C1C"/>
    <w:rsid w:val="0FFF5287"/>
    <w:rsid w:val="10030D22"/>
    <w:rsid w:val="10036F74"/>
    <w:rsid w:val="1008052F"/>
    <w:rsid w:val="100B7BD7"/>
    <w:rsid w:val="101B105B"/>
    <w:rsid w:val="10213264"/>
    <w:rsid w:val="1021564D"/>
    <w:rsid w:val="10233173"/>
    <w:rsid w:val="10284C2D"/>
    <w:rsid w:val="103510F8"/>
    <w:rsid w:val="103E7FAD"/>
    <w:rsid w:val="104F21BA"/>
    <w:rsid w:val="104F42BA"/>
    <w:rsid w:val="107949B7"/>
    <w:rsid w:val="10A65B52"/>
    <w:rsid w:val="10AA3894"/>
    <w:rsid w:val="10AA73F0"/>
    <w:rsid w:val="10AB4F16"/>
    <w:rsid w:val="10BB507D"/>
    <w:rsid w:val="10C61D50"/>
    <w:rsid w:val="10CA1840"/>
    <w:rsid w:val="10CF50A9"/>
    <w:rsid w:val="10EA5A3E"/>
    <w:rsid w:val="10ED2C18"/>
    <w:rsid w:val="1102722C"/>
    <w:rsid w:val="11166833"/>
    <w:rsid w:val="11194576"/>
    <w:rsid w:val="113E3FDC"/>
    <w:rsid w:val="11422D28"/>
    <w:rsid w:val="114916A6"/>
    <w:rsid w:val="114E421F"/>
    <w:rsid w:val="11537A88"/>
    <w:rsid w:val="116C0B49"/>
    <w:rsid w:val="11785740"/>
    <w:rsid w:val="118C679D"/>
    <w:rsid w:val="11925C70"/>
    <w:rsid w:val="11977CE3"/>
    <w:rsid w:val="119E6CF5"/>
    <w:rsid w:val="11A227BD"/>
    <w:rsid w:val="11BB562D"/>
    <w:rsid w:val="11CE552C"/>
    <w:rsid w:val="11DA38D8"/>
    <w:rsid w:val="11E06E41"/>
    <w:rsid w:val="11ED1C8A"/>
    <w:rsid w:val="11FA7F03"/>
    <w:rsid w:val="12015736"/>
    <w:rsid w:val="1202500A"/>
    <w:rsid w:val="12062B4E"/>
    <w:rsid w:val="120668A8"/>
    <w:rsid w:val="12103BCB"/>
    <w:rsid w:val="12123835"/>
    <w:rsid w:val="12160649"/>
    <w:rsid w:val="12217B86"/>
    <w:rsid w:val="122C27BC"/>
    <w:rsid w:val="122F22A3"/>
    <w:rsid w:val="12386C7D"/>
    <w:rsid w:val="1239500D"/>
    <w:rsid w:val="123B6D2C"/>
    <w:rsid w:val="12435D4E"/>
    <w:rsid w:val="12480599"/>
    <w:rsid w:val="124D2289"/>
    <w:rsid w:val="125A4E46"/>
    <w:rsid w:val="12687563"/>
    <w:rsid w:val="12745A53"/>
    <w:rsid w:val="127A5AC4"/>
    <w:rsid w:val="127C4DBC"/>
    <w:rsid w:val="128B4FFF"/>
    <w:rsid w:val="129563FA"/>
    <w:rsid w:val="12A04F4F"/>
    <w:rsid w:val="12AA36D7"/>
    <w:rsid w:val="12B24C82"/>
    <w:rsid w:val="12C31228"/>
    <w:rsid w:val="12C80001"/>
    <w:rsid w:val="12D70244"/>
    <w:rsid w:val="12DB7D35"/>
    <w:rsid w:val="12F15724"/>
    <w:rsid w:val="12F157AA"/>
    <w:rsid w:val="12FB03D7"/>
    <w:rsid w:val="13063815"/>
    <w:rsid w:val="130F5C30"/>
    <w:rsid w:val="131D046B"/>
    <w:rsid w:val="13272BE8"/>
    <w:rsid w:val="13427DB4"/>
    <w:rsid w:val="134A5690"/>
    <w:rsid w:val="135873FC"/>
    <w:rsid w:val="135B0E75"/>
    <w:rsid w:val="135F3AE8"/>
    <w:rsid w:val="13645F7C"/>
    <w:rsid w:val="136923D7"/>
    <w:rsid w:val="13767A5D"/>
    <w:rsid w:val="137837D5"/>
    <w:rsid w:val="137D5290"/>
    <w:rsid w:val="13852BA3"/>
    <w:rsid w:val="138A3509"/>
    <w:rsid w:val="13985C26"/>
    <w:rsid w:val="13A02D2C"/>
    <w:rsid w:val="13C659CD"/>
    <w:rsid w:val="13CF471A"/>
    <w:rsid w:val="13E96481"/>
    <w:rsid w:val="13F32136"/>
    <w:rsid w:val="13F96139"/>
    <w:rsid w:val="140137CB"/>
    <w:rsid w:val="14024910"/>
    <w:rsid w:val="14092680"/>
    <w:rsid w:val="14213E6D"/>
    <w:rsid w:val="1432417D"/>
    <w:rsid w:val="14456D19"/>
    <w:rsid w:val="147246C9"/>
    <w:rsid w:val="14792A17"/>
    <w:rsid w:val="147E12BF"/>
    <w:rsid w:val="148B578A"/>
    <w:rsid w:val="148F527B"/>
    <w:rsid w:val="14B4753E"/>
    <w:rsid w:val="14BC5944"/>
    <w:rsid w:val="14C01186"/>
    <w:rsid w:val="14C12F5A"/>
    <w:rsid w:val="14C52A4A"/>
    <w:rsid w:val="14CE4E21"/>
    <w:rsid w:val="14DA401C"/>
    <w:rsid w:val="14DE1D5E"/>
    <w:rsid w:val="14DF6D1B"/>
    <w:rsid w:val="14E1184E"/>
    <w:rsid w:val="14EA0703"/>
    <w:rsid w:val="14F7697C"/>
    <w:rsid w:val="14FC6C19"/>
    <w:rsid w:val="15001CD4"/>
    <w:rsid w:val="15035C84"/>
    <w:rsid w:val="150D0B2A"/>
    <w:rsid w:val="15121A08"/>
    <w:rsid w:val="15171415"/>
    <w:rsid w:val="15211C4B"/>
    <w:rsid w:val="1525173B"/>
    <w:rsid w:val="152754B3"/>
    <w:rsid w:val="15292DC6"/>
    <w:rsid w:val="152B4878"/>
    <w:rsid w:val="15325697"/>
    <w:rsid w:val="15335936"/>
    <w:rsid w:val="15337B56"/>
    <w:rsid w:val="15355FC9"/>
    <w:rsid w:val="153E27FD"/>
    <w:rsid w:val="1543751C"/>
    <w:rsid w:val="154459C2"/>
    <w:rsid w:val="154D47EE"/>
    <w:rsid w:val="15597D95"/>
    <w:rsid w:val="155E448E"/>
    <w:rsid w:val="15655FDB"/>
    <w:rsid w:val="15673B02"/>
    <w:rsid w:val="15720DA9"/>
    <w:rsid w:val="157341AB"/>
    <w:rsid w:val="157E55BA"/>
    <w:rsid w:val="158E0A14"/>
    <w:rsid w:val="15962639"/>
    <w:rsid w:val="15A50AB1"/>
    <w:rsid w:val="15A8795A"/>
    <w:rsid w:val="15A969F7"/>
    <w:rsid w:val="15AE34DE"/>
    <w:rsid w:val="15B17473"/>
    <w:rsid w:val="15B4486D"/>
    <w:rsid w:val="15B64A89"/>
    <w:rsid w:val="15B66837"/>
    <w:rsid w:val="15DD3DC4"/>
    <w:rsid w:val="15DD695B"/>
    <w:rsid w:val="15E72E94"/>
    <w:rsid w:val="15F92F7E"/>
    <w:rsid w:val="16086AE5"/>
    <w:rsid w:val="161C27C9"/>
    <w:rsid w:val="16215468"/>
    <w:rsid w:val="1628375A"/>
    <w:rsid w:val="162B0FD3"/>
    <w:rsid w:val="16337E88"/>
    <w:rsid w:val="16354792"/>
    <w:rsid w:val="163D13A1"/>
    <w:rsid w:val="163D5A89"/>
    <w:rsid w:val="164C052F"/>
    <w:rsid w:val="1658050C"/>
    <w:rsid w:val="16796823"/>
    <w:rsid w:val="167E55A7"/>
    <w:rsid w:val="167F131F"/>
    <w:rsid w:val="168331ED"/>
    <w:rsid w:val="169528F0"/>
    <w:rsid w:val="169E1486"/>
    <w:rsid w:val="169F796D"/>
    <w:rsid w:val="16A9014A"/>
    <w:rsid w:val="16A91EF8"/>
    <w:rsid w:val="16B461B8"/>
    <w:rsid w:val="16B71B14"/>
    <w:rsid w:val="16BF4740"/>
    <w:rsid w:val="16CC419B"/>
    <w:rsid w:val="16D52CED"/>
    <w:rsid w:val="16EF2001"/>
    <w:rsid w:val="16FF3C35"/>
    <w:rsid w:val="17092996"/>
    <w:rsid w:val="170968C2"/>
    <w:rsid w:val="170A6E3A"/>
    <w:rsid w:val="170D72F4"/>
    <w:rsid w:val="170F61FF"/>
    <w:rsid w:val="17123F41"/>
    <w:rsid w:val="171412BA"/>
    <w:rsid w:val="1718237D"/>
    <w:rsid w:val="17216941"/>
    <w:rsid w:val="172A0FAC"/>
    <w:rsid w:val="172B6DB1"/>
    <w:rsid w:val="172C5003"/>
    <w:rsid w:val="173739A8"/>
    <w:rsid w:val="173B1AD2"/>
    <w:rsid w:val="17413B94"/>
    <w:rsid w:val="17614581"/>
    <w:rsid w:val="176C0A78"/>
    <w:rsid w:val="176D18F5"/>
    <w:rsid w:val="176E561B"/>
    <w:rsid w:val="1776002C"/>
    <w:rsid w:val="17797B1C"/>
    <w:rsid w:val="177C760C"/>
    <w:rsid w:val="178475FD"/>
    <w:rsid w:val="17872239"/>
    <w:rsid w:val="179C380B"/>
    <w:rsid w:val="17A013A9"/>
    <w:rsid w:val="17A821AF"/>
    <w:rsid w:val="17BA0860"/>
    <w:rsid w:val="17C22FFE"/>
    <w:rsid w:val="17DA6E89"/>
    <w:rsid w:val="17DD0A63"/>
    <w:rsid w:val="17E92EF4"/>
    <w:rsid w:val="17EF6030"/>
    <w:rsid w:val="180550B5"/>
    <w:rsid w:val="18155A97"/>
    <w:rsid w:val="183103F7"/>
    <w:rsid w:val="184316FF"/>
    <w:rsid w:val="18576141"/>
    <w:rsid w:val="186407CC"/>
    <w:rsid w:val="186865CE"/>
    <w:rsid w:val="186E0F59"/>
    <w:rsid w:val="186E164B"/>
    <w:rsid w:val="187E086F"/>
    <w:rsid w:val="187F1162"/>
    <w:rsid w:val="18997C09"/>
    <w:rsid w:val="189E3CDE"/>
    <w:rsid w:val="18A137CE"/>
    <w:rsid w:val="18A216B3"/>
    <w:rsid w:val="18A8690B"/>
    <w:rsid w:val="18A94431"/>
    <w:rsid w:val="18B17853"/>
    <w:rsid w:val="18B80B47"/>
    <w:rsid w:val="18BE7548"/>
    <w:rsid w:val="18C3252F"/>
    <w:rsid w:val="18C47A6B"/>
    <w:rsid w:val="18CE20EA"/>
    <w:rsid w:val="18D47700"/>
    <w:rsid w:val="18D5593B"/>
    <w:rsid w:val="18E872E3"/>
    <w:rsid w:val="18EA17C0"/>
    <w:rsid w:val="18F26EAB"/>
    <w:rsid w:val="18F41B50"/>
    <w:rsid w:val="190B70AE"/>
    <w:rsid w:val="19195D6C"/>
    <w:rsid w:val="19232435"/>
    <w:rsid w:val="19235F91"/>
    <w:rsid w:val="19257356"/>
    <w:rsid w:val="19326C65"/>
    <w:rsid w:val="19377C8F"/>
    <w:rsid w:val="193B4660"/>
    <w:rsid w:val="1941466A"/>
    <w:rsid w:val="194B54E8"/>
    <w:rsid w:val="19516FA3"/>
    <w:rsid w:val="195B397D"/>
    <w:rsid w:val="195C5DF6"/>
    <w:rsid w:val="19704F4F"/>
    <w:rsid w:val="1988673C"/>
    <w:rsid w:val="19895D23"/>
    <w:rsid w:val="198D78AF"/>
    <w:rsid w:val="19940C3D"/>
    <w:rsid w:val="199D6574"/>
    <w:rsid w:val="19A90B8D"/>
    <w:rsid w:val="19B412DF"/>
    <w:rsid w:val="19B94B48"/>
    <w:rsid w:val="19C167A6"/>
    <w:rsid w:val="19D21766"/>
    <w:rsid w:val="19DB2D10"/>
    <w:rsid w:val="19EB5BB5"/>
    <w:rsid w:val="19F416DC"/>
    <w:rsid w:val="19FA1701"/>
    <w:rsid w:val="1A1E118C"/>
    <w:rsid w:val="1A246A2C"/>
    <w:rsid w:val="1A2A3350"/>
    <w:rsid w:val="1A38088E"/>
    <w:rsid w:val="1A404921"/>
    <w:rsid w:val="1A4E703E"/>
    <w:rsid w:val="1A5328A6"/>
    <w:rsid w:val="1A563640"/>
    <w:rsid w:val="1A620D3B"/>
    <w:rsid w:val="1A676352"/>
    <w:rsid w:val="1A6C3968"/>
    <w:rsid w:val="1A8B2040"/>
    <w:rsid w:val="1A9412B3"/>
    <w:rsid w:val="1A943AF7"/>
    <w:rsid w:val="1AA44EB0"/>
    <w:rsid w:val="1ABD5F72"/>
    <w:rsid w:val="1AD20BE1"/>
    <w:rsid w:val="1AD27C6F"/>
    <w:rsid w:val="1AED4AA9"/>
    <w:rsid w:val="1AF427B5"/>
    <w:rsid w:val="1AF676AF"/>
    <w:rsid w:val="1B0B0842"/>
    <w:rsid w:val="1B102545"/>
    <w:rsid w:val="1B1C538E"/>
    <w:rsid w:val="1B1C713C"/>
    <w:rsid w:val="1B266EE3"/>
    <w:rsid w:val="1B293607"/>
    <w:rsid w:val="1B3A75C2"/>
    <w:rsid w:val="1B4E306E"/>
    <w:rsid w:val="1B542D7A"/>
    <w:rsid w:val="1B570174"/>
    <w:rsid w:val="1B5B4706"/>
    <w:rsid w:val="1B697EA8"/>
    <w:rsid w:val="1B7725C5"/>
    <w:rsid w:val="1B8371BB"/>
    <w:rsid w:val="1B9413C8"/>
    <w:rsid w:val="1B9E2247"/>
    <w:rsid w:val="1BA17641"/>
    <w:rsid w:val="1BB22884"/>
    <w:rsid w:val="1BBA79BA"/>
    <w:rsid w:val="1BBE01F3"/>
    <w:rsid w:val="1BDF4B6E"/>
    <w:rsid w:val="1BE539D2"/>
    <w:rsid w:val="1BF1169D"/>
    <w:rsid w:val="1BF73705"/>
    <w:rsid w:val="1BFE15F2"/>
    <w:rsid w:val="1BFF5A71"/>
    <w:rsid w:val="1C00080C"/>
    <w:rsid w:val="1C00267E"/>
    <w:rsid w:val="1C0302FC"/>
    <w:rsid w:val="1C0E15A4"/>
    <w:rsid w:val="1C156098"/>
    <w:rsid w:val="1C1C4F1A"/>
    <w:rsid w:val="1C1F5136"/>
    <w:rsid w:val="1C28769B"/>
    <w:rsid w:val="1C2E5379"/>
    <w:rsid w:val="1C3F493B"/>
    <w:rsid w:val="1C420E24"/>
    <w:rsid w:val="1C4306F9"/>
    <w:rsid w:val="1C454471"/>
    <w:rsid w:val="1C4E6E53"/>
    <w:rsid w:val="1C5470A3"/>
    <w:rsid w:val="1C5E5533"/>
    <w:rsid w:val="1C69015F"/>
    <w:rsid w:val="1C6E0E4D"/>
    <w:rsid w:val="1C7620D1"/>
    <w:rsid w:val="1C7A05BE"/>
    <w:rsid w:val="1C89319E"/>
    <w:rsid w:val="1C972EF6"/>
    <w:rsid w:val="1C9A2A0F"/>
    <w:rsid w:val="1CB17D58"/>
    <w:rsid w:val="1CB515F6"/>
    <w:rsid w:val="1CB735C0"/>
    <w:rsid w:val="1CD7615D"/>
    <w:rsid w:val="1CD96CD1"/>
    <w:rsid w:val="1CE2478F"/>
    <w:rsid w:val="1CE75528"/>
    <w:rsid w:val="1CF245F9"/>
    <w:rsid w:val="1CFD255F"/>
    <w:rsid w:val="1D04432C"/>
    <w:rsid w:val="1D0C44B0"/>
    <w:rsid w:val="1D167BBB"/>
    <w:rsid w:val="1D2624F4"/>
    <w:rsid w:val="1D291FE4"/>
    <w:rsid w:val="1D2D5631"/>
    <w:rsid w:val="1D3F7112"/>
    <w:rsid w:val="1D436C02"/>
    <w:rsid w:val="1D4B5AB7"/>
    <w:rsid w:val="1D4E5728"/>
    <w:rsid w:val="1D5B3CB8"/>
    <w:rsid w:val="1D644DCB"/>
    <w:rsid w:val="1D772D50"/>
    <w:rsid w:val="1D7E300F"/>
    <w:rsid w:val="1D807C8E"/>
    <w:rsid w:val="1D8369F7"/>
    <w:rsid w:val="1D862F93"/>
    <w:rsid w:val="1D9413DD"/>
    <w:rsid w:val="1DA710FC"/>
    <w:rsid w:val="1DAC33EE"/>
    <w:rsid w:val="1DB566B2"/>
    <w:rsid w:val="1DC85359"/>
    <w:rsid w:val="1DE636D3"/>
    <w:rsid w:val="1DEA52D0"/>
    <w:rsid w:val="1DED4DC0"/>
    <w:rsid w:val="1E193E07"/>
    <w:rsid w:val="1E2644A4"/>
    <w:rsid w:val="1E3353B1"/>
    <w:rsid w:val="1E430E84"/>
    <w:rsid w:val="1E4B3A52"/>
    <w:rsid w:val="1E4F15D7"/>
    <w:rsid w:val="1E546BED"/>
    <w:rsid w:val="1E5B61CE"/>
    <w:rsid w:val="1E5D1F46"/>
    <w:rsid w:val="1E62130A"/>
    <w:rsid w:val="1E650DFA"/>
    <w:rsid w:val="1E6A4663"/>
    <w:rsid w:val="1E6F1C79"/>
    <w:rsid w:val="1E763007"/>
    <w:rsid w:val="1E7E3C6A"/>
    <w:rsid w:val="1E82375A"/>
    <w:rsid w:val="1E845724"/>
    <w:rsid w:val="1E9F73DD"/>
    <w:rsid w:val="1EA23DFC"/>
    <w:rsid w:val="1EA5271C"/>
    <w:rsid w:val="1EB746DE"/>
    <w:rsid w:val="1EBF050A"/>
    <w:rsid w:val="1EC45B21"/>
    <w:rsid w:val="1ED07999"/>
    <w:rsid w:val="1ED16490"/>
    <w:rsid w:val="1EDD4E34"/>
    <w:rsid w:val="1EDD6BE3"/>
    <w:rsid w:val="1EE2644E"/>
    <w:rsid w:val="1EE937D9"/>
    <w:rsid w:val="1EF1268E"/>
    <w:rsid w:val="1EF30556"/>
    <w:rsid w:val="1EFF124F"/>
    <w:rsid w:val="1F010B23"/>
    <w:rsid w:val="1F1D1971"/>
    <w:rsid w:val="1F2B2044"/>
    <w:rsid w:val="1F394761"/>
    <w:rsid w:val="1F3C0638"/>
    <w:rsid w:val="1F680BA2"/>
    <w:rsid w:val="1F6D7F66"/>
    <w:rsid w:val="1F7A6B27"/>
    <w:rsid w:val="1F7F0EBC"/>
    <w:rsid w:val="1F9279CD"/>
    <w:rsid w:val="1F9C084C"/>
    <w:rsid w:val="1F9E2816"/>
    <w:rsid w:val="1FAD2A59"/>
    <w:rsid w:val="1FB738D7"/>
    <w:rsid w:val="1FBF278C"/>
    <w:rsid w:val="1FC93ACD"/>
    <w:rsid w:val="1FC97167"/>
    <w:rsid w:val="1FCA14B3"/>
    <w:rsid w:val="1FCF6E73"/>
    <w:rsid w:val="1FD2028B"/>
    <w:rsid w:val="1FE66701"/>
    <w:rsid w:val="1FF9206E"/>
    <w:rsid w:val="1FFA168A"/>
    <w:rsid w:val="1FFC753C"/>
    <w:rsid w:val="20084133"/>
    <w:rsid w:val="200C3C23"/>
    <w:rsid w:val="200C59D1"/>
    <w:rsid w:val="200F54C2"/>
    <w:rsid w:val="201746B3"/>
    <w:rsid w:val="20234AC9"/>
    <w:rsid w:val="203E4C42"/>
    <w:rsid w:val="203E5DA7"/>
    <w:rsid w:val="2043387C"/>
    <w:rsid w:val="20596FAC"/>
    <w:rsid w:val="205B5927"/>
    <w:rsid w:val="206100D7"/>
    <w:rsid w:val="20692108"/>
    <w:rsid w:val="20692E24"/>
    <w:rsid w:val="206A26F8"/>
    <w:rsid w:val="2088732B"/>
    <w:rsid w:val="208E6609"/>
    <w:rsid w:val="209D487B"/>
    <w:rsid w:val="209F6845"/>
    <w:rsid w:val="20A0611A"/>
    <w:rsid w:val="20A1609D"/>
    <w:rsid w:val="20A64231"/>
    <w:rsid w:val="20AB05FC"/>
    <w:rsid w:val="20AF2801"/>
    <w:rsid w:val="20B80DAD"/>
    <w:rsid w:val="20BA05FD"/>
    <w:rsid w:val="20BE4A62"/>
    <w:rsid w:val="20DA6DE5"/>
    <w:rsid w:val="20DB25E1"/>
    <w:rsid w:val="20E56222"/>
    <w:rsid w:val="20ED3A30"/>
    <w:rsid w:val="20EE157B"/>
    <w:rsid w:val="20EE3329"/>
    <w:rsid w:val="20F052F3"/>
    <w:rsid w:val="20F36B91"/>
    <w:rsid w:val="20F546B7"/>
    <w:rsid w:val="20F751F5"/>
    <w:rsid w:val="21090163"/>
    <w:rsid w:val="21091054"/>
    <w:rsid w:val="21150B02"/>
    <w:rsid w:val="213C3352"/>
    <w:rsid w:val="21555156"/>
    <w:rsid w:val="216616F6"/>
    <w:rsid w:val="216801AA"/>
    <w:rsid w:val="217961F5"/>
    <w:rsid w:val="218D114E"/>
    <w:rsid w:val="21A12149"/>
    <w:rsid w:val="21A41C3A"/>
    <w:rsid w:val="21A659B2"/>
    <w:rsid w:val="21A812C1"/>
    <w:rsid w:val="21BA145D"/>
    <w:rsid w:val="21C422DC"/>
    <w:rsid w:val="21D249F9"/>
    <w:rsid w:val="21F93D33"/>
    <w:rsid w:val="21FC28D6"/>
    <w:rsid w:val="21FE134A"/>
    <w:rsid w:val="220B1CB9"/>
    <w:rsid w:val="220F3557"/>
    <w:rsid w:val="22123047"/>
    <w:rsid w:val="221C125D"/>
    <w:rsid w:val="221E4FCE"/>
    <w:rsid w:val="22244B28"/>
    <w:rsid w:val="22396826"/>
    <w:rsid w:val="22431452"/>
    <w:rsid w:val="224C15E2"/>
    <w:rsid w:val="224C3750"/>
    <w:rsid w:val="224D26CF"/>
    <w:rsid w:val="224F6049"/>
    <w:rsid w:val="22511DC1"/>
    <w:rsid w:val="22535DAF"/>
    <w:rsid w:val="226129BC"/>
    <w:rsid w:val="22721D38"/>
    <w:rsid w:val="2280475D"/>
    <w:rsid w:val="22823C2A"/>
    <w:rsid w:val="22A31EF1"/>
    <w:rsid w:val="22B14EA2"/>
    <w:rsid w:val="22BB723B"/>
    <w:rsid w:val="22C72083"/>
    <w:rsid w:val="22CA1B74"/>
    <w:rsid w:val="22DA76D9"/>
    <w:rsid w:val="22EA7B20"/>
    <w:rsid w:val="22EE5862"/>
    <w:rsid w:val="22F37984"/>
    <w:rsid w:val="22F55CCF"/>
    <w:rsid w:val="22F64717"/>
    <w:rsid w:val="230B38F6"/>
    <w:rsid w:val="231E6C33"/>
    <w:rsid w:val="23221227"/>
    <w:rsid w:val="23263FB0"/>
    <w:rsid w:val="232F19D7"/>
    <w:rsid w:val="23305E7B"/>
    <w:rsid w:val="23360FB7"/>
    <w:rsid w:val="23381001"/>
    <w:rsid w:val="233B037C"/>
    <w:rsid w:val="234611FA"/>
    <w:rsid w:val="234E4553"/>
    <w:rsid w:val="23503E27"/>
    <w:rsid w:val="235D6544"/>
    <w:rsid w:val="2369138D"/>
    <w:rsid w:val="23735D67"/>
    <w:rsid w:val="238A529F"/>
    <w:rsid w:val="239006C7"/>
    <w:rsid w:val="239C706C"/>
    <w:rsid w:val="23A61C99"/>
    <w:rsid w:val="23C245F9"/>
    <w:rsid w:val="23C93BD9"/>
    <w:rsid w:val="23CB0BA6"/>
    <w:rsid w:val="23CC590B"/>
    <w:rsid w:val="23CD3501"/>
    <w:rsid w:val="23DC390D"/>
    <w:rsid w:val="23E17175"/>
    <w:rsid w:val="23EE53EE"/>
    <w:rsid w:val="23FB1215"/>
    <w:rsid w:val="24005DAF"/>
    <w:rsid w:val="24013373"/>
    <w:rsid w:val="24063233"/>
    <w:rsid w:val="24134E54"/>
    <w:rsid w:val="241A61E3"/>
    <w:rsid w:val="2426102C"/>
    <w:rsid w:val="24286B52"/>
    <w:rsid w:val="24335861"/>
    <w:rsid w:val="244A4D1A"/>
    <w:rsid w:val="24577437"/>
    <w:rsid w:val="245A29BB"/>
    <w:rsid w:val="245D7D8D"/>
    <w:rsid w:val="246575A1"/>
    <w:rsid w:val="24686FE5"/>
    <w:rsid w:val="24724271"/>
    <w:rsid w:val="24773635"/>
    <w:rsid w:val="24855D52"/>
    <w:rsid w:val="24863413"/>
    <w:rsid w:val="248A3E63"/>
    <w:rsid w:val="249D12EE"/>
    <w:rsid w:val="249E5066"/>
    <w:rsid w:val="24A85EE5"/>
    <w:rsid w:val="24AC1531"/>
    <w:rsid w:val="24AF4B7D"/>
    <w:rsid w:val="24B6056A"/>
    <w:rsid w:val="24BA4F25"/>
    <w:rsid w:val="24BF0291"/>
    <w:rsid w:val="24C27CCB"/>
    <w:rsid w:val="25132947"/>
    <w:rsid w:val="25140E84"/>
    <w:rsid w:val="252938A0"/>
    <w:rsid w:val="252B1120"/>
    <w:rsid w:val="252C2672"/>
    <w:rsid w:val="253908EB"/>
    <w:rsid w:val="25396AFF"/>
    <w:rsid w:val="253F4153"/>
    <w:rsid w:val="254C061E"/>
    <w:rsid w:val="25592D3B"/>
    <w:rsid w:val="2564005E"/>
    <w:rsid w:val="256D1848"/>
    <w:rsid w:val="256E67E6"/>
    <w:rsid w:val="257D63A7"/>
    <w:rsid w:val="25891872"/>
    <w:rsid w:val="258A1146"/>
    <w:rsid w:val="259024C0"/>
    <w:rsid w:val="25902C01"/>
    <w:rsid w:val="25960BD2"/>
    <w:rsid w:val="259B6E80"/>
    <w:rsid w:val="25B032A3"/>
    <w:rsid w:val="25B20DC9"/>
    <w:rsid w:val="25BD151C"/>
    <w:rsid w:val="25C40AFC"/>
    <w:rsid w:val="25C53829"/>
    <w:rsid w:val="25CB4399"/>
    <w:rsid w:val="25DC7BF4"/>
    <w:rsid w:val="26123616"/>
    <w:rsid w:val="261A4BC0"/>
    <w:rsid w:val="2626545C"/>
    <w:rsid w:val="26296BB1"/>
    <w:rsid w:val="26300D34"/>
    <w:rsid w:val="263C0693"/>
    <w:rsid w:val="264F554E"/>
    <w:rsid w:val="264F6618"/>
    <w:rsid w:val="265C2AE3"/>
    <w:rsid w:val="26995AE5"/>
    <w:rsid w:val="26B20955"/>
    <w:rsid w:val="26BA342F"/>
    <w:rsid w:val="26BC60C2"/>
    <w:rsid w:val="26C1503C"/>
    <w:rsid w:val="26C568DA"/>
    <w:rsid w:val="26C94DFB"/>
    <w:rsid w:val="26D7660D"/>
    <w:rsid w:val="26E14ED6"/>
    <w:rsid w:val="26F35B88"/>
    <w:rsid w:val="26FF6A0B"/>
    <w:rsid w:val="27005B64"/>
    <w:rsid w:val="270A0791"/>
    <w:rsid w:val="270C275B"/>
    <w:rsid w:val="270C302B"/>
    <w:rsid w:val="2725381D"/>
    <w:rsid w:val="272E26D1"/>
    <w:rsid w:val="273A786C"/>
    <w:rsid w:val="273E668C"/>
    <w:rsid w:val="274E52FB"/>
    <w:rsid w:val="275B0FEC"/>
    <w:rsid w:val="27611F1D"/>
    <w:rsid w:val="276161F4"/>
    <w:rsid w:val="276205CD"/>
    <w:rsid w:val="27730567"/>
    <w:rsid w:val="277420AE"/>
    <w:rsid w:val="27767BD4"/>
    <w:rsid w:val="27952750"/>
    <w:rsid w:val="27A6670B"/>
    <w:rsid w:val="27C748D4"/>
    <w:rsid w:val="27CE360B"/>
    <w:rsid w:val="27D33279"/>
    <w:rsid w:val="27D74B17"/>
    <w:rsid w:val="27EB432A"/>
    <w:rsid w:val="27EB6D23"/>
    <w:rsid w:val="27F8683B"/>
    <w:rsid w:val="27FF7BCA"/>
    <w:rsid w:val="280E605F"/>
    <w:rsid w:val="2815563F"/>
    <w:rsid w:val="281C077C"/>
    <w:rsid w:val="28221B0A"/>
    <w:rsid w:val="282835C4"/>
    <w:rsid w:val="283366AF"/>
    <w:rsid w:val="28382F91"/>
    <w:rsid w:val="283F090E"/>
    <w:rsid w:val="286363AA"/>
    <w:rsid w:val="286725D6"/>
    <w:rsid w:val="287A3E90"/>
    <w:rsid w:val="288F719F"/>
    <w:rsid w:val="28956780"/>
    <w:rsid w:val="28C52BC1"/>
    <w:rsid w:val="28CD7CC8"/>
    <w:rsid w:val="28DB41F8"/>
    <w:rsid w:val="28DC43AF"/>
    <w:rsid w:val="28E374EB"/>
    <w:rsid w:val="28E53263"/>
    <w:rsid w:val="28E84B02"/>
    <w:rsid w:val="28EB63A0"/>
    <w:rsid w:val="28ED3EC6"/>
    <w:rsid w:val="28F32B26"/>
    <w:rsid w:val="29023E15"/>
    <w:rsid w:val="291A7161"/>
    <w:rsid w:val="291B2861"/>
    <w:rsid w:val="291E6775"/>
    <w:rsid w:val="29257B04"/>
    <w:rsid w:val="292875F4"/>
    <w:rsid w:val="292C3C36"/>
    <w:rsid w:val="292F2731"/>
    <w:rsid w:val="293E0BC6"/>
    <w:rsid w:val="29452A44"/>
    <w:rsid w:val="29455AB0"/>
    <w:rsid w:val="294B7A61"/>
    <w:rsid w:val="294E0E09"/>
    <w:rsid w:val="294F4B81"/>
    <w:rsid w:val="29657F00"/>
    <w:rsid w:val="29670395"/>
    <w:rsid w:val="297F6EC9"/>
    <w:rsid w:val="29AB416D"/>
    <w:rsid w:val="29AE7AF9"/>
    <w:rsid w:val="29B5668F"/>
    <w:rsid w:val="29C24711"/>
    <w:rsid w:val="29CE019B"/>
    <w:rsid w:val="29D15596"/>
    <w:rsid w:val="29D532D8"/>
    <w:rsid w:val="29E11C7D"/>
    <w:rsid w:val="29F00D73"/>
    <w:rsid w:val="29F01EC0"/>
    <w:rsid w:val="29F234A6"/>
    <w:rsid w:val="2A070FB7"/>
    <w:rsid w:val="2A0769A4"/>
    <w:rsid w:val="2A0F00F5"/>
    <w:rsid w:val="2A1A6F3D"/>
    <w:rsid w:val="2A1C0F07"/>
    <w:rsid w:val="2A275DDC"/>
    <w:rsid w:val="2A2E0C3A"/>
    <w:rsid w:val="2A3218A4"/>
    <w:rsid w:val="2A587A65"/>
    <w:rsid w:val="2A612DBE"/>
    <w:rsid w:val="2A622692"/>
    <w:rsid w:val="2A644D01"/>
    <w:rsid w:val="2A6524C6"/>
    <w:rsid w:val="2A6566C1"/>
    <w:rsid w:val="2A7E3970"/>
    <w:rsid w:val="2A81520E"/>
    <w:rsid w:val="2A832D34"/>
    <w:rsid w:val="2A90025D"/>
    <w:rsid w:val="2A93421F"/>
    <w:rsid w:val="2A9A0970"/>
    <w:rsid w:val="2A9C2048"/>
    <w:rsid w:val="2A9E191C"/>
    <w:rsid w:val="2AA1140C"/>
    <w:rsid w:val="2AA1765E"/>
    <w:rsid w:val="2ACD2201"/>
    <w:rsid w:val="2AD25A69"/>
    <w:rsid w:val="2AE578A2"/>
    <w:rsid w:val="2AF0728F"/>
    <w:rsid w:val="2AF94DA4"/>
    <w:rsid w:val="2AFF40F2"/>
    <w:rsid w:val="2B0C0F7B"/>
    <w:rsid w:val="2B116592"/>
    <w:rsid w:val="2B1A4D1A"/>
    <w:rsid w:val="2B1C0A93"/>
    <w:rsid w:val="2B1C6CE5"/>
    <w:rsid w:val="2B261D0D"/>
    <w:rsid w:val="2B2838DB"/>
    <w:rsid w:val="2B3E4EAD"/>
    <w:rsid w:val="2B4B591D"/>
    <w:rsid w:val="2B500845"/>
    <w:rsid w:val="2B6C5576"/>
    <w:rsid w:val="2B856638"/>
    <w:rsid w:val="2B8A00F2"/>
    <w:rsid w:val="2B8D373E"/>
    <w:rsid w:val="2B903E10"/>
    <w:rsid w:val="2B9D6077"/>
    <w:rsid w:val="2B9F687E"/>
    <w:rsid w:val="2BA07020"/>
    <w:rsid w:val="2BAE091B"/>
    <w:rsid w:val="2BB1567F"/>
    <w:rsid w:val="2BB94533"/>
    <w:rsid w:val="2BC27474"/>
    <w:rsid w:val="2BC929C8"/>
    <w:rsid w:val="2BCA4992"/>
    <w:rsid w:val="2BE617CC"/>
    <w:rsid w:val="2BEC264E"/>
    <w:rsid w:val="2BF13CCD"/>
    <w:rsid w:val="2C0063BD"/>
    <w:rsid w:val="2C043A01"/>
    <w:rsid w:val="2C144D04"/>
    <w:rsid w:val="2C153E60"/>
    <w:rsid w:val="2C1B6F9C"/>
    <w:rsid w:val="2C2C2EC6"/>
    <w:rsid w:val="2C33078A"/>
    <w:rsid w:val="2C3F2C8B"/>
    <w:rsid w:val="2C684C72"/>
    <w:rsid w:val="2C723060"/>
    <w:rsid w:val="2C7768C8"/>
    <w:rsid w:val="2C820DC9"/>
    <w:rsid w:val="2C9A4365"/>
    <w:rsid w:val="2C9E2B82"/>
    <w:rsid w:val="2CA927FA"/>
    <w:rsid w:val="2CB216AE"/>
    <w:rsid w:val="2CBE62A5"/>
    <w:rsid w:val="2CC969F8"/>
    <w:rsid w:val="2CCF04B2"/>
    <w:rsid w:val="2CDB3E54"/>
    <w:rsid w:val="2CE07276"/>
    <w:rsid w:val="2CE77FD5"/>
    <w:rsid w:val="2D0143E4"/>
    <w:rsid w:val="2D3A16A4"/>
    <w:rsid w:val="2D3B5B48"/>
    <w:rsid w:val="2D3C26DF"/>
    <w:rsid w:val="2D3C541C"/>
    <w:rsid w:val="2D453348"/>
    <w:rsid w:val="2D4A3C8A"/>
    <w:rsid w:val="2D576931"/>
    <w:rsid w:val="2D585162"/>
    <w:rsid w:val="2D6706EB"/>
    <w:rsid w:val="2D6A1F89"/>
    <w:rsid w:val="2D71156A"/>
    <w:rsid w:val="2D74105A"/>
    <w:rsid w:val="2D746964"/>
    <w:rsid w:val="2D76092E"/>
    <w:rsid w:val="2D796670"/>
    <w:rsid w:val="2D913038"/>
    <w:rsid w:val="2D941B88"/>
    <w:rsid w:val="2D9663C0"/>
    <w:rsid w:val="2D9D3448"/>
    <w:rsid w:val="2DA21723"/>
    <w:rsid w:val="2DA25F2E"/>
    <w:rsid w:val="2DAE631A"/>
    <w:rsid w:val="2DAE6EC1"/>
    <w:rsid w:val="2DB31B82"/>
    <w:rsid w:val="2DB32614"/>
    <w:rsid w:val="2DB33930"/>
    <w:rsid w:val="2DC7118A"/>
    <w:rsid w:val="2DD6761F"/>
    <w:rsid w:val="2DDA09D4"/>
    <w:rsid w:val="2DEF248E"/>
    <w:rsid w:val="2DF36C4C"/>
    <w:rsid w:val="2DF857E7"/>
    <w:rsid w:val="2DFA0446"/>
    <w:rsid w:val="2DFE26D1"/>
    <w:rsid w:val="2E0B376C"/>
    <w:rsid w:val="2E165C6D"/>
    <w:rsid w:val="2E19750B"/>
    <w:rsid w:val="2E254102"/>
    <w:rsid w:val="2E3600BD"/>
    <w:rsid w:val="2E3F6F72"/>
    <w:rsid w:val="2E44793A"/>
    <w:rsid w:val="2E4C5FC1"/>
    <w:rsid w:val="2E525AC4"/>
    <w:rsid w:val="2E541123"/>
    <w:rsid w:val="2E6B420B"/>
    <w:rsid w:val="2E756E38"/>
    <w:rsid w:val="2E7B1F74"/>
    <w:rsid w:val="2E7D7A9A"/>
    <w:rsid w:val="2E7E2A24"/>
    <w:rsid w:val="2E8A1747"/>
    <w:rsid w:val="2E99158F"/>
    <w:rsid w:val="2E9C6FC9"/>
    <w:rsid w:val="2E9D4F25"/>
    <w:rsid w:val="2EA17C2D"/>
    <w:rsid w:val="2EA364DE"/>
    <w:rsid w:val="2EA6273A"/>
    <w:rsid w:val="2EA80276"/>
    <w:rsid w:val="2EC371AC"/>
    <w:rsid w:val="2EC97183"/>
    <w:rsid w:val="2EDA4EED"/>
    <w:rsid w:val="2EE3501E"/>
    <w:rsid w:val="2EF34E9C"/>
    <w:rsid w:val="2EF53AD4"/>
    <w:rsid w:val="2EFE0BDB"/>
    <w:rsid w:val="2F005368"/>
    <w:rsid w:val="2F011DC7"/>
    <w:rsid w:val="2F0504C8"/>
    <w:rsid w:val="2F0725FE"/>
    <w:rsid w:val="2F204FF5"/>
    <w:rsid w:val="2F285C58"/>
    <w:rsid w:val="2F2B399A"/>
    <w:rsid w:val="2F38253E"/>
    <w:rsid w:val="2F484A21"/>
    <w:rsid w:val="2F5876BD"/>
    <w:rsid w:val="2F5C3B54"/>
    <w:rsid w:val="2F82482C"/>
    <w:rsid w:val="2F84484B"/>
    <w:rsid w:val="2F88520F"/>
    <w:rsid w:val="2F8D36F9"/>
    <w:rsid w:val="2F912EFA"/>
    <w:rsid w:val="2F930885"/>
    <w:rsid w:val="2F9652B7"/>
    <w:rsid w:val="2F9E5F1A"/>
    <w:rsid w:val="2FAA48BF"/>
    <w:rsid w:val="2FBE480E"/>
    <w:rsid w:val="2FC02334"/>
    <w:rsid w:val="2FC8318B"/>
    <w:rsid w:val="2FCB12F1"/>
    <w:rsid w:val="2FCC0CD9"/>
    <w:rsid w:val="2FD302BA"/>
    <w:rsid w:val="2FD44032"/>
    <w:rsid w:val="2FDB53C0"/>
    <w:rsid w:val="2FDC6A42"/>
    <w:rsid w:val="2FDD58EE"/>
    <w:rsid w:val="2FE06533"/>
    <w:rsid w:val="2FE210F8"/>
    <w:rsid w:val="3006249C"/>
    <w:rsid w:val="30085A89"/>
    <w:rsid w:val="300A35B0"/>
    <w:rsid w:val="300B5755"/>
    <w:rsid w:val="300E3B35"/>
    <w:rsid w:val="301C38BE"/>
    <w:rsid w:val="30226B4B"/>
    <w:rsid w:val="30314FE0"/>
    <w:rsid w:val="30395C43"/>
    <w:rsid w:val="304331AF"/>
    <w:rsid w:val="30466CDD"/>
    <w:rsid w:val="304765B2"/>
    <w:rsid w:val="30556F21"/>
    <w:rsid w:val="30580762"/>
    <w:rsid w:val="305A22D9"/>
    <w:rsid w:val="305D7B83"/>
    <w:rsid w:val="305E56A9"/>
    <w:rsid w:val="30670A02"/>
    <w:rsid w:val="307A24E3"/>
    <w:rsid w:val="30890978"/>
    <w:rsid w:val="308A06A4"/>
    <w:rsid w:val="30AA2FA2"/>
    <w:rsid w:val="30B11C7D"/>
    <w:rsid w:val="30C6397A"/>
    <w:rsid w:val="30C714A1"/>
    <w:rsid w:val="30CB4750"/>
    <w:rsid w:val="30D24087"/>
    <w:rsid w:val="30D94E66"/>
    <w:rsid w:val="30DA5678"/>
    <w:rsid w:val="30E262DA"/>
    <w:rsid w:val="30ED7159"/>
    <w:rsid w:val="30F06C49"/>
    <w:rsid w:val="31061FC9"/>
    <w:rsid w:val="31085D41"/>
    <w:rsid w:val="31093867"/>
    <w:rsid w:val="311E1F98"/>
    <w:rsid w:val="311F20B7"/>
    <w:rsid w:val="31280968"/>
    <w:rsid w:val="31293F09"/>
    <w:rsid w:val="312B5ED3"/>
    <w:rsid w:val="314E48E4"/>
    <w:rsid w:val="315C42DF"/>
    <w:rsid w:val="31682C84"/>
    <w:rsid w:val="31723B02"/>
    <w:rsid w:val="317258B0"/>
    <w:rsid w:val="31833619"/>
    <w:rsid w:val="31837ABD"/>
    <w:rsid w:val="31876BCF"/>
    <w:rsid w:val="3199108F"/>
    <w:rsid w:val="31995874"/>
    <w:rsid w:val="31A46155"/>
    <w:rsid w:val="31AC2E21"/>
    <w:rsid w:val="31B6372C"/>
    <w:rsid w:val="31BB2DB3"/>
    <w:rsid w:val="31D2634F"/>
    <w:rsid w:val="31D64091"/>
    <w:rsid w:val="31D71BB7"/>
    <w:rsid w:val="31D73965"/>
    <w:rsid w:val="320329AC"/>
    <w:rsid w:val="320B5BB7"/>
    <w:rsid w:val="3220355E"/>
    <w:rsid w:val="32244C05"/>
    <w:rsid w:val="32247EDB"/>
    <w:rsid w:val="322A7F39"/>
    <w:rsid w:val="323112C7"/>
    <w:rsid w:val="3240150B"/>
    <w:rsid w:val="324F5BF1"/>
    <w:rsid w:val="325154C6"/>
    <w:rsid w:val="325F4087"/>
    <w:rsid w:val="326E6078"/>
    <w:rsid w:val="32780CA4"/>
    <w:rsid w:val="327A0EC0"/>
    <w:rsid w:val="3281224F"/>
    <w:rsid w:val="32920E4E"/>
    <w:rsid w:val="32957444"/>
    <w:rsid w:val="32A95302"/>
    <w:rsid w:val="32B46CCA"/>
    <w:rsid w:val="32B900B2"/>
    <w:rsid w:val="32BD0DAD"/>
    <w:rsid w:val="32C36DD3"/>
    <w:rsid w:val="32C67055"/>
    <w:rsid w:val="32D31394"/>
    <w:rsid w:val="32E14A9C"/>
    <w:rsid w:val="32EF2111"/>
    <w:rsid w:val="32FC7B27"/>
    <w:rsid w:val="32FD11AA"/>
    <w:rsid w:val="32FF4F22"/>
    <w:rsid w:val="3317670F"/>
    <w:rsid w:val="33184235"/>
    <w:rsid w:val="331D7A9E"/>
    <w:rsid w:val="33291F9F"/>
    <w:rsid w:val="333C6176"/>
    <w:rsid w:val="333D5A4A"/>
    <w:rsid w:val="334212B2"/>
    <w:rsid w:val="33462B51"/>
    <w:rsid w:val="33464A8F"/>
    <w:rsid w:val="33680D19"/>
    <w:rsid w:val="336F654B"/>
    <w:rsid w:val="33721B98"/>
    <w:rsid w:val="337410FC"/>
    <w:rsid w:val="33747E76"/>
    <w:rsid w:val="33784BF7"/>
    <w:rsid w:val="33996585"/>
    <w:rsid w:val="33997124"/>
    <w:rsid w:val="33A24EF8"/>
    <w:rsid w:val="33A8380B"/>
    <w:rsid w:val="33AB32FB"/>
    <w:rsid w:val="33AF52A6"/>
    <w:rsid w:val="33B421B0"/>
    <w:rsid w:val="33C00B55"/>
    <w:rsid w:val="33D22636"/>
    <w:rsid w:val="33D7610B"/>
    <w:rsid w:val="33E52369"/>
    <w:rsid w:val="33EA28C8"/>
    <w:rsid w:val="33EB59F5"/>
    <w:rsid w:val="33F04676"/>
    <w:rsid w:val="340053F5"/>
    <w:rsid w:val="34060532"/>
    <w:rsid w:val="34134165"/>
    <w:rsid w:val="342015F4"/>
    <w:rsid w:val="34276320"/>
    <w:rsid w:val="34280013"/>
    <w:rsid w:val="342F346E"/>
    <w:rsid w:val="3434509F"/>
    <w:rsid w:val="343461A8"/>
    <w:rsid w:val="343E7CCC"/>
    <w:rsid w:val="344A2B14"/>
    <w:rsid w:val="344A48C2"/>
    <w:rsid w:val="34620B5F"/>
    <w:rsid w:val="346C4839"/>
    <w:rsid w:val="346E6803"/>
    <w:rsid w:val="347100A1"/>
    <w:rsid w:val="34797AF6"/>
    <w:rsid w:val="347B745B"/>
    <w:rsid w:val="34936269"/>
    <w:rsid w:val="349A13A6"/>
    <w:rsid w:val="34A75871"/>
    <w:rsid w:val="34AC2E87"/>
    <w:rsid w:val="34B0293D"/>
    <w:rsid w:val="34B955A4"/>
    <w:rsid w:val="34C04B85"/>
    <w:rsid w:val="34C56245"/>
    <w:rsid w:val="34CE72A2"/>
    <w:rsid w:val="34EE34A0"/>
    <w:rsid w:val="34EE524E"/>
    <w:rsid w:val="34F36D08"/>
    <w:rsid w:val="35076310"/>
    <w:rsid w:val="351B4D2E"/>
    <w:rsid w:val="351D3D85"/>
    <w:rsid w:val="3529097C"/>
    <w:rsid w:val="35333923"/>
    <w:rsid w:val="35357321"/>
    <w:rsid w:val="353A0493"/>
    <w:rsid w:val="353F5AA9"/>
    <w:rsid w:val="354E03E2"/>
    <w:rsid w:val="354E2190"/>
    <w:rsid w:val="3555086E"/>
    <w:rsid w:val="355D06F3"/>
    <w:rsid w:val="355D23D3"/>
    <w:rsid w:val="35611EC4"/>
    <w:rsid w:val="3572272C"/>
    <w:rsid w:val="35777939"/>
    <w:rsid w:val="357F059C"/>
    <w:rsid w:val="358918C4"/>
    <w:rsid w:val="358B6F41"/>
    <w:rsid w:val="358E07DF"/>
    <w:rsid w:val="35931E3C"/>
    <w:rsid w:val="3596238F"/>
    <w:rsid w:val="359F29EC"/>
    <w:rsid w:val="35A149B6"/>
    <w:rsid w:val="35BB3842"/>
    <w:rsid w:val="35C42C35"/>
    <w:rsid w:val="35D24B6F"/>
    <w:rsid w:val="35D703D8"/>
    <w:rsid w:val="35F04FF6"/>
    <w:rsid w:val="36017203"/>
    <w:rsid w:val="36034D29"/>
    <w:rsid w:val="361A1340"/>
    <w:rsid w:val="36237179"/>
    <w:rsid w:val="36257395"/>
    <w:rsid w:val="3632560E"/>
    <w:rsid w:val="36341386"/>
    <w:rsid w:val="36413AA3"/>
    <w:rsid w:val="3657341A"/>
    <w:rsid w:val="365B2DB7"/>
    <w:rsid w:val="366A124C"/>
    <w:rsid w:val="367A642B"/>
    <w:rsid w:val="368340BC"/>
    <w:rsid w:val="369D4E03"/>
    <w:rsid w:val="36A858D0"/>
    <w:rsid w:val="36B81FB7"/>
    <w:rsid w:val="36BB532C"/>
    <w:rsid w:val="36BF3346"/>
    <w:rsid w:val="36C64522"/>
    <w:rsid w:val="36D130B5"/>
    <w:rsid w:val="36D6068F"/>
    <w:rsid w:val="36E2555D"/>
    <w:rsid w:val="36E96615"/>
    <w:rsid w:val="36EF7BDD"/>
    <w:rsid w:val="36F01751"/>
    <w:rsid w:val="36F10FB4"/>
    <w:rsid w:val="36F823B4"/>
    <w:rsid w:val="36FB099D"/>
    <w:rsid w:val="37040D59"/>
    <w:rsid w:val="372A4E59"/>
    <w:rsid w:val="372B0AEA"/>
    <w:rsid w:val="372C3815"/>
    <w:rsid w:val="37324301"/>
    <w:rsid w:val="373359C5"/>
    <w:rsid w:val="375A0FAB"/>
    <w:rsid w:val="375C6DE7"/>
    <w:rsid w:val="376A7A76"/>
    <w:rsid w:val="378D193F"/>
    <w:rsid w:val="37B02C8E"/>
    <w:rsid w:val="37C8447C"/>
    <w:rsid w:val="37DC68F3"/>
    <w:rsid w:val="37F107C7"/>
    <w:rsid w:val="37F2200E"/>
    <w:rsid w:val="37F4701F"/>
    <w:rsid w:val="37F52D97"/>
    <w:rsid w:val="37F52FC7"/>
    <w:rsid w:val="37FE84A8"/>
    <w:rsid w:val="37FF6185"/>
    <w:rsid w:val="38033706"/>
    <w:rsid w:val="38051970"/>
    <w:rsid w:val="380B25BB"/>
    <w:rsid w:val="380F39C9"/>
    <w:rsid w:val="381274A5"/>
    <w:rsid w:val="38211DDE"/>
    <w:rsid w:val="38237904"/>
    <w:rsid w:val="384F3754"/>
    <w:rsid w:val="385264CE"/>
    <w:rsid w:val="38537975"/>
    <w:rsid w:val="385555E4"/>
    <w:rsid w:val="388365F5"/>
    <w:rsid w:val="388D7422"/>
    <w:rsid w:val="388E7474"/>
    <w:rsid w:val="389205E6"/>
    <w:rsid w:val="389B249F"/>
    <w:rsid w:val="38A07913"/>
    <w:rsid w:val="38A727DB"/>
    <w:rsid w:val="38AD5420"/>
    <w:rsid w:val="38B35BDE"/>
    <w:rsid w:val="38B76EF7"/>
    <w:rsid w:val="38C5276A"/>
    <w:rsid w:val="38CA4224"/>
    <w:rsid w:val="38CC7F9C"/>
    <w:rsid w:val="38D5034D"/>
    <w:rsid w:val="38DD49CB"/>
    <w:rsid w:val="38DD5D05"/>
    <w:rsid w:val="38E36364"/>
    <w:rsid w:val="38F35529"/>
    <w:rsid w:val="38FC020D"/>
    <w:rsid w:val="3911775D"/>
    <w:rsid w:val="391B4A1A"/>
    <w:rsid w:val="391B4A7F"/>
    <w:rsid w:val="39202096"/>
    <w:rsid w:val="392456E2"/>
    <w:rsid w:val="393A4F06"/>
    <w:rsid w:val="39416530"/>
    <w:rsid w:val="39477943"/>
    <w:rsid w:val="394C69E7"/>
    <w:rsid w:val="394D28ED"/>
    <w:rsid w:val="394F0285"/>
    <w:rsid w:val="395C2133"/>
    <w:rsid w:val="396F26D5"/>
    <w:rsid w:val="39871519"/>
    <w:rsid w:val="39973621"/>
    <w:rsid w:val="39A16D33"/>
    <w:rsid w:val="39A607ED"/>
    <w:rsid w:val="39AD1B7B"/>
    <w:rsid w:val="39B34CB8"/>
    <w:rsid w:val="39B53BB8"/>
    <w:rsid w:val="39B747A8"/>
    <w:rsid w:val="39B8407C"/>
    <w:rsid w:val="39B9281C"/>
    <w:rsid w:val="39BF13AF"/>
    <w:rsid w:val="39DC5FBD"/>
    <w:rsid w:val="39DF5FE4"/>
    <w:rsid w:val="39E92244"/>
    <w:rsid w:val="39ED1F78"/>
    <w:rsid w:val="39F52C85"/>
    <w:rsid w:val="3A06303A"/>
    <w:rsid w:val="3A085004"/>
    <w:rsid w:val="3A0D6176"/>
    <w:rsid w:val="3A1A4D37"/>
    <w:rsid w:val="3A1D4213"/>
    <w:rsid w:val="3A281202"/>
    <w:rsid w:val="3A3000B7"/>
    <w:rsid w:val="3A311A24"/>
    <w:rsid w:val="3A365B84"/>
    <w:rsid w:val="3A43428E"/>
    <w:rsid w:val="3A450F7E"/>
    <w:rsid w:val="3A4E100A"/>
    <w:rsid w:val="3A5929A2"/>
    <w:rsid w:val="3A5E2A1B"/>
    <w:rsid w:val="3A694266"/>
    <w:rsid w:val="3A6B10EF"/>
    <w:rsid w:val="3A6D30B9"/>
    <w:rsid w:val="3A704957"/>
    <w:rsid w:val="3A706705"/>
    <w:rsid w:val="3A777A93"/>
    <w:rsid w:val="3A876D9C"/>
    <w:rsid w:val="3A946897"/>
    <w:rsid w:val="3A982496"/>
    <w:rsid w:val="3A9C74FA"/>
    <w:rsid w:val="3ABA721C"/>
    <w:rsid w:val="3ABB4729"/>
    <w:rsid w:val="3AC03588"/>
    <w:rsid w:val="3ACA4067"/>
    <w:rsid w:val="3AE229EA"/>
    <w:rsid w:val="3AEC0481"/>
    <w:rsid w:val="3AF70BD4"/>
    <w:rsid w:val="3B0658E4"/>
    <w:rsid w:val="3B086CC0"/>
    <w:rsid w:val="3B0C28D2"/>
    <w:rsid w:val="3B253993"/>
    <w:rsid w:val="3B292DA0"/>
    <w:rsid w:val="3B306BD7"/>
    <w:rsid w:val="3B3140E6"/>
    <w:rsid w:val="3B4133D9"/>
    <w:rsid w:val="3B460E52"/>
    <w:rsid w:val="3B4619BE"/>
    <w:rsid w:val="3B583D69"/>
    <w:rsid w:val="3B602C1D"/>
    <w:rsid w:val="3B654937"/>
    <w:rsid w:val="3B7C7FF3"/>
    <w:rsid w:val="3B8237CC"/>
    <w:rsid w:val="3B934DA1"/>
    <w:rsid w:val="3B954675"/>
    <w:rsid w:val="3B9B1808"/>
    <w:rsid w:val="3B9D279F"/>
    <w:rsid w:val="3BA0301A"/>
    <w:rsid w:val="3BA64AD4"/>
    <w:rsid w:val="3BB6772C"/>
    <w:rsid w:val="3BC1190E"/>
    <w:rsid w:val="3BD01B51"/>
    <w:rsid w:val="3BD258C9"/>
    <w:rsid w:val="3BD26B31"/>
    <w:rsid w:val="3BD322AF"/>
    <w:rsid w:val="3BDF29C5"/>
    <w:rsid w:val="3BDF7FE6"/>
    <w:rsid w:val="3BE60A52"/>
    <w:rsid w:val="3BED44B1"/>
    <w:rsid w:val="3BF21AC7"/>
    <w:rsid w:val="3BF375EE"/>
    <w:rsid w:val="3BFD453F"/>
    <w:rsid w:val="3C065573"/>
    <w:rsid w:val="3C0812EB"/>
    <w:rsid w:val="3C0E456C"/>
    <w:rsid w:val="3C1001A0"/>
    <w:rsid w:val="3C1463C3"/>
    <w:rsid w:val="3C1732DC"/>
    <w:rsid w:val="3C1D466B"/>
    <w:rsid w:val="3C2105FF"/>
    <w:rsid w:val="3C2C028D"/>
    <w:rsid w:val="3C2D0D52"/>
    <w:rsid w:val="3C2F2840"/>
    <w:rsid w:val="3C2F4ACA"/>
    <w:rsid w:val="3C345BCF"/>
    <w:rsid w:val="3C3D5A0C"/>
    <w:rsid w:val="3C4B11D8"/>
    <w:rsid w:val="3C4C074C"/>
    <w:rsid w:val="3C4E0CC8"/>
    <w:rsid w:val="3C575DCE"/>
    <w:rsid w:val="3C5F4C83"/>
    <w:rsid w:val="3C601C11"/>
    <w:rsid w:val="3C6A5B02"/>
    <w:rsid w:val="3C771FCD"/>
    <w:rsid w:val="3C7B1FCB"/>
    <w:rsid w:val="3C81561C"/>
    <w:rsid w:val="3C8C5428"/>
    <w:rsid w:val="3C926E07"/>
    <w:rsid w:val="3C9C7C85"/>
    <w:rsid w:val="3CA845FA"/>
    <w:rsid w:val="3CD1792F"/>
    <w:rsid w:val="3CEB2A8A"/>
    <w:rsid w:val="3CF7310E"/>
    <w:rsid w:val="3D0A2E41"/>
    <w:rsid w:val="3D0C0967"/>
    <w:rsid w:val="3D0F66A9"/>
    <w:rsid w:val="3D1B6DFC"/>
    <w:rsid w:val="3D2739F3"/>
    <w:rsid w:val="3D281519"/>
    <w:rsid w:val="3D363C36"/>
    <w:rsid w:val="3D393726"/>
    <w:rsid w:val="3D3F626A"/>
    <w:rsid w:val="3D453E79"/>
    <w:rsid w:val="3D475E43"/>
    <w:rsid w:val="3D4A37C3"/>
    <w:rsid w:val="3D54332A"/>
    <w:rsid w:val="3D5642D8"/>
    <w:rsid w:val="3D7B3D3F"/>
    <w:rsid w:val="3DB84AA9"/>
    <w:rsid w:val="3DBF3C2B"/>
    <w:rsid w:val="3DC21E2C"/>
    <w:rsid w:val="3DCE0339"/>
    <w:rsid w:val="3DCE3E6E"/>
    <w:rsid w:val="3DD02951"/>
    <w:rsid w:val="3DD128CD"/>
    <w:rsid w:val="3DD40DE4"/>
    <w:rsid w:val="3DD82F3F"/>
    <w:rsid w:val="3DF37D79"/>
    <w:rsid w:val="3E004AC7"/>
    <w:rsid w:val="3E130E71"/>
    <w:rsid w:val="3E18158D"/>
    <w:rsid w:val="3E18333B"/>
    <w:rsid w:val="3E2919ED"/>
    <w:rsid w:val="3E3208A1"/>
    <w:rsid w:val="3E35055F"/>
    <w:rsid w:val="3E38578C"/>
    <w:rsid w:val="3E4203B8"/>
    <w:rsid w:val="3E4B54BF"/>
    <w:rsid w:val="3E554590"/>
    <w:rsid w:val="3E587026"/>
    <w:rsid w:val="3E594080"/>
    <w:rsid w:val="3E886713"/>
    <w:rsid w:val="3EA6303D"/>
    <w:rsid w:val="3EBB0EFE"/>
    <w:rsid w:val="3EBC460F"/>
    <w:rsid w:val="3EDB2CE7"/>
    <w:rsid w:val="3EE651E8"/>
    <w:rsid w:val="3EE81D5A"/>
    <w:rsid w:val="3EF21DDE"/>
    <w:rsid w:val="3EFC5CE2"/>
    <w:rsid w:val="3F042BEA"/>
    <w:rsid w:val="3F1104B7"/>
    <w:rsid w:val="3F143A39"/>
    <w:rsid w:val="3F171845"/>
    <w:rsid w:val="3F381EE7"/>
    <w:rsid w:val="3F4407F1"/>
    <w:rsid w:val="3F5B3E28"/>
    <w:rsid w:val="3F5E1222"/>
    <w:rsid w:val="3F713C52"/>
    <w:rsid w:val="3F804C2D"/>
    <w:rsid w:val="3F8B34C6"/>
    <w:rsid w:val="3F8F133F"/>
    <w:rsid w:val="3F961829"/>
    <w:rsid w:val="3F982986"/>
    <w:rsid w:val="3FA07F4C"/>
    <w:rsid w:val="3FA4757D"/>
    <w:rsid w:val="3FA94B93"/>
    <w:rsid w:val="3FB05F21"/>
    <w:rsid w:val="3FC90D91"/>
    <w:rsid w:val="3FD15E98"/>
    <w:rsid w:val="3FE25F99"/>
    <w:rsid w:val="3FED711E"/>
    <w:rsid w:val="3FF97962"/>
    <w:rsid w:val="40026051"/>
    <w:rsid w:val="4004626D"/>
    <w:rsid w:val="40077B0C"/>
    <w:rsid w:val="400E4B49"/>
    <w:rsid w:val="40133A8C"/>
    <w:rsid w:val="402C1320"/>
    <w:rsid w:val="4044666A"/>
    <w:rsid w:val="40580367"/>
    <w:rsid w:val="40594467"/>
    <w:rsid w:val="406831BB"/>
    <w:rsid w:val="406C796F"/>
    <w:rsid w:val="40723A9D"/>
    <w:rsid w:val="407707ED"/>
    <w:rsid w:val="407E036F"/>
    <w:rsid w:val="407F3B46"/>
    <w:rsid w:val="408353E4"/>
    <w:rsid w:val="40844CB8"/>
    <w:rsid w:val="40A62E81"/>
    <w:rsid w:val="40BC4452"/>
    <w:rsid w:val="40CF23D7"/>
    <w:rsid w:val="40D6427E"/>
    <w:rsid w:val="40D85A5D"/>
    <w:rsid w:val="40D95004"/>
    <w:rsid w:val="40DF6392"/>
    <w:rsid w:val="40E353D8"/>
    <w:rsid w:val="40FD5F8C"/>
    <w:rsid w:val="410462FA"/>
    <w:rsid w:val="410F6C78"/>
    <w:rsid w:val="4110479E"/>
    <w:rsid w:val="41173D7E"/>
    <w:rsid w:val="411B561D"/>
    <w:rsid w:val="41240AEC"/>
    <w:rsid w:val="41281AE7"/>
    <w:rsid w:val="41287D39"/>
    <w:rsid w:val="412C5A7C"/>
    <w:rsid w:val="41323984"/>
    <w:rsid w:val="41410DFB"/>
    <w:rsid w:val="414D154E"/>
    <w:rsid w:val="41546D80"/>
    <w:rsid w:val="41597EF3"/>
    <w:rsid w:val="415A6F31"/>
    <w:rsid w:val="415F13B8"/>
    <w:rsid w:val="41673072"/>
    <w:rsid w:val="416F7716"/>
    <w:rsid w:val="41766CF7"/>
    <w:rsid w:val="417B60BB"/>
    <w:rsid w:val="417E204F"/>
    <w:rsid w:val="41866EE7"/>
    <w:rsid w:val="41874A60"/>
    <w:rsid w:val="41A27AEC"/>
    <w:rsid w:val="41A9233B"/>
    <w:rsid w:val="41AC44C7"/>
    <w:rsid w:val="41B12A42"/>
    <w:rsid w:val="41B153E0"/>
    <w:rsid w:val="41B63597"/>
    <w:rsid w:val="41B91637"/>
    <w:rsid w:val="41BE592A"/>
    <w:rsid w:val="41C677F1"/>
    <w:rsid w:val="41D63C39"/>
    <w:rsid w:val="41DC460C"/>
    <w:rsid w:val="41E06866"/>
    <w:rsid w:val="41EC6FB9"/>
    <w:rsid w:val="41F145CF"/>
    <w:rsid w:val="420E33D3"/>
    <w:rsid w:val="42206C63"/>
    <w:rsid w:val="42207F18"/>
    <w:rsid w:val="422E75D1"/>
    <w:rsid w:val="4231433B"/>
    <w:rsid w:val="42321893"/>
    <w:rsid w:val="423D7815"/>
    <w:rsid w:val="42537038"/>
    <w:rsid w:val="426254CD"/>
    <w:rsid w:val="426D39C1"/>
    <w:rsid w:val="426D71A6"/>
    <w:rsid w:val="42752F30"/>
    <w:rsid w:val="427E569F"/>
    <w:rsid w:val="428E1E1E"/>
    <w:rsid w:val="42955390"/>
    <w:rsid w:val="429A6A15"/>
    <w:rsid w:val="42D27F5D"/>
    <w:rsid w:val="42E87780"/>
    <w:rsid w:val="42F02AD9"/>
    <w:rsid w:val="42F205FF"/>
    <w:rsid w:val="42FF1B6E"/>
    <w:rsid w:val="43144A19"/>
    <w:rsid w:val="43171E14"/>
    <w:rsid w:val="43212C92"/>
    <w:rsid w:val="432F53AF"/>
    <w:rsid w:val="43335634"/>
    <w:rsid w:val="43346E69"/>
    <w:rsid w:val="43362BE2"/>
    <w:rsid w:val="43364990"/>
    <w:rsid w:val="433724B6"/>
    <w:rsid w:val="434075BC"/>
    <w:rsid w:val="43413334"/>
    <w:rsid w:val="4346094B"/>
    <w:rsid w:val="43470FC7"/>
    <w:rsid w:val="43624BB8"/>
    <w:rsid w:val="438025D8"/>
    <w:rsid w:val="438F5E4E"/>
    <w:rsid w:val="43943464"/>
    <w:rsid w:val="43A63197"/>
    <w:rsid w:val="43A833B4"/>
    <w:rsid w:val="43B6785F"/>
    <w:rsid w:val="43BA1EB5"/>
    <w:rsid w:val="43CF26EE"/>
    <w:rsid w:val="43D146B8"/>
    <w:rsid w:val="43D63A7D"/>
    <w:rsid w:val="43D917BF"/>
    <w:rsid w:val="43DB1093"/>
    <w:rsid w:val="43F634F5"/>
    <w:rsid w:val="441647C1"/>
    <w:rsid w:val="44321DF3"/>
    <w:rsid w:val="443D1D4E"/>
    <w:rsid w:val="445C6678"/>
    <w:rsid w:val="44623109"/>
    <w:rsid w:val="44676BC0"/>
    <w:rsid w:val="446A72EE"/>
    <w:rsid w:val="44716B9D"/>
    <w:rsid w:val="44736C5A"/>
    <w:rsid w:val="4475773A"/>
    <w:rsid w:val="447A6AFE"/>
    <w:rsid w:val="447D214A"/>
    <w:rsid w:val="4484172B"/>
    <w:rsid w:val="448434D9"/>
    <w:rsid w:val="448E23D7"/>
    <w:rsid w:val="44986F15"/>
    <w:rsid w:val="44A678F3"/>
    <w:rsid w:val="44BD4C3D"/>
    <w:rsid w:val="44C47D79"/>
    <w:rsid w:val="44CB1108"/>
    <w:rsid w:val="44D73F50"/>
    <w:rsid w:val="44DD38D8"/>
    <w:rsid w:val="44F160CC"/>
    <w:rsid w:val="44F9202B"/>
    <w:rsid w:val="44FF7003"/>
    <w:rsid w:val="45091972"/>
    <w:rsid w:val="4526024E"/>
    <w:rsid w:val="4537679D"/>
    <w:rsid w:val="453D3A02"/>
    <w:rsid w:val="455E33FA"/>
    <w:rsid w:val="455E7A88"/>
    <w:rsid w:val="456E3985"/>
    <w:rsid w:val="457E261E"/>
    <w:rsid w:val="4582210E"/>
    <w:rsid w:val="459A10E5"/>
    <w:rsid w:val="45AE38C2"/>
    <w:rsid w:val="45BE6EBE"/>
    <w:rsid w:val="45C049E4"/>
    <w:rsid w:val="45CA417D"/>
    <w:rsid w:val="45CA7611"/>
    <w:rsid w:val="45E701C3"/>
    <w:rsid w:val="45E85CE9"/>
    <w:rsid w:val="45EC3A2B"/>
    <w:rsid w:val="45F12DF0"/>
    <w:rsid w:val="45F91CA4"/>
    <w:rsid w:val="46087BDD"/>
    <w:rsid w:val="460F771A"/>
    <w:rsid w:val="46192347"/>
    <w:rsid w:val="461940F5"/>
    <w:rsid w:val="46205483"/>
    <w:rsid w:val="462A6302"/>
    <w:rsid w:val="462C207A"/>
    <w:rsid w:val="464473C4"/>
    <w:rsid w:val="46456C98"/>
    <w:rsid w:val="464D121A"/>
    <w:rsid w:val="464E0242"/>
    <w:rsid w:val="465A0995"/>
    <w:rsid w:val="465B295F"/>
    <w:rsid w:val="466F08B0"/>
    <w:rsid w:val="46772BC5"/>
    <w:rsid w:val="467830B6"/>
    <w:rsid w:val="46902609"/>
    <w:rsid w:val="469320F9"/>
    <w:rsid w:val="469B168B"/>
    <w:rsid w:val="46BF6A4A"/>
    <w:rsid w:val="46C329DE"/>
    <w:rsid w:val="46D30747"/>
    <w:rsid w:val="46E2098A"/>
    <w:rsid w:val="46E75FA1"/>
    <w:rsid w:val="46F10BCE"/>
    <w:rsid w:val="47150D60"/>
    <w:rsid w:val="471A6376"/>
    <w:rsid w:val="472163F4"/>
    <w:rsid w:val="47227157"/>
    <w:rsid w:val="472826CC"/>
    <w:rsid w:val="4735483E"/>
    <w:rsid w:val="474B4782"/>
    <w:rsid w:val="474D5C6E"/>
    <w:rsid w:val="47525B10"/>
    <w:rsid w:val="47615D53"/>
    <w:rsid w:val="476D294A"/>
    <w:rsid w:val="47797541"/>
    <w:rsid w:val="47855CF9"/>
    <w:rsid w:val="478B27FF"/>
    <w:rsid w:val="47906638"/>
    <w:rsid w:val="47953C4F"/>
    <w:rsid w:val="479559FD"/>
    <w:rsid w:val="47A91CE6"/>
    <w:rsid w:val="47BC11DC"/>
    <w:rsid w:val="47DB3428"/>
    <w:rsid w:val="47F60B91"/>
    <w:rsid w:val="47FB61A8"/>
    <w:rsid w:val="48076B3F"/>
    <w:rsid w:val="480F3737"/>
    <w:rsid w:val="48180B08"/>
    <w:rsid w:val="482308AF"/>
    <w:rsid w:val="483E6094"/>
    <w:rsid w:val="48427933"/>
    <w:rsid w:val="48433E44"/>
    <w:rsid w:val="48482A6F"/>
    <w:rsid w:val="48523C1D"/>
    <w:rsid w:val="485625B0"/>
    <w:rsid w:val="485B6C46"/>
    <w:rsid w:val="485D29BF"/>
    <w:rsid w:val="48724A9C"/>
    <w:rsid w:val="48763A80"/>
    <w:rsid w:val="4885107D"/>
    <w:rsid w:val="48884068"/>
    <w:rsid w:val="488F68F0"/>
    <w:rsid w:val="48934C60"/>
    <w:rsid w:val="489F4D85"/>
    <w:rsid w:val="48A203D1"/>
    <w:rsid w:val="48A37CB9"/>
    <w:rsid w:val="48A4239B"/>
    <w:rsid w:val="48A44149"/>
    <w:rsid w:val="48A815AB"/>
    <w:rsid w:val="48AB372A"/>
    <w:rsid w:val="48AE7858"/>
    <w:rsid w:val="48B545A9"/>
    <w:rsid w:val="48B84099"/>
    <w:rsid w:val="48C7608A"/>
    <w:rsid w:val="48DF33D4"/>
    <w:rsid w:val="48DF5182"/>
    <w:rsid w:val="48EB1D78"/>
    <w:rsid w:val="49060960"/>
    <w:rsid w:val="49105C83"/>
    <w:rsid w:val="49311755"/>
    <w:rsid w:val="493C6A78"/>
    <w:rsid w:val="493D634C"/>
    <w:rsid w:val="49494CF1"/>
    <w:rsid w:val="494B447F"/>
    <w:rsid w:val="495C2C76"/>
    <w:rsid w:val="496814C9"/>
    <w:rsid w:val="496C13B8"/>
    <w:rsid w:val="496E4757"/>
    <w:rsid w:val="49717342"/>
    <w:rsid w:val="49724248"/>
    <w:rsid w:val="49793828"/>
    <w:rsid w:val="499C7517"/>
    <w:rsid w:val="49A33231"/>
    <w:rsid w:val="49A50326"/>
    <w:rsid w:val="49B43D4A"/>
    <w:rsid w:val="49B900C8"/>
    <w:rsid w:val="49C317D1"/>
    <w:rsid w:val="49C45860"/>
    <w:rsid w:val="49C56A6D"/>
    <w:rsid w:val="49CF3448"/>
    <w:rsid w:val="49F03F8B"/>
    <w:rsid w:val="49F57DA6"/>
    <w:rsid w:val="4A0A4480"/>
    <w:rsid w:val="4A0D21C2"/>
    <w:rsid w:val="4A3D2AA8"/>
    <w:rsid w:val="4A3E237C"/>
    <w:rsid w:val="4A3F38FC"/>
    <w:rsid w:val="4A407EA2"/>
    <w:rsid w:val="4A5B2F2E"/>
    <w:rsid w:val="4A65296A"/>
    <w:rsid w:val="4A653DAC"/>
    <w:rsid w:val="4A657908"/>
    <w:rsid w:val="4A6A048B"/>
    <w:rsid w:val="4A7144FF"/>
    <w:rsid w:val="4A743E13"/>
    <w:rsid w:val="4A78588E"/>
    <w:rsid w:val="4A857FAB"/>
    <w:rsid w:val="4A8F0E29"/>
    <w:rsid w:val="4A920887"/>
    <w:rsid w:val="4A962EE6"/>
    <w:rsid w:val="4A995804"/>
    <w:rsid w:val="4A9D460A"/>
    <w:rsid w:val="4AB553BF"/>
    <w:rsid w:val="4AC92D47"/>
    <w:rsid w:val="4ADA2EEE"/>
    <w:rsid w:val="4AE7656F"/>
    <w:rsid w:val="4AEB42B2"/>
    <w:rsid w:val="4AEE5B50"/>
    <w:rsid w:val="4AEF60A7"/>
    <w:rsid w:val="4AF15640"/>
    <w:rsid w:val="4AF866B5"/>
    <w:rsid w:val="4AFB52A0"/>
    <w:rsid w:val="4B0C4228"/>
    <w:rsid w:val="4B0E7FA0"/>
    <w:rsid w:val="4B1223EE"/>
    <w:rsid w:val="4B1322C1"/>
    <w:rsid w:val="4B143B2C"/>
    <w:rsid w:val="4B257098"/>
    <w:rsid w:val="4B2B572D"/>
    <w:rsid w:val="4B3774F7"/>
    <w:rsid w:val="4B3A2B43"/>
    <w:rsid w:val="4B3F75D4"/>
    <w:rsid w:val="4B4B6AFE"/>
    <w:rsid w:val="4B4D6D1A"/>
    <w:rsid w:val="4B7C7600"/>
    <w:rsid w:val="4B835B73"/>
    <w:rsid w:val="4B864C81"/>
    <w:rsid w:val="4B8E10E1"/>
    <w:rsid w:val="4B920BD1"/>
    <w:rsid w:val="4B983D0E"/>
    <w:rsid w:val="4BC863A1"/>
    <w:rsid w:val="4BD9223F"/>
    <w:rsid w:val="4BDF193C"/>
    <w:rsid w:val="4BDF36EB"/>
    <w:rsid w:val="4BE16AFA"/>
    <w:rsid w:val="4BE56C0A"/>
    <w:rsid w:val="4BF03B4A"/>
    <w:rsid w:val="4BF076A6"/>
    <w:rsid w:val="4BF36D6C"/>
    <w:rsid w:val="4C0D2006"/>
    <w:rsid w:val="4C15535E"/>
    <w:rsid w:val="4C1710D6"/>
    <w:rsid w:val="4C1A4723"/>
    <w:rsid w:val="4C20442F"/>
    <w:rsid w:val="4C231829"/>
    <w:rsid w:val="4C312198"/>
    <w:rsid w:val="4C325F10"/>
    <w:rsid w:val="4C371778"/>
    <w:rsid w:val="4C3D6D8F"/>
    <w:rsid w:val="4C4243A5"/>
    <w:rsid w:val="4C59524B"/>
    <w:rsid w:val="4C65211D"/>
    <w:rsid w:val="4C79769B"/>
    <w:rsid w:val="4C884529"/>
    <w:rsid w:val="4C92075D"/>
    <w:rsid w:val="4CA30BBC"/>
    <w:rsid w:val="4CD474A8"/>
    <w:rsid w:val="4CD80866"/>
    <w:rsid w:val="4CDF5113"/>
    <w:rsid w:val="4CE0596C"/>
    <w:rsid w:val="4CE3746E"/>
    <w:rsid w:val="4CEE77C7"/>
    <w:rsid w:val="4D027691"/>
    <w:rsid w:val="4D0549EA"/>
    <w:rsid w:val="4D061AD3"/>
    <w:rsid w:val="4D1A0E7E"/>
    <w:rsid w:val="4D2824E1"/>
    <w:rsid w:val="4D4128AF"/>
    <w:rsid w:val="4D422183"/>
    <w:rsid w:val="4D453A21"/>
    <w:rsid w:val="4D4B7289"/>
    <w:rsid w:val="4D521266"/>
    <w:rsid w:val="4D714816"/>
    <w:rsid w:val="4D7A7B6F"/>
    <w:rsid w:val="4D7D31BB"/>
    <w:rsid w:val="4D8B1D7C"/>
    <w:rsid w:val="4D8E53C8"/>
    <w:rsid w:val="4DA62712"/>
    <w:rsid w:val="4DB50BA7"/>
    <w:rsid w:val="4DB82CCF"/>
    <w:rsid w:val="4DC0164E"/>
    <w:rsid w:val="4DC349EC"/>
    <w:rsid w:val="4DC90108"/>
    <w:rsid w:val="4DC9266D"/>
    <w:rsid w:val="4DDC4386"/>
    <w:rsid w:val="4E08517B"/>
    <w:rsid w:val="4E0A0EF3"/>
    <w:rsid w:val="4E0C1B48"/>
    <w:rsid w:val="4E0F02B7"/>
    <w:rsid w:val="4E2E44B5"/>
    <w:rsid w:val="4E3221F7"/>
    <w:rsid w:val="4E364EFC"/>
    <w:rsid w:val="4E3A68F3"/>
    <w:rsid w:val="4E3C6BD2"/>
    <w:rsid w:val="4E6525CD"/>
    <w:rsid w:val="4E992277"/>
    <w:rsid w:val="4E9E0130"/>
    <w:rsid w:val="4EA604F0"/>
    <w:rsid w:val="4EAD157E"/>
    <w:rsid w:val="4EC254B1"/>
    <w:rsid w:val="4ED137BE"/>
    <w:rsid w:val="4EDD6607"/>
    <w:rsid w:val="4EDE26B3"/>
    <w:rsid w:val="4EE74D90"/>
    <w:rsid w:val="4EEB0F14"/>
    <w:rsid w:val="4EFB083B"/>
    <w:rsid w:val="4F053468"/>
    <w:rsid w:val="4F084D4E"/>
    <w:rsid w:val="4F135B85"/>
    <w:rsid w:val="4F1638C7"/>
    <w:rsid w:val="4F195165"/>
    <w:rsid w:val="4F227A85"/>
    <w:rsid w:val="4F29184C"/>
    <w:rsid w:val="4F376DC8"/>
    <w:rsid w:val="4F3E697A"/>
    <w:rsid w:val="4F4628B7"/>
    <w:rsid w:val="4F56149D"/>
    <w:rsid w:val="4F5D14F6"/>
    <w:rsid w:val="4F643948"/>
    <w:rsid w:val="4F6A568A"/>
    <w:rsid w:val="4F786330"/>
    <w:rsid w:val="4F932C84"/>
    <w:rsid w:val="4F974D24"/>
    <w:rsid w:val="4FB16FDA"/>
    <w:rsid w:val="4FB21842"/>
    <w:rsid w:val="4FB85473"/>
    <w:rsid w:val="4FBD3D43"/>
    <w:rsid w:val="4FC151B1"/>
    <w:rsid w:val="4FCC0B4D"/>
    <w:rsid w:val="4FCC21D8"/>
    <w:rsid w:val="4FD95020"/>
    <w:rsid w:val="4FDA440C"/>
    <w:rsid w:val="4FDD0059"/>
    <w:rsid w:val="4FEB4D54"/>
    <w:rsid w:val="4FEC63D6"/>
    <w:rsid w:val="4FF43C08"/>
    <w:rsid w:val="50041972"/>
    <w:rsid w:val="501B60F5"/>
    <w:rsid w:val="501C4F0D"/>
    <w:rsid w:val="502E69EF"/>
    <w:rsid w:val="503E2640"/>
    <w:rsid w:val="50446212"/>
    <w:rsid w:val="50485D02"/>
    <w:rsid w:val="504D156B"/>
    <w:rsid w:val="50575F45"/>
    <w:rsid w:val="50680152"/>
    <w:rsid w:val="50681F00"/>
    <w:rsid w:val="5075461D"/>
    <w:rsid w:val="5080549C"/>
    <w:rsid w:val="509176A9"/>
    <w:rsid w:val="509755BF"/>
    <w:rsid w:val="509E0DC2"/>
    <w:rsid w:val="50A3118B"/>
    <w:rsid w:val="50BB4726"/>
    <w:rsid w:val="50C7131D"/>
    <w:rsid w:val="50EC2B32"/>
    <w:rsid w:val="50F47C38"/>
    <w:rsid w:val="50F54C60"/>
    <w:rsid w:val="50F934A0"/>
    <w:rsid w:val="51071719"/>
    <w:rsid w:val="5107796B"/>
    <w:rsid w:val="510F5D14"/>
    <w:rsid w:val="511300BE"/>
    <w:rsid w:val="51142088"/>
    <w:rsid w:val="511D2B2E"/>
    <w:rsid w:val="51283B24"/>
    <w:rsid w:val="51442F76"/>
    <w:rsid w:val="51490DAA"/>
    <w:rsid w:val="514E10F6"/>
    <w:rsid w:val="5160175F"/>
    <w:rsid w:val="516C54FE"/>
    <w:rsid w:val="51826DFB"/>
    <w:rsid w:val="51874608"/>
    <w:rsid w:val="518F170F"/>
    <w:rsid w:val="51910235"/>
    <w:rsid w:val="51924AA8"/>
    <w:rsid w:val="51A73BE7"/>
    <w:rsid w:val="51A927D1"/>
    <w:rsid w:val="51BA5E2C"/>
    <w:rsid w:val="51BC407E"/>
    <w:rsid w:val="51C03715"/>
    <w:rsid w:val="51CE13BE"/>
    <w:rsid w:val="51E1640E"/>
    <w:rsid w:val="51E27A91"/>
    <w:rsid w:val="51EB2DE9"/>
    <w:rsid w:val="51F36142"/>
    <w:rsid w:val="51FA74D0"/>
    <w:rsid w:val="51FC4FF6"/>
    <w:rsid w:val="51FC6DA4"/>
    <w:rsid w:val="5224711A"/>
    <w:rsid w:val="52271947"/>
    <w:rsid w:val="52302EF2"/>
    <w:rsid w:val="523A78CD"/>
    <w:rsid w:val="523F3135"/>
    <w:rsid w:val="523F5BFE"/>
    <w:rsid w:val="5242791D"/>
    <w:rsid w:val="524A3FB4"/>
    <w:rsid w:val="5253098E"/>
    <w:rsid w:val="525B684B"/>
    <w:rsid w:val="52692974"/>
    <w:rsid w:val="526F3904"/>
    <w:rsid w:val="526F57C8"/>
    <w:rsid w:val="528079D5"/>
    <w:rsid w:val="52952D55"/>
    <w:rsid w:val="52990A97"/>
    <w:rsid w:val="529B3BB9"/>
    <w:rsid w:val="529E1C09"/>
    <w:rsid w:val="52C04518"/>
    <w:rsid w:val="52C8312A"/>
    <w:rsid w:val="52D47D21"/>
    <w:rsid w:val="52D73AAB"/>
    <w:rsid w:val="52DE4C07"/>
    <w:rsid w:val="52DE7C00"/>
    <w:rsid w:val="52E141EC"/>
    <w:rsid w:val="52E53CDC"/>
    <w:rsid w:val="52E55A8A"/>
    <w:rsid w:val="52E9702A"/>
    <w:rsid w:val="52EF4B5B"/>
    <w:rsid w:val="53006AB2"/>
    <w:rsid w:val="5302663C"/>
    <w:rsid w:val="53055C47"/>
    <w:rsid w:val="53204D14"/>
    <w:rsid w:val="53206AC2"/>
    <w:rsid w:val="53220A8C"/>
    <w:rsid w:val="53316F22"/>
    <w:rsid w:val="53342A5A"/>
    <w:rsid w:val="533B1971"/>
    <w:rsid w:val="5341332F"/>
    <w:rsid w:val="53456529"/>
    <w:rsid w:val="535449BE"/>
    <w:rsid w:val="53672943"/>
    <w:rsid w:val="536B25A4"/>
    <w:rsid w:val="5371731E"/>
    <w:rsid w:val="537312E8"/>
    <w:rsid w:val="537806AC"/>
    <w:rsid w:val="538F59F6"/>
    <w:rsid w:val="53962265"/>
    <w:rsid w:val="539F06B6"/>
    <w:rsid w:val="53A4547B"/>
    <w:rsid w:val="53C161BA"/>
    <w:rsid w:val="53C22197"/>
    <w:rsid w:val="53D0050C"/>
    <w:rsid w:val="53D02A8A"/>
    <w:rsid w:val="53D249E7"/>
    <w:rsid w:val="53DD7BA9"/>
    <w:rsid w:val="53DF697E"/>
    <w:rsid w:val="53E47AF0"/>
    <w:rsid w:val="53E93358"/>
    <w:rsid w:val="53EC4BF7"/>
    <w:rsid w:val="53F046E7"/>
    <w:rsid w:val="53F10CD6"/>
    <w:rsid w:val="53F341D7"/>
    <w:rsid w:val="53F71F19"/>
    <w:rsid w:val="53FC6F29"/>
    <w:rsid w:val="53FD1EB2"/>
    <w:rsid w:val="541A1764"/>
    <w:rsid w:val="541A68BD"/>
    <w:rsid w:val="542547CB"/>
    <w:rsid w:val="54272508"/>
    <w:rsid w:val="542C02E1"/>
    <w:rsid w:val="543842E0"/>
    <w:rsid w:val="54564027"/>
    <w:rsid w:val="545840B3"/>
    <w:rsid w:val="54627485"/>
    <w:rsid w:val="546D5D37"/>
    <w:rsid w:val="54734966"/>
    <w:rsid w:val="54810B40"/>
    <w:rsid w:val="54B41BB8"/>
    <w:rsid w:val="54B43966"/>
    <w:rsid w:val="54B756AE"/>
    <w:rsid w:val="54C44F4A"/>
    <w:rsid w:val="54C65448"/>
    <w:rsid w:val="54CB0CB0"/>
    <w:rsid w:val="54D264E2"/>
    <w:rsid w:val="54D50855"/>
    <w:rsid w:val="54DF51CB"/>
    <w:rsid w:val="54E106CE"/>
    <w:rsid w:val="54E87AB4"/>
    <w:rsid w:val="54FB5435"/>
    <w:rsid w:val="55033852"/>
    <w:rsid w:val="550659D2"/>
    <w:rsid w:val="550F5041"/>
    <w:rsid w:val="55142657"/>
    <w:rsid w:val="55172147"/>
    <w:rsid w:val="552D3719"/>
    <w:rsid w:val="55302E64"/>
    <w:rsid w:val="55435EE8"/>
    <w:rsid w:val="55436A98"/>
    <w:rsid w:val="555060C5"/>
    <w:rsid w:val="55546EF7"/>
    <w:rsid w:val="555D5DAC"/>
    <w:rsid w:val="555E1B24"/>
    <w:rsid w:val="55654C60"/>
    <w:rsid w:val="55855303"/>
    <w:rsid w:val="558C6691"/>
    <w:rsid w:val="558E2409"/>
    <w:rsid w:val="55A058CC"/>
    <w:rsid w:val="55C220B3"/>
    <w:rsid w:val="55DF2C65"/>
    <w:rsid w:val="55F66200"/>
    <w:rsid w:val="55FD1FAA"/>
    <w:rsid w:val="5601141F"/>
    <w:rsid w:val="560953BE"/>
    <w:rsid w:val="560C1580"/>
    <w:rsid w:val="561C5B9D"/>
    <w:rsid w:val="561F5757"/>
    <w:rsid w:val="56262642"/>
    <w:rsid w:val="5626429A"/>
    <w:rsid w:val="5628758F"/>
    <w:rsid w:val="562C577E"/>
    <w:rsid w:val="562D2B84"/>
    <w:rsid w:val="56310FE7"/>
    <w:rsid w:val="56362F8E"/>
    <w:rsid w:val="56386FED"/>
    <w:rsid w:val="565C6063"/>
    <w:rsid w:val="56670885"/>
    <w:rsid w:val="56701B0F"/>
    <w:rsid w:val="567346E0"/>
    <w:rsid w:val="56757A00"/>
    <w:rsid w:val="56927CD7"/>
    <w:rsid w:val="56985339"/>
    <w:rsid w:val="569C2904"/>
    <w:rsid w:val="56A143BE"/>
    <w:rsid w:val="56A25A40"/>
    <w:rsid w:val="56B440F1"/>
    <w:rsid w:val="56B51C18"/>
    <w:rsid w:val="56D227CA"/>
    <w:rsid w:val="56D71B8E"/>
    <w:rsid w:val="56DA342C"/>
    <w:rsid w:val="56E85B49"/>
    <w:rsid w:val="56ED12D7"/>
    <w:rsid w:val="56FF2E93"/>
    <w:rsid w:val="570C5386"/>
    <w:rsid w:val="571E156B"/>
    <w:rsid w:val="572528F9"/>
    <w:rsid w:val="572F5526"/>
    <w:rsid w:val="57307288"/>
    <w:rsid w:val="57392849"/>
    <w:rsid w:val="576176AA"/>
    <w:rsid w:val="5774562F"/>
    <w:rsid w:val="577D0987"/>
    <w:rsid w:val="57885924"/>
    <w:rsid w:val="578B7186"/>
    <w:rsid w:val="579655A5"/>
    <w:rsid w:val="57A06424"/>
    <w:rsid w:val="57A777B2"/>
    <w:rsid w:val="57BE68AA"/>
    <w:rsid w:val="57C57C38"/>
    <w:rsid w:val="57CC546B"/>
    <w:rsid w:val="57D3745F"/>
    <w:rsid w:val="57D60097"/>
    <w:rsid w:val="57DC4038"/>
    <w:rsid w:val="57F20D38"/>
    <w:rsid w:val="57F624E8"/>
    <w:rsid w:val="57F81DBC"/>
    <w:rsid w:val="58235F87"/>
    <w:rsid w:val="58256929"/>
    <w:rsid w:val="58270C7C"/>
    <w:rsid w:val="582F1556"/>
    <w:rsid w:val="58311772"/>
    <w:rsid w:val="5838665C"/>
    <w:rsid w:val="58463D0F"/>
    <w:rsid w:val="58466D33"/>
    <w:rsid w:val="58507E4A"/>
    <w:rsid w:val="58586CFE"/>
    <w:rsid w:val="586F1BE5"/>
    <w:rsid w:val="5875165E"/>
    <w:rsid w:val="587C1217"/>
    <w:rsid w:val="587D7E5A"/>
    <w:rsid w:val="587F6039"/>
    <w:rsid w:val="588D4BFA"/>
    <w:rsid w:val="588E0972"/>
    <w:rsid w:val="58903076"/>
    <w:rsid w:val="58920462"/>
    <w:rsid w:val="58A577D6"/>
    <w:rsid w:val="58B33F35"/>
    <w:rsid w:val="58BE3005"/>
    <w:rsid w:val="58C3061C"/>
    <w:rsid w:val="58C44394"/>
    <w:rsid w:val="58C6010C"/>
    <w:rsid w:val="58C85C32"/>
    <w:rsid w:val="58C86155"/>
    <w:rsid w:val="58DB54BE"/>
    <w:rsid w:val="58EA1E4D"/>
    <w:rsid w:val="58FE78A6"/>
    <w:rsid w:val="59017F65"/>
    <w:rsid w:val="591173F8"/>
    <w:rsid w:val="591730EE"/>
    <w:rsid w:val="591F781C"/>
    <w:rsid w:val="59266DFD"/>
    <w:rsid w:val="593037D7"/>
    <w:rsid w:val="5937287E"/>
    <w:rsid w:val="593C217C"/>
    <w:rsid w:val="593E7CA2"/>
    <w:rsid w:val="59571349"/>
    <w:rsid w:val="59596CAE"/>
    <w:rsid w:val="595C45CC"/>
    <w:rsid w:val="596173AF"/>
    <w:rsid w:val="596A6CE9"/>
    <w:rsid w:val="596B480F"/>
    <w:rsid w:val="597E3727"/>
    <w:rsid w:val="59804AD3"/>
    <w:rsid w:val="59835FFD"/>
    <w:rsid w:val="598429A4"/>
    <w:rsid w:val="5986716D"/>
    <w:rsid w:val="598E7E44"/>
    <w:rsid w:val="59926240"/>
    <w:rsid w:val="599B50F5"/>
    <w:rsid w:val="59B2243E"/>
    <w:rsid w:val="59B461B6"/>
    <w:rsid w:val="59B7793C"/>
    <w:rsid w:val="59C20450"/>
    <w:rsid w:val="59C43098"/>
    <w:rsid w:val="59C503C4"/>
    <w:rsid w:val="59C83FC9"/>
    <w:rsid w:val="59CC1AA0"/>
    <w:rsid w:val="59CC52AE"/>
    <w:rsid w:val="59CE6D94"/>
    <w:rsid w:val="59D10B16"/>
    <w:rsid w:val="59D6612D"/>
    <w:rsid w:val="59D800F7"/>
    <w:rsid w:val="59DF5554"/>
    <w:rsid w:val="59E56191"/>
    <w:rsid w:val="59EA45D0"/>
    <w:rsid w:val="59F760A3"/>
    <w:rsid w:val="59FD7B5D"/>
    <w:rsid w:val="5A100767"/>
    <w:rsid w:val="5A112174"/>
    <w:rsid w:val="5A1629CD"/>
    <w:rsid w:val="5A1A268C"/>
    <w:rsid w:val="5A1A5FD2"/>
    <w:rsid w:val="5A2C21F1"/>
    <w:rsid w:val="5A3023B2"/>
    <w:rsid w:val="5A364E1D"/>
    <w:rsid w:val="5A3B68D8"/>
    <w:rsid w:val="5A3F0176"/>
    <w:rsid w:val="5A4C63EF"/>
    <w:rsid w:val="5A4E660B"/>
    <w:rsid w:val="5A572253"/>
    <w:rsid w:val="5A5A6D5E"/>
    <w:rsid w:val="5A5C0D28"/>
    <w:rsid w:val="5A603305"/>
    <w:rsid w:val="5A736072"/>
    <w:rsid w:val="5A7476F4"/>
    <w:rsid w:val="5A7A2F5C"/>
    <w:rsid w:val="5A8C4AE8"/>
    <w:rsid w:val="5AA44F0A"/>
    <w:rsid w:val="5AB5456B"/>
    <w:rsid w:val="5ABD72ED"/>
    <w:rsid w:val="5AC42429"/>
    <w:rsid w:val="5AC643F3"/>
    <w:rsid w:val="5AD430E1"/>
    <w:rsid w:val="5ADB0886"/>
    <w:rsid w:val="5AE339C5"/>
    <w:rsid w:val="5AE86795"/>
    <w:rsid w:val="5AEC2ECA"/>
    <w:rsid w:val="5AF251E8"/>
    <w:rsid w:val="5AF63B00"/>
    <w:rsid w:val="5AF70A51"/>
    <w:rsid w:val="5AFA6001"/>
    <w:rsid w:val="5B033ABB"/>
    <w:rsid w:val="5B062A42"/>
    <w:rsid w:val="5B157129"/>
    <w:rsid w:val="5B206A70"/>
    <w:rsid w:val="5B280C0A"/>
    <w:rsid w:val="5B2A0E9B"/>
    <w:rsid w:val="5B316CA1"/>
    <w:rsid w:val="5B341533"/>
    <w:rsid w:val="5B37709F"/>
    <w:rsid w:val="5B3F5F54"/>
    <w:rsid w:val="5B4F6A8E"/>
    <w:rsid w:val="5B640619"/>
    <w:rsid w:val="5B656F38"/>
    <w:rsid w:val="5B8027F4"/>
    <w:rsid w:val="5BA0502A"/>
    <w:rsid w:val="5BA26C0E"/>
    <w:rsid w:val="5BA65FD3"/>
    <w:rsid w:val="5BAE36B3"/>
    <w:rsid w:val="5BBB1A7E"/>
    <w:rsid w:val="5BBE331C"/>
    <w:rsid w:val="5BC16A98"/>
    <w:rsid w:val="5BCA1CC1"/>
    <w:rsid w:val="5BCE2C90"/>
    <w:rsid w:val="5BD2087B"/>
    <w:rsid w:val="5BD319A0"/>
    <w:rsid w:val="5BE80399"/>
    <w:rsid w:val="5C2018E1"/>
    <w:rsid w:val="5C243657"/>
    <w:rsid w:val="5C251645"/>
    <w:rsid w:val="5C401F83"/>
    <w:rsid w:val="5C441A74"/>
    <w:rsid w:val="5C4C6B7A"/>
    <w:rsid w:val="5C545A2F"/>
    <w:rsid w:val="5C567DFB"/>
    <w:rsid w:val="5C62014C"/>
    <w:rsid w:val="5C67686C"/>
    <w:rsid w:val="5C6A5252"/>
    <w:rsid w:val="5C8B76A2"/>
    <w:rsid w:val="5C8E0F41"/>
    <w:rsid w:val="5C950C3E"/>
    <w:rsid w:val="5C9F0B9B"/>
    <w:rsid w:val="5C9F4EFC"/>
    <w:rsid w:val="5CB169DD"/>
    <w:rsid w:val="5CBD35D4"/>
    <w:rsid w:val="5CCE757F"/>
    <w:rsid w:val="5CDF179C"/>
    <w:rsid w:val="5CE7065A"/>
    <w:rsid w:val="5CE727F2"/>
    <w:rsid w:val="5CF36FF6"/>
    <w:rsid w:val="5CF841EB"/>
    <w:rsid w:val="5D02548B"/>
    <w:rsid w:val="5D080CF3"/>
    <w:rsid w:val="5D1078AE"/>
    <w:rsid w:val="5D177188"/>
    <w:rsid w:val="5D26561D"/>
    <w:rsid w:val="5D292A17"/>
    <w:rsid w:val="5D2B6790"/>
    <w:rsid w:val="5D467A6D"/>
    <w:rsid w:val="5D573DFF"/>
    <w:rsid w:val="5D580A21"/>
    <w:rsid w:val="5D5E4DB7"/>
    <w:rsid w:val="5D687E72"/>
    <w:rsid w:val="5D852344"/>
    <w:rsid w:val="5D853E54"/>
    <w:rsid w:val="5D87722A"/>
    <w:rsid w:val="5D8B36D2"/>
    <w:rsid w:val="5D8D11F8"/>
    <w:rsid w:val="5D8F705F"/>
    <w:rsid w:val="5DA12EF6"/>
    <w:rsid w:val="5DA30A1C"/>
    <w:rsid w:val="5DA402F0"/>
    <w:rsid w:val="5DA428C4"/>
    <w:rsid w:val="5DA56542"/>
    <w:rsid w:val="5DAB167E"/>
    <w:rsid w:val="5DB15044"/>
    <w:rsid w:val="5DB606CA"/>
    <w:rsid w:val="5DD24E5D"/>
    <w:rsid w:val="5DF43D0C"/>
    <w:rsid w:val="5E0019CA"/>
    <w:rsid w:val="5E005E6E"/>
    <w:rsid w:val="5E0771FD"/>
    <w:rsid w:val="5E145476"/>
    <w:rsid w:val="5E20206C"/>
    <w:rsid w:val="5E252980"/>
    <w:rsid w:val="5E2C27BF"/>
    <w:rsid w:val="5E2C4B13"/>
    <w:rsid w:val="5E341674"/>
    <w:rsid w:val="5E394EDC"/>
    <w:rsid w:val="5E413D91"/>
    <w:rsid w:val="5E53131C"/>
    <w:rsid w:val="5E6C3479"/>
    <w:rsid w:val="5E6D4B86"/>
    <w:rsid w:val="5E72408D"/>
    <w:rsid w:val="5E77028A"/>
    <w:rsid w:val="5E7E1FA2"/>
    <w:rsid w:val="5E863B4E"/>
    <w:rsid w:val="5E9167E6"/>
    <w:rsid w:val="5E942136"/>
    <w:rsid w:val="5E9640DD"/>
    <w:rsid w:val="5E99597B"/>
    <w:rsid w:val="5EB153BA"/>
    <w:rsid w:val="5EB6477F"/>
    <w:rsid w:val="5EB6652D"/>
    <w:rsid w:val="5ECE3876"/>
    <w:rsid w:val="5EF3152F"/>
    <w:rsid w:val="5EF62DCD"/>
    <w:rsid w:val="5F08270F"/>
    <w:rsid w:val="5F2C7AB3"/>
    <w:rsid w:val="5F2E6A0B"/>
    <w:rsid w:val="5F30008D"/>
    <w:rsid w:val="5F351B48"/>
    <w:rsid w:val="5F357D99"/>
    <w:rsid w:val="5F434264"/>
    <w:rsid w:val="5F465B03"/>
    <w:rsid w:val="5F5F6BC4"/>
    <w:rsid w:val="5F630463"/>
    <w:rsid w:val="5F675708"/>
    <w:rsid w:val="5F6B48BC"/>
    <w:rsid w:val="5FA52946"/>
    <w:rsid w:val="5FA840C8"/>
    <w:rsid w:val="5FBE1B3D"/>
    <w:rsid w:val="5FC30F01"/>
    <w:rsid w:val="5FCF559B"/>
    <w:rsid w:val="5FE84E0C"/>
    <w:rsid w:val="5FEC48FC"/>
    <w:rsid w:val="5FED5F7E"/>
    <w:rsid w:val="5FEF1CF6"/>
    <w:rsid w:val="5FF90DC7"/>
    <w:rsid w:val="5FFB4B3F"/>
    <w:rsid w:val="60006022"/>
    <w:rsid w:val="600650AC"/>
    <w:rsid w:val="600D4872"/>
    <w:rsid w:val="602B4D64"/>
    <w:rsid w:val="602F2A3B"/>
    <w:rsid w:val="603040BD"/>
    <w:rsid w:val="6031230F"/>
    <w:rsid w:val="603B13E0"/>
    <w:rsid w:val="603C0CB4"/>
    <w:rsid w:val="604C0EF7"/>
    <w:rsid w:val="604C7149"/>
    <w:rsid w:val="604D2603"/>
    <w:rsid w:val="605040C4"/>
    <w:rsid w:val="6062696C"/>
    <w:rsid w:val="60687CFB"/>
    <w:rsid w:val="606D7596"/>
    <w:rsid w:val="60714E01"/>
    <w:rsid w:val="60730B79"/>
    <w:rsid w:val="60746716"/>
    <w:rsid w:val="607B7A2E"/>
    <w:rsid w:val="607D7F84"/>
    <w:rsid w:val="60884473"/>
    <w:rsid w:val="608A1A1F"/>
    <w:rsid w:val="608F34D9"/>
    <w:rsid w:val="60942B0F"/>
    <w:rsid w:val="60A567B7"/>
    <w:rsid w:val="60AF76D8"/>
    <w:rsid w:val="60D23403"/>
    <w:rsid w:val="60E70C20"/>
    <w:rsid w:val="60FB0B6F"/>
    <w:rsid w:val="61025A59"/>
    <w:rsid w:val="6116641A"/>
    <w:rsid w:val="612302FE"/>
    <w:rsid w:val="61285FC3"/>
    <w:rsid w:val="612B4C93"/>
    <w:rsid w:val="614D13CA"/>
    <w:rsid w:val="614E5143"/>
    <w:rsid w:val="615269E1"/>
    <w:rsid w:val="61692210"/>
    <w:rsid w:val="616C4DE5"/>
    <w:rsid w:val="616D381B"/>
    <w:rsid w:val="619743F4"/>
    <w:rsid w:val="61A44D62"/>
    <w:rsid w:val="61C96577"/>
    <w:rsid w:val="61CD42B9"/>
    <w:rsid w:val="61DE0274"/>
    <w:rsid w:val="61E15FB7"/>
    <w:rsid w:val="61E843AE"/>
    <w:rsid w:val="61ED04B8"/>
    <w:rsid w:val="61F335F4"/>
    <w:rsid w:val="61F950AE"/>
    <w:rsid w:val="620E26AC"/>
    <w:rsid w:val="620F47E8"/>
    <w:rsid w:val="621719D8"/>
    <w:rsid w:val="621912AD"/>
    <w:rsid w:val="62194F79"/>
    <w:rsid w:val="621974FF"/>
    <w:rsid w:val="623E6F65"/>
    <w:rsid w:val="6247406C"/>
    <w:rsid w:val="624B51DE"/>
    <w:rsid w:val="625B7201"/>
    <w:rsid w:val="62671A25"/>
    <w:rsid w:val="626F5370"/>
    <w:rsid w:val="627B3D15"/>
    <w:rsid w:val="62891C56"/>
    <w:rsid w:val="628F67DE"/>
    <w:rsid w:val="62930A2A"/>
    <w:rsid w:val="62946B85"/>
    <w:rsid w:val="629B6165"/>
    <w:rsid w:val="62A96AD4"/>
    <w:rsid w:val="62B965EC"/>
    <w:rsid w:val="62BD17EC"/>
    <w:rsid w:val="62CA25A7"/>
    <w:rsid w:val="62E25B42"/>
    <w:rsid w:val="62E32B46"/>
    <w:rsid w:val="62F835B8"/>
    <w:rsid w:val="630B5ABC"/>
    <w:rsid w:val="630E3B5C"/>
    <w:rsid w:val="631657EC"/>
    <w:rsid w:val="631F6D97"/>
    <w:rsid w:val="632717A7"/>
    <w:rsid w:val="6329551F"/>
    <w:rsid w:val="632A4972"/>
    <w:rsid w:val="63381C06"/>
    <w:rsid w:val="63400ABB"/>
    <w:rsid w:val="636576C6"/>
    <w:rsid w:val="637E7323"/>
    <w:rsid w:val="63860BC4"/>
    <w:rsid w:val="63921CC6"/>
    <w:rsid w:val="6397692D"/>
    <w:rsid w:val="639C3F43"/>
    <w:rsid w:val="63A62ACD"/>
    <w:rsid w:val="63A8314E"/>
    <w:rsid w:val="63AA6D0B"/>
    <w:rsid w:val="63B23767"/>
    <w:rsid w:val="63BE65AF"/>
    <w:rsid w:val="63D26AE9"/>
    <w:rsid w:val="63D3192F"/>
    <w:rsid w:val="63E87188"/>
    <w:rsid w:val="63F2026A"/>
    <w:rsid w:val="640A4042"/>
    <w:rsid w:val="6412215E"/>
    <w:rsid w:val="641937E6"/>
    <w:rsid w:val="642A14F1"/>
    <w:rsid w:val="64432611"/>
    <w:rsid w:val="644F0FB6"/>
    <w:rsid w:val="6453553C"/>
    <w:rsid w:val="6454481E"/>
    <w:rsid w:val="64610CE9"/>
    <w:rsid w:val="646D768E"/>
    <w:rsid w:val="64746C6E"/>
    <w:rsid w:val="64760C38"/>
    <w:rsid w:val="64790728"/>
    <w:rsid w:val="647B624F"/>
    <w:rsid w:val="6488096B"/>
    <w:rsid w:val="64947310"/>
    <w:rsid w:val="649966D5"/>
    <w:rsid w:val="649B244D"/>
    <w:rsid w:val="649C6153"/>
    <w:rsid w:val="649E1F3D"/>
    <w:rsid w:val="649E3CEB"/>
    <w:rsid w:val="64BC23C3"/>
    <w:rsid w:val="64BD5EB2"/>
    <w:rsid w:val="64C5396E"/>
    <w:rsid w:val="64C80D68"/>
    <w:rsid w:val="64CA0F84"/>
    <w:rsid w:val="64CD637E"/>
    <w:rsid w:val="64D52427"/>
    <w:rsid w:val="64DC3505"/>
    <w:rsid w:val="64E35BA2"/>
    <w:rsid w:val="64EB5B2D"/>
    <w:rsid w:val="64EC06E2"/>
    <w:rsid w:val="64F86E23"/>
    <w:rsid w:val="64FA3C91"/>
    <w:rsid w:val="64FF5D4E"/>
    <w:rsid w:val="65060673"/>
    <w:rsid w:val="65136487"/>
    <w:rsid w:val="651915C4"/>
    <w:rsid w:val="6522491C"/>
    <w:rsid w:val="65297916"/>
    <w:rsid w:val="65392192"/>
    <w:rsid w:val="65420B1A"/>
    <w:rsid w:val="6569254B"/>
    <w:rsid w:val="65695787"/>
    <w:rsid w:val="657553FE"/>
    <w:rsid w:val="657D5FF6"/>
    <w:rsid w:val="65876E75"/>
    <w:rsid w:val="65890608"/>
    <w:rsid w:val="65905D2A"/>
    <w:rsid w:val="65932035"/>
    <w:rsid w:val="65953340"/>
    <w:rsid w:val="65982891"/>
    <w:rsid w:val="65A13A93"/>
    <w:rsid w:val="65A76948"/>
    <w:rsid w:val="65B64428"/>
    <w:rsid w:val="65B677E6"/>
    <w:rsid w:val="65C15EE3"/>
    <w:rsid w:val="65C77271"/>
    <w:rsid w:val="65C9677F"/>
    <w:rsid w:val="65D47C5E"/>
    <w:rsid w:val="65D5373C"/>
    <w:rsid w:val="65E87914"/>
    <w:rsid w:val="65F03A55"/>
    <w:rsid w:val="65F067C8"/>
    <w:rsid w:val="660A5ADC"/>
    <w:rsid w:val="660B3602"/>
    <w:rsid w:val="660D5738"/>
    <w:rsid w:val="660F6D5B"/>
    <w:rsid w:val="661108C1"/>
    <w:rsid w:val="661204ED"/>
    <w:rsid w:val="66124BA9"/>
    <w:rsid w:val="66134265"/>
    <w:rsid w:val="66140139"/>
    <w:rsid w:val="661C580F"/>
    <w:rsid w:val="661D38F1"/>
    <w:rsid w:val="66236B9E"/>
    <w:rsid w:val="662A7F2C"/>
    <w:rsid w:val="662B15AE"/>
    <w:rsid w:val="663453DF"/>
    <w:rsid w:val="66372E57"/>
    <w:rsid w:val="663E7534"/>
    <w:rsid w:val="664804B3"/>
    <w:rsid w:val="66482160"/>
    <w:rsid w:val="66486604"/>
    <w:rsid w:val="665054B9"/>
    <w:rsid w:val="66522FDF"/>
    <w:rsid w:val="665516BD"/>
    <w:rsid w:val="66644AC0"/>
    <w:rsid w:val="667A4407"/>
    <w:rsid w:val="667E3DD4"/>
    <w:rsid w:val="66937EBB"/>
    <w:rsid w:val="66A875EC"/>
    <w:rsid w:val="66B75B04"/>
    <w:rsid w:val="66BC48FC"/>
    <w:rsid w:val="66CA0DC7"/>
    <w:rsid w:val="66CB4B3F"/>
    <w:rsid w:val="66D103A8"/>
    <w:rsid w:val="66D63C10"/>
    <w:rsid w:val="66E8749F"/>
    <w:rsid w:val="66EA76BB"/>
    <w:rsid w:val="66FC2F4B"/>
    <w:rsid w:val="67030EE4"/>
    <w:rsid w:val="6712451C"/>
    <w:rsid w:val="67136C12"/>
    <w:rsid w:val="6716225F"/>
    <w:rsid w:val="67197C11"/>
    <w:rsid w:val="671D183F"/>
    <w:rsid w:val="67310221"/>
    <w:rsid w:val="673A0F3D"/>
    <w:rsid w:val="673B1CC5"/>
    <w:rsid w:val="674A5F2F"/>
    <w:rsid w:val="675114E9"/>
    <w:rsid w:val="67513297"/>
    <w:rsid w:val="67521CAD"/>
    <w:rsid w:val="67654F94"/>
    <w:rsid w:val="67806025"/>
    <w:rsid w:val="67915D89"/>
    <w:rsid w:val="679D64DC"/>
    <w:rsid w:val="67A535E2"/>
    <w:rsid w:val="67A55390"/>
    <w:rsid w:val="67A755AC"/>
    <w:rsid w:val="67A770D3"/>
    <w:rsid w:val="67B33F51"/>
    <w:rsid w:val="67B60F3A"/>
    <w:rsid w:val="67BE52D5"/>
    <w:rsid w:val="67C717AB"/>
    <w:rsid w:val="67D07FE2"/>
    <w:rsid w:val="67D30150"/>
    <w:rsid w:val="67E934CF"/>
    <w:rsid w:val="67EE4F89"/>
    <w:rsid w:val="6812496D"/>
    <w:rsid w:val="681C1AF7"/>
    <w:rsid w:val="681D761D"/>
    <w:rsid w:val="68531098"/>
    <w:rsid w:val="68635B7B"/>
    <w:rsid w:val="688558EE"/>
    <w:rsid w:val="6892632C"/>
    <w:rsid w:val="689661AC"/>
    <w:rsid w:val="68994EF5"/>
    <w:rsid w:val="68BE2BAE"/>
    <w:rsid w:val="68C36416"/>
    <w:rsid w:val="68D41200"/>
    <w:rsid w:val="68D4658B"/>
    <w:rsid w:val="68F46498"/>
    <w:rsid w:val="69090C1E"/>
    <w:rsid w:val="690C71BD"/>
    <w:rsid w:val="69117139"/>
    <w:rsid w:val="692E7D33"/>
    <w:rsid w:val="693115D2"/>
    <w:rsid w:val="693410C2"/>
    <w:rsid w:val="693E5A9D"/>
    <w:rsid w:val="69472BA3"/>
    <w:rsid w:val="695B03FD"/>
    <w:rsid w:val="695B664F"/>
    <w:rsid w:val="697A2F79"/>
    <w:rsid w:val="697D0373"/>
    <w:rsid w:val="698C72B7"/>
    <w:rsid w:val="69B108F9"/>
    <w:rsid w:val="69B67D29"/>
    <w:rsid w:val="69BB1D1F"/>
    <w:rsid w:val="69BD10B7"/>
    <w:rsid w:val="69BE3E37"/>
    <w:rsid w:val="69C00663"/>
    <w:rsid w:val="69C7584A"/>
    <w:rsid w:val="69D50113"/>
    <w:rsid w:val="69E95A08"/>
    <w:rsid w:val="69F10D61"/>
    <w:rsid w:val="6A013D24"/>
    <w:rsid w:val="6A042842"/>
    <w:rsid w:val="6A050368"/>
    <w:rsid w:val="6A14250A"/>
    <w:rsid w:val="6A1D56B2"/>
    <w:rsid w:val="6A3C5AE7"/>
    <w:rsid w:val="6A4315BC"/>
    <w:rsid w:val="6A4610AD"/>
    <w:rsid w:val="6A55309E"/>
    <w:rsid w:val="6A5819A0"/>
    <w:rsid w:val="6A582B8E"/>
    <w:rsid w:val="6A674B7F"/>
    <w:rsid w:val="6A794FDE"/>
    <w:rsid w:val="6A7C4ACE"/>
    <w:rsid w:val="6A8A71EB"/>
    <w:rsid w:val="6AA14535"/>
    <w:rsid w:val="6AA3205B"/>
    <w:rsid w:val="6AB029CA"/>
    <w:rsid w:val="6ABD646E"/>
    <w:rsid w:val="6AC326FD"/>
    <w:rsid w:val="6ACB4249"/>
    <w:rsid w:val="6ACD04A5"/>
    <w:rsid w:val="6ACF2E50"/>
    <w:rsid w:val="6AD94C3A"/>
    <w:rsid w:val="6AE7533B"/>
    <w:rsid w:val="6AE80245"/>
    <w:rsid w:val="6AEF704E"/>
    <w:rsid w:val="6AF74155"/>
    <w:rsid w:val="6B035697"/>
    <w:rsid w:val="6B0C5E52"/>
    <w:rsid w:val="6B0D1BCA"/>
    <w:rsid w:val="6B106FC5"/>
    <w:rsid w:val="6B2D5DC9"/>
    <w:rsid w:val="6B2F7D93"/>
    <w:rsid w:val="6B300EF8"/>
    <w:rsid w:val="6B3E369B"/>
    <w:rsid w:val="6B476E8A"/>
    <w:rsid w:val="6B5939A2"/>
    <w:rsid w:val="6B661BE3"/>
    <w:rsid w:val="6B6B0A93"/>
    <w:rsid w:val="6B741C4A"/>
    <w:rsid w:val="6B767770"/>
    <w:rsid w:val="6B7B6B34"/>
    <w:rsid w:val="6B855C05"/>
    <w:rsid w:val="6B8F438D"/>
    <w:rsid w:val="6B910106"/>
    <w:rsid w:val="6B9F6CC6"/>
    <w:rsid w:val="6BA0262E"/>
    <w:rsid w:val="6BB24526"/>
    <w:rsid w:val="6BC4672D"/>
    <w:rsid w:val="6BCB2498"/>
    <w:rsid w:val="6BD628B7"/>
    <w:rsid w:val="6BD821D8"/>
    <w:rsid w:val="6BDD159D"/>
    <w:rsid w:val="6BE20961"/>
    <w:rsid w:val="6BE84338"/>
    <w:rsid w:val="6BF176D1"/>
    <w:rsid w:val="6BFF59B7"/>
    <w:rsid w:val="6C00528B"/>
    <w:rsid w:val="6C0905E4"/>
    <w:rsid w:val="6C223454"/>
    <w:rsid w:val="6C3167E1"/>
    <w:rsid w:val="6C361416"/>
    <w:rsid w:val="6C3B3E2F"/>
    <w:rsid w:val="6C3D5024"/>
    <w:rsid w:val="6C4C4C1E"/>
    <w:rsid w:val="6C4D6722"/>
    <w:rsid w:val="6C5A2BED"/>
    <w:rsid w:val="6C691082"/>
    <w:rsid w:val="6C787517"/>
    <w:rsid w:val="6C953C26"/>
    <w:rsid w:val="6C97174C"/>
    <w:rsid w:val="6C9768B4"/>
    <w:rsid w:val="6C9E6F7E"/>
    <w:rsid w:val="6CBC5656"/>
    <w:rsid w:val="6CD52274"/>
    <w:rsid w:val="6CD86C36"/>
    <w:rsid w:val="6CDC3982"/>
    <w:rsid w:val="6CDE737B"/>
    <w:rsid w:val="6CF21078"/>
    <w:rsid w:val="6D061009"/>
    <w:rsid w:val="6D0D1A0E"/>
    <w:rsid w:val="6D254FA9"/>
    <w:rsid w:val="6D2C27DC"/>
    <w:rsid w:val="6D2D3C78"/>
    <w:rsid w:val="6D3E606B"/>
    <w:rsid w:val="6D480C98"/>
    <w:rsid w:val="6D4A0EB4"/>
    <w:rsid w:val="6D641990"/>
    <w:rsid w:val="6D6D72DC"/>
    <w:rsid w:val="6D6F010C"/>
    <w:rsid w:val="6D7B72BF"/>
    <w:rsid w:val="6D7C5B17"/>
    <w:rsid w:val="6D88378A"/>
    <w:rsid w:val="6D8C327A"/>
    <w:rsid w:val="6D9A311E"/>
    <w:rsid w:val="6D9A560E"/>
    <w:rsid w:val="6D9E4D5C"/>
    <w:rsid w:val="6DA265FA"/>
    <w:rsid w:val="6DB1683D"/>
    <w:rsid w:val="6DBB4B5C"/>
    <w:rsid w:val="6DCA1206"/>
    <w:rsid w:val="6DE2733E"/>
    <w:rsid w:val="6DE36081"/>
    <w:rsid w:val="6DE94229"/>
    <w:rsid w:val="6DEC3D19"/>
    <w:rsid w:val="6DF57072"/>
    <w:rsid w:val="6DFDE3BE"/>
    <w:rsid w:val="6E10402A"/>
    <w:rsid w:val="6E1108A3"/>
    <w:rsid w:val="6E113780"/>
    <w:rsid w:val="6E1374F8"/>
    <w:rsid w:val="6E16620A"/>
    <w:rsid w:val="6E1A0886"/>
    <w:rsid w:val="6E3A4A84"/>
    <w:rsid w:val="6E3D27C7"/>
    <w:rsid w:val="6E69248F"/>
    <w:rsid w:val="6E7B6E4B"/>
    <w:rsid w:val="6E7C32EF"/>
    <w:rsid w:val="6E825EF1"/>
    <w:rsid w:val="6E8757F0"/>
    <w:rsid w:val="6E8953DC"/>
    <w:rsid w:val="6E8C2E06"/>
    <w:rsid w:val="6E91041D"/>
    <w:rsid w:val="6EA01056"/>
    <w:rsid w:val="6EA211C1"/>
    <w:rsid w:val="6EAB14DE"/>
    <w:rsid w:val="6EC66FFE"/>
    <w:rsid w:val="6EF70A80"/>
    <w:rsid w:val="6EF82458"/>
    <w:rsid w:val="6EFC1D52"/>
    <w:rsid w:val="6EFD5AB2"/>
    <w:rsid w:val="6F152CAB"/>
    <w:rsid w:val="6F1A48B6"/>
    <w:rsid w:val="6F1B2B08"/>
    <w:rsid w:val="6F1C23DC"/>
    <w:rsid w:val="6F1E6154"/>
    <w:rsid w:val="6F1F3C7A"/>
    <w:rsid w:val="6F206B8A"/>
    <w:rsid w:val="6F34735B"/>
    <w:rsid w:val="6F3B6D06"/>
    <w:rsid w:val="6F3C482C"/>
    <w:rsid w:val="6F43788D"/>
    <w:rsid w:val="6F51243F"/>
    <w:rsid w:val="6F59718C"/>
    <w:rsid w:val="6F5C0A2B"/>
    <w:rsid w:val="6F5D2C01"/>
    <w:rsid w:val="6F633A2E"/>
    <w:rsid w:val="6F667AFB"/>
    <w:rsid w:val="6F6761A3"/>
    <w:rsid w:val="6F6F3387"/>
    <w:rsid w:val="6F71472B"/>
    <w:rsid w:val="6F78548A"/>
    <w:rsid w:val="6F7E1D89"/>
    <w:rsid w:val="6F857F81"/>
    <w:rsid w:val="6F8B1310"/>
    <w:rsid w:val="6FA36659"/>
    <w:rsid w:val="6FA36ACE"/>
    <w:rsid w:val="6FAC2B64"/>
    <w:rsid w:val="6FAD74D8"/>
    <w:rsid w:val="6FB95E7D"/>
    <w:rsid w:val="6FBD2CA3"/>
    <w:rsid w:val="6FC025F4"/>
    <w:rsid w:val="6FC54822"/>
    <w:rsid w:val="6FCA1077"/>
    <w:rsid w:val="6FCA1E38"/>
    <w:rsid w:val="6FD23604"/>
    <w:rsid w:val="6FE80510"/>
    <w:rsid w:val="6FE85E1F"/>
    <w:rsid w:val="6FEF7AF1"/>
    <w:rsid w:val="6FFD5D56"/>
    <w:rsid w:val="700F3CEF"/>
    <w:rsid w:val="701D640C"/>
    <w:rsid w:val="70201C8A"/>
    <w:rsid w:val="7038533E"/>
    <w:rsid w:val="703B2D36"/>
    <w:rsid w:val="703E5658"/>
    <w:rsid w:val="703F2826"/>
    <w:rsid w:val="70433998"/>
    <w:rsid w:val="7055204A"/>
    <w:rsid w:val="70553DF8"/>
    <w:rsid w:val="706C1141"/>
    <w:rsid w:val="70710447"/>
    <w:rsid w:val="70731A1E"/>
    <w:rsid w:val="707A385E"/>
    <w:rsid w:val="707C7654"/>
    <w:rsid w:val="70804EFB"/>
    <w:rsid w:val="70912956"/>
    <w:rsid w:val="70980188"/>
    <w:rsid w:val="709D12FB"/>
    <w:rsid w:val="70A14AB9"/>
    <w:rsid w:val="70A1528F"/>
    <w:rsid w:val="70A46B2D"/>
    <w:rsid w:val="70AA1CA3"/>
    <w:rsid w:val="70C2118B"/>
    <w:rsid w:val="70CD6084"/>
    <w:rsid w:val="70CE125D"/>
    <w:rsid w:val="70D86DF9"/>
    <w:rsid w:val="70D94A29"/>
    <w:rsid w:val="70DA254F"/>
    <w:rsid w:val="70DC1E23"/>
    <w:rsid w:val="70DD5B9B"/>
    <w:rsid w:val="70E53244"/>
    <w:rsid w:val="70F353BF"/>
    <w:rsid w:val="70FD40BB"/>
    <w:rsid w:val="710870BC"/>
    <w:rsid w:val="71123A97"/>
    <w:rsid w:val="711E68DF"/>
    <w:rsid w:val="71245578"/>
    <w:rsid w:val="71267D14"/>
    <w:rsid w:val="712F596B"/>
    <w:rsid w:val="71411B5D"/>
    <w:rsid w:val="714C157A"/>
    <w:rsid w:val="715E0C15"/>
    <w:rsid w:val="71724535"/>
    <w:rsid w:val="71742717"/>
    <w:rsid w:val="717464FF"/>
    <w:rsid w:val="717B0A6A"/>
    <w:rsid w:val="718B15D1"/>
    <w:rsid w:val="718C5A4D"/>
    <w:rsid w:val="718D75C1"/>
    <w:rsid w:val="719B1CDE"/>
    <w:rsid w:val="719E532A"/>
    <w:rsid w:val="71AF5789"/>
    <w:rsid w:val="71B34792"/>
    <w:rsid w:val="71BB2380"/>
    <w:rsid w:val="71DB657E"/>
    <w:rsid w:val="71E35433"/>
    <w:rsid w:val="71F15DA2"/>
    <w:rsid w:val="71F65166"/>
    <w:rsid w:val="71FE04BF"/>
    <w:rsid w:val="72085BC5"/>
    <w:rsid w:val="72190E55"/>
    <w:rsid w:val="721E646B"/>
    <w:rsid w:val="722A12B4"/>
    <w:rsid w:val="722A4E10"/>
    <w:rsid w:val="723B701D"/>
    <w:rsid w:val="723F1FDF"/>
    <w:rsid w:val="72473C14"/>
    <w:rsid w:val="7249173A"/>
    <w:rsid w:val="72681691"/>
    <w:rsid w:val="72800ED4"/>
    <w:rsid w:val="72824C4C"/>
    <w:rsid w:val="72896F2C"/>
    <w:rsid w:val="72A14F9D"/>
    <w:rsid w:val="72A17E94"/>
    <w:rsid w:val="72B312A9"/>
    <w:rsid w:val="72BA45C2"/>
    <w:rsid w:val="72C47013"/>
    <w:rsid w:val="72C74D55"/>
    <w:rsid w:val="72C902B7"/>
    <w:rsid w:val="72D1451B"/>
    <w:rsid w:val="72D336FA"/>
    <w:rsid w:val="72DA4A88"/>
    <w:rsid w:val="72DF5BD6"/>
    <w:rsid w:val="72E01973"/>
    <w:rsid w:val="72E256EB"/>
    <w:rsid w:val="72E476B5"/>
    <w:rsid w:val="72E82D1E"/>
    <w:rsid w:val="72EC33ED"/>
    <w:rsid w:val="72F474DF"/>
    <w:rsid w:val="72F83160"/>
    <w:rsid w:val="73027B3B"/>
    <w:rsid w:val="7309711B"/>
    <w:rsid w:val="730D17BA"/>
    <w:rsid w:val="73142CD6"/>
    <w:rsid w:val="731C0BFD"/>
    <w:rsid w:val="732301DD"/>
    <w:rsid w:val="732710B7"/>
    <w:rsid w:val="732950C1"/>
    <w:rsid w:val="733502CD"/>
    <w:rsid w:val="734061EE"/>
    <w:rsid w:val="734343DB"/>
    <w:rsid w:val="73487C44"/>
    <w:rsid w:val="735C724B"/>
    <w:rsid w:val="735D2FC3"/>
    <w:rsid w:val="735D3658"/>
    <w:rsid w:val="73697BBA"/>
    <w:rsid w:val="736B56E0"/>
    <w:rsid w:val="73797DFD"/>
    <w:rsid w:val="738B18DE"/>
    <w:rsid w:val="73913434"/>
    <w:rsid w:val="73974727"/>
    <w:rsid w:val="739B4892"/>
    <w:rsid w:val="73A87A1C"/>
    <w:rsid w:val="73CB617F"/>
    <w:rsid w:val="73CD639B"/>
    <w:rsid w:val="73D03E7C"/>
    <w:rsid w:val="73D43285"/>
    <w:rsid w:val="73D455CC"/>
    <w:rsid w:val="73D921CC"/>
    <w:rsid w:val="73DF2241"/>
    <w:rsid w:val="73EA4857"/>
    <w:rsid w:val="73EA71DC"/>
    <w:rsid w:val="73ED2599"/>
    <w:rsid w:val="73F56649"/>
    <w:rsid w:val="7406465E"/>
    <w:rsid w:val="740722AB"/>
    <w:rsid w:val="740C6EC3"/>
    <w:rsid w:val="741D60E7"/>
    <w:rsid w:val="74324450"/>
    <w:rsid w:val="74455F31"/>
    <w:rsid w:val="744F375E"/>
    <w:rsid w:val="74597C2E"/>
    <w:rsid w:val="745D7787"/>
    <w:rsid w:val="74726B6E"/>
    <w:rsid w:val="74830CC4"/>
    <w:rsid w:val="74842EFD"/>
    <w:rsid w:val="74856C75"/>
    <w:rsid w:val="748922C2"/>
    <w:rsid w:val="749173C8"/>
    <w:rsid w:val="74B35591"/>
    <w:rsid w:val="74BF515B"/>
    <w:rsid w:val="74C432FA"/>
    <w:rsid w:val="74CA2729"/>
    <w:rsid w:val="74D55507"/>
    <w:rsid w:val="74E76FE8"/>
    <w:rsid w:val="74EC4EA4"/>
    <w:rsid w:val="74FE034B"/>
    <w:rsid w:val="750951B1"/>
    <w:rsid w:val="750D2EF3"/>
    <w:rsid w:val="750E0A19"/>
    <w:rsid w:val="75104791"/>
    <w:rsid w:val="751B1A72"/>
    <w:rsid w:val="753164B5"/>
    <w:rsid w:val="755C79D6"/>
    <w:rsid w:val="75614FED"/>
    <w:rsid w:val="75625434"/>
    <w:rsid w:val="756B19C7"/>
    <w:rsid w:val="75722F66"/>
    <w:rsid w:val="75866801"/>
    <w:rsid w:val="758962F1"/>
    <w:rsid w:val="758A3585"/>
    <w:rsid w:val="75932CCC"/>
    <w:rsid w:val="759E350B"/>
    <w:rsid w:val="75A35605"/>
    <w:rsid w:val="75B45286"/>
    <w:rsid w:val="75C33980"/>
    <w:rsid w:val="75C37A55"/>
    <w:rsid w:val="75D92DD5"/>
    <w:rsid w:val="75FE6CDF"/>
    <w:rsid w:val="75FF7D4B"/>
    <w:rsid w:val="760140DA"/>
    <w:rsid w:val="760D398B"/>
    <w:rsid w:val="76103E06"/>
    <w:rsid w:val="76113A9E"/>
    <w:rsid w:val="762772B2"/>
    <w:rsid w:val="762A70B6"/>
    <w:rsid w:val="762E65C5"/>
    <w:rsid w:val="762F50EB"/>
    <w:rsid w:val="76360227"/>
    <w:rsid w:val="76361FD5"/>
    <w:rsid w:val="76397D18"/>
    <w:rsid w:val="763A28FD"/>
    <w:rsid w:val="764363E8"/>
    <w:rsid w:val="764861AD"/>
    <w:rsid w:val="765C57B4"/>
    <w:rsid w:val="766052A4"/>
    <w:rsid w:val="76662190"/>
    <w:rsid w:val="767A5ABE"/>
    <w:rsid w:val="767B51AA"/>
    <w:rsid w:val="768E1E11"/>
    <w:rsid w:val="76A2766B"/>
    <w:rsid w:val="76B2020B"/>
    <w:rsid w:val="76B92C06"/>
    <w:rsid w:val="76BD26F7"/>
    <w:rsid w:val="76C5434F"/>
    <w:rsid w:val="76C770D1"/>
    <w:rsid w:val="76CC2397"/>
    <w:rsid w:val="76CC293A"/>
    <w:rsid w:val="76D161A2"/>
    <w:rsid w:val="76E00193"/>
    <w:rsid w:val="76E25CB9"/>
    <w:rsid w:val="76E64C26"/>
    <w:rsid w:val="76F9505E"/>
    <w:rsid w:val="76FA74A7"/>
    <w:rsid w:val="76FC172C"/>
    <w:rsid w:val="770976EA"/>
    <w:rsid w:val="7722255A"/>
    <w:rsid w:val="772C1811"/>
    <w:rsid w:val="772D118B"/>
    <w:rsid w:val="7730111A"/>
    <w:rsid w:val="77302EC9"/>
    <w:rsid w:val="77336515"/>
    <w:rsid w:val="774272F3"/>
    <w:rsid w:val="774626EC"/>
    <w:rsid w:val="7748643A"/>
    <w:rsid w:val="775F555C"/>
    <w:rsid w:val="77692691"/>
    <w:rsid w:val="777F175A"/>
    <w:rsid w:val="77843214"/>
    <w:rsid w:val="77882D05"/>
    <w:rsid w:val="77997C43"/>
    <w:rsid w:val="77A92C7B"/>
    <w:rsid w:val="77A94A29"/>
    <w:rsid w:val="77A97D67"/>
    <w:rsid w:val="77B77146"/>
    <w:rsid w:val="77C875A5"/>
    <w:rsid w:val="77E15873"/>
    <w:rsid w:val="77EB6DF0"/>
    <w:rsid w:val="77EF68E0"/>
    <w:rsid w:val="77FF2977"/>
    <w:rsid w:val="780D4FB8"/>
    <w:rsid w:val="780F7630"/>
    <w:rsid w:val="78120820"/>
    <w:rsid w:val="78144598"/>
    <w:rsid w:val="781626AC"/>
    <w:rsid w:val="78166313"/>
    <w:rsid w:val="781E0F73"/>
    <w:rsid w:val="782A6B49"/>
    <w:rsid w:val="782D2ACB"/>
    <w:rsid w:val="783469E8"/>
    <w:rsid w:val="78393BDC"/>
    <w:rsid w:val="783B7D77"/>
    <w:rsid w:val="7840538D"/>
    <w:rsid w:val="784116AF"/>
    <w:rsid w:val="784604CA"/>
    <w:rsid w:val="784D3606"/>
    <w:rsid w:val="7856695F"/>
    <w:rsid w:val="78656BA2"/>
    <w:rsid w:val="787212BF"/>
    <w:rsid w:val="7880578A"/>
    <w:rsid w:val="7885276D"/>
    <w:rsid w:val="78853F6C"/>
    <w:rsid w:val="78886285"/>
    <w:rsid w:val="78A54E3F"/>
    <w:rsid w:val="78B47B29"/>
    <w:rsid w:val="78BD058C"/>
    <w:rsid w:val="78CB76BC"/>
    <w:rsid w:val="78D747B9"/>
    <w:rsid w:val="78E0091E"/>
    <w:rsid w:val="78E33F6B"/>
    <w:rsid w:val="78EA5225"/>
    <w:rsid w:val="78F93137"/>
    <w:rsid w:val="78FF6FF6"/>
    <w:rsid w:val="79020895"/>
    <w:rsid w:val="790424FD"/>
    <w:rsid w:val="790D6F0A"/>
    <w:rsid w:val="79134850"/>
    <w:rsid w:val="791D56CF"/>
    <w:rsid w:val="79206165"/>
    <w:rsid w:val="7923015C"/>
    <w:rsid w:val="79273E57"/>
    <w:rsid w:val="793C4B18"/>
    <w:rsid w:val="794762A8"/>
    <w:rsid w:val="79520BA4"/>
    <w:rsid w:val="795A247F"/>
    <w:rsid w:val="795B7FA5"/>
    <w:rsid w:val="796055BB"/>
    <w:rsid w:val="796169A8"/>
    <w:rsid w:val="796706F8"/>
    <w:rsid w:val="796F3009"/>
    <w:rsid w:val="79733540"/>
    <w:rsid w:val="797A48CF"/>
    <w:rsid w:val="797C35CC"/>
    <w:rsid w:val="79A50C04"/>
    <w:rsid w:val="79B7167F"/>
    <w:rsid w:val="79BA15B8"/>
    <w:rsid w:val="79BF2E4B"/>
    <w:rsid w:val="79CD0EA3"/>
    <w:rsid w:val="79E306C6"/>
    <w:rsid w:val="79FC7092"/>
    <w:rsid w:val="7A067F11"/>
    <w:rsid w:val="7A0F1355"/>
    <w:rsid w:val="7A2465E9"/>
    <w:rsid w:val="7A2B5BC9"/>
    <w:rsid w:val="7A2F5A49"/>
    <w:rsid w:val="7A3031E0"/>
    <w:rsid w:val="7A4D3D91"/>
    <w:rsid w:val="7A560E98"/>
    <w:rsid w:val="7A5835DB"/>
    <w:rsid w:val="7A686A8F"/>
    <w:rsid w:val="7A7B08FF"/>
    <w:rsid w:val="7A8B501A"/>
    <w:rsid w:val="7A9E17C0"/>
    <w:rsid w:val="7AA02113"/>
    <w:rsid w:val="7AA8546C"/>
    <w:rsid w:val="7AAC4F5C"/>
    <w:rsid w:val="7AB21E46"/>
    <w:rsid w:val="7ACA53E2"/>
    <w:rsid w:val="7ADC6EC3"/>
    <w:rsid w:val="7AE505F7"/>
    <w:rsid w:val="7AF84965"/>
    <w:rsid w:val="7B05003E"/>
    <w:rsid w:val="7B072192"/>
    <w:rsid w:val="7B301E94"/>
    <w:rsid w:val="7B3A4316"/>
    <w:rsid w:val="7B564EC8"/>
    <w:rsid w:val="7B5B24DE"/>
    <w:rsid w:val="7B5E00B2"/>
    <w:rsid w:val="7B616C65"/>
    <w:rsid w:val="7B7F441F"/>
    <w:rsid w:val="7B7F7F7B"/>
    <w:rsid w:val="7B841759"/>
    <w:rsid w:val="7B8772C8"/>
    <w:rsid w:val="7B8B59F4"/>
    <w:rsid w:val="7B902188"/>
    <w:rsid w:val="7B963516"/>
    <w:rsid w:val="7B9A0C8F"/>
    <w:rsid w:val="7BA021F1"/>
    <w:rsid w:val="7BA63759"/>
    <w:rsid w:val="7BA8008D"/>
    <w:rsid w:val="7BA94E53"/>
    <w:rsid w:val="7BC736D0"/>
    <w:rsid w:val="7BC938EC"/>
    <w:rsid w:val="7BCF048F"/>
    <w:rsid w:val="7BD04C7A"/>
    <w:rsid w:val="7BE03AF4"/>
    <w:rsid w:val="7C047953"/>
    <w:rsid w:val="7C137E1D"/>
    <w:rsid w:val="7C154449"/>
    <w:rsid w:val="7C1903CF"/>
    <w:rsid w:val="7C1F4139"/>
    <w:rsid w:val="7C262AEC"/>
    <w:rsid w:val="7C43544C"/>
    <w:rsid w:val="7C43747B"/>
    <w:rsid w:val="7C4B60AF"/>
    <w:rsid w:val="7C522772"/>
    <w:rsid w:val="7C541407"/>
    <w:rsid w:val="7C63164A"/>
    <w:rsid w:val="7C6B04FF"/>
    <w:rsid w:val="7C743857"/>
    <w:rsid w:val="7C7542F8"/>
    <w:rsid w:val="7C773348"/>
    <w:rsid w:val="7C7C44BA"/>
    <w:rsid w:val="7C8141C6"/>
    <w:rsid w:val="7C907F65"/>
    <w:rsid w:val="7C914409"/>
    <w:rsid w:val="7C921F30"/>
    <w:rsid w:val="7C9C0CBA"/>
    <w:rsid w:val="7CA83501"/>
    <w:rsid w:val="7CA852AF"/>
    <w:rsid w:val="7CAD3F03"/>
    <w:rsid w:val="7CB225D2"/>
    <w:rsid w:val="7CB564A2"/>
    <w:rsid w:val="7CC067ED"/>
    <w:rsid w:val="7CC06A9D"/>
    <w:rsid w:val="7CC85951"/>
    <w:rsid w:val="7CDE33C7"/>
    <w:rsid w:val="7CF36E72"/>
    <w:rsid w:val="7CF404F4"/>
    <w:rsid w:val="7CF60710"/>
    <w:rsid w:val="7CF95B0B"/>
    <w:rsid w:val="7CFD1526"/>
    <w:rsid w:val="7D066E8C"/>
    <w:rsid w:val="7D083FA0"/>
    <w:rsid w:val="7D1307C6"/>
    <w:rsid w:val="7D2D1C58"/>
    <w:rsid w:val="7D3E3E65"/>
    <w:rsid w:val="7D450988"/>
    <w:rsid w:val="7D4B6F86"/>
    <w:rsid w:val="7D4E40A8"/>
    <w:rsid w:val="7D7653AD"/>
    <w:rsid w:val="7D7B688B"/>
    <w:rsid w:val="7D7D2BE0"/>
    <w:rsid w:val="7D7D498E"/>
    <w:rsid w:val="7D7F24B4"/>
    <w:rsid w:val="7D807FDA"/>
    <w:rsid w:val="7D891584"/>
    <w:rsid w:val="7D917A20"/>
    <w:rsid w:val="7D951CD7"/>
    <w:rsid w:val="7D9D2FB2"/>
    <w:rsid w:val="7DC223A1"/>
    <w:rsid w:val="7DCA5ED3"/>
    <w:rsid w:val="7DD57DC1"/>
    <w:rsid w:val="7DD81BC4"/>
    <w:rsid w:val="7DEA1C21"/>
    <w:rsid w:val="7E1F3C97"/>
    <w:rsid w:val="7E235506"/>
    <w:rsid w:val="7E244E09"/>
    <w:rsid w:val="7E310E83"/>
    <w:rsid w:val="7E411F3D"/>
    <w:rsid w:val="7E465103"/>
    <w:rsid w:val="7E53749D"/>
    <w:rsid w:val="7E543940"/>
    <w:rsid w:val="7E582D05"/>
    <w:rsid w:val="7E5A62C9"/>
    <w:rsid w:val="7E6873EC"/>
    <w:rsid w:val="7E851D4C"/>
    <w:rsid w:val="7E8D29AE"/>
    <w:rsid w:val="7E94486E"/>
    <w:rsid w:val="7E9F26E2"/>
    <w:rsid w:val="7EA321D2"/>
    <w:rsid w:val="7EA61E53"/>
    <w:rsid w:val="7EA82D87"/>
    <w:rsid w:val="7EA877E8"/>
    <w:rsid w:val="7EB048EF"/>
    <w:rsid w:val="7EB268B9"/>
    <w:rsid w:val="7EB74A6A"/>
    <w:rsid w:val="7EBC7738"/>
    <w:rsid w:val="7EC65EC0"/>
    <w:rsid w:val="7ED607F9"/>
    <w:rsid w:val="7ED87864"/>
    <w:rsid w:val="7EEE5BE3"/>
    <w:rsid w:val="7EF86A29"/>
    <w:rsid w:val="7EF96296"/>
    <w:rsid w:val="7EFB3DBC"/>
    <w:rsid w:val="7F231565"/>
    <w:rsid w:val="7F4F263F"/>
    <w:rsid w:val="7F54171E"/>
    <w:rsid w:val="7F590AE3"/>
    <w:rsid w:val="7F6F0306"/>
    <w:rsid w:val="7F791185"/>
    <w:rsid w:val="7F7D0C75"/>
    <w:rsid w:val="7F875650"/>
    <w:rsid w:val="7F8C2C66"/>
    <w:rsid w:val="7F9B734D"/>
    <w:rsid w:val="7F9E0801"/>
    <w:rsid w:val="7FA13A80"/>
    <w:rsid w:val="7FAC572F"/>
    <w:rsid w:val="7FC05006"/>
    <w:rsid w:val="7FC93EBA"/>
    <w:rsid w:val="7FCE693F"/>
    <w:rsid w:val="7FDB2A42"/>
    <w:rsid w:val="7FDD34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qFormat="1" w:unhideWhenUsed="0" w:uiPriority="0" w:semiHidden="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578" w:lineRule="auto"/>
      <w:outlineLvl w:val="0"/>
    </w:pPr>
    <w:rPr>
      <w:rFonts w:eastAsia="华文中宋"/>
      <w:b/>
      <w:bCs/>
      <w:kern w:val="44"/>
      <w:sz w:val="32"/>
      <w:szCs w:val="44"/>
    </w:rPr>
  </w:style>
  <w:style w:type="paragraph" w:styleId="4">
    <w:name w:val="heading 2"/>
    <w:basedOn w:val="1"/>
    <w:next w:val="5"/>
    <w:autoRedefine/>
    <w:qFormat/>
    <w:uiPriority w:val="0"/>
    <w:pPr>
      <w:keepNext/>
      <w:keepLines/>
      <w:spacing w:line="416" w:lineRule="auto"/>
      <w:outlineLvl w:val="1"/>
    </w:pPr>
    <w:rPr>
      <w:rFonts w:hint="eastAsia" w:ascii="Arial" w:hAnsi="Arial" w:eastAsia="黑体"/>
      <w:b/>
      <w:bCs/>
      <w:sz w:val="32"/>
      <w:szCs w:val="32"/>
    </w:rPr>
  </w:style>
  <w:style w:type="paragraph" w:styleId="6">
    <w:name w:val="heading 3"/>
    <w:basedOn w:val="1"/>
    <w:next w:val="1"/>
    <w:qFormat/>
    <w:uiPriority w:val="0"/>
    <w:pPr>
      <w:keepNext/>
      <w:keepLines/>
      <w:spacing w:line="416" w:lineRule="auto"/>
      <w:outlineLvl w:val="2"/>
    </w:pPr>
    <w:rPr>
      <w:b/>
      <w:bCs/>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26">
    <w:name w:val="Default Paragraph Font"/>
    <w:autoRedefine/>
    <w:unhideWhenUsed/>
    <w:qFormat/>
    <w:uiPriority w:val="1"/>
  </w:style>
  <w:style w:type="table" w:default="1" w:styleId="24">
    <w:name w:val="Normal Table"/>
    <w:autoRedefine/>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hint="eastAsia"/>
      <w:sz w:val="18"/>
      <w:szCs w:val="18"/>
    </w:rPr>
  </w:style>
  <w:style w:type="paragraph" w:styleId="5">
    <w:name w:val="Normal Indent"/>
    <w:basedOn w:val="1"/>
    <w:next w:val="1"/>
    <w:autoRedefine/>
    <w:qFormat/>
    <w:uiPriority w:val="0"/>
    <w:pPr>
      <w:ind w:firstLine="420" w:firstLineChars="200"/>
    </w:pPr>
  </w:style>
  <w:style w:type="paragraph" w:styleId="8">
    <w:name w:val="annotation text"/>
    <w:basedOn w:val="1"/>
    <w:autoRedefine/>
    <w:qFormat/>
    <w:uiPriority w:val="0"/>
    <w:pPr>
      <w:jc w:val="left"/>
    </w:pPr>
  </w:style>
  <w:style w:type="paragraph" w:styleId="9">
    <w:name w:val="Body Text 3"/>
    <w:basedOn w:val="1"/>
    <w:autoRedefine/>
    <w:qFormat/>
    <w:uiPriority w:val="0"/>
    <w:pPr>
      <w:spacing w:line="80" w:lineRule="atLeast"/>
    </w:pPr>
    <w:rPr>
      <w:rFonts w:ascii="楷体_GB2312" w:eastAsia="楷体_GB2312"/>
      <w:sz w:val="28"/>
    </w:rPr>
  </w:style>
  <w:style w:type="paragraph" w:styleId="10">
    <w:name w:val="Body Text"/>
    <w:basedOn w:val="1"/>
    <w:next w:val="1"/>
    <w:qFormat/>
    <w:uiPriority w:val="0"/>
    <w:rPr>
      <w:rFonts w:eastAsia="楷体_GB2312"/>
      <w:sz w:val="30"/>
      <w:szCs w:val="20"/>
    </w:rPr>
  </w:style>
  <w:style w:type="paragraph" w:styleId="11">
    <w:name w:val="Body Text Indent"/>
    <w:basedOn w:val="1"/>
    <w:next w:val="12"/>
    <w:autoRedefine/>
    <w:qFormat/>
    <w:uiPriority w:val="0"/>
    <w:pPr>
      <w:ind w:firstLine="540"/>
    </w:pPr>
    <w:rPr>
      <w:rFonts w:eastAsia="楷体_GB2312"/>
      <w:sz w:val="30"/>
      <w:szCs w:val="20"/>
    </w:rPr>
  </w:style>
  <w:style w:type="paragraph" w:styleId="12">
    <w:name w:val="envelope return"/>
    <w:basedOn w:val="1"/>
    <w:autoRedefine/>
    <w:qFormat/>
    <w:uiPriority w:val="0"/>
    <w:pPr>
      <w:snapToGrid w:val="0"/>
    </w:pPr>
    <w:rPr>
      <w:rFonts w:ascii="Arial" w:hAnsi="Arial"/>
    </w:rPr>
  </w:style>
  <w:style w:type="paragraph" w:styleId="13">
    <w:name w:val="Plain Text"/>
    <w:basedOn w:val="1"/>
    <w:qFormat/>
    <w:uiPriority w:val="0"/>
    <w:rPr>
      <w:rFonts w:hint="eastAsia" w:ascii="宋体" w:hAnsi="Courier New"/>
      <w:szCs w:val="20"/>
    </w:rPr>
  </w:style>
  <w:style w:type="paragraph" w:styleId="14">
    <w:name w:val="Date"/>
    <w:basedOn w:val="1"/>
    <w:next w:val="1"/>
    <w:qFormat/>
    <w:uiPriority w:val="0"/>
    <w:rPr>
      <w:sz w:val="24"/>
      <w:szCs w:val="20"/>
    </w:rPr>
  </w:style>
  <w:style w:type="paragraph" w:styleId="15">
    <w:name w:val="Balloon Text"/>
    <w:basedOn w:val="1"/>
    <w:link w:val="37"/>
    <w:qFormat/>
    <w:uiPriority w:val="0"/>
    <w:rPr>
      <w:sz w:val="18"/>
      <w:szCs w:val="18"/>
    </w:rPr>
  </w:style>
  <w:style w:type="paragraph" w:styleId="16">
    <w:name w:val="header"/>
    <w:basedOn w:val="1"/>
    <w:autoRedefine/>
    <w:qFormat/>
    <w:uiPriority w:val="0"/>
    <w:pPr>
      <w:pBdr>
        <w:bottom w:val="single" w:color="auto" w:sz="6" w:space="1"/>
      </w:pBdr>
      <w:tabs>
        <w:tab w:val="center" w:pos="4153"/>
        <w:tab w:val="right" w:pos="8306"/>
      </w:tabs>
      <w:snapToGrid w:val="0"/>
      <w:jc w:val="center"/>
    </w:pPr>
    <w:rPr>
      <w:rFonts w:hint="eastAsia"/>
      <w:sz w:val="18"/>
      <w:szCs w:val="18"/>
    </w:rPr>
  </w:style>
  <w:style w:type="paragraph" w:styleId="17">
    <w:name w:val="toc 1"/>
    <w:basedOn w:val="1"/>
    <w:next w:val="1"/>
    <w:autoRedefine/>
    <w:qFormat/>
    <w:uiPriority w:val="0"/>
    <w:pPr>
      <w:spacing w:line="360" w:lineRule="exact"/>
    </w:pPr>
    <w:rPr>
      <w:rFonts w:ascii="仿宋_GB2312" w:hAnsi="宋体" w:eastAsia="仿宋_GB2312"/>
      <w:b/>
      <w:bCs/>
      <w:sz w:val="28"/>
      <w:szCs w:val="28"/>
    </w:rPr>
  </w:style>
  <w:style w:type="paragraph" w:styleId="18">
    <w:name w:val="Body Text 2"/>
    <w:basedOn w:val="1"/>
    <w:autoRedefine/>
    <w:qFormat/>
    <w:uiPriority w:val="0"/>
    <w:pPr>
      <w:spacing w:after="120" w:line="480" w:lineRule="auto"/>
    </w:pPr>
    <w:rPr>
      <w:rFonts w:eastAsia="MS Gothic"/>
    </w:rPr>
  </w:style>
  <w:style w:type="paragraph" w:styleId="19">
    <w:name w:val="Normal (Web)"/>
    <w:basedOn w:val="1"/>
    <w:autoRedefine/>
    <w:qFormat/>
    <w:uiPriority w:val="0"/>
    <w:pPr>
      <w:widowControl/>
      <w:spacing w:beforeAutospacing="1" w:afterAutospacing="1"/>
      <w:jc w:val="left"/>
    </w:pPr>
    <w:rPr>
      <w:rFonts w:ascii="宋体" w:hAnsi="宋体" w:cs="宋体"/>
      <w:kern w:val="0"/>
      <w:sz w:val="24"/>
    </w:rPr>
  </w:style>
  <w:style w:type="paragraph" w:styleId="20">
    <w:name w:val="Title"/>
    <w:basedOn w:val="1"/>
    <w:next w:val="1"/>
    <w:autoRedefine/>
    <w:qFormat/>
    <w:uiPriority w:val="0"/>
    <w:pPr>
      <w:spacing w:before="240" w:after="60"/>
      <w:jc w:val="center"/>
      <w:outlineLvl w:val="0"/>
    </w:pPr>
    <w:rPr>
      <w:rFonts w:ascii="Cambria" w:hAnsi="Cambria"/>
      <w:b/>
      <w:bCs/>
      <w:sz w:val="32"/>
      <w:szCs w:val="32"/>
    </w:rPr>
  </w:style>
  <w:style w:type="paragraph" w:styleId="21">
    <w:name w:val="Body Text First Indent"/>
    <w:basedOn w:val="10"/>
    <w:autoRedefine/>
    <w:qFormat/>
    <w:uiPriority w:val="0"/>
    <w:pPr>
      <w:ind w:firstLine="420" w:firstLineChars="100"/>
    </w:pPr>
    <w:rPr>
      <w:rFonts w:eastAsia="宋体"/>
      <w:sz w:val="21"/>
      <w:szCs w:val="24"/>
    </w:rPr>
  </w:style>
  <w:style w:type="paragraph" w:styleId="22">
    <w:name w:val="Body Text First Indent 2"/>
    <w:basedOn w:val="11"/>
    <w:next w:val="23"/>
    <w:autoRedefine/>
    <w:qFormat/>
    <w:uiPriority w:val="0"/>
    <w:pPr>
      <w:ind w:firstLine="420" w:firstLineChars="200"/>
    </w:pPr>
  </w:style>
  <w:style w:type="paragraph" w:customStyle="1" w:styleId="23">
    <w:name w:val="正文1"/>
    <w:autoRedefine/>
    <w:qFormat/>
    <w:uiPriority w:val="0"/>
    <w:pPr>
      <w:jc w:val="both"/>
    </w:pPr>
    <w:rPr>
      <w:rFonts w:ascii="Calibri" w:hAnsi="Calibri" w:eastAsia="宋体" w:cs="宋体"/>
      <w:kern w:val="2"/>
      <w:sz w:val="21"/>
      <w:szCs w:val="21"/>
      <w:lang w:val="en-US" w:eastAsia="zh-CN" w:bidi="ar-SA"/>
    </w:rPr>
  </w:style>
  <w:style w:type="table" w:styleId="25">
    <w:name w:val="Table Grid"/>
    <w:basedOn w:val="24"/>
    <w:autoRedefine/>
    <w:qFormat/>
    <w:uiPriority w:val="3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autoRedefine/>
    <w:qFormat/>
    <w:uiPriority w:val="0"/>
  </w:style>
  <w:style w:type="character" w:styleId="28">
    <w:name w:val="page number"/>
    <w:basedOn w:val="26"/>
    <w:autoRedefine/>
    <w:qFormat/>
    <w:uiPriority w:val="0"/>
  </w:style>
  <w:style w:type="character" w:styleId="29">
    <w:name w:val="Emphasis"/>
    <w:basedOn w:val="26"/>
    <w:autoRedefine/>
    <w:qFormat/>
    <w:uiPriority w:val="0"/>
    <w:rPr>
      <w:i/>
    </w:rPr>
  </w:style>
  <w:style w:type="character" w:styleId="30">
    <w:name w:val="Hyperlink"/>
    <w:basedOn w:val="26"/>
    <w:autoRedefine/>
    <w:qFormat/>
    <w:uiPriority w:val="0"/>
    <w:rPr>
      <w:color w:val="333333"/>
      <w:u w:val="none"/>
    </w:rPr>
  </w:style>
  <w:style w:type="character" w:styleId="31">
    <w:name w:val="annotation reference"/>
    <w:basedOn w:val="26"/>
    <w:autoRedefine/>
    <w:unhideWhenUsed/>
    <w:qFormat/>
    <w:uiPriority w:val="0"/>
    <w:rPr>
      <w:sz w:val="21"/>
      <w:szCs w:val="21"/>
    </w:rPr>
  </w:style>
  <w:style w:type="paragraph" w:customStyle="1" w:styleId="32">
    <w:name w:val="Default"/>
    <w:next w:val="14"/>
    <w:autoRedefine/>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paragraph" w:customStyle="1" w:styleId="33">
    <w:name w:val="_Style 3"/>
    <w:autoRedefine/>
    <w:qFormat/>
    <w:uiPriority w:val="1"/>
    <w:pPr>
      <w:widowControl w:val="0"/>
      <w:jc w:val="both"/>
    </w:pPr>
    <w:rPr>
      <w:rFonts w:ascii="Calibri" w:hAnsi="Calibri" w:eastAsia="宋体" w:cs="Times New Roman"/>
      <w:kern w:val="2"/>
      <w:sz w:val="21"/>
      <w:szCs w:val="22"/>
      <w:lang w:val="en-US" w:eastAsia="zh-CN" w:bidi="ar-SA"/>
    </w:rPr>
  </w:style>
  <w:style w:type="paragraph" w:customStyle="1" w:styleId="34">
    <w:name w:val="List Paragraph"/>
    <w:basedOn w:val="1"/>
    <w:autoRedefine/>
    <w:qFormat/>
    <w:uiPriority w:val="34"/>
    <w:pPr>
      <w:ind w:firstLine="420" w:firstLineChars="200"/>
    </w:pPr>
    <w:rPr>
      <w:szCs w:val="22"/>
    </w:rPr>
  </w:style>
  <w:style w:type="paragraph" w:customStyle="1" w:styleId="35">
    <w:name w:val="正文（首行缩进）"/>
    <w:basedOn w:val="1"/>
    <w:autoRedefine/>
    <w:qFormat/>
    <w:uiPriority w:val="0"/>
    <w:pPr>
      <w:spacing w:line="360" w:lineRule="auto"/>
      <w:ind w:firstLine="200" w:firstLineChars="200"/>
    </w:pPr>
  </w:style>
  <w:style w:type="character" w:customStyle="1" w:styleId="36">
    <w:name w:val="sugg-loading"/>
    <w:basedOn w:val="26"/>
    <w:autoRedefine/>
    <w:qFormat/>
    <w:uiPriority w:val="0"/>
  </w:style>
  <w:style w:type="character" w:customStyle="1" w:styleId="37">
    <w:name w:val="批注框文本 Char"/>
    <w:basedOn w:val="26"/>
    <w:link w:val="15"/>
    <w:autoRedefine/>
    <w:qFormat/>
    <w:uiPriority w:val="0"/>
    <w:rPr>
      <w:kern w:val="2"/>
      <w:sz w:val="18"/>
      <w:szCs w:val="18"/>
    </w:rPr>
  </w:style>
  <w:style w:type="paragraph" w:customStyle="1" w:styleId="38">
    <w:name w:val="Normal_718"/>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9">
    <w:name w:val="列出段落1"/>
    <w:basedOn w:val="38"/>
    <w:autoRedefine/>
    <w:qFormat/>
    <w:uiPriority w:val="34"/>
    <w:pPr>
      <w:ind w:firstLine="420" w:firstLineChars="200"/>
    </w:pPr>
    <w:rPr>
      <w:rFonts w:ascii="Calibri" w:hAnsi="Calibri"/>
      <w:szCs w:val="22"/>
    </w:rPr>
  </w:style>
  <w:style w:type="character" w:customStyle="1" w:styleId="40">
    <w:name w:val="NormalCharacter"/>
    <w:autoRedefine/>
    <w:qFormat/>
    <w:uiPriority w:val="0"/>
    <w:rPr>
      <w:rFonts w:ascii="Calibri" w:hAnsi="Calibri"/>
      <w:kern w:val="2"/>
      <w:sz w:val="21"/>
      <w:szCs w:val="24"/>
      <w:lang w:val="en-US" w:eastAsia="zh-CN" w:bidi="ar-SA"/>
    </w:rPr>
  </w:style>
  <w:style w:type="paragraph" w:customStyle="1" w:styleId="41">
    <w:name w:val="List2"/>
    <w:basedOn w:val="1"/>
    <w:autoRedefine/>
    <w:qFormat/>
    <w:uiPriority w:val="0"/>
    <w:pPr>
      <w:ind w:left="100" w:leftChars="200" w:hanging="200" w:hangingChars="200"/>
      <w:contextualSpacing/>
      <w:textAlignment w:val="baseline"/>
    </w:pPr>
  </w:style>
  <w:style w:type="paragraph" w:customStyle="1" w:styleId="42">
    <w:name w:val="Body text|1"/>
    <w:basedOn w:val="1"/>
    <w:autoRedefine/>
    <w:qFormat/>
    <w:uiPriority w:val="99"/>
    <w:pPr>
      <w:spacing w:line="391" w:lineRule="auto"/>
    </w:pPr>
    <w:rPr>
      <w:rFonts w:ascii="宋体" w:hAnsi="宋体" w:cs="宋体"/>
      <w:sz w:val="26"/>
      <w:szCs w:val="26"/>
    </w:rPr>
  </w:style>
  <w:style w:type="character" w:customStyle="1" w:styleId="43">
    <w:name w:val="font11"/>
    <w:basedOn w:val="26"/>
    <w:autoRedefine/>
    <w:qFormat/>
    <w:uiPriority w:val="0"/>
    <w:rPr>
      <w:rFonts w:ascii="方正仿宋_GBK" w:hAnsi="方正仿宋_GBK" w:eastAsia="方正仿宋_GBK" w:cs="方正仿宋_GBK"/>
      <w:color w:val="000000"/>
      <w:sz w:val="24"/>
      <w:szCs w:val="24"/>
      <w:u w:val="none"/>
    </w:rPr>
  </w:style>
  <w:style w:type="character" w:customStyle="1" w:styleId="44">
    <w:name w:val="font21"/>
    <w:basedOn w:val="26"/>
    <w:autoRedefine/>
    <w:qFormat/>
    <w:uiPriority w:val="0"/>
    <w:rPr>
      <w:rFonts w:hint="default" w:ascii="Times New Roman" w:hAnsi="Times New Roman" w:cs="Times New Roman"/>
      <w:color w:val="000000"/>
      <w:sz w:val="24"/>
      <w:szCs w:val="24"/>
      <w:u w:val="none"/>
    </w:rPr>
  </w:style>
  <w:style w:type="paragraph" w:customStyle="1" w:styleId="45">
    <w:name w:val="!正文"/>
    <w:basedOn w:val="1"/>
    <w:autoRedefine/>
    <w:qFormat/>
    <w:uiPriority w:val="0"/>
    <w:pPr>
      <w:spacing w:line="360" w:lineRule="auto"/>
      <w:ind w:firstLine="200" w:firstLineChars="200"/>
    </w:pPr>
    <w:rPr>
      <w:rFonts w:ascii="宋体" w:hAnsi="宋体"/>
      <w:sz w:val="24"/>
      <w:szCs w:val="28"/>
    </w:rPr>
  </w:style>
  <w:style w:type="paragraph" w:customStyle="1" w:styleId="46">
    <w:name w:val="Table Paragraph"/>
    <w:basedOn w:val="1"/>
    <w:autoRedefine/>
    <w:qFormat/>
    <w:uiPriority w:val="1"/>
  </w:style>
  <w:style w:type="character" w:customStyle="1" w:styleId="47">
    <w:name w:val="font51"/>
    <w:basedOn w:val="26"/>
    <w:autoRedefine/>
    <w:qFormat/>
    <w:uiPriority w:val="0"/>
    <w:rPr>
      <w:rFonts w:hint="eastAsia" w:ascii="宋体" w:hAnsi="宋体" w:eastAsia="宋体" w:cs="宋体"/>
      <w:b/>
      <w:bCs/>
      <w:color w:val="000000"/>
      <w:sz w:val="24"/>
      <w:szCs w:val="24"/>
      <w:u w:val="none"/>
    </w:rPr>
  </w:style>
  <w:style w:type="paragraph" w:customStyle="1" w:styleId="48">
    <w:name w:val="WPSOffice手动目录 1"/>
    <w:autoRedefine/>
    <w:qFormat/>
    <w:uiPriority w:val="0"/>
    <w:pPr>
      <w:ind w:leftChars="0"/>
    </w:pPr>
    <w:rPr>
      <w:rFonts w:ascii="Times New Roman" w:hAnsi="Times New Roman" w:eastAsia="宋体" w:cs="Times New Roman"/>
      <w:sz w:val="20"/>
      <w:szCs w:val="20"/>
    </w:rPr>
  </w:style>
  <w:style w:type="character" w:customStyle="1" w:styleId="49">
    <w:name w:val="font31"/>
    <w:basedOn w:val="26"/>
    <w:autoRedefine/>
    <w:qFormat/>
    <w:uiPriority w:val="0"/>
    <w:rPr>
      <w:rFonts w:hint="default" w:ascii="Times New Roman" w:hAnsi="Times New Roman" w:cs="Times New Roman"/>
      <w:color w:val="000000"/>
      <w:sz w:val="24"/>
      <w:szCs w:val="24"/>
      <w:u w:val="none"/>
      <w:vertAlign w:val="superscript"/>
    </w:rPr>
  </w:style>
  <w:style w:type="character" w:customStyle="1" w:styleId="50">
    <w:name w:val="font41"/>
    <w:basedOn w:val="26"/>
    <w:autoRedefine/>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70</Pages>
  <Words>40746</Words>
  <Characters>43616</Characters>
  <Lines>179</Lines>
  <Paragraphs>50</Paragraphs>
  <TotalTime>1</TotalTime>
  <ScaleCrop>false</ScaleCrop>
  <LinksUpToDate>false</LinksUpToDate>
  <CharactersWithSpaces>45386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2020-09-30T21:46:00Z</dcterms:created>
  <dc:creator>zhihang</dc:creator>
  <cp:lastModifiedBy>钟灵毓秀</cp:lastModifiedBy>
  <cp:lastPrinted>2024-02-23T07:23:00Z</cp:lastPrinted>
  <dcterms:modified xsi:type="dcterms:W3CDTF">2024-04-18T08:29:04Z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D5FE388479C043E69E917E59194FDB8F_13</vt:lpwstr>
  </property>
</Properties>
</file>