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4444D0">
      <w:pPr>
        <w:pStyle w:val="2"/>
        <w:jc w:val="center"/>
        <w:rPr>
          <w:rFonts w:hint="eastAsia" w:ascii="宋体" w:hAnsi="宋体"/>
          <w:color w:val="auto"/>
          <w:highlight w:val="none"/>
        </w:rPr>
      </w:pPr>
      <w:bookmarkStart w:id="9" w:name="_GoBack"/>
      <w:bookmarkEnd w:id="9"/>
      <w:bookmarkStart w:id="0" w:name="_Toc14147"/>
      <w:bookmarkStart w:id="1" w:name="_Toc6022"/>
      <w:r>
        <w:rPr>
          <w:rFonts w:hint="eastAsia" w:ascii="宋体" w:hAnsi="宋体"/>
          <w:color w:val="auto"/>
          <w:szCs w:val="36"/>
          <w:highlight w:val="none"/>
        </w:rPr>
        <w:t xml:space="preserve"> </w:t>
      </w:r>
      <w:r>
        <w:rPr>
          <w:rFonts w:hint="eastAsia" w:ascii="宋体" w:hAnsi="宋体"/>
          <w:b w:val="0"/>
          <w:bCs w:val="0"/>
          <w:color w:val="auto"/>
          <w:highlight w:val="none"/>
        </w:rPr>
        <w:t xml:space="preserve"> </w:t>
      </w:r>
      <w:r>
        <w:rPr>
          <w:rFonts w:hint="eastAsia" w:ascii="宋体" w:hAnsi="宋体"/>
          <w:color w:val="auto"/>
          <w:szCs w:val="36"/>
          <w:highlight w:val="none"/>
        </w:rPr>
        <w:t>采购需求</w:t>
      </w:r>
      <w:bookmarkEnd w:id="0"/>
      <w:bookmarkEnd w:id="1"/>
    </w:p>
    <w:p w14:paraId="039258C4">
      <w:pPr>
        <w:spacing w:before="124" w:beforeLines="40" w:after="124" w:afterLines="4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前注：</w:t>
      </w:r>
    </w:p>
    <w:p w14:paraId="45EF0541">
      <w:pPr>
        <w:adjustRightInd w:val="0"/>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本采购需求中提出的技术方案仅为参考，如无明确限制，投标供应商可以进行优化，提供满足采购人实际需要的更优（或者性能实质上不低于的）技术方案或者设备配置，且此方案或配置须经评标委员会评审认可；</w:t>
      </w:r>
      <w:r>
        <w:rPr>
          <w:rFonts w:hint="eastAsia" w:ascii="宋体" w:hAnsi="宋体"/>
          <w:color w:val="auto"/>
          <w:szCs w:val="21"/>
          <w:highlight w:val="none"/>
        </w:rPr>
        <w:cr/>
      </w:r>
      <w:r>
        <w:rPr>
          <w:rFonts w:hint="eastAsia" w:ascii="宋体" w:hAnsi="宋体"/>
          <w:color w:val="auto"/>
          <w:szCs w:val="21"/>
          <w:highlight w:val="none"/>
        </w:rPr>
        <w:t xml:space="preserve">    2.投标供应商应当在投标文件中列出完成本项目并通过验收所需的所有各项服务等明细表及全部费用。中标供应商必须确保整体通过采购人及有关主管部门验收；投标供应商应自行踏勘项目现场，如投标供应商因未及时踏勘现场而导致的报价缺项漏项废标、或中标后无法完工，投标供应商自行承担一切后果；</w:t>
      </w:r>
    </w:p>
    <w:p w14:paraId="1B184975">
      <w:pPr>
        <w:adjustRightInd w:val="0"/>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如涉及商品包装和快递包装，投标人应当执行《关于印发〈商品包装政府采购需求标准（试行）〉、〈快递包装政府采购需求标准（试行）〉的通知》（财办库〔2020〕123号）、《安徽省财政厅关于贯彻落实政府绿色采购有关政策的通知》（皖财购〔2023〕853号）的要求，提供符合需求标准的绿色包装、绿色运输，同时，采购人将对包装材料和运输环节作为履约验收条款进行验收；</w:t>
      </w:r>
    </w:p>
    <w:p w14:paraId="1FF44529">
      <w:pPr>
        <w:adjustRightInd w:val="0"/>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4.本章中标注“▲”的产品为主要标的（包括核心产品）。</w:t>
      </w:r>
    </w:p>
    <w:p w14:paraId="5ACF7E37">
      <w:pPr>
        <w:adjustRightInd w:val="0"/>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5.本章中标注“★”的参数为实质性参数，供应商必须满足并提供招标文件规定的证明材料。若招标文件未明确要求何种证明材料，则以制造商公开发布的资料或检测机构出具的检测报告为准。若制造商公开发布的资料与检测机构出具的检测报告不一致，以检测机构出具的检测报告为准。</w:t>
      </w:r>
      <w:bookmarkStart w:id="2" w:name="_Hlk130665727"/>
    </w:p>
    <w:p w14:paraId="6E94E698">
      <w:pPr>
        <w:adjustRightInd w:val="0"/>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6、采购需求中：标注▲的产品，投标供应商在投标文件《主要中标标的承诺函》中填写名称、规格、型号、数量、单价等信息，承诺函随评审结果一并公告。</w:t>
      </w:r>
    </w:p>
    <w:bookmarkEnd w:id="2"/>
    <w:p w14:paraId="2194E0BE">
      <w:pPr>
        <w:adjustRightInd w:val="0"/>
        <w:snapToGrid w:val="0"/>
        <w:spacing w:before="124" w:beforeLines="40" w:after="124" w:afterLines="40" w:line="400" w:lineRule="exact"/>
        <w:ind w:firstLine="420" w:firstLineChars="200"/>
        <w:jc w:val="left"/>
        <w:rPr>
          <w:rFonts w:hint="eastAsia" w:ascii="宋体" w:hAnsi="宋体"/>
          <w:color w:val="auto"/>
          <w:szCs w:val="21"/>
          <w:highlight w:val="none"/>
        </w:rPr>
      </w:pPr>
    </w:p>
    <w:p w14:paraId="581367A4">
      <w:pPr>
        <w:pStyle w:val="3"/>
        <w:rPr>
          <w:color w:val="auto"/>
          <w:highlight w:val="none"/>
        </w:rPr>
      </w:pPr>
    </w:p>
    <w:p w14:paraId="451B8A13">
      <w:pPr>
        <w:adjustRightInd w:val="0"/>
        <w:snapToGrid w:val="0"/>
        <w:spacing w:before="124" w:beforeLines="40" w:after="124" w:afterLines="40" w:line="400" w:lineRule="exact"/>
        <w:jc w:val="left"/>
        <w:rPr>
          <w:rFonts w:hint="eastAsia" w:ascii="宋体" w:hAnsi="宋体"/>
          <w:color w:val="auto"/>
          <w:szCs w:val="21"/>
          <w:highlight w:val="none"/>
        </w:rPr>
      </w:pPr>
    </w:p>
    <w:p w14:paraId="741E3E4F">
      <w:pPr>
        <w:spacing w:line="360" w:lineRule="auto"/>
        <w:ind w:firstLine="437"/>
        <w:outlineLvl w:val="1"/>
        <w:rPr>
          <w:rFonts w:hint="eastAsia" w:ascii="宋体" w:hAnsi="宋体" w:cs="宋体"/>
          <w:b/>
          <w:color w:val="auto"/>
          <w:sz w:val="24"/>
          <w:szCs w:val="24"/>
          <w:highlight w:val="none"/>
        </w:rPr>
      </w:pPr>
      <w:bookmarkStart w:id="3" w:name="_Toc32151"/>
      <w:bookmarkStart w:id="4" w:name="_Toc2554"/>
      <w:r>
        <w:rPr>
          <w:rFonts w:hint="eastAsia" w:ascii="宋体" w:hAnsi="宋体" w:cs="宋体"/>
          <w:b/>
          <w:color w:val="auto"/>
          <w:szCs w:val="21"/>
          <w:highlight w:val="none"/>
        </w:rPr>
        <w:br w:type="page"/>
      </w:r>
      <w:r>
        <w:rPr>
          <w:rFonts w:hint="eastAsia" w:ascii="宋体" w:hAnsi="宋体" w:cs="宋体"/>
          <w:b/>
          <w:color w:val="auto"/>
          <w:sz w:val="24"/>
          <w:szCs w:val="24"/>
          <w:highlight w:val="none"/>
        </w:rPr>
        <w:t>一、采购需求前附表</w:t>
      </w:r>
      <w:bookmarkEnd w:id="3"/>
      <w:bookmarkEnd w:id="4"/>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100"/>
        <w:gridCol w:w="5985"/>
      </w:tblGrid>
      <w:tr w14:paraId="1F256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noWrap w:val="0"/>
            <w:vAlign w:val="top"/>
          </w:tcPr>
          <w:p w14:paraId="54E40BCA">
            <w:pPr>
              <w:spacing w:before="124" w:beforeLines="40" w:after="124" w:afterLines="40" w:line="400" w:lineRule="exact"/>
              <w:jc w:val="center"/>
              <w:rPr>
                <w:rFonts w:hint="eastAsia" w:ascii="宋体" w:hAnsi="宋体"/>
                <w:b/>
                <w:color w:val="auto"/>
                <w:sz w:val="24"/>
                <w:szCs w:val="24"/>
                <w:highlight w:val="none"/>
              </w:rPr>
            </w:pPr>
            <w:bookmarkStart w:id="5" w:name="_Toc5944"/>
            <w:bookmarkStart w:id="6" w:name="_Toc7671"/>
            <w:r>
              <w:rPr>
                <w:rFonts w:hint="eastAsia" w:ascii="宋体" w:hAnsi="宋体"/>
                <w:b/>
                <w:color w:val="auto"/>
                <w:sz w:val="24"/>
                <w:szCs w:val="24"/>
                <w:highlight w:val="none"/>
              </w:rPr>
              <w:t>序号</w:t>
            </w:r>
          </w:p>
        </w:tc>
        <w:tc>
          <w:tcPr>
            <w:tcW w:w="2100" w:type="dxa"/>
            <w:noWrap w:val="0"/>
            <w:vAlign w:val="top"/>
          </w:tcPr>
          <w:p w14:paraId="63D00A6E">
            <w:pPr>
              <w:spacing w:before="124" w:beforeLines="40" w:after="124" w:afterLines="40" w:line="400" w:lineRule="exact"/>
              <w:jc w:val="center"/>
              <w:rPr>
                <w:rFonts w:hint="eastAsia"/>
                <w:b/>
                <w:color w:val="auto"/>
                <w:sz w:val="24"/>
                <w:szCs w:val="24"/>
                <w:highlight w:val="none"/>
              </w:rPr>
            </w:pPr>
            <w:r>
              <w:rPr>
                <w:rFonts w:hint="eastAsia" w:ascii="宋体" w:hAnsi="宋体"/>
                <w:b/>
                <w:color w:val="auto"/>
                <w:sz w:val="24"/>
                <w:szCs w:val="24"/>
                <w:highlight w:val="none"/>
              </w:rPr>
              <w:t>条款名称</w:t>
            </w:r>
          </w:p>
        </w:tc>
        <w:tc>
          <w:tcPr>
            <w:tcW w:w="5985" w:type="dxa"/>
            <w:noWrap w:val="0"/>
            <w:vAlign w:val="top"/>
          </w:tcPr>
          <w:p w14:paraId="6A030EA4">
            <w:pPr>
              <w:spacing w:before="124" w:beforeLines="40" w:after="124" w:afterLines="40" w:line="400" w:lineRule="exact"/>
              <w:jc w:val="center"/>
              <w:rPr>
                <w:rFonts w:hint="eastAsia"/>
                <w:b/>
                <w:color w:val="auto"/>
                <w:sz w:val="24"/>
                <w:szCs w:val="24"/>
                <w:highlight w:val="none"/>
              </w:rPr>
            </w:pPr>
            <w:r>
              <w:rPr>
                <w:rFonts w:hint="eastAsia"/>
                <w:b/>
                <w:color w:val="auto"/>
                <w:sz w:val="24"/>
                <w:szCs w:val="24"/>
                <w:highlight w:val="none"/>
              </w:rPr>
              <w:t>内容、说明与要求</w:t>
            </w:r>
          </w:p>
        </w:tc>
      </w:tr>
      <w:tr w14:paraId="22010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840" w:type="dxa"/>
            <w:noWrap w:val="0"/>
            <w:vAlign w:val="top"/>
          </w:tcPr>
          <w:p w14:paraId="10558117">
            <w:pPr>
              <w:spacing w:before="124" w:beforeLines="40" w:after="124" w:afterLines="40" w:line="400" w:lineRule="exact"/>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2100" w:type="dxa"/>
            <w:noWrap w:val="0"/>
            <w:vAlign w:val="center"/>
          </w:tcPr>
          <w:p w14:paraId="27A41065">
            <w:pPr>
              <w:spacing w:before="124" w:beforeLines="40" w:after="124" w:afterLines="40" w:line="400" w:lineRule="exact"/>
              <w:jc w:val="center"/>
              <w:rPr>
                <w:rFonts w:hint="eastAsia"/>
                <w:color w:val="auto"/>
                <w:sz w:val="24"/>
                <w:szCs w:val="24"/>
                <w:highlight w:val="none"/>
              </w:rPr>
            </w:pPr>
            <w:r>
              <w:rPr>
                <w:rFonts w:hint="eastAsia"/>
                <w:color w:val="auto"/>
                <w:sz w:val="24"/>
                <w:szCs w:val="24"/>
                <w:highlight w:val="none"/>
              </w:rPr>
              <w:t>付款方式</w:t>
            </w:r>
          </w:p>
        </w:tc>
        <w:tc>
          <w:tcPr>
            <w:tcW w:w="5985" w:type="dxa"/>
            <w:noWrap w:val="0"/>
            <w:vAlign w:val="top"/>
          </w:tcPr>
          <w:p w14:paraId="4F0A9D90">
            <w:pPr>
              <w:spacing w:before="124" w:beforeLines="40" w:after="124" w:afterLines="40" w:line="400" w:lineRule="exact"/>
              <w:rPr>
                <w:color w:val="auto"/>
                <w:sz w:val="24"/>
                <w:szCs w:val="24"/>
                <w:highlight w:val="none"/>
              </w:rPr>
            </w:pPr>
            <w:r>
              <w:rPr>
                <w:rFonts w:hint="eastAsia"/>
                <w:color w:val="auto"/>
                <w:sz w:val="24"/>
                <w:szCs w:val="24"/>
                <w:highlight w:val="none"/>
              </w:rPr>
              <w:t xml:space="preserve">详见投标供应商须知前附表 </w:t>
            </w:r>
          </w:p>
        </w:tc>
      </w:tr>
      <w:tr w14:paraId="615AB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noWrap w:val="0"/>
            <w:vAlign w:val="top"/>
          </w:tcPr>
          <w:p w14:paraId="4D725A0D">
            <w:pPr>
              <w:spacing w:before="124" w:beforeLines="40" w:after="124" w:afterLines="40" w:line="400" w:lineRule="exact"/>
              <w:jc w:val="center"/>
              <w:rPr>
                <w:rFonts w:hint="eastAsia" w:ascii="宋体" w:hAnsi="宋体"/>
                <w:color w:val="auto"/>
                <w:sz w:val="24"/>
                <w:szCs w:val="24"/>
                <w:highlight w:val="none"/>
              </w:rPr>
            </w:pPr>
            <w:r>
              <w:rPr>
                <w:rFonts w:hint="eastAsia" w:ascii="宋体" w:hAnsi="宋体"/>
                <w:color w:val="auto"/>
                <w:sz w:val="24"/>
                <w:szCs w:val="24"/>
                <w:highlight w:val="none"/>
              </w:rPr>
              <w:t>2</w:t>
            </w:r>
          </w:p>
        </w:tc>
        <w:tc>
          <w:tcPr>
            <w:tcW w:w="2100" w:type="dxa"/>
            <w:noWrap w:val="0"/>
            <w:vAlign w:val="center"/>
          </w:tcPr>
          <w:p w14:paraId="787FF025">
            <w:pPr>
              <w:spacing w:before="124" w:beforeLines="40" w:after="124" w:afterLines="40" w:line="400" w:lineRule="exact"/>
              <w:jc w:val="center"/>
              <w:rPr>
                <w:rFonts w:hint="eastAsia"/>
                <w:color w:val="auto"/>
                <w:sz w:val="24"/>
                <w:szCs w:val="24"/>
                <w:highlight w:val="none"/>
              </w:rPr>
            </w:pPr>
            <w:r>
              <w:rPr>
                <w:rFonts w:hint="eastAsia"/>
                <w:color w:val="auto"/>
                <w:sz w:val="24"/>
                <w:szCs w:val="24"/>
                <w:highlight w:val="none"/>
              </w:rPr>
              <w:t>交货期</w:t>
            </w:r>
          </w:p>
        </w:tc>
        <w:tc>
          <w:tcPr>
            <w:tcW w:w="5985" w:type="dxa"/>
            <w:noWrap w:val="0"/>
            <w:vAlign w:val="top"/>
          </w:tcPr>
          <w:p w14:paraId="7C209293">
            <w:pPr>
              <w:spacing w:before="124" w:beforeLines="40" w:after="124" w:afterLines="40" w:line="400" w:lineRule="exact"/>
              <w:rPr>
                <w:rFonts w:hint="eastAsia"/>
                <w:color w:val="auto"/>
                <w:sz w:val="24"/>
                <w:szCs w:val="24"/>
                <w:highlight w:val="none"/>
              </w:rPr>
            </w:pPr>
            <w:r>
              <w:rPr>
                <w:rFonts w:hint="eastAsia"/>
                <w:color w:val="auto"/>
                <w:sz w:val="24"/>
                <w:szCs w:val="24"/>
                <w:highlight w:val="none"/>
              </w:rPr>
              <w:t xml:space="preserve">详见投标供应商须知前附表 </w:t>
            </w:r>
          </w:p>
        </w:tc>
      </w:tr>
      <w:tr w14:paraId="2F33D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40" w:type="dxa"/>
            <w:noWrap w:val="0"/>
            <w:vAlign w:val="top"/>
          </w:tcPr>
          <w:p w14:paraId="55999975">
            <w:pPr>
              <w:spacing w:before="124" w:beforeLines="40" w:after="124" w:afterLines="40" w:line="400" w:lineRule="exact"/>
              <w:jc w:val="center"/>
              <w:rPr>
                <w:rFonts w:hint="eastAsia" w:ascii="宋体" w:hAnsi="宋体"/>
                <w:color w:val="auto"/>
                <w:sz w:val="24"/>
                <w:szCs w:val="24"/>
                <w:highlight w:val="none"/>
              </w:rPr>
            </w:pPr>
            <w:r>
              <w:rPr>
                <w:rFonts w:hint="eastAsia" w:ascii="宋体" w:hAnsi="宋体"/>
                <w:color w:val="auto"/>
                <w:sz w:val="24"/>
                <w:szCs w:val="24"/>
                <w:highlight w:val="none"/>
              </w:rPr>
              <w:t>3</w:t>
            </w:r>
          </w:p>
        </w:tc>
        <w:tc>
          <w:tcPr>
            <w:tcW w:w="2100" w:type="dxa"/>
            <w:noWrap w:val="0"/>
            <w:vAlign w:val="center"/>
          </w:tcPr>
          <w:p w14:paraId="5273E682">
            <w:pPr>
              <w:spacing w:before="124" w:beforeLines="40" w:after="124" w:afterLines="40" w:line="400" w:lineRule="exact"/>
              <w:jc w:val="center"/>
              <w:rPr>
                <w:rFonts w:hint="eastAsia"/>
                <w:color w:val="auto"/>
                <w:sz w:val="24"/>
                <w:szCs w:val="24"/>
                <w:highlight w:val="none"/>
              </w:rPr>
            </w:pPr>
            <w:r>
              <w:rPr>
                <w:rFonts w:hint="eastAsia"/>
                <w:color w:val="auto"/>
                <w:sz w:val="24"/>
                <w:szCs w:val="24"/>
                <w:highlight w:val="none"/>
              </w:rPr>
              <w:t>质保期（如有）</w:t>
            </w:r>
          </w:p>
        </w:tc>
        <w:tc>
          <w:tcPr>
            <w:tcW w:w="5985" w:type="dxa"/>
            <w:noWrap w:val="0"/>
            <w:vAlign w:val="top"/>
          </w:tcPr>
          <w:p w14:paraId="793D6248">
            <w:pPr>
              <w:spacing w:before="124" w:beforeLines="40" w:after="124" w:afterLines="40" w:line="400" w:lineRule="exact"/>
              <w:rPr>
                <w:rFonts w:hint="eastAsia"/>
                <w:color w:val="auto"/>
                <w:sz w:val="24"/>
                <w:szCs w:val="24"/>
                <w:highlight w:val="none"/>
              </w:rPr>
            </w:pPr>
            <w:r>
              <w:rPr>
                <w:rFonts w:hint="eastAsia"/>
                <w:color w:val="auto"/>
                <w:sz w:val="24"/>
                <w:szCs w:val="24"/>
                <w:highlight w:val="none"/>
              </w:rPr>
              <w:t xml:space="preserve">详见投标供应商须知前附表 </w:t>
            </w:r>
          </w:p>
        </w:tc>
      </w:tr>
      <w:tr w14:paraId="6C314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noWrap w:val="0"/>
            <w:vAlign w:val="top"/>
          </w:tcPr>
          <w:p w14:paraId="45A1C80C">
            <w:pPr>
              <w:spacing w:before="124" w:beforeLines="40" w:after="124" w:afterLines="40" w:line="400" w:lineRule="exact"/>
              <w:jc w:val="center"/>
              <w:rPr>
                <w:rFonts w:hint="eastAsia" w:ascii="宋体" w:hAnsi="宋体"/>
                <w:color w:val="auto"/>
                <w:sz w:val="24"/>
                <w:szCs w:val="24"/>
                <w:highlight w:val="none"/>
              </w:rPr>
            </w:pPr>
            <w:r>
              <w:rPr>
                <w:rFonts w:hint="eastAsia" w:ascii="宋体" w:hAnsi="宋体"/>
                <w:color w:val="auto"/>
                <w:sz w:val="24"/>
                <w:szCs w:val="24"/>
                <w:highlight w:val="none"/>
              </w:rPr>
              <w:t>4</w:t>
            </w:r>
          </w:p>
        </w:tc>
        <w:tc>
          <w:tcPr>
            <w:tcW w:w="2100" w:type="dxa"/>
            <w:noWrap w:val="0"/>
            <w:vAlign w:val="center"/>
          </w:tcPr>
          <w:p w14:paraId="3F6D1B7A">
            <w:pPr>
              <w:spacing w:before="124" w:beforeLines="40" w:after="124" w:afterLines="40" w:line="400" w:lineRule="exact"/>
              <w:jc w:val="center"/>
              <w:rPr>
                <w:rFonts w:hint="eastAsia"/>
                <w:color w:val="auto"/>
                <w:sz w:val="24"/>
                <w:szCs w:val="24"/>
                <w:highlight w:val="none"/>
              </w:rPr>
            </w:pPr>
            <w:r>
              <w:rPr>
                <w:rFonts w:hint="eastAsia"/>
                <w:color w:val="auto"/>
                <w:sz w:val="24"/>
                <w:szCs w:val="24"/>
                <w:highlight w:val="none"/>
              </w:rPr>
              <w:t>本项目采购标的所属行业</w:t>
            </w:r>
          </w:p>
        </w:tc>
        <w:tc>
          <w:tcPr>
            <w:tcW w:w="5985" w:type="dxa"/>
            <w:noWrap w:val="0"/>
            <w:vAlign w:val="top"/>
          </w:tcPr>
          <w:p w14:paraId="2B246B16">
            <w:pPr>
              <w:spacing w:before="124" w:beforeLines="40" w:after="124" w:afterLines="40" w:line="400" w:lineRule="exact"/>
              <w:rPr>
                <w:rFonts w:hint="eastAsia"/>
                <w:color w:val="auto"/>
                <w:sz w:val="24"/>
                <w:szCs w:val="24"/>
                <w:highlight w:val="none"/>
              </w:rPr>
            </w:pPr>
            <w:r>
              <w:rPr>
                <w:rFonts w:hint="eastAsia"/>
                <w:color w:val="auto"/>
                <w:sz w:val="24"/>
                <w:szCs w:val="24"/>
                <w:highlight w:val="none"/>
              </w:rPr>
              <w:t>工业</w:t>
            </w:r>
          </w:p>
        </w:tc>
      </w:tr>
    </w:tbl>
    <w:p w14:paraId="0B9A7D5A">
      <w:pPr>
        <w:spacing w:line="360" w:lineRule="auto"/>
        <w:rPr>
          <w:rFonts w:hint="eastAsia" w:ascii="宋体" w:hAnsi="宋体" w:cs="宋体"/>
          <w:b/>
          <w:bCs/>
          <w:color w:val="auto"/>
          <w:sz w:val="24"/>
          <w:szCs w:val="24"/>
          <w:highlight w:val="none"/>
        </w:rPr>
      </w:pPr>
    </w:p>
    <w:p w14:paraId="1D480E22">
      <w:pPr>
        <w:numPr>
          <w:ilvl w:val="0"/>
          <w:numId w:val="1"/>
        </w:numPr>
        <w:spacing w:line="360" w:lineRule="auto"/>
        <w:ind w:firstLine="437"/>
        <w:outlineLvl w:val="1"/>
        <w:rPr>
          <w:rFonts w:hint="eastAsia"/>
          <w:color w:val="auto"/>
          <w:sz w:val="24"/>
          <w:szCs w:val="24"/>
          <w:highlight w:val="none"/>
        </w:rPr>
      </w:pPr>
      <w:r>
        <w:rPr>
          <w:rFonts w:hint="eastAsia" w:ascii="宋体" w:hAnsi="宋体" w:cs="宋体"/>
          <w:b/>
          <w:color w:val="auto"/>
          <w:sz w:val="24"/>
          <w:szCs w:val="24"/>
          <w:highlight w:val="none"/>
        </w:rPr>
        <w:t>货物</w:t>
      </w:r>
      <w:r>
        <w:rPr>
          <w:rFonts w:hint="eastAsia" w:ascii="宋体" w:hAnsi="宋体" w:cs="宋体"/>
          <w:b/>
          <w:bCs/>
          <w:color w:val="auto"/>
          <w:sz w:val="24"/>
          <w:szCs w:val="24"/>
          <w:highlight w:val="none"/>
        </w:rPr>
        <w:t>需求</w:t>
      </w:r>
      <w:bookmarkEnd w:id="5"/>
      <w:bookmarkEnd w:id="6"/>
    </w:p>
    <w:p w14:paraId="4CC96D7A">
      <w:pPr>
        <w:pStyle w:val="5"/>
        <w:ind w:left="0"/>
        <w:outlineLvl w:val="1"/>
        <w:rPr>
          <w:b/>
          <w:bCs/>
          <w:color w:val="auto"/>
          <w:sz w:val="24"/>
          <w:highlight w:val="none"/>
        </w:rPr>
      </w:pPr>
      <w:r>
        <w:rPr>
          <w:rFonts w:hint="eastAsia"/>
          <w:b/>
          <w:bCs/>
          <w:color w:val="auto"/>
          <w:sz w:val="24"/>
          <w:highlight w:val="none"/>
        </w:rPr>
        <w:t>（一）货物需求一览表</w:t>
      </w:r>
    </w:p>
    <w:tbl>
      <w:tblPr>
        <w:tblStyle w:val="6"/>
        <w:tblW w:w="55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1153"/>
        <w:gridCol w:w="1219"/>
        <w:gridCol w:w="1202"/>
        <w:gridCol w:w="1027"/>
        <w:gridCol w:w="960"/>
        <w:gridCol w:w="1165"/>
        <w:gridCol w:w="1129"/>
        <w:gridCol w:w="848"/>
      </w:tblGrid>
      <w:tr w14:paraId="3619F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413" w:type="pct"/>
            <w:vMerge w:val="restart"/>
            <w:noWrap w:val="0"/>
            <w:vAlign w:val="center"/>
          </w:tcPr>
          <w:p w14:paraId="757549BA">
            <w:pPr>
              <w:adjustRightInd w:val="0"/>
              <w:snapToGrid w:val="0"/>
              <w:spacing w:line="312"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序号</w:t>
            </w:r>
          </w:p>
        </w:tc>
        <w:tc>
          <w:tcPr>
            <w:tcW w:w="607" w:type="pct"/>
            <w:vMerge w:val="restart"/>
            <w:noWrap w:val="0"/>
            <w:vAlign w:val="center"/>
          </w:tcPr>
          <w:p w14:paraId="6953ED54">
            <w:pPr>
              <w:adjustRightInd w:val="0"/>
              <w:snapToGrid w:val="0"/>
              <w:spacing w:line="312"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货物名称</w:t>
            </w:r>
          </w:p>
        </w:tc>
        <w:tc>
          <w:tcPr>
            <w:tcW w:w="641" w:type="pct"/>
            <w:vMerge w:val="restart"/>
            <w:noWrap w:val="0"/>
            <w:vAlign w:val="center"/>
          </w:tcPr>
          <w:p w14:paraId="4A2AB9B9">
            <w:pPr>
              <w:adjustRightInd w:val="0"/>
              <w:snapToGrid w:val="0"/>
              <w:spacing w:line="312"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数量</w:t>
            </w:r>
          </w:p>
          <w:p w14:paraId="6BB08567">
            <w:pPr>
              <w:adjustRightInd w:val="0"/>
              <w:snapToGrid w:val="0"/>
              <w:spacing w:line="312"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（单位）</w:t>
            </w:r>
          </w:p>
        </w:tc>
        <w:tc>
          <w:tcPr>
            <w:tcW w:w="632" w:type="pct"/>
            <w:vMerge w:val="restart"/>
            <w:noWrap w:val="0"/>
            <w:vAlign w:val="center"/>
          </w:tcPr>
          <w:p w14:paraId="53A17039">
            <w:pPr>
              <w:adjustRightInd w:val="0"/>
              <w:snapToGrid w:val="0"/>
              <w:spacing w:line="312"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所属</w:t>
            </w:r>
          </w:p>
          <w:p w14:paraId="38AF4481">
            <w:pPr>
              <w:adjustRightInd w:val="0"/>
              <w:snapToGrid w:val="0"/>
              <w:spacing w:line="312"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行业</w:t>
            </w:r>
          </w:p>
        </w:tc>
        <w:tc>
          <w:tcPr>
            <w:tcW w:w="1047" w:type="pct"/>
            <w:gridSpan w:val="2"/>
            <w:noWrap w:val="0"/>
            <w:vAlign w:val="center"/>
          </w:tcPr>
          <w:p w14:paraId="18366BB1">
            <w:pPr>
              <w:adjustRightInd w:val="0"/>
              <w:snapToGrid w:val="0"/>
              <w:spacing w:line="312"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是否为节能产品</w:t>
            </w:r>
          </w:p>
        </w:tc>
        <w:tc>
          <w:tcPr>
            <w:tcW w:w="614" w:type="pct"/>
            <w:vMerge w:val="restart"/>
            <w:noWrap w:val="0"/>
            <w:vAlign w:val="center"/>
          </w:tcPr>
          <w:p w14:paraId="07A3683F">
            <w:pPr>
              <w:adjustRightInd w:val="0"/>
              <w:snapToGrid w:val="0"/>
              <w:spacing w:line="312"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是否为优先采购环境标志产品</w:t>
            </w:r>
          </w:p>
        </w:tc>
        <w:tc>
          <w:tcPr>
            <w:tcW w:w="595" w:type="pct"/>
            <w:vMerge w:val="restart"/>
            <w:noWrap w:val="0"/>
            <w:vAlign w:val="center"/>
          </w:tcPr>
          <w:p w14:paraId="21CD96AD">
            <w:pPr>
              <w:adjustRightInd w:val="0"/>
              <w:snapToGrid w:val="0"/>
              <w:spacing w:line="312"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标的性质（货物/服务）</w:t>
            </w:r>
          </w:p>
        </w:tc>
        <w:tc>
          <w:tcPr>
            <w:tcW w:w="447" w:type="pct"/>
            <w:vMerge w:val="restart"/>
            <w:noWrap w:val="0"/>
            <w:vAlign w:val="center"/>
          </w:tcPr>
          <w:p w14:paraId="082607FC">
            <w:pPr>
              <w:adjustRightInd w:val="0"/>
              <w:snapToGrid w:val="0"/>
              <w:spacing w:line="312"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备注</w:t>
            </w:r>
          </w:p>
        </w:tc>
      </w:tr>
      <w:tr w14:paraId="6F618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13" w:type="pct"/>
            <w:vMerge w:val="continue"/>
            <w:noWrap w:val="0"/>
            <w:vAlign w:val="center"/>
          </w:tcPr>
          <w:p w14:paraId="5B7E8EB7">
            <w:pPr>
              <w:adjustRightInd w:val="0"/>
              <w:snapToGrid w:val="0"/>
              <w:spacing w:line="312" w:lineRule="auto"/>
              <w:jc w:val="center"/>
              <w:rPr>
                <w:rFonts w:hint="eastAsia" w:ascii="宋体" w:hAnsi="宋体" w:cs="宋体"/>
                <w:b/>
                <w:bCs/>
                <w:color w:val="auto"/>
                <w:sz w:val="24"/>
                <w:szCs w:val="24"/>
                <w:highlight w:val="none"/>
              </w:rPr>
            </w:pPr>
          </w:p>
        </w:tc>
        <w:tc>
          <w:tcPr>
            <w:tcW w:w="607" w:type="pct"/>
            <w:vMerge w:val="continue"/>
            <w:noWrap w:val="0"/>
            <w:vAlign w:val="center"/>
          </w:tcPr>
          <w:p w14:paraId="410ED419">
            <w:pPr>
              <w:adjustRightInd w:val="0"/>
              <w:snapToGrid w:val="0"/>
              <w:spacing w:line="312" w:lineRule="auto"/>
              <w:jc w:val="center"/>
              <w:rPr>
                <w:rFonts w:hint="eastAsia" w:ascii="宋体" w:hAnsi="宋体" w:cs="宋体"/>
                <w:b/>
                <w:bCs/>
                <w:color w:val="auto"/>
                <w:sz w:val="24"/>
                <w:szCs w:val="24"/>
                <w:highlight w:val="none"/>
              </w:rPr>
            </w:pPr>
          </w:p>
        </w:tc>
        <w:tc>
          <w:tcPr>
            <w:tcW w:w="641" w:type="pct"/>
            <w:vMerge w:val="continue"/>
            <w:noWrap w:val="0"/>
            <w:vAlign w:val="center"/>
          </w:tcPr>
          <w:p w14:paraId="6EA11ED9">
            <w:pPr>
              <w:adjustRightInd w:val="0"/>
              <w:snapToGrid w:val="0"/>
              <w:spacing w:line="312" w:lineRule="auto"/>
              <w:jc w:val="center"/>
              <w:rPr>
                <w:rFonts w:hint="eastAsia" w:ascii="宋体" w:hAnsi="宋体" w:cs="宋体"/>
                <w:b/>
                <w:bCs/>
                <w:color w:val="auto"/>
                <w:sz w:val="24"/>
                <w:szCs w:val="24"/>
                <w:highlight w:val="none"/>
              </w:rPr>
            </w:pPr>
          </w:p>
        </w:tc>
        <w:tc>
          <w:tcPr>
            <w:tcW w:w="632" w:type="pct"/>
            <w:vMerge w:val="continue"/>
            <w:noWrap w:val="0"/>
            <w:vAlign w:val="center"/>
          </w:tcPr>
          <w:p w14:paraId="0EA77EFF">
            <w:pPr>
              <w:adjustRightInd w:val="0"/>
              <w:snapToGrid w:val="0"/>
              <w:spacing w:line="312" w:lineRule="auto"/>
              <w:jc w:val="center"/>
              <w:rPr>
                <w:rFonts w:hint="eastAsia" w:ascii="宋体" w:hAnsi="宋体" w:cs="宋体"/>
                <w:b/>
                <w:bCs/>
                <w:color w:val="auto"/>
                <w:sz w:val="24"/>
                <w:szCs w:val="24"/>
                <w:highlight w:val="none"/>
              </w:rPr>
            </w:pPr>
          </w:p>
        </w:tc>
        <w:tc>
          <w:tcPr>
            <w:tcW w:w="541" w:type="pct"/>
            <w:noWrap w:val="0"/>
            <w:vAlign w:val="center"/>
          </w:tcPr>
          <w:p w14:paraId="7C9D8671">
            <w:pPr>
              <w:adjustRightInd w:val="0"/>
              <w:snapToGrid w:val="0"/>
              <w:spacing w:line="312"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强制采购</w:t>
            </w:r>
          </w:p>
        </w:tc>
        <w:tc>
          <w:tcPr>
            <w:tcW w:w="505" w:type="pct"/>
            <w:noWrap w:val="0"/>
            <w:vAlign w:val="center"/>
          </w:tcPr>
          <w:p w14:paraId="7C097741">
            <w:pPr>
              <w:adjustRightInd w:val="0"/>
              <w:snapToGrid w:val="0"/>
              <w:spacing w:line="312"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优先采购</w:t>
            </w:r>
          </w:p>
        </w:tc>
        <w:tc>
          <w:tcPr>
            <w:tcW w:w="614" w:type="pct"/>
            <w:vMerge w:val="continue"/>
            <w:noWrap w:val="0"/>
            <w:vAlign w:val="center"/>
          </w:tcPr>
          <w:p w14:paraId="5A3BA264">
            <w:pPr>
              <w:adjustRightInd w:val="0"/>
              <w:snapToGrid w:val="0"/>
              <w:spacing w:line="312" w:lineRule="auto"/>
              <w:jc w:val="center"/>
              <w:rPr>
                <w:rFonts w:hint="eastAsia" w:ascii="宋体" w:hAnsi="宋体" w:cs="宋体"/>
                <w:b/>
                <w:bCs/>
                <w:color w:val="auto"/>
                <w:sz w:val="24"/>
                <w:szCs w:val="24"/>
                <w:highlight w:val="none"/>
              </w:rPr>
            </w:pPr>
          </w:p>
        </w:tc>
        <w:tc>
          <w:tcPr>
            <w:tcW w:w="595" w:type="pct"/>
            <w:vMerge w:val="continue"/>
            <w:noWrap w:val="0"/>
            <w:vAlign w:val="center"/>
          </w:tcPr>
          <w:p w14:paraId="1CADFE51">
            <w:pPr>
              <w:adjustRightInd w:val="0"/>
              <w:snapToGrid w:val="0"/>
              <w:spacing w:line="312" w:lineRule="auto"/>
              <w:jc w:val="center"/>
              <w:rPr>
                <w:rFonts w:hint="eastAsia" w:ascii="宋体" w:hAnsi="宋体" w:cs="宋体"/>
                <w:b/>
                <w:bCs/>
                <w:color w:val="auto"/>
                <w:sz w:val="24"/>
                <w:szCs w:val="24"/>
                <w:highlight w:val="none"/>
              </w:rPr>
            </w:pPr>
          </w:p>
        </w:tc>
        <w:tc>
          <w:tcPr>
            <w:tcW w:w="447" w:type="pct"/>
            <w:vMerge w:val="continue"/>
            <w:noWrap w:val="0"/>
            <w:vAlign w:val="center"/>
          </w:tcPr>
          <w:p w14:paraId="3E6C898C">
            <w:pPr>
              <w:adjustRightInd w:val="0"/>
              <w:snapToGrid w:val="0"/>
              <w:spacing w:line="312" w:lineRule="auto"/>
              <w:jc w:val="center"/>
              <w:rPr>
                <w:rFonts w:hint="eastAsia" w:ascii="宋体" w:hAnsi="宋体" w:cs="宋体"/>
                <w:b/>
                <w:bCs/>
                <w:color w:val="auto"/>
                <w:sz w:val="24"/>
                <w:szCs w:val="24"/>
                <w:highlight w:val="none"/>
              </w:rPr>
            </w:pPr>
          </w:p>
        </w:tc>
      </w:tr>
      <w:tr w14:paraId="6CF36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jc w:val="center"/>
        </w:trPr>
        <w:tc>
          <w:tcPr>
            <w:tcW w:w="413" w:type="pct"/>
            <w:noWrap w:val="0"/>
            <w:vAlign w:val="center"/>
          </w:tcPr>
          <w:p w14:paraId="7866D931">
            <w:pPr>
              <w:adjustRightInd w:val="0"/>
              <w:snapToGrid w:val="0"/>
              <w:spacing w:line="312"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607" w:type="pct"/>
            <w:noWrap w:val="0"/>
            <w:vAlign w:val="center"/>
          </w:tcPr>
          <w:p w14:paraId="7F1EFF81">
            <w:pPr>
              <w:adjustRightInd w:val="0"/>
              <w:snapToGrid w:val="0"/>
              <w:spacing w:line="312" w:lineRule="auto"/>
              <w:jc w:val="center"/>
              <w:rPr>
                <w:rFonts w:ascii="宋体" w:hAnsi="宋体" w:cs="宋体"/>
                <w:bCs/>
                <w:color w:val="auto"/>
                <w:sz w:val="24"/>
                <w:szCs w:val="24"/>
                <w:highlight w:val="none"/>
              </w:rPr>
            </w:pPr>
            <w:r>
              <w:rPr>
                <w:rFonts w:hint="eastAsia" w:ascii="宋体" w:hAnsi="宋体" w:cs="Calibri"/>
                <w:color w:val="auto"/>
                <w:sz w:val="24"/>
                <w:szCs w:val="24"/>
                <w:highlight w:val="none"/>
              </w:rPr>
              <w:t>▲多功能原子力显微镜</w:t>
            </w:r>
          </w:p>
        </w:tc>
        <w:tc>
          <w:tcPr>
            <w:tcW w:w="641" w:type="pct"/>
            <w:noWrap w:val="0"/>
            <w:vAlign w:val="center"/>
          </w:tcPr>
          <w:p w14:paraId="29F355CB">
            <w:pPr>
              <w:adjustRightInd w:val="0"/>
              <w:snapToGrid w:val="0"/>
              <w:spacing w:line="312"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1台</w:t>
            </w:r>
          </w:p>
        </w:tc>
        <w:tc>
          <w:tcPr>
            <w:tcW w:w="632" w:type="pct"/>
            <w:noWrap w:val="0"/>
            <w:vAlign w:val="center"/>
          </w:tcPr>
          <w:p w14:paraId="69629F7A">
            <w:pPr>
              <w:adjustRightInd w:val="0"/>
              <w:snapToGrid w:val="0"/>
              <w:spacing w:line="312" w:lineRule="auto"/>
              <w:jc w:val="center"/>
              <w:rPr>
                <w:rFonts w:hint="eastAsia" w:ascii="宋体" w:hAnsi="宋体" w:cs="宋体"/>
                <w:bCs/>
                <w:color w:val="auto"/>
                <w:sz w:val="24"/>
                <w:szCs w:val="24"/>
                <w:highlight w:val="none"/>
              </w:rPr>
            </w:pPr>
            <w:r>
              <w:rPr>
                <w:rFonts w:hint="eastAsia"/>
                <w:color w:val="auto"/>
                <w:sz w:val="24"/>
                <w:szCs w:val="24"/>
                <w:highlight w:val="none"/>
              </w:rPr>
              <w:t>工业</w:t>
            </w:r>
          </w:p>
        </w:tc>
        <w:tc>
          <w:tcPr>
            <w:tcW w:w="541" w:type="pct"/>
            <w:noWrap w:val="0"/>
            <w:vAlign w:val="center"/>
          </w:tcPr>
          <w:p w14:paraId="356678BC">
            <w:pPr>
              <w:adjustRightInd w:val="0"/>
              <w:snapToGrid w:val="0"/>
              <w:spacing w:line="312"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否</w:t>
            </w:r>
          </w:p>
        </w:tc>
        <w:tc>
          <w:tcPr>
            <w:tcW w:w="505" w:type="pct"/>
            <w:noWrap w:val="0"/>
            <w:vAlign w:val="center"/>
          </w:tcPr>
          <w:p w14:paraId="1664393F">
            <w:pPr>
              <w:adjustRightInd w:val="0"/>
              <w:snapToGrid w:val="0"/>
              <w:spacing w:line="312"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否</w:t>
            </w:r>
          </w:p>
        </w:tc>
        <w:tc>
          <w:tcPr>
            <w:tcW w:w="614" w:type="pct"/>
            <w:noWrap w:val="0"/>
            <w:vAlign w:val="center"/>
          </w:tcPr>
          <w:p w14:paraId="444ED3AF">
            <w:pPr>
              <w:adjustRightInd w:val="0"/>
              <w:snapToGrid w:val="0"/>
              <w:spacing w:line="312"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否</w:t>
            </w:r>
          </w:p>
        </w:tc>
        <w:tc>
          <w:tcPr>
            <w:tcW w:w="595" w:type="pct"/>
            <w:noWrap w:val="0"/>
            <w:vAlign w:val="center"/>
          </w:tcPr>
          <w:p w14:paraId="1250692D">
            <w:pPr>
              <w:adjustRightInd w:val="0"/>
              <w:snapToGrid w:val="0"/>
              <w:spacing w:line="312"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货物</w:t>
            </w:r>
          </w:p>
        </w:tc>
        <w:tc>
          <w:tcPr>
            <w:tcW w:w="447" w:type="pct"/>
            <w:noWrap w:val="0"/>
            <w:vAlign w:val="center"/>
          </w:tcPr>
          <w:p w14:paraId="4F81A9FD">
            <w:pPr>
              <w:adjustRightInd w:val="0"/>
              <w:snapToGrid w:val="0"/>
              <w:spacing w:line="312"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p>
        </w:tc>
      </w:tr>
    </w:tbl>
    <w:p w14:paraId="10B09028">
      <w:pPr>
        <w:rPr>
          <w:rFonts w:hint="eastAsia"/>
          <w:color w:val="auto"/>
          <w:sz w:val="24"/>
          <w:szCs w:val="24"/>
          <w:highlight w:val="none"/>
        </w:rPr>
      </w:pPr>
      <w:bookmarkStart w:id="7" w:name="_Toc7421"/>
      <w:bookmarkStart w:id="8" w:name="_Toc4843"/>
    </w:p>
    <w:p w14:paraId="2DE231A5">
      <w:pPr>
        <w:numPr>
          <w:ilvl w:val="0"/>
          <w:numId w:val="2"/>
        </w:numPr>
        <w:spacing w:line="360" w:lineRule="auto"/>
        <w:outlineLvl w:val="1"/>
        <w:rPr>
          <w:rFonts w:hint="eastAsia"/>
          <w:color w:val="auto"/>
          <w:sz w:val="24"/>
          <w:szCs w:val="24"/>
          <w:highlight w:val="none"/>
        </w:rPr>
      </w:pPr>
      <w:r>
        <w:rPr>
          <w:rFonts w:hint="eastAsia" w:ascii="宋体" w:hAnsi="宋体" w:cs="宋体"/>
          <w:b/>
          <w:bCs/>
          <w:color w:val="auto"/>
          <w:sz w:val="24"/>
          <w:szCs w:val="24"/>
          <w:highlight w:val="none"/>
        </w:rPr>
        <w:t>技术参数</w:t>
      </w:r>
    </w:p>
    <w:p w14:paraId="72256702">
      <w:pPr>
        <w:pStyle w:val="5"/>
        <w:rPr>
          <w:rFonts w:hint="eastAsia" w:ascii="宋体" w:hAnsi="宋体" w:cs="宋体"/>
          <w:color w:val="auto"/>
          <w:sz w:val="24"/>
          <w:highlight w:val="none"/>
        </w:rPr>
      </w:pPr>
      <w:r>
        <w:rPr>
          <w:rFonts w:hint="eastAsia" w:ascii="宋体" w:hAnsi="宋体" w:cs="宋体"/>
          <w:color w:val="auto"/>
          <w:sz w:val="24"/>
          <w:highlight w:val="none"/>
        </w:rPr>
        <w:t>1.主要功能：要求能够准确地观测样品表面微区(纳米及亚微米尺度)三维形貌；同时可对样品表面物理化学特性进行研究，能测试多种材料表面电学特性、表面电势、磁场力、静电力、摩擦力、压电力等性质。</w:t>
      </w:r>
    </w:p>
    <w:p w14:paraId="2EA8483C">
      <w:pPr>
        <w:pStyle w:val="5"/>
        <w:rPr>
          <w:rFonts w:hint="eastAsia" w:ascii="宋体" w:hAnsi="宋体" w:cs="宋体"/>
          <w:color w:val="auto"/>
          <w:sz w:val="24"/>
          <w:highlight w:val="none"/>
        </w:rPr>
      </w:pPr>
      <w:r>
        <w:rPr>
          <w:rFonts w:hint="eastAsia" w:ascii="宋体" w:hAnsi="宋体" w:cs="宋体"/>
          <w:color w:val="auto"/>
          <w:sz w:val="24"/>
          <w:highlight w:val="none"/>
        </w:rPr>
        <w:t>2.设备组成：</w:t>
      </w:r>
    </w:p>
    <w:p w14:paraId="20AEBCE8">
      <w:pPr>
        <w:pStyle w:val="5"/>
        <w:rPr>
          <w:rFonts w:hint="eastAsia" w:ascii="宋体" w:hAnsi="宋体" w:cs="宋体"/>
          <w:color w:val="auto"/>
          <w:sz w:val="24"/>
          <w:highlight w:val="none"/>
        </w:rPr>
      </w:pPr>
      <w:r>
        <w:rPr>
          <w:rFonts w:hint="eastAsia" w:ascii="宋体" w:hAnsi="宋体" w:cs="宋体"/>
          <w:color w:val="auto"/>
          <w:sz w:val="24"/>
          <w:highlight w:val="none"/>
        </w:rPr>
        <w:t xml:space="preserve">2.1高速控制器系统 </w:t>
      </w:r>
    </w:p>
    <w:p w14:paraId="2F844609">
      <w:pPr>
        <w:pStyle w:val="5"/>
        <w:rPr>
          <w:rFonts w:hint="eastAsia" w:ascii="宋体" w:hAnsi="宋体" w:cs="宋体"/>
          <w:color w:val="auto"/>
          <w:sz w:val="24"/>
          <w:highlight w:val="none"/>
        </w:rPr>
      </w:pPr>
      <w:r>
        <w:rPr>
          <w:rFonts w:hint="eastAsia" w:ascii="宋体" w:hAnsi="宋体" w:cs="宋体"/>
          <w:color w:val="auto"/>
          <w:sz w:val="24"/>
          <w:highlight w:val="none"/>
        </w:rPr>
        <w:t>2.2原子力显微镜主机</w:t>
      </w:r>
    </w:p>
    <w:p w14:paraId="091C8799">
      <w:pPr>
        <w:pStyle w:val="5"/>
        <w:rPr>
          <w:rFonts w:hint="eastAsia" w:ascii="宋体" w:hAnsi="宋体" w:cs="宋体"/>
          <w:color w:val="auto"/>
          <w:sz w:val="24"/>
          <w:highlight w:val="none"/>
        </w:rPr>
      </w:pPr>
      <w:r>
        <w:rPr>
          <w:rFonts w:hint="eastAsia" w:ascii="宋体" w:hAnsi="宋体" w:cs="宋体"/>
          <w:color w:val="auto"/>
          <w:sz w:val="24"/>
          <w:highlight w:val="none"/>
        </w:rPr>
        <w:t>2.3 XYZ三轴闭环扫描器</w:t>
      </w:r>
    </w:p>
    <w:p w14:paraId="364A57EA">
      <w:pPr>
        <w:pStyle w:val="5"/>
        <w:rPr>
          <w:rFonts w:hint="eastAsia" w:ascii="宋体" w:hAnsi="宋体" w:cs="宋体"/>
          <w:color w:val="auto"/>
          <w:sz w:val="24"/>
          <w:highlight w:val="none"/>
        </w:rPr>
      </w:pPr>
      <w:r>
        <w:rPr>
          <w:rFonts w:hint="eastAsia" w:ascii="宋体" w:hAnsi="宋体" w:cs="宋体"/>
          <w:color w:val="auto"/>
          <w:sz w:val="24"/>
          <w:highlight w:val="none"/>
        </w:rPr>
        <w:t>2.4探针支架</w:t>
      </w:r>
    </w:p>
    <w:p w14:paraId="77B5C089">
      <w:pPr>
        <w:pStyle w:val="5"/>
        <w:rPr>
          <w:rFonts w:hint="eastAsia" w:ascii="宋体" w:hAnsi="宋体" w:cs="宋体"/>
          <w:color w:val="auto"/>
          <w:sz w:val="24"/>
          <w:highlight w:val="none"/>
        </w:rPr>
      </w:pPr>
      <w:r>
        <w:rPr>
          <w:rFonts w:hint="eastAsia" w:ascii="宋体" w:hAnsi="宋体" w:cs="宋体"/>
          <w:color w:val="auto"/>
          <w:sz w:val="24"/>
          <w:highlight w:val="none"/>
        </w:rPr>
        <w:t>2.5 200mm马达自动控制样品台</w:t>
      </w:r>
    </w:p>
    <w:p w14:paraId="4855FAC9">
      <w:pPr>
        <w:pStyle w:val="5"/>
        <w:rPr>
          <w:rFonts w:hint="eastAsia" w:ascii="宋体" w:hAnsi="宋体" w:cs="宋体"/>
          <w:color w:val="auto"/>
          <w:sz w:val="24"/>
          <w:highlight w:val="none"/>
        </w:rPr>
      </w:pPr>
      <w:r>
        <w:rPr>
          <w:rFonts w:hint="eastAsia" w:ascii="宋体" w:hAnsi="宋体" w:cs="宋体"/>
          <w:color w:val="auto"/>
          <w:sz w:val="24"/>
          <w:highlight w:val="none"/>
        </w:rPr>
        <w:t>2.6辅助光学系统，含高分辩CCD系统</w:t>
      </w:r>
    </w:p>
    <w:p w14:paraId="24878C7D">
      <w:pPr>
        <w:pStyle w:val="5"/>
        <w:rPr>
          <w:rFonts w:hint="eastAsia" w:ascii="宋体" w:hAnsi="宋体" w:cs="宋体"/>
          <w:color w:val="auto"/>
          <w:sz w:val="24"/>
          <w:highlight w:val="none"/>
        </w:rPr>
      </w:pPr>
      <w:r>
        <w:rPr>
          <w:rFonts w:hint="eastAsia" w:ascii="宋体" w:hAnsi="宋体" w:cs="宋体"/>
          <w:color w:val="auto"/>
          <w:sz w:val="24"/>
          <w:highlight w:val="none"/>
        </w:rPr>
        <w:t>2.7 一体式防震台</w:t>
      </w:r>
    </w:p>
    <w:p w14:paraId="11E13C3A">
      <w:pPr>
        <w:pStyle w:val="5"/>
        <w:rPr>
          <w:rFonts w:hint="eastAsia" w:ascii="宋体" w:hAnsi="宋体" w:cs="宋体"/>
          <w:color w:val="auto"/>
          <w:sz w:val="24"/>
          <w:highlight w:val="none"/>
        </w:rPr>
      </w:pPr>
      <w:r>
        <w:rPr>
          <w:rFonts w:hint="eastAsia" w:ascii="宋体" w:hAnsi="宋体" w:cs="宋体"/>
          <w:color w:val="auto"/>
          <w:sz w:val="24"/>
          <w:highlight w:val="none"/>
        </w:rPr>
        <w:t>3.设备技术参数∕指标：</w:t>
      </w:r>
    </w:p>
    <w:p w14:paraId="7035A848">
      <w:pPr>
        <w:pStyle w:val="5"/>
        <w:rPr>
          <w:rFonts w:hint="eastAsia" w:ascii="宋体" w:hAnsi="宋体" w:cs="宋体"/>
          <w:color w:val="auto"/>
          <w:sz w:val="24"/>
          <w:highlight w:val="none"/>
        </w:rPr>
      </w:pPr>
      <w:r>
        <w:rPr>
          <w:rFonts w:hint="eastAsia" w:ascii="宋体" w:hAnsi="宋体" w:cs="宋体"/>
          <w:color w:val="auto"/>
          <w:sz w:val="24"/>
          <w:highlight w:val="none"/>
        </w:rPr>
        <w:t>3.1扫描器：</w:t>
      </w:r>
    </w:p>
    <w:p w14:paraId="1F631652">
      <w:pPr>
        <w:pStyle w:val="5"/>
        <w:rPr>
          <w:rFonts w:hint="eastAsia" w:ascii="宋体" w:hAnsi="宋体" w:cs="宋体"/>
          <w:color w:val="auto"/>
          <w:sz w:val="24"/>
          <w:highlight w:val="none"/>
        </w:rPr>
      </w:pPr>
      <w:r>
        <w:rPr>
          <w:rFonts w:hint="eastAsia" w:ascii="宋体" w:hAnsi="宋体" w:cs="宋体"/>
          <w:color w:val="auto"/>
          <w:sz w:val="24"/>
          <w:highlight w:val="none"/>
        </w:rPr>
        <w:t>3.1.1 XYZ 三轴闭环扫描器，XY方向不小于90微米，Z方向不小于10微米。</w:t>
      </w:r>
    </w:p>
    <w:p w14:paraId="6679E109">
      <w:pPr>
        <w:pStyle w:val="5"/>
        <w:rPr>
          <w:rFonts w:hint="eastAsia" w:ascii="宋体" w:hAnsi="宋体" w:cs="宋体"/>
          <w:color w:val="auto"/>
          <w:sz w:val="24"/>
          <w:highlight w:val="none"/>
        </w:rPr>
      </w:pPr>
      <w:r>
        <w:rPr>
          <w:rFonts w:hint="eastAsia" w:ascii="宋体" w:hAnsi="宋体" w:cs="宋体"/>
          <w:color w:val="auto"/>
          <w:sz w:val="24"/>
          <w:highlight w:val="none"/>
        </w:rPr>
        <w:t>★3.1.2要求具备全探针扫描技术的扫描器，扫描过程中由扫描器带动探针进行XYZ三个方向的移动，而样品为完全静止状态，以保证大样品测试的安全和稳定。</w:t>
      </w:r>
    </w:p>
    <w:p w14:paraId="073076A0">
      <w:pPr>
        <w:pStyle w:val="5"/>
        <w:rPr>
          <w:rFonts w:hint="eastAsia" w:ascii="宋体" w:hAnsi="宋体" w:cs="宋体"/>
          <w:color w:val="auto"/>
          <w:sz w:val="24"/>
          <w:highlight w:val="none"/>
        </w:rPr>
      </w:pPr>
      <w:r>
        <w:rPr>
          <w:rFonts w:hint="eastAsia" w:ascii="宋体" w:hAnsi="宋体" w:cs="宋体"/>
          <w:color w:val="auto"/>
          <w:sz w:val="24"/>
          <w:highlight w:val="none"/>
        </w:rPr>
        <w:t>3.1.3 Z方向噪声水平: 开环控制&lt;0.3 Å，闭环控制&lt;0.35 Å。</w:t>
      </w:r>
    </w:p>
    <w:p w14:paraId="2B99D25D">
      <w:pPr>
        <w:pStyle w:val="5"/>
        <w:rPr>
          <w:rFonts w:hint="eastAsia" w:ascii="宋体" w:hAnsi="宋体" w:cs="宋体"/>
          <w:color w:val="auto"/>
          <w:sz w:val="24"/>
          <w:highlight w:val="none"/>
        </w:rPr>
      </w:pPr>
      <w:r>
        <w:rPr>
          <w:rFonts w:hint="eastAsia" w:ascii="宋体" w:hAnsi="宋体" w:cs="宋体"/>
          <w:color w:val="auto"/>
          <w:sz w:val="24"/>
          <w:highlight w:val="none"/>
        </w:rPr>
        <w:t>3.1.4 XY方向噪音水平: 开环控制&lt; 0.1nm, 闭环控制&lt; 0.15nm。</w:t>
      </w:r>
    </w:p>
    <w:p w14:paraId="289CF2BD">
      <w:pPr>
        <w:pStyle w:val="5"/>
        <w:rPr>
          <w:rFonts w:hint="eastAsia" w:ascii="宋体" w:hAnsi="宋体" w:cs="宋体"/>
          <w:color w:val="auto"/>
          <w:sz w:val="24"/>
          <w:highlight w:val="none"/>
        </w:rPr>
      </w:pPr>
      <w:r>
        <w:rPr>
          <w:rFonts w:hint="eastAsia" w:ascii="宋体" w:hAnsi="宋体" w:cs="宋体"/>
          <w:color w:val="auto"/>
          <w:sz w:val="24"/>
          <w:highlight w:val="none"/>
        </w:rPr>
        <w:t>3.1.5进针方式: 智能自动进针方式，马达加压电陶瓷自动探测的智能进针模式。</w:t>
      </w:r>
    </w:p>
    <w:p w14:paraId="0D46B5F1">
      <w:pPr>
        <w:pStyle w:val="5"/>
        <w:rPr>
          <w:rFonts w:hint="eastAsia" w:ascii="宋体" w:hAnsi="宋体" w:cs="宋体"/>
          <w:color w:val="auto"/>
          <w:sz w:val="24"/>
          <w:highlight w:val="none"/>
        </w:rPr>
      </w:pPr>
      <w:r>
        <w:rPr>
          <w:rFonts w:hint="eastAsia" w:ascii="宋体" w:hAnsi="宋体" w:cs="宋体"/>
          <w:color w:val="auto"/>
          <w:sz w:val="24"/>
          <w:highlight w:val="none"/>
        </w:rPr>
        <w:t>3.2 AFM控制系统及功能：</w:t>
      </w:r>
    </w:p>
    <w:p w14:paraId="19B0EC3D">
      <w:pPr>
        <w:pStyle w:val="5"/>
        <w:rPr>
          <w:rFonts w:hint="eastAsia" w:ascii="宋体" w:hAnsi="宋体" w:cs="宋体"/>
          <w:color w:val="auto"/>
          <w:sz w:val="24"/>
          <w:highlight w:val="none"/>
        </w:rPr>
      </w:pPr>
      <w:r>
        <w:rPr>
          <w:rFonts w:hint="eastAsia" w:ascii="宋体" w:hAnsi="宋体" w:cs="宋体"/>
          <w:color w:val="auto"/>
          <w:sz w:val="24"/>
          <w:highlight w:val="none"/>
        </w:rPr>
        <w:t>3.2.1智能扫描功能，自动设定扫描，用户只需要选择扫描速度及扫描范围，系统即可自动调整反馈，无需寻找共振峰, 无需调整反馈参数gain值。</w:t>
      </w:r>
    </w:p>
    <w:p w14:paraId="3FA9983A">
      <w:pPr>
        <w:pStyle w:val="5"/>
        <w:rPr>
          <w:rFonts w:hint="eastAsia" w:ascii="宋体" w:hAnsi="宋体" w:cs="宋体"/>
          <w:color w:val="auto"/>
          <w:sz w:val="24"/>
          <w:highlight w:val="none"/>
        </w:rPr>
      </w:pPr>
      <w:r>
        <w:rPr>
          <w:rFonts w:hint="eastAsia" w:ascii="宋体" w:hAnsi="宋体" w:cs="宋体"/>
          <w:color w:val="auto"/>
          <w:sz w:val="24"/>
          <w:highlight w:val="none"/>
        </w:rPr>
        <w:t>3.2.2控制器内置三个锁向放大器，控制器反馈响应时间不超过2微秒。</w:t>
      </w:r>
    </w:p>
    <w:p w14:paraId="2BD54578">
      <w:pPr>
        <w:pStyle w:val="5"/>
        <w:rPr>
          <w:rFonts w:hint="eastAsia" w:ascii="宋体" w:hAnsi="宋体" w:cs="宋体"/>
          <w:color w:val="auto"/>
          <w:sz w:val="24"/>
          <w:highlight w:val="none"/>
        </w:rPr>
      </w:pPr>
      <w:r>
        <w:rPr>
          <w:rFonts w:hint="eastAsia" w:ascii="宋体" w:hAnsi="宋体" w:cs="宋体"/>
          <w:color w:val="auto"/>
          <w:sz w:val="24"/>
          <w:highlight w:val="none"/>
        </w:rPr>
        <w:t>3.2.3数据采样率达到50MHZ，控制器共有11个DAC 和 11个ADC。</w:t>
      </w:r>
    </w:p>
    <w:p w14:paraId="7BD8C5BB">
      <w:pPr>
        <w:pStyle w:val="5"/>
        <w:rPr>
          <w:rFonts w:hint="eastAsia" w:ascii="宋体" w:hAnsi="宋体" w:cs="宋体"/>
          <w:color w:val="auto"/>
          <w:sz w:val="24"/>
          <w:highlight w:val="none"/>
        </w:rPr>
      </w:pPr>
      <w:r>
        <w:rPr>
          <w:rFonts w:hint="eastAsia" w:ascii="宋体" w:hAnsi="宋体" w:cs="宋体"/>
          <w:color w:val="auto"/>
          <w:sz w:val="24"/>
          <w:highlight w:val="none"/>
        </w:rPr>
        <w:t>3.2.4标定探针的弹性常数，Thermal Tuning 频率达到 2MHZ。</w:t>
      </w:r>
    </w:p>
    <w:p w14:paraId="05EC352F">
      <w:pPr>
        <w:pStyle w:val="5"/>
        <w:rPr>
          <w:rFonts w:hint="eastAsia" w:ascii="宋体" w:hAnsi="宋体" w:cs="宋体"/>
          <w:color w:val="auto"/>
          <w:sz w:val="24"/>
          <w:highlight w:val="none"/>
        </w:rPr>
      </w:pPr>
      <w:r>
        <w:rPr>
          <w:rFonts w:hint="eastAsia" w:ascii="宋体" w:hAnsi="宋体" w:cs="宋体"/>
          <w:color w:val="auto"/>
          <w:sz w:val="24"/>
          <w:highlight w:val="none"/>
        </w:rPr>
        <w:t>3.2.5每条扫描线可获得数据点≥ 16,000。</w:t>
      </w:r>
    </w:p>
    <w:p w14:paraId="0D63C952">
      <w:pPr>
        <w:pStyle w:val="5"/>
        <w:rPr>
          <w:rFonts w:hint="eastAsia" w:ascii="宋体" w:hAnsi="宋体" w:cs="宋体"/>
          <w:color w:val="auto"/>
          <w:sz w:val="24"/>
          <w:highlight w:val="none"/>
        </w:rPr>
      </w:pPr>
      <w:r>
        <w:rPr>
          <w:rFonts w:hint="eastAsia" w:ascii="宋体" w:hAnsi="宋体" w:cs="宋体"/>
          <w:color w:val="auto"/>
          <w:sz w:val="24"/>
          <w:highlight w:val="none"/>
        </w:rPr>
        <w:t>3.2.6系统可实现抬高模式的控制，用于表面磁学、电学特征的表征。</w:t>
      </w:r>
    </w:p>
    <w:p w14:paraId="607EF05C">
      <w:pPr>
        <w:pStyle w:val="5"/>
        <w:rPr>
          <w:rFonts w:hint="eastAsia" w:ascii="宋体" w:hAnsi="宋体" w:cs="宋体"/>
          <w:color w:val="auto"/>
          <w:sz w:val="24"/>
          <w:highlight w:val="none"/>
        </w:rPr>
      </w:pPr>
      <w:r>
        <w:rPr>
          <w:rFonts w:hint="eastAsia" w:ascii="宋体" w:hAnsi="宋体" w:cs="宋体"/>
          <w:color w:val="auto"/>
          <w:sz w:val="24"/>
          <w:highlight w:val="none"/>
        </w:rPr>
        <w:t>3.2.7力谱线测试模式: 可同时测试表面的力曲线的阵列, 同时得到表面力的谱图, 最大取点密度: 256×256 。</w:t>
      </w:r>
    </w:p>
    <w:p w14:paraId="1902D1E6">
      <w:pPr>
        <w:pStyle w:val="5"/>
        <w:rPr>
          <w:rFonts w:hint="eastAsia" w:ascii="宋体" w:hAnsi="宋体" w:cs="宋体"/>
          <w:color w:val="auto"/>
          <w:sz w:val="24"/>
          <w:highlight w:val="none"/>
        </w:rPr>
      </w:pPr>
      <w:r>
        <w:rPr>
          <w:rFonts w:hint="eastAsia" w:ascii="宋体" w:hAnsi="宋体" w:cs="宋体"/>
          <w:color w:val="auto"/>
          <w:sz w:val="24"/>
          <w:highlight w:val="none"/>
        </w:rPr>
        <w:t>3.2.8控制精度：控制器应在XYZ三个轴上都有三个独立的16位DAC位的数模转换器（共9个），用来控制扫描尺寸、扫描形状和偏移量。</w:t>
      </w:r>
    </w:p>
    <w:p w14:paraId="0398179C">
      <w:pPr>
        <w:pStyle w:val="5"/>
        <w:rPr>
          <w:rFonts w:hint="eastAsia" w:ascii="宋体" w:hAnsi="宋体" w:cs="宋体"/>
          <w:color w:val="auto"/>
          <w:sz w:val="24"/>
          <w:highlight w:val="none"/>
        </w:rPr>
      </w:pPr>
      <w:r>
        <w:rPr>
          <w:rFonts w:hint="eastAsia" w:ascii="宋体" w:hAnsi="宋体" w:cs="宋体"/>
          <w:color w:val="auto"/>
          <w:sz w:val="24"/>
          <w:highlight w:val="none"/>
        </w:rPr>
        <w:t>★3.2.9提供智能扫描模式：采用以正弦波驱动压电陶瓷管做力曲线的皮牛级力作反馈进行表面成像，且力曲线频率不低于2000Hz。</w:t>
      </w:r>
    </w:p>
    <w:p w14:paraId="5D9EF904">
      <w:pPr>
        <w:pStyle w:val="5"/>
        <w:rPr>
          <w:rFonts w:hint="eastAsia" w:ascii="宋体" w:hAnsi="宋体" w:cs="宋体"/>
          <w:color w:val="auto"/>
          <w:sz w:val="24"/>
          <w:highlight w:val="none"/>
        </w:rPr>
      </w:pPr>
      <w:r>
        <w:rPr>
          <w:rFonts w:hint="eastAsia" w:ascii="宋体" w:hAnsi="宋体" w:cs="宋体"/>
          <w:color w:val="auto"/>
          <w:sz w:val="24"/>
          <w:highlight w:val="none"/>
        </w:rPr>
        <w:t>★3.2.10提供扭转共振模式：使用具有双压电陶瓷的探针支架来实现扭矩共振模式，监测悬臂梁扭矩共振扭转幅度或扭矩共振相移信号。</w:t>
      </w:r>
    </w:p>
    <w:p w14:paraId="16466899">
      <w:pPr>
        <w:pStyle w:val="5"/>
        <w:rPr>
          <w:rFonts w:hint="eastAsia" w:ascii="宋体" w:hAnsi="宋体" w:cs="宋体"/>
          <w:color w:val="auto"/>
          <w:sz w:val="24"/>
          <w:highlight w:val="none"/>
        </w:rPr>
      </w:pPr>
      <w:r>
        <w:rPr>
          <w:rFonts w:hint="eastAsia" w:ascii="宋体" w:hAnsi="宋体" w:cs="宋体"/>
          <w:color w:val="auto"/>
          <w:sz w:val="24"/>
          <w:highlight w:val="none"/>
        </w:rPr>
        <w:t>3.2.11 提供面内和面外压电显微镜模式：具备形貌，面外和面外压电信号同时实时扫描成像功能，不需要在单条线扫描两次。</w:t>
      </w:r>
    </w:p>
    <w:p w14:paraId="1D800DB8">
      <w:pPr>
        <w:pStyle w:val="5"/>
        <w:rPr>
          <w:rFonts w:hint="eastAsia" w:ascii="宋体" w:hAnsi="宋体" w:cs="宋体"/>
          <w:color w:val="auto"/>
          <w:sz w:val="24"/>
          <w:highlight w:val="none"/>
        </w:rPr>
      </w:pPr>
      <w:r>
        <w:rPr>
          <w:rFonts w:hint="eastAsia" w:ascii="宋体" w:hAnsi="宋体" w:cs="宋体"/>
          <w:color w:val="auto"/>
          <w:sz w:val="24"/>
          <w:highlight w:val="none"/>
        </w:rPr>
        <w:t>3.2.12 提供压电极化翻转曲线测试功能，可进行单点或者多点阵列式的测试。</w:t>
      </w:r>
    </w:p>
    <w:p w14:paraId="1CFD37E0">
      <w:pPr>
        <w:pStyle w:val="5"/>
        <w:rPr>
          <w:rFonts w:hint="eastAsia" w:ascii="宋体" w:hAnsi="宋体" w:cs="宋体"/>
          <w:color w:val="auto"/>
          <w:sz w:val="24"/>
          <w:highlight w:val="none"/>
        </w:rPr>
      </w:pPr>
      <w:r>
        <w:rPr>
          <w:rFonts w:hint="eastAsia" w:ascii="宋体" w:hAnsi="宋体" w:cs="宋体"/>
          <w:color w:val="auto"/>
          <w:sz w:val="24"/>
          <w:highlight w:val="none"/>
        </w:rPr>
        <w:t>3.3系统配套部分：</w:t>
      </w:r>
    </w:p>
    <w:p w14:paraId="6A0AAE68">
      <w:pPr>
        <w:pStyle w:val="5"/>
        <w:rPr>
          <w:rFonts w:hint="eastAsia" w:ascii="宋体" w:hAnsi="宋体" w:cs="宋体"/>
          <w:color w:val="auto"/>
          <w:sz w:val="24"/>
          <w:highlight w:val="none"/>
        </w:rPr>
      </w:pPr>
      <w:r>
        <w:rPr>
          <w:rFonts w:hint="eastAsia" w:ascii="宋体" w:hAnsi="宋体" w:cs="宋体"/>
          <w:color w:val="auto"/>
          <w:sz w:val="24"/>
          <w:highlight w:val="none"/>
        </w:rPr>
        <w:t>3.3.1 放大范围：285 -1285倍，180-1465µm 视场范围，自动聚焦及缩放，≤1.5µm分辨率，计算机控制照明，彩色CCD摄像头。</w:t>
      </w:r>
    </w:p>
    <w:p w14:paraId="7EAEAC7C">
      <w:pPr>
        <w:pStyle w:val="5"/>
        <w:rPr>
          <w:rFonts w:hint="eastAsia" w:ascii="宋体" w:hAnsi="宋体" w:cs="宋体"/>
          <w:color w:val="auto"/>
          <w:sz w:val="24"/>
          <w:highlight w:val="none"/>
        </w:rPr>
      </w:pPr>
      <w:r>
        <w:rPr>
          <w:rFonts w:hint="eastAsia" w:ascii="宋体" w:hAnsi="宋体" w:cs="宋体"/>
          <w:color w:val="auto"/>
          <w:sz w:val="24"/>
          <w:highlight w:val="none"/>
        </w:rPr>
        <w:t>3.3.2防震：一体封闭式隔音及防电磁屏蔽装置，气浮防震台，带自动充气泵。</w:t>
      </w:r>
    </w:p>
    <w:p w14:paraId="5781D05E">
      <w:pPr>
        <w:pStyle w:val="5"/>
        <w:rPr>
          <w:rFonts w:hint="eastAsia" w:ascii="宋体" w:hAnsi="宋体" w:cs="宋体"/>
          <w:color w:val="auto"/>
          <w:sz w:val="24"/>
          <w:highlight w:val="none"/>
        </w:rPr>
      </w:pPr>
      <w:r>
        <w:rPr>
          <w:rFonts w:hint="eastAsia" w:ascii="宋体" w:hAnsi="宋体" w:cs="宋体"/>
          <w:color w:val="auto"/>
          <w:sz w:val="24"/>
          <w:highlight w:val="none"/>
        </w:rPr>
        <w:t>★3.3.3全自动可程序控制高精度样品台：样品尺寸≥</w:t>
      </w:r>
      <w:r>
        <w:rPr>
          <w:rFonts w:ascii="宋体" w:hAnsi="宋体" w:cs="宋体"/>
          <w:color w:val="auto"/>
          <w:sz w:val="24"/>
          <w:highlight w:val="none"/>
        </w:rPr>
        <w:t>20</w:t>
      </w:r>
      <w:r>
        <w:rPr>
          <w:rFonts w:hint="eastAsia" w:ascii="宋体" w:hAnsi="宋体" w:cs="宋体"/>
          <w:color w:val="auto"/>
          <w:sz w:val="24"/>
          <w:highlight w:val="none"/>
        </w:rPr>
        <w:t>0mm，样品高度≥15mm。样品台可高精度程序控制，提供真空吸附的功能，并可以360度旋转。</w:t>
      </w:r>
    </w:p>
    <w:p w14:paraId="7A60C447">
      <w:pPr>
        <w:pStyle w:val="5"/>
        <w:rPr>
          <w:rFonts w:hint="eastAsia" w:ascii="宋体" w:hAnsi="宋体" w:cs="宋体"/>
          <w:color w:val="auto"/>
          <w:sz w:val="24"/>
          <w:highlight w:val="none"/>
        </w:rPr>
      </w:pPr>
    </w:p>
    <w:p w14:paraId="3FB9F12A">
      <w:pPr>
        <w:pStyle w:val="5"/>
        <w:rPr>
          <w:rFonts w:hint="eastAsia" w:ascii="宋体" w:hAnsi="宋体" w:cs="宋体"/>
          <w:color w:val="auto"/>
          <w:sz w:val="24"/>
          <w:highlight w:val="none"/>
          <w:u w:val="single"/>
        </w:rPr>
      </w:pPr>
      <w:r>
        <w:rPr>
          <w:rFonts w:hint="eastAsia" w:ascii="宋体" w:hAnsi="宋体" w:cs="宋体"/>
          <w:color w:val="auto"/>
          <w:sz w:val="24"/>
          <w:highlight w:val="none"/>
          <w:u w:val="single"/>
        </w:rPr>
        <w:t>“★”重要指标，</w:t>
      </w:r>
      <w:r>
        <w:rPr>
          <w:rFonts w:hint="eastAsia" w:ascii="宋体" w:hAnsi="宋体" w:cs="宋体"/>
          <w:b/>
          <w:bCs/>
          <w:color w:val="auto"/>
          <w:sz w:val="24"/>
          <w:highlight w:val="none"/>
          <w:u w:val="single"/>
        </w:rPr>
        <w:t>不满足将被否决</w:t>
      </w:r>
      <w:r>
        <w:rPr>
          <w:rFonts w:hint="eastAsia" w:ascii="宋体" w:hAnsi="宋体" w:cs="宋体"/>
          <w:color w:val="auto"/>
          <w:sz w:val="24"/>
          <w:highlight w:val="none"/>
          <w:u w:val="single"/>
        </w:rPr>
        <w:t>；供应商须提供包含相关指标项的证明材料，</w:t>
      </w:r>
      <w:r>
        <w:rPr>
          <w:rFonts w:hint="eastAsia" w:ascii="宋体" w:hAnsi="宋体" w:cs="宋体"/>
          <w:b/>
          <w:bCs/>
          <w:color w:val="auto"/>
          <w:sz w:val="24"/>
          <w:highlight w:val="none"/>
          <w:u w:val="single"/>
        </w:rPr>
        <w:t>证明材料可以使用生产厂家官方网站截图或产品说明书或彩页或第三方机构检验报告或其他相关证明材料</w:t>
      </w:r>
      <w:r>
        <w:rPr>
          <w:rFonts w:hint="eastAsia" w:ascii="宋体" w:hAnsi="宋体" w:cs="宋体"/>
          <w:color w:val="auto"/>
          <w:sz w:val="24"/>
          <w:highlight w:val="none"/>
          <w:u w:val="single"/>
        </w:rPr>
        <w:t>，未提供有效证明材料或证明材料中内容与所填报指标不一致的，该指标按不满足处理。</w:t>
      </w:r>
    </w:p>
    <w:p w14:paraId="452ABD5A">
      <w:pPr>
        <w:pStyle w:val="5"/>
        <w:rPr>
          <w:rFonts w:hint="eastAsia" w:ascii="宋体" w:hAnsi="宋体" w:cs="宋体"/>
          <w:color w:val="auto"/>
          <w:sz w:val="24"/>
          <w:highlight w:val="none"/>
        </w:rPr>
      </w:pPr>
      <w:r>
        <w:rPr>
          <w:rFonts w:hint="eastAsia" w:ascii="宋体" w:hAnsi="宋体" w:cs="宋体"/>
          <w:color w:val="auto"/>
          <w:sz w:val="24"/>
          <w:highlight w:val="none"/>
          <w:u w:val="single"/>
        </w:rPr>
        <w:t>一般指标为评分项，提供参数响应表。</w:t>
      </w:r>
    </w:p>
    <w:p w14:paraId="75BE6817">
      <w:pPr>
        <w:spacing w:line="360" w:lineRule="auto"/>
        <w:ind w:firstLine="437"/>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三、供货要求及售后</w:t>
      </w:r>
    </w:p>
    <w:p w14:paraId="568CDECC">
      <w:pPr>
        <w:pStyle w:val="5"/>
        <w:rPr>
          <w:rFonts w:hint="eastAsia" w:ascii="宋体" w:hAnsi="宋体" w:cs="宋体"/>
          <w:color w:val="auto"/>
          <w:sz w:val="24"/>
          <w:highlight w:val="none"/>
        </w:rPr>
      </w:pPr>
      <w:r>
        <w:rPr>
          <w:rFonts w:hint="eastAsia" w:ascii="宋体" w:hAnsi="宋体" w:cs="宋体"/>
          <w:color w:val="auto"/>
          <w:sz w:val="24"/>
          <w:highlight w:val="none"/>
        </w:rPr>
        <w:t>1.技术文件∕资料：电子版和纸质版使用说明书各一份。</w:t>
      </w:r>
    </w:p>
    <w:p w14:paraId="78154FD4">
      <w:pPr>
        <w:pStyle w:val="5"/>
        <w:rPr>
          <w:rFonts w:hint="eastAsia" w:ascii="宋体" w:hAnsi="宋体" w:cs="宋体"/>
          <w:color w:val="auto"/>
          <w:sz w:val="24"/>
          <w:highlight w:val="none"/>
        </w:rPr>
      </w:pPr>
      <w:r>
        <w:rPr>
          <w:rFonts w:hint="eastAsia" w:ascii="宋体" w:hAnsi="宋体" w:cs="宋体"/>
          <w:color w:val="auto"/>
          <w:sz w:val="24"/>
          <w:highlight w:val="none"/>
        </w:rPr>
        <w:t>2.安装、培训</w:t>
      </w:r>
    </w:p>
    <w:p w14:paraId="2367F536">
      <w:pPr>
        <w:pStyle w:val="5"/>
        <w:rPr>
          <w:rFonts w:hint="eastAsia" w:ascii="宋体" w:hAnsi="宋体" w:cs="宋体"/>
          <w:color w:val="auto"/>
          <w:sz w:val="24"/>
          <w:highlight w:val="none"/>
        </w:rPr>
      </w:pPr>
      <w:r>
        <w:rPr>
          <w:rFonts w:hint="eastAsia" w:ascii="宋体" w:hAnsi="宋体" w:cs="宋体"/>
          <w:color w:val="auto"/>
          <w:sz w:val="24"/>
          <w:highlight w:val="none"/>
        </w:rPr>
        <w:t>厂家负责免费安排安装、调试、培训，并承担由此发生的一切费用,并提交经买方签字认可的安装调试报告。</w:t>
      </w:r>
    </w:p>
    <w:p w14:paraId="67A58A31">
      <w:pPr>
        <w:pStyle w:val="5"/>
        <w:rPr>
          <w:rFonts w:hint="eastAsia" w:ascii="宋体" w:hAnsi="宋体" w:cs="宋体"/>
          <w:color w:val="auto"/>
          <w:sz w:val="24"/>
          <w:highlight w:val="none"/>
        </w:rPr>
      </w:pPr>
      <w:r>
        <w:rPr>
          <w:rFonts w:hint="eastAsia" w:ascii="宋体" w:hAnsi="宋体" w:cs="宋体"/>
          <w:color w:val="auto"/>
          <w:sz w:val="24"/>
          <w:highlight w:val="none"/>
        </w:rPr>
        <w:t>3. 售后服务: 设备出现故障时，厂家保证在接到用户通知后2小时内响应，24小时内提出解决方案，如有必要48小时内派出维修人员到达现场进行服务。</w:t>
      </w:r>
    </w:p>
    <w:p w14:paraId="27FD1804">
      <w:pPr>
        <w:pStyle w:val="5"/>
        <w:rPr>
          <w:rFonts w:hint="eastAsia" w:ascii="宋体" w:hAnsi="宋体" w:cs="宋体"/>
          <w:color w:val="auto"/>
          <w:sz w:val="24"/>
          <w:highlight w:val="none"/>
        </w:rPr>
      </w:pPr>
      <w:r>
        <w:rPr>
          <w:rFonts w:hint="eastAsia" w:ascii="宋体" w:hAnsi="宋体" w:cs="宋体"/>
          <w:color w:val="auto"/>
          <w:sz w:val="24"/>
          <w:highlight w:val="none"/>
        </w:rPr>
        <w:t>4. 质量保证:设备保修期自最终验收协议签署生效之日起一年。</w:t>
      </w:r>
    </w:p>
    <w:p w14:paraId="47558014">
      <w:pPr>
        <w:pStyle w:val="5"/>
        <w:rPr>
          <w:rFonts w:hint="eastAsia" w:ascii="宋体" w:hAnsi="宋体" w:cs="宋体"/>
          <w:color w:val="auto"/>
          <w:sz w:val="24"/>
          <w:highlight w:val="none"/>
        </w:rPr>
      </w:pPr>
      <w:r>
        <w:rPr>
          <w:rFonts w:hint="eastAsia" w:ascii="宋体" w:hAnsi="宋体" w:cs="宋体"/>
          <w:color w:val="auto"/>
          <w:sz w:val="24"/>
          <w:highlight w:val="none"/>
        </w:rPr>
        <w:t>5.厂家在国内需要具备固定的维修地点及培训中心，并能提供备件供应。</w:t>
      </w:r>
    </w:p>
    <w:p w14:paraId="6017594E">
      <w:pPr>
        <w:spacing w:line="360" w:lineRule="auto"/>
        <w:ind w:firstLine="437"/>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四、报价要求</w:t>
      </w:r>
      <w:bookmarkEnd w:id="7"/>
      <w:bookmarkEnd w:id="8"/>
    </w:p>
    <w:p w14:paraId="11052EE4">
      <w:pPr>
        <w:spacing w:line="360" w:lineRule="auto"/>
        <w:ind w:firstLine="240" w:firstLineChars="100"/>
        <w:rPr>
          <w:rFonts w:ascii="宋体" w:hAnsi="宋体" w:cs="宋体"/>
          <w:bCs/>
          <w:color w:val="auto"/>
          <w:sz w:val="24"/>
          <w:szCs w:val="24"/>
          <w:highlight w:val="none"/>
        </w:rPr>
      </w:pPr>
      <w:r>
        <w:rPr>
          <w:rFonts w:hint="eastAsia" w:ascii="宋体" w:hAnsi="宋体" w:cs="宋体"/>
          <w:bCs/>
          <w:color w:val="auto"/>
          <w:sz w:val="24"/>
          <w:szCs w:val="24"/>
          <w:highlight w:val="none"/>
        </w:rPr>
        <w:t>总价报价，详见投标人须知前附表相关内容。</w:t>
      </w:r>
    </w:p>
    <w:p w14:paraId="3E87197E"/>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5C70FD"/>
    <w:multiLevelType w:val="singleLevel"/>
    <w:tmpl w:val="865C70FD"/>
    <w:lvl w:ilvl="0" w:tentative="0">
      <w:start w:val="2"/>
      <w:numFmt w:val="chineseCounting"/>
      <w:suff w:val="nothing"/>
      <w:lvlText w:val="（%1）"/>
      <w:lvlJc w:val="left"/>
      <w:rPr>
        <w:rFonts w:hint="eastAsia"/>
      </w:rPr>
    </w:lvl>
  </w:abstractNum>
  <w:abstractNum w:abstractNumId="1">
    <w:nsid w:val="D6B34524"/>
    <w:multiLevelType w:val="singleLevel"/>
    <w:tmpl w:val="D6B34524"/>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D207E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440" w:lineRule="exact"/>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9"/>
    <w:pPr>
      <w:keepNext/>
      <w:keepLines/>
      <w:spacing w:before="340" w:after="330" w:line="578" w:lineRule="atLeast"/>
      <w:outlineLvl w:val="0"/>
    </w:pPr>
    <w:rPr>
      <w:b/>
      <w:bCs/>
      <w:kern w:val="44"/>
      <w:sz w:val="44"/>
      <w:szCs w:val="44"/>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Body Text"/>
    <w:basedOn w:val="1"/>
    <w:next w:val="4"/>
    <w:qFormat/>
    <w:uiPriority w:val="0"/>
    <w:rPr>
      <w:rFonts w:ascii="宋体" w:hAnsi="Arial"/>
      <w:sz w:val="28"/>
      <w:szCs w:val="20"/>
    </w:rPr>
  </w:style>
  <w:style w:type="paragraph" w:styleId="4">
    <w:name w:val="Date"/>
    <w:basedOn w:val="1"/>
    <w:next w:val="1"/>
    <w:uiPriority w:val="0"/>
    <w:rPr>
      <w:b/>
      <w:sz w:val="28"/>
      <w:szCs w:val="20"/>
    </w:rPr>
  </w:style>
  <w:style w:type="paragraph" w:styleId="5">
    <w:name w:val="toc 2"/>
    <w:basedOn w:val="1"/>
    <w:next w:val="1"/>
    <w:qFormat/>
    <w:uiPriority w:val="39"/>
    <w:pPr>
      <w:ind w:left="210"/>
      <w:jc w:val="left"/>
    </w:pPr>
    <w:rPr>
      <w:smallCaps/>
      <w:sz w:val="18"/>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2024-12-25T01:39:33Z</dcterms:created>
  <dc:creator>Administrator</dc:creator>
  <cp:lastModifiedBy>刘元军</cp:lastModifiedBy>
  <dcterms:modified xsi:type="dcterms:W3CDTF">2024-12-25T01:40:07Z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70A0ED13A31347FCB71AB15841A50884_12</vt:lpwstr>
  </property>
</Properties>
</file>