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snapToGrid/>
        <w:ind w:firstLine="0" w:firstLineChars="0"/>
        <w:jc w:val="center"/>
        <w:rPr>
          <w:b/>
          <w:bCs/>
          <w:color w:val="auto"/>
          <w:sz w:val="36"/>
          <w:szCs w:val="36"/>
        </w:rPr>
      </w:pPr>
      <w:r>
        <w:rPr>
          <w:rFonts w:hint="eastAsia"/>
          <w:b/>
          <w:bCs/>
          <w:color w:val="auto"/>
          <w:sz w:val="36"/>
          <w:szCs w:val="36"/>
        </w:rPr>
        <w:t>云南省消防救援总队2023年“自然灾害应急能力提升工程”装备配备项目（车辆部分）第一批次</w:t>
      </w:r>
    </w:p>
    <w:p>
      <w:pPr>
        <w:adjustRightInd/>
        <w:snapToGrid/>
        <w:rPr>
          <w:color w:val="auto"/>
        </w:rPr>
      </w:pPr>
    </w:p>
    <w:p>
      <w:pPr>
        <w:adjustRightInd/>
        <w:snapToGrid/>
        <w:rPr>
          <w:color w:val="auto"/>
        </w:rPr>
      </w:pPr>
    </w:p>
    <w:p>
      <w:pPr>
        <w:adjustRightInd/>
        <w:snapToGrid/>
        <w:rPr>
          <w:color w:val="auto"/>
        </w:rPr>
      </w:pPr>
    </w:p>
    <w:p>
      <w:pPr>
        <w:ind w:firstLine="0" w:firstLineChars="0"/>
        <w:jc w:val="center"/>
        <w:rPr>
          <w:color w:val="auto"/>
          <w:sz w:val="84"/>
          <w:szCs w:val="84"/>
        </w:rPr>
      </w:pPr>
      <w:r>
        <w:rPr>
          <w:rFonts w:hint="eastAsia"/>
          <w:color w:val="auto"/>
          <w:spacing w:val="-5"/>
          <w:sz w:val="84"/>
          <w:szCs w:val="84"/>
          <w14:textOutline w14:w="15240" w14:cap="flat" w14:cmpd="sng" w14:algn="ctr">
            <w14:solidFill>
              <w14:srgbClr w14:val="000000"/>
            </w14:solidFill>
            <w14:prstDash w14:val="solid"/>
            <w14:miter w14:val="0"/>
          </w14:textOutline>
        </w:rPr>
        <w:t>招标</w:t>
      </w:r>
      <w:r>
        <w:rPr>
          <w:rFonts w:hint="eastAsia"/>
          <w:color w:val="auto"/>
          <w:spacing w:val="-3"/>
          <w:sz w:val="84"/>
          <w:szCs w:val="84"/>
          <w14:textOutline w14:w="15240" w14:cap="flat" w14:cmpd="sng" w14:algn="ctr">
            <w14:solidFill>
              <w14:srgbClr w14:val="000000"/>
            </w14:solidFill>
            <w14:prstDash w14:val="solid"/>
            <w14:miter w14:val="0"/>
          </w14:textOutline>
        </w:rPr>
        <w:t>文件</w:t>
      </w:r>
    </w:p>
    <w:p>
      <w:pPr>
        <w:adjustRightInd/>
        <w:snapToGrid/>
        <w:rPr>
          <w:color w:val="auto"/>
        </w:rPr>
      </w:pPr>
    </w:p>
    <w:p>
      <w:pPr>
        <w:adjustRightInd/>
        <w:snapToGrid/>
        <w:ind w:firstLine="0" w:firstLineChars="0"/>
        <w:jc w:val="center"/>
        <w:rPr>
          <w:b/>
          <w:bCs/>
          <w:color w:val="auto"/>
          <w:sz w:val="32"/>
          <w:szCs w:val="32"/>
        </w:rPr>
      </w:pPr>
      <w:r>
        <w:rPr>
          <w:rFonts w:hint="eastAsia"/>
          <w:b/>
          <w:bCs/>
          <w:color w:val="auto"/>
          <w:spacing w:val="6"/>
          <w:sz w:val="32"/>
          <w:szCs w:val="32"/>
        </w:rPr>
        <w:t>项目编号：YNSXFJYZD2023NZRZHYJNLTSGCZBPBXM（CLBF）DYPC</w:t>
      </w:r>
    </w:p>
    <w:p>
      <w:pPr>
        <w:adjustRightInd/>
        <w:snapToGrid/>
        <w:ind w:firstLine="422"/>
        <w:rPr>
          <w:b/>
          <w:bCs/>
          <w:color w:val="auto"/>
        </w:rPr>
      </w:pPr>
    </w:p>
    <w:p>
      <w:pPr>
        <w:adjustRightInd/>
        <w:snapToGrid/>
        <w:ind w:firstLine="422"/>
        <w:rPr>
          <w:b/>
          <w:bCs/>
          <w:color w:val="auto"/>
        </w:rPr>
      </w:pPr>
    </w:p>
    <w:p>
      <w:pPr>
        <w:adjustRightInd/>
        <w:snapToGrid/>
        <w:ind w:firstLine="422"/>
        <w:rPr>
          <w:b/>
          <w:bCs/>
          <w:color w:val="auto"/>
        </w:rPr>
      </w:pPr>
    </w:p>
    <w:p>
      <w:pPr>
        <w:adjustRightInd/>
        <w:snapToGrid/>
        <w:ind w:firstLine="422"/>
        <w:rPr>
          <w:b/>
          <w:bCs/>
          <w:color w:val="auto"/>
        </w:rPr>
      </w:pPr>
    </w:p>
    <w:p>
      <w:pPr>
        <w:adjustRightInd/>
        <w:snapToGrid/>
        <w:ind w:firstLine="422"/>
        <w:rPr>
          <w:b/>
          <w:bCs/>
          <w:color w:val="auto"/>
        </w:rPr>
      </w:pPr>
    </w:p>
    <w:p>
      <w:pPr>
        <w:adjustRightInd/>
        <w:snapToGrid/>
        <w:ind w:firstLine="422"/>
        <w:rPr>
          <w:b/>
          <w:bCs/>
          <w:color w:val="auto"/>
        </w:rPr>
      </w:pPr>
    </w:p>
    <w:p>
      <w:pPr>
        <w:adjustRightInd/>
        <w:snapToGrid/>
        <w:ind w:firstLine="422"/>
        <w:rPr>
          <w:b/>
          <w:bCs/>
          <w:color w:val="auto"/>
        </w:rPr>
      </w:pPr>
    </w:p>
    <w:p>
      <w:pPr>
        <w:adjustRightInd/>
        <w:snapToGrid/>
        <w:ind w:firstLine="422"/>
        <w:rPr>
          <w:b/>
          <w:bCs/>
          <w:color w:val="auto"/>
        </w:rPr>
      </w:pPr>
    </w:p>
    <w:p>
      <w:pPr>
        <w:adjustRightInd/>
        <w:snapToGrid/>
        <w:ind w:firstLine="422"/>
        <w:rPr>
          <w:b/>
          <w:bCs/>
          <w:color w:val="auto"/>
        </w:rPr>
      </w:pPr>
    </w:p>
    <w:p>
      <w:pPr>
        <w:adjustRightInd/>
        <w:snapToGrid/>
        <w:ind w:firstLine="0" w:firstLineChars="0"/>
        <w:jc w:val="center"/>
        <w:rPr>
          <w:b/>
          <w:bCs/>
          <w:color w:val="auto"/>
          <w:spacing w:val="9"/>
          <w:sz w:val="32"/>
          <w:szCs w:val="32"/>
        </w:rPr>
      </w:pPr>
    </w:p>
    <w:p>
      <w:pPr>
        <w:adjustRightInd/>
        <w:snapToGrid/>
        <w:ind w:firstLine="0" w:firstLineChars="0"/>
        <w:jc w:val="center"/>
        <w:rPr>
          <w:b/>
          <w:bCs/>
          <w:color w:val="auto"/>
          <w:spacing w:val="9"/>
          <w:sz w:val="32"/>
          <w:szCs w:val="32"/>
        </w:rPr>
      </w:pPr>
    </w:p>
    <w:p>
      <w:pPr>
        <w:adjustRightInd/>
        <w:snapToGrid/>
        <w:ind w:firstLine="0" w:firstLineChars="0"/>
        <w:jc w:val="center"/>
        <w:rPr>
          <w:b/>
          <w:bCs/>
          <w:color w:val="auto"/>
          <w:sz w:val="32"/>
          <w:szCs w:val="32"/>
        </w:rPr>
      </w:pPr>
      <w:r>
        <w:rPr>
          <w:rFonts w:hint="eastAsia"/>
          <w:b/>
          <w:bCs/>
          <w:color w:val="auto"/>
          <w:spacing w:val="9"/>
          <w:sz w:val="32"/>
          <w:szCs w:val="32"/>
        </w:rPr>
        <w:t>招标人：</w:t>
      </w:r>
      <w:r>
        <w:rPr>
          <w:rFonts w:hint="eastAsia"/>
          <w:b/>
          <w:bCs/>
          <w:color w:val="auto"/>
          <w:w w:val="95"/>
          <w:sz w:val="32"/>
        </w:rPr>
        <w:t>云南省消防救援总队</w:t>
      </w:r>
    </w:p>
    <w:p>
      <w:pPr>
        <w:adjustRightInd/>
        <w:snapToGrid/>
        <w:ind w:firstLine="0" w:firstLineChars="0"/>
        <w:jc w:val="center"/>
        <w:rPr>
          <w:b/>
          <w:bCs/>
          <w:color w:val="auto"/>
          <w:sz w:val="32"/>
          <w:szCs w:val="32"/>
        </w:rPr>
      </w:pPr>
      <w:r>
        <w:rPr>
          <w:rFonts w:hint="eastAsia"/>
          <w:b/>
          <w:bCs/>
          <w:color w:val="auto"/>
          <w:spacing w:val="-1"/>
          <w:sz w:val="32"/>
          <w:szCs w:val="32"/>
        </w:rPr>
        <w:t>招标</w:t>
      </w:r>
      <w:r>
        <w:rPr>
          <w:rFonts w:hint="eastAsia"/>
          <w:b/>
          <w:bCs/>
          <w:color w:val="auto"/>
          <w:sz w:val="32"/>
          <w:szCs w:val="32"/>
        </w:rPr>
        <w:t>代理机构：中招国际招标有限公司</w:t>
      </w:r>
    </w:p>
    <w:p>
      <w:pPr>
        <w:adjustRightInd/>
        <w:snapToGrid/>
        <w:ind w:firstLine="0" w:firstLineChars="0"/>
        <w:jc w:val="center"/>
        <w:rPr>
          <w:b/>
          <w:bCs/>
          <w:color w:val="auto"/>
          <w:sz w:val="32"/>
          <w:szCs w:val="32"/>
        </w:rPr>
      </w:pPr>
      <w:r>
        <w:rPr>
          <w:rFonts w:hint="eastAsia"/>
          <w:b/>
          <w:bCs/>
          <w:color w:val="auto"/>
          <w:spacing w:val="7"/>
          <w:sz w:val="32"/>
          <w:szCs w:val="32"/>
        </w:rPr>
        <w:t>二〇二四年</w:t>
      </w:r>
      <w:r>
        <w:rPr>
          <w:rFonts w:hint="eastAsia"/>
          <w:b/>
          <w:bCs/>
          <w:color w:val="auto"/>
          <w:spacing w:val="7"/>
          <w:sz w:val="32"/>
          <w:szCs w:val="32"/>
          <w:lang w:val="en-US" w:eastAsia="zh-CN"/>
        </w:rPr>
        <w:t>五</w:t>
      </w:r>
      <w:r>
        <w:rPr>
          <w:rFonts w:hint="eastAsia"/>
          <w:b/>
          <w:bCs/>
          <w:color w:val="auto"/>
          <w:spacing w:val="7"/>
          <w:sz w:val="32"/>
          <w:szCs w:val="32"/>
        </w:rPr>
        <w:t>月</w:t>
      </w:r>
    </w:p>
    <w:p>
      <w:pPr>
        <w:adjustRightInd/>
        <w:snapToGrid/>
        <w:ind w:firstLine="0" w:firstLineChars="0"/>
        <w:rPr>
          <w:color w:val="auto"/>
        </w:rPr>
        <w:sectPr>
          <w:headerReference r:id="rId7" w:type="first"/>
          <w:footerReference r:id="rId10" w:type="first"/>
          <w:headerReference r:id="rId5" w:type="default"/>
          <w:footerReference r:id="rId8" w:type="default"/>
          <w:headerReference r:id="rId6" w:type="even"/>
          <w:footerReference r:id="rId9" w:type="even"/>
          <w:pgSz w:w="11907" w:h="16839"/>
          <w:pgMar w:top="1417" w:right="1417" w:bottom="1417" w:left="1587" w:header="0" w:footer="0" w:gutter="0"/>
          <w:cols w:space="720" w:num="1"/>
        </w:sectPr>
      </w:pPr>
    </w:p>
    <w:p>
      <w:pPr>
        <w:ind w:firstLine="0" w:firstLineChars="0"/>
        <w:jc w:val="center"/>
        <w:rPr>
          <w:rFonts w:ascii="黑体" w:hAnsi="黑体" w:eastAsia="黑体" w:cs="黑体"/>
          <w:color w:val="auto"/>
          <w:sz w:val="28"/>
          <w:szCs w:val="28"/>
        </w:rPr>
      </w:pPr>
      <w:r>
        <w:rPr>
          <w:rFonts w:hint="eastAsia" w:ascii="黑体" w:hAnsi="黑体" w:eastAsia="黑体" w:cs="黑体"/>
          <w:b/>
          <w:bCs/>
          <w:color w:val="auto"/>
          <w:sz w:val="28"/>
          <w:szCs w:val="28"/>
        </w:rPr>
        <w:t>目  录</w:t>
      </w:r>
    </w:p>
    <w:p>
      <w:pPr>
        <w:pStyle w:val="17"/>
        <w:tabs>
          <w:tab w:val="right" w:leader="dot" w:pos="8902"/>
        </w:tabs>
        <w:ind w:firstLine="480"/>
        <w:rPr>
          <w:color w:val="auto"/>
        </w:rPr>
      </w:pPr>
      <w:r>
        <w:rPr>
          <w:color w:val="auto"/>
          <w:sz w:val="24"/>
          <w:szCs w:val="24"/>
        </w:rPr>
        <w:fldChar w:fldCharType="begin"/>
      </w:r>
      <w:r>
        <w:rPr>
          <w:color w:val="auto"/>
          <w:sz w:val="24"/>
          <w:szCs w:val="24"/>
        </w:rPr>
        <w:instrText xml:space="preserve">TOC \o "1-2" \h \u </w:instrText>
      </w:r>
      <w:r>
        <w:rPr>
          <w:color w:val="auto"/>
          <w:sz w:val="24"/>
          <w:szCs w:val="24"/>
        </w:rPr>
        <w:fldChar w:fldCharType="separate"/>
      </w:r>
      <w:r>
        <w:fldChar w:fldCharType="begin"/>
      </w:r>
      <w:r>
        <w:instrText xml:space="preserve"> HYPERLINK \l "_Toc4653" </w:instrText>
      </w:r>
      <w:r>
        <w:fldChar w:fldCharType="separate"/>
      </w:r>
      <w:r>
        <w:rPr>
          <w:rFonts w:hint="eastAsia"/>
          <w:color w:val="auto"/>
          <w:szCs w:val="32"/>
        </w:rPr>
        <w:t>第一章 招标公告</w:t>
      </w:r>
      <w:r>
        <w:rPr>
          <w:color w:val="auto"/>
        </w:rPr>
        <w:tab/>
      </w:r>
      <w:r>
        <w:rPr>
          <w:color w:val="auto"/>
        </w:rPr>
        <w:fldChar w:fldCharType="begin"/>
      </w:r>
      <w:r>
        <w:rPr>
          <w:color w:val="auto"/>
        </w:rPr>
        <w:instrText xml:space="preserve"> PAGEREF _Toc4653 \h </w:instrText>
      </w:r>
      <w:r>
        <w:rPr>
          <w:color w:val="auto"/>
        </w:rPr>
        <w:fldChar w:fldCharType="separate"/>
      </w:r>
      <w:r>
        <w:rPr>
          <w:color w:val="auto"/>
        </w:rPr>
        <w:t>4</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"_Toc23265" </w:instrText>
      </w:r>
      <w:r>
        <w:fldChar w:fldCharType="separate"/>
      </w:r>
      <w:r>
        <w:rPr>
          <w:rFonts w:hint="eastAsia"/>
          <w:color w:val="auto"/>
          <w:szCs w:val="28"/>
        </w:rPr>
        <w:t>一、项目基本情况</w:t>
      </w:r>
      <w:r>
        <w:rPr>
          <w:color w:val="auto"/>
        </w:rPr>
        <w:tab/>
      </w:r>
      <w:r>
        <w:rPr>
          <w:color w:val="auto"/>
        </w:rPr>
        <w:fldChar w:fldCharType="begin"/>
      </w:r>
      <w:r>
        <w:rPr>
          <w:color w:val="auto"/>
        </w:rPr>
        <w:instrText xml:space="preserve"> PAGEREF _Toc23265 \h </w:instrText>
      </w:r>
      <w:r>
        <w:rPr>
          <w:color w:val="auto"/>
        </w:rPr>
        <w:fldChar w:fldCharType="separate"/>
      </w:r>
      <w:r>
        <w:rPr>
          <w:color w:val="auto"/>
        </w:rPr>
        <w:t>4</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"_Toc3099" </w:instrText>
      </w:r>
      <w:r>
        <w:fldChar w:fldCharType="separate"/>
      </w:r>
      <w:r>
        <w:rPr>
          <w:rFonts w:hint="eastAsia"/>
          <w:color w:val="auto"/>
        </w:rPr>
        <w:t>二、投标人的资格要求：</w:t>
      </w:r>
      <w:r>
        <w:rPr>
          <w:color w:val="auto"/>
        </w:rPr>
        <w:tab/>
      </w:r>
      <w:r>
        <w:rPr>
          <w:color w:val="auto"/>
        </w:rPr>
        <w:fldChar w:fldCharType="begin"/>
      </w:r>
      <w:r>
        <w:rPr>
          <w:color w:val="auto"/>
        </w:rPr>
        <w:instrText xml:space="preserve"> PAGEREF _Toc3099 \h </w:instrText>
      </w:r>
      <w:r>
        <w:rPr>
          <w:color w:val="auto"/>
        </w:rPr>
        <w:fldChar w:fldCharType="separate"/>
      </w:r>
      <w:r>
        <w:rPr>
          <w:color w:val="auto"/>
        </w:rPr>
        <w:t>5</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"_Toc14554" </w:instrText>
      </w:r>
      <w:r>
        <w:fldChar w:fldCharType="separate"/>
      </w:r>
      <w:r>
        <w:rPr>
          <w:rFonts w:hint="eastAsia"/>
          <w:color w:val="auto"/>
        </w:rPr>
        <w:t>三、获取招标文件</w:t>
      </w:r>
      <w:r>
        <w:rPr>
          <w:color w:val="auto"/>
        </w:rPr>
        <w:tab/>
      </w:r>
      <w:r>
        <w:rPr>
          <w:color w:val="auto"/>
        </w:rPr>
        <w:fldChar w:fldCharType="begin"/>
      </w:r>
      <w:r>
        <w:rPr>
          <w:color w:val="auto"/>
        </w:rPr>
        <w:instrText xml:space="preserve"> PAGEREF _Toc14554 \h </w:instrText>
      </w:r>
      <w:r>
        <w:rPr>
          <w:color w:val="auto"/>
        </w:rPr>
        <w:fldChar w:fldCharType="separate"/>
      </w:r>
      <w:r>
        <w:rPr>
          <w:color w:val="auto"/>
        </w:rPr>
        <w:t>5</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"_Toc2563" </w:instrText>
      </w:r>
      <w:r>
        <w:fldChar w:fldCharType="separate"/>
      </w:r>
      <w:r>
        <w:rPr>
          <w:rFonts w:hint="eastAsia"/>
          <w:color w:val="auto"/>
        </w:rPr>
        <w:t>四、投标截止时间、开标时间及地点</w:t>
      </w:r>
      <w:r>
        <w:rPr>
          <w:color w:val="auto"/>
        </w:rPr>
        <w:tab/>
      </w:r>
      <w:r>
        <w:rPr>
          <w:color w:val="auto"/>
        </w:rPr>
        <w:fldChar w:fldCharType="begin"/>
      </w:r>
      <w:r>
        <w:rPr>
          <w:color w:val="auto"/>
        </w:rPr>
        <w:instrText xml:space="preserve"> PAGEREF _Toc2563 \h </w:instrText>
      </w:r>
      <w:r>
        <w:rPr>
          <w:color w:val="auto"/>
        </w:rPr>
        <w:fldChar w:fldCharType="separate"/>
      </w:r>
      <w:r>
        <w:rPr>
          <w:color w:val="auto"/>
        </w:rPr>
        <w:t>6</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"_Toc1611" </w:instrText>
      </w:r>
      <w:r>
        <w:fldChar w:fldCharType="separate"/>
      </w:r>
      <w:r>
        <w:rPr>
          <w:rFonts w:hint="eastAsia"/>
          <w:color w:val="auto"/>
        </w:rPr>
        <w:t>五、公告期限</w:t>
      </w:r>
      <w:r>
        <w:rPr>
          <w:color w:val="auto"/>
        </w:rPr>
        <w:tab/>
      </w:r>
      <w:r>
        <w:rPr>
          <w:color w:val="auto"/>
        </w:rPr>
        <w:fldChar w:fldCharType="begin"/>
      </w:r>
      <w:r>
        <w:rPr>
          <w:color w:val="auto"/>
        </w:rPr>
        <w:instrText xml:space="preserve"> PAGEREF _Toc1611 \h </w:instrText>
      </w:r>
      <w:r>
        <w:rPr>
          <w:color w:val="auto"/>
        </w:rPr>
        <w:fldChar w:fldCharType="separate"/>
      </w:r>
      <w:r>
        <w:rPr>
          <w:color w:val="auto"/>
        </w:rPr>
        <w:t>6</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"_Toc8285" </w:instrText>
      </w:r>
      <w:r>
        <w:fldChar w:fldCharType="separate"/>
      </w:r>
      <w:r>
        <w:rPr>
          <w:rFonts w:hint="eastAsia"/>
          <w:color w:val="auto"/>
        </w:rPr>
        <w:t>六、项目联系人及电话</w:t>
      </w:r>
      <w:r>
        <w:rPr>
          <w:color w:val="auto"/>
        </w:rPr>
        <w:tab/>
      </w:r>
      <w:r>
        <w:rPr>
          <w:color w:val="auto"/>
        </w:rPr>
        <w:fldChar w:fldCharType="begin"/>
      </w:r>
      <w:r>
        <w:rPr>
          <w:color w:val="auto"/>
        </w:rPr>
        <w:instrText xml:space="preserve"> PAGEREF _Toc8285 \h </w:instrText>
      </w:r>
      <w:r>
        <w:rPr>
          <w:color w:val="auto"/>
        </w:rPr>
        <w:fldChar w:fldCharType="separate"/>
      </w:r>
      <w:r>
        <w:rPr>
          <w:color w:val="auto"/>
        </w:rPr>
        <w:t>6</w:t>
      </w:r>
      <w:r>
        <w:rPr>
          <w:color w:val="auto"/>
        </w:rPr>
        <w:fldChar w:fldCharType="end"/>
      </w:r>
      <w:r>
        <w:rPr>
          <w:color w:val="auto"/>
        </w:rPr>
        <w:fldChar w:fldCharType="end"/>
      </w:r>
    </w:p>
    <w:p>
      <w:pPr>
        <w:pStyle w:val="17"/>
        <w:tabs>
          <w:tab w:val="right" w:leader="dot" w:pos="8902"/>
        </w:tabs>
        <w:rPr>
          <w:color w:val="auto"/>
        </w:rPr>
      </w:pPr>
      <w:r>
        <w:fldChar w:fldCharType="begin"/>
      </w:r>
      <w:r>
        <w:instrText xml:space="preserve"> HYPERLINK \l "_Toc19159" </w:instrText>
      </w:r>
      <w:r>
        <w:fldChar w:fldCharType="separate"/>
      </w:r>
      <w:r>
        <w:rPr>
          <w:rFonts w:hint="eastAsia"/>
          <w:color w:val="auto"/>
        </w:rPr>
        <w:t>第二章 投标人须知</w:t>
      </w:r>
      <w:r>
        <w:rPr>
          <w:color w:val="auto"/>
        </w:rPr>
        <w:tab/>
      </w:r>
      <w:r>
        <w:rPr>
          <w:color w:val="auto"/>
        </w:rPr>
        <w:fldChar w:fldCharType="begin"/>
      </w:r>
      <w:r>
        <w:rPr>
          <w:color w:val="auto"/>
        </w:rPr>
        <w:instrText xml:space="preserve"> PAGEREF _Toc19159 \h </w:instrText>
      </w:r>
      <w:r>
        <w:rPr>
          <w:color w:val="auto"/>
        </w:rPr>
        <w:fldChar w:fldCharType="separate"/>
      </w:r>
      <w:r>
        <w:rPr>
          <w:color w:val="auto"/>
        </w:rPr>
        <w:t>10</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"_Toc12554" </w:instrText>
      </w:r>
      <w:r>
        <w:fldChar w:fldCharType="separate"/>
      </w:r>
      <w:r>
        <w:rPr>
          <w:rFonts w:hint="eastAsia"/>
          <w:color w:val="auto"/>
        </w:rPr>
        <w:t>投标人须知前附表</w:t>
      </w:r>
      <w:r>
        <w:rPr>
          <w:color w:val="auto"/>
        </w:rPr>
        <w:tab/>
      </w:r>
      <w:r>
        <w:rPr>
          <w:color w:val="auto"/>
        </w:rPr>
        <w:fldChar w:fldCharType="begin"/>
      </w:r>
      <w:r>
        <w:rPr>
          <w:color w:val="auto"/>
        </w:rPr>
        <w:instrText xml:space="preserve"> PAGEREF _Toc12554 \h </w:instrText>
      </w:r>
      <w:r>
        <w:rPr>
          <w:color w:val="auto"/>
        </w:rPr>
        <w:fldChar w:fldCharType="separate"/>
      </w:r>
      <w:r>
        <w:rPr>
          <w:color w:val="auto"/>
        </w:rPr>
        <w:t>10</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"_Toc7810" </w:instrText>
      </w:r>
      <w:r>
        <w:fldChar w:fldCharType="separate"/>
      </w:r>
      <w:r>
        <w:rPr>
          <w:rFonts w:hint="eastAsia"/>
          <w:color w:val="auto"/>
        </w:rPr>
        <w:t>一、总则</w:t>
      </w:r>
      <w:r>
        <w:rPr>
          <w:color w:val="auto"/>
        </w:rPr>
        <w:tab/>
      </w:r>
      <w:r>
        <w:rPr>
          <w:color w:val="auto"/>
        </w:rPr>
        <w:fldChar w:fldCharType="begin"/>
      </w:r>
      <w:r>
        <w:rPr>
          <w:color w:val="auto"/>
        </w:rPr>
        <w:instrText xml:space="preserve"> PAGEREF _Toc7810 \h </w:instrText>
      </w:r>
      <w:r>
        <w:rPr>
          <w:color w:val="auto"/>
        </w:rPr>
        <w:fldChar w:fldCharType="separate"/>
      </w:r>
      <w:r>
        <w:rPr>
          <w:color w:val="auto"/>
        </w:rPr>
        <w:t>13</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"_Toc17171" </w:instrText>
      </w:r>
      <w:r>
        <w:fldChar w:fldCharType="separate"/>
      </w:r>
      <w:r>
        <w:rPr>
          <w:rFonts w:hint="eastAsia"/>
          <w:color w:val="auto"/>
        </w:rPr>
        <w:t>二、招标文件</w:t>
      </w:r>
      <w:r>
        <w:rPr>
          <w:color w:val="auto"/>
        </w:rPr>
        <w:tab/>
      </w:r>
      <w:r>
        <w:rPr>
          <w:color w:val="auto"/>
        </w:rPr>
        <w:fldChar w:fldCharType="begin"/>
      </w:r>
      <w:r>
        <w:rPr>
          <w:color w:val="auto"/>
        </w:rPr>
        <w:instrText xml:space="preserve"> PAGEREF _Toc17171 \h </w:instrText>
      </w:r>
      <w:r>
        <w:rPr>
          <w:color w:val="auto"/>
        </w:rPr>
        <w:fldChar w:fldCharType="separate"/>
      </w:r>
      <w:r>
        <w:rPr>
          <w:color w:val="auto"/>
        </w:rPr>
        <w:t>14</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"_Toc26335" </w:instrText>
      </w:r>
      <w:r>
        <w:fldChar w:fldCharType="separate"/>
      </w:r>
      <w:r>
        <w:rPr>
          <w:rFonts w:hint="eastAsia"/>
          <w:color w:val="auto"/>
        </w:rPr>
        <w:t>三、投标文件</w:t>
      </w:r>
      <w:r>
        <w:rPr>
          <w:color w:val="auto"/>
        </w:rPr>
        <w:tab/>
      </w:r>
      <w:r>
        <w:rPr>
          <w:color w:val="auto"/>
        </w:rPr>
        <w:fldChar w:fldCharType="begin"/>
      </w:r>
      <w:r>
        <w:rPr>
          <w:color w:val="auto"/>
        </w:rPr>
        <w:instrText xml:space="preserve"> PAGEREF _Toc26335 \h </w:instrText>
      </w:r>
      <w:r>
        <w:rPr>
          <w:color w:val="auto"/>
        </w:rPr>
        <w:fldChar w:fldCharType="separate"/>
      </w:r>
      <w:r>
        <w:rPr>
          <w:color w:val="auto"/>
        </w:rPr>
        <w:t>15</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"_Toc32177" </w:instrText>
      </w:r>
      <w:r>
        <w:fldChar w:fldCharType="separate"/>
      </w:r>
      <w:r>
        <w:rPr>
          <w:rFonts w:hint="eastAsia"/>
          <w:color w:val="auto"/>
        </w:rPr>
        <w:t>四、投标文件的提交</w:t>
      </w:r>
      <w:r>
        <w:rPr>
          <w:color w:val="auto"/>
        </w:rPr>
        <w:tab/>
      </w:r>
      <w:r>
        <w:rPr>
          <w:color w:val="auto"/>
        </w:rPr>
        <w:fldChar w:fldCharType="begin"/>
      </w:r>
      <w:r>
        <w:rPr>
          <w:color w:val="auto"/>
        </w:rPr>
        <w:instrText xml:space="preserve"> PAGEREF _Toc32177 \h </w:instrText>
      </w:r>
      <w:r>
        <w:rPr>
          <w:color w:val="auto"/>
        </w:rPr>
        <w:fldChar w:fldCharType="separate"/>
      </w:r>
      <w:r>
        <w:rPr>
          <w:color w:val="auto"/>
        </w:rPr>
        <w:t>16</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"_Toc20106" </w:instrText>
      </w:r>
      <w:r>
        <w:fldChar w:fldCharType="separate"/>
      </w:r>
      <w:r>
        <w:rPr>
          <w:rFonts w:hint="eastAsia"/>
          <w:color w:val="auto"/>
        </w:rPr>
        <w:t>五、开标与评标</w:t>
      </w:r>
      <w:r>
        <w:rPr>
          <w:color w:val="auto"/>
        </w:rPr>
        <w:tab/>
      </w:r>
      <w:r>
        <w:rPr>
          <w:color w:val="auto"/>
        </w:rPr>
        <w:fldChar w:fldCharType="begin"/>
      </w:r>
      <w:r>
        <w:rPr>
          <w:color w:val="auto"/>
        </w:rPr>
        <w:instrText xml:space="preserve"> PAGEREF _Toc20106 \h </w:instrText>
      </w:r>
      <w:r>
        <w:rPr>
          <w:color w:val="auto"/>
        </w:rPr>
        <w:fldChar w:fldCharType="separate"/>
      </w:r>
      <w:r>
        <w:rPr>
          <w:color w:val="auto"/>
        </w:rPr>
        <w:t>17</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"_Toc2119" </w:instrText>
      </w:r>
      <w:r>
        <w:fldChar w:fldCharType="separate"/>
      </w:r>
      <w:r>
        <w:rPr>
          <w:rFonts w:hint="eastAsia"/>
          <w:color w:val="auto"/>
        </w:rPr>
        <w:t>六、中标结果</w:t>
      </w:r>
      <w:r>
        <w:rPr>
          <w:color w:val="auto"/>
        </w:rPr>
        <w:tab/>
      </w:r>
      <w:r>
        <w:rPr>
          <w:color w:val="auto"/>
        </w:rPr>
        <w:fldChar w:fldCharType="begin"/>
      </w:r>
      <w:r>
        <w:rPr>
          <w:color w:val="auto"/>
        </w:rPr>
        <w:instrText xml:space="preserve"> PAGEREF _Toc2119 \h </w:instrText>
      </w:r>
      <w:r>
        <w:rPr>
          <w:color w:val="auto"/>
        </w:rPr>
        <w:fldChar w:fldCharType="separate"/>
      </w:r>
      <w:r>
        <w:rPr>
          <w:color w:val="auto"/>
        </w:rPr>
        <w:t>18</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"_Toc20902" </w:instrText>
      </w:r>
      <w:r>
        <w:fldChar w:fldCharType="separate"/>
      </w:r>
      <w:r>
        <w:rPr>
          <w:rFonts w:hint="eastAsia"/>
          <w:color w:val="auto"/>
        </w:rPr>
        <w:t>七、其他事项</w:t>
      </w:r>
      <w:r>
        <w:rPr>
          <w:color w:val="auto"/>
        </w:rPr>
        <w:tab/>
      </w:r>
      <w:r>
        <w:rPr>
          <w:color w:val="auto"/>
        </w:rPr>
        <w:fldChar w:fldCharType="begin"/>
      </w:r>
      <w:r>
        <w:rPr>
          <w:color w:val="auto"/>
        </w:rPr>
        <w:instrText xml:space="preserve"> PAGEREF _Toc20902 \h </w:instrText>
      </w:r>
      <w:r>
        <w:rPr>
          <w:color w:val="auto"/>
        </w:rPr>
        <w:fldChar w:fldCharType="separate"/>
      </w:r>
      <w:r>
        <w:rPr>
          <w:color w:val="auto"/>
        </w:rPr>
        <w:t>19</w:t>
      </w:r>
      <w:r>
        <w:rPr>
          <w:color w:val="auto"/>
        </w:rPr>
        <w:fldChar w:fldCharType="end"/>
      </w:r>
      <w:r>
        <w:rPr>
          <w:color w:val="auto"/>
        </w:rPr>
        <w:fldChar w:fldCharType="end"/>
      </w:r>
    </w:p>
    <w:p>
      <w:pPr>
        <w:pStyle w:val="17"/>
        <w:tabs>
          <w:tab w:val="right" w:leader="dot" w:pos="8902"/>
        </w:tabs>
        <w:rPr>
          <w:color w:val="auto"/>
        </w:rPr>
      </w:pPr>
      <w:r>
        <w:fldChar w:fldCharType="begin"/>
      </w:r>
      <w:r>
        <w:instrText xml:space="preserve"> HYPERLINK \l "_Toc24434" </w:instrText>
      </w:r>
      <w:r>
        <w:fldChar w:fldCharType="separate"/>
      </w:r>
      <w:r>
        <w:rPr>
          <w:rFonts w:hint="eastAsia"/>
          <w:color w:val="auto"/>
        </w:rPr>
        <w:t>第三章 合同书样式及主要条款</w:t>
      </w:r>
      <w:r>
        <w:rPr>
          <w:color w:val="auto"/>
        </w:rPr>
        <w:tab/>
      </w:r>
      <w:r>
        <w:rPr>
          <w:color w:val="auto"/>
        </w:rPr>
        <w:fldChar w:fldCharType="begin"/>
      </w:r>
      <w:r>
        <w:rPr>
          <w:color w:val="auto"/>
        </w:rPr>
        <w:instrText xml:space="preserve"> PAGEREF _Toc24434 \h </w:instrText>
      </w:r>
      <w:r>
        <w:rPr>
          <w:color w:val="auto"/>
        </w:rPr>
        <w:fldChar w:fldCharType="separate"/>
      </w:r>
      <w:r>
        <w:rPr>
          <w:color w:val="auto"/>
        </w:rPr>
        <w:t>21</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"_Toc20292" </w:instrText>
      </w:r>
      <w:r>
        <w:fldChar w:fldCharType="separate"/>
      </w:r>
      <w:r>
        <w:rPr>
          <w:rFonts w:hint="eastAsia"/>
          <w:bCs/>
          <w:color w:val="auto"/>
          <w:spacing w:val="40"/>
          <w:szCs w:val="22"/>
        </w:rPr>
        <w:t>合同条款前附表</w:t>
      </w:r>
      <w:r>
        <w:rPr>
          <w:color w:val="auto"/>
        </w:rPr>
        <w:tab/>
      </w:r>
      <w:r>
        <w:rPr>
          <w:color w:val="auto"/>
        </w:rPr>
        <w:fldChar w:fldCharType="begin"/>
      </w:r>
      <w:r>
        <w:rPr>
          <w:color w:val="auto"/>
        </w:rPr>
        <w:instrText xml:space="preserve"> PAGEREF _Toc20292 \h </w:instrText>
      </w:r>
      <w:r>
        <w:rPr>
          <w:color w:val="auto"/>
        </w:rPr>
        <w:fldChar w:fldCharType="separate"/>
      </w:r>
      <w:r>
        <w:rPr>
          <w:color w:val="auto"/>
        </w:rPr>
        <w:t>21</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"_Toc28512" </w:instrText>
      </w:r>
      <w:r>
        <w:fldChar w:fldCharType="separate"/>
      </w:r>
      <w:r>
        <w:rPr>
          <w:rFonts w:hint="eastAsia"/>
          <w:bCs/>
          <w:color w:val="auto"/>
          <w:spacing w:val="40"/>
          <w:szCs w:val="32"/>
        </w:rPr>
        <w:t>合 同 书</w:t>
      </w:r>
      <w:r>
        <w:rPr>
          <w:color w:val="auto"/>
        </w:rPr>
        <w:tab/>
      </w:r>
      <w:r>
        <w:rPr>
          <w:color w:val="auto"/>
        </w:rPr>
        <w:fldChar w:fldCharType="begin"/>
      </w:r>
      <w:r>
        <w:rPr>
          <w:color w:val="auto"/>
        </w:rPr>
        <w:instrText xml:space="preserve"> PAGEREF _Toc28512 \h </w:instrText>
      </w:r>
      <w:r>
        <w:rPr>
          <w:color w:val="auto"/>
        </w:rPr>
        <w:fldChar w:fldCharType="separate"/>
      </w:r>
      <w:r>
        <w:rPr>
          <w:color w:val="auto"/>
        </w:rPr>
        <w:t>24</w:t>
      </w:r>
      <w:r>
        <w:rPr>
          <w:color w:val="auto"/>
        </w:rPr>
        <w:fldChar w:fldCharType="end"/>
      </w:r>
      <w:r>
        <w:rPr>
          <w:color w:val="auto"/>
        </w:rPr>
        <w:fldChar w:fldCharType="end"/>
      </w:r>
    </w:p>
    <w:p>
      <w:pPr>
        <w:pStyle w:val="17"/>
        <w:tabs>
          <w:tab w:val="right" w:leader="dot" w:pos="8902"/>
        </w:tabs>
        <w:rPr>
          <w:color w:val="auto"/>
        </w:rPr>
      </w:pPr>
      <w:r>
        <w:fldChar w:fldCharType="begin"/>
      </w:r>
      <w:r>
        <w:instrText xml:space="preserve"> HYPERLINK \l "_Toc20169" </w:instrText>
      </w:r>
      <w:r>
        <w:fldChar w:fldCharType="separate"/>
      </w:r>
      <w:r>
        <w:rPr>
          <w:rFonts w:hint="eastAsia"/>
          <w:color w:val="auto"/>
          <w:szCs w:val="32"/>
        </w:rPr>
        <w:t>第四章 投标文件格式</w:t>
      </w:r>
      <w:r>
        <w:rPr>
          <w:color w:val="auto"/>
        </w:rPr>
        <w:tab/>
      </w:r>
      <w:r>
        <w:rPr>
          <w:color w:val="auto"/>
        </w:rPr>
        <w:fldChar w:fldCharType="begin"/>
      </w:r>
      <w:r>
        <w:rPr>
          <w:color w:val="auto"/>
        </w:rPr>
        <w:instrText xml:space="preserve"> PAGEREF _Toc20169 \h </w:instrText>
      </w:r>
      <w:r>
        <w:rPr>
          <w:color w:val="auto"/>
        </w:rPr>
        <w:fldChar w:fldCharType="separate"/>
      </w:r>
      <w:r>
        <w:rPr>
          <w:color w:val="auto"/>
        </w:rPr>
        <w:t>30</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"_Toc3668" </w:instrText>
      </w:r>
      <w:r>
        <w:fldChar w:fldCharType="separate"/>
      </w:r>
      <w:r>
        <w:rPr>
          <w:rFonts w:hint="eastAsia"/>
          <w:bCs/>
          <w:color w:val="auto"/>
          <w:kern w:val="2"/>
          <w:szCs w:val="32"/>
        </w:rPr>
        <w:t>目  录</w:t>
      </w:r>
      <w:r>
        <w:rPr>
          <w:color w:val="auto"/>
        </w:rPr>
        <w:tab/>
      </w:r>
      <w:r>
        <w:rPr>
          <w:color w:val="auto"/>
        </w:rPr>
        <w:fldChar w:fldCharType="begin"/>
      </w:r>
      <w:r>
        <w:rPr>
          <w:color w:val="auto"/>
        </w:rPr>
        <w:instrText xml:space="preserve"> PAGEREF _Toc3668 \h </w:instrText>
      </w:r>
      <w:r>
        <w:rPr>
          <w:color w:val="auto"/>
        </w:rPr>
        <w:fldChar w:fldCharType="separate"/>
      </w:r>
      <w:r>
        <w:rPr>
          <w:color w:val="auto"/>
        </w:rPr>
        <w:t>32</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"_Toc10452" </w:instrText>
      </w:r>
      <w:r>
        <w:fldChar w:fldCharType="separate"/>
      </w:r>
      <w:r>
        <w:rPr>
          <w:rFonts w:hint="eastAsia"/>
          <w:color w:val="auto"/>
          <w:szCs w:val="32"/>
        </w:rPr>
        <w:t>一、 开标一览表</w:t>
      </w:r>
      <w:r>
        <w:rPr>
          <w:color w:val="auto"/>
        </w:rPr>
        <w:tab/>
      </w:r>
      <w:r>
        <w:rPr>
          <w:color w:val="auto"/>
        </w:rPr>
        <w:fldChar w:fldCharType="begin"/>
      </w:r>
      <w:r>
        <w:rPr>
          <w:color w:val="auto"/>
        </w:rPr>
        <w:instrText xml:space="preserve"> PAGEREF _Toc10452 \h </w:instrText>
      </w:r>
      <w:r>
        <w:rPr>
          <w:color w:val="auto"/>
        </w:rPr>
        <w:fldChar w:fldCharType="separate"/>
      </w:r>
      <w:r>
        <w:rPr>
          <w:color w:val="auto"/>
        </w:rPr>
        <w:t>33</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"_Toc18779" </w:instrText>
      </w:r>
      <w:r>
        <w:fldChar w:fldCharType="separate"/>
      </w:r>
      <w:r>
        <w:rPr>
          <w:rFonts w:hint="eastAsia"/>
          <w:color w:val="auto"/>
          <w:szCs w:val="28"/>
        </w:rPr>
        <w:t>二、 资格证明文件</w:t>
      </w:r>
      <w:r>
        <w:rPr>
          <w:color w:val="auto"/>
        </w:rPr>
        <w:tab/>
      </w:r>
      <w:r>
        <w:rPr>
          <w:color w:val="auto"/>
        </w:rPr>
        <w:fldChar w:fldCharType="begin"/>
      </w:r>
      <w:r>
        <w:rPr>
          <w:color w:val="auto"/>
        </w:rPr>
        <w:instrText xml:space="preserve"> PAGEREF _Toc18779 \h </w:instrText>
      </w:r>
      <w:r>
        <w:rPr>
          <w:color w:val="auto"/>
        </w:rPr>
        <w:fldChar w:fldCharType="separate"/>
      </w:r>
      <w:r>
        <w:rPr>
          <w:color w:val="auto"/>
        </w:rPr>
        <w:t>34</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"_Toc220" </w:instrText>
      </w:r>
      <w:r>
        <w:fldChar w:fldCharType="separate"/>
      </w:r>
      <w:r>
        <w:rPr>
          <w:rFonts w:hint="eastAsia"/>
          <w:color w:val="auto"/>
          <w:szCs w:val="28"/>
        </w:rPr>
        <w:t>2.1投 标 函</w:t>
      </w:r>
      <w:r>
        <w:rPr>
          <w:color w:val="auto"/>
        </w:rPr>
        <w:tab/>
      </w:r>
      <w:r>
        <w:rPr>
          <w:color w:val="auto"/>
        </w:rPr>
        <w:fldChar w:fldCharType="begin"/>
      </w:r>
      <w:r>
        <w:rPr>
          <w:color w:val="auto"/>
        </w:rPr>
        <w:instrText xml:space="preserve"> PAGEREF _Toc220 \h </w:instrText>
      </w:r>
      <w:r>
        <w:rPr>
          <w:color w:val="auto"/>
        </w:rPr>
        <w:fldChar w:fldCharType="separate"/>
      </w:r>
      <w:r>
        <w:rPr>
          <w:color w:val="auto"/>
        </w:rPr>
        <w:t>34</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"_Toc4999" </w:instrText>
      </w:r>
      <w:r>
        <w:fldChar w:fldCharType="separate"/>
      </w:r>
      <w:r>
        <w:rPr>
          <w:rFonts w:hint="eastAsia"/>
          <w:color w:val="auto"/>
          <w:szCs w:val="28"/>
        </w:rPr>
        <w:t>2.2投标保证金缴纳凭证复印件</w:t>
      </w:r>
      <w:r>
        <w:rPr>
          <w:color w:val="auto"/>
        </w:rPr>
        <w:tab/>
      </w:r>
      <w:r>
        <w:rPr>
          <w:color w:val="auto"/>
        </w:rPr>
        <w:fldChar w:fldCharType="begin"/>
      </w:r>
      <w:r>
        <w:rPr>
          <w:color w:val="auto"/>
        </w:rPr>
        <w:instrText xml:space="preserve"> PAGEREF _Toc4999 \h </w:instrText>
      </w:r>
      <w:r>
        <w:rPr>
          <w:color w:val="auto"/>
        </w:rPr>
        <w:fldChar w:fldCharType="separate"/>
      </w:r>
      <w:r>
        <w:rPr>
          <w:color w:val="auto"/>
        </w:rPr>
        <w:t>35</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"_Toc25264" </w:instrText>
      </w:r>
      <w:r>
        <w:fldChar w:fldCharType="separate"/>
      </w:r>
      <w:r>
        <w:rPr>
          <w:rFonts w:hint="eastAsia"/>
          <w:color w:val="auto"/>
          <w:szCs w:val="28"/>
        </w:rPr>
        <w:t>2.3投标人情况表</w:t>
      </w:r>
      <w:r>
        <w:rPr>
          <w:color w:val="auto"/>
        </w:rPr>
        <w:tab/>
      </w:r>
      <w:r>
        <w:rPr>
          <w:color w:val="auto"/>
        </w:rPr>
        <w:fldChar w:fldCharType="begin"/>
      </w:r>
      <w:r>
        <w:rPr>
          <w:color w:val="auto"/>
        </w:rPr>
        <w:instrText xml:space="preserve"> PAGEREF _Toc25264 \h </w:instrText>
      </w:r>
      <w:r>
        <w:rPr>
          <w:color w:val="auto"/>
        </w:rPr>
        <w:fldChar w:fldCharType="separate"/>
      </w:r>
      <w:r>
        <w:rPr>
          <w:color w:val="auto"/>
        </w:rPr>
        <w:t>36</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"_Toc1962" </w:instrText>
      </w:r>
      <w:r>
        <w:fldChar w:fldCharType="separate"/>
      </w:r>
      <w:r>
        <w:rPr>
          <w:rFonts w:hint="eastAsia"/>
          <w:color w:val="auto"/>
          <w:szCs w:val="28"/>
        </w:rPr>
        <w:t>2.4法定代表人身份证明书</w:t>
      </w:r>
      <w:r>
        <w:rPr>
          <w:color w:val="auto"/>
        </w:rPr>
        <w:tab/>
      </w:r>
      <w:r>
        <w:rPr>
          <w:color w:val="auto"/>
        </w:rPr>
        <w:fldChar w:fldCharType="begin"/>
      </w:r>
      <w:r>
        <w:rPr>
          <w:color w:val="auto"/>
        </w:rPr>
        <w:instrText xml:space="preserve"> PAGEREF _Toc1962 \h </w:instrText>
      </w:r>
      <w:r>
        <w:rPr>
          <w:color w:val="auto"/>
        </w:rPr>
        <w:fldChar w:fldCharType="separate"/>
      </w:r>
      <w:r>
        <w:rPr>
          <w:color w:val="auto"/>
        </w:rPr>
        <w:t>37</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"_Toc10638" </w:instrText>
      </w:r>
      <w:r>
        <w:fldChar w:fldCharType="separate"/>
      </w:r>
      <w:r>
        <w:rPr>
          <w:rFonts w:hint="eastAsia"/>
          <w:color w:val="auto"/>
          <w:szCs w:val="28"/>
        </w:rPr>
        <w:t>2.5法定代表人授权书</w:t>
      </w:r>
      <w:r>
        <w:rPr>
          <w:color w:val="auto"/>
        </w:rPr>
        <w:tab/>
      </w:r>
      <w:r>
        <w:rPr>
          <w:color w:val="auto"/>
        </w:rPr>
        <w:fldChar w:fldCharType="begin"/>
      </w:r>
      <w:r>
        <w:rPr>
          <w:color w:val="auto"/>
        </w:rPr>
        <w:instrText xml:space="preserve"> PAGEREF _Toc10638 \h </w:instrText>
      </w:r>
      <w:r>
        <w:rPr>
          <w:color w:val="auto"/>
        </w:rPr>
        <w:fldChar w:fldCharType="separate"/>
      </w:r>
      <w:r>
        <w:rPr>
          <w:color w:val="auto"/>
        </w:rPr>
        <w:t>38</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"_Toc30938" </w:instrText>
      </w:r>
      <w:r>
        <w:fldChar w:fldCharType="separate"/>
      </w:r>
      <w:r>
        <w:rPr>
          <w:rFonts w:hint="eastAsia"/>
          <w:color w:val="auto"/>
          <w:szCs w:val="28"/>
        </w:rPr>
        <w:t>2.6财务状况</w:t>
      </w:r>
      <w:r>
        <w:rPr>
          <w:color w:val="auto"/>
        </w:rPr>
        <w:tab/>
      </w:r>
      <w:r>
        <w:rPr>
          <w:color w:val="auto"/>
        </w:rPr>
        <w:fldChar w:fldCharType="begin"/>
      </w:r>
      <w:r>
        <w:rPr>
          <w:color w:val="auto"/>
        </w:rPr>
        <w:instrText xml:space="preserve"> PAGEREF _Toc30938 \h </w:instrText>
      </w:r>
      <w:r>
        <w:rPr>
          <w:color w:val="auto"/>
        </w:rPr>
        <w:fldChar w:fldCharType="separate"/>
      </w:r>
      <w:r>
        <w:rPr>
          <w:color w:val="auto"/>
        </w:rPr>
        <w:t>39</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"_Toc30146" </w:instrText>
      </w:r>
      <w:r>
        <w:fldChar w:fldCharType="separate"/>
      </w:r>
      <w:r>
        <w:rPr>
          <w:rFonts w:hint="eastAsia"/>
          <w:color w:val="auto"/>
          <w:szCs w:val="28"/>
        </w:rPr>
        <w:t>2.7纳税及社保证明材料</w:t>
      </w:r>
      <w:r>
        <w:rPr>
          <w:color w:val="auto"/>
        </w:rPr>
        <w:tab/>
      </w:r>
      <w:r>
        <w:rPr>
          <w:color w:val="auto"/>
        </w:rPr>
        <w:fldChar w:fldCharType="begin"/>
      </w:r>
      <w:r>
        <w:rPr>
          <w:color w:val="auto"/>
        </w:rPr>
        <w:instrText xml:space="preserve"> PAGEREF _Toc30146 \h </w:instrText>
      </w:r>
      <w:r>
        <w:rPr>
          <w:color w:val="auto"/>
        </w:rPr>
        <w:fldChar w:fldCharType="separate"/>
      </w:r>
      <w:r>
        <w:rPr>
          <w:color w:val="auto"/>
        </w:rPr>
        <w:t>40</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"_Toc24981" </w:instrText>
      </w:r>
      <w:r>
        <w:fldChar w:fldCharType="separate"/>
      </w:r>
      <w:r>
        <w:rPr>
          <w:rFonts w:hint="eastAsia"/>
          <w:color w:val="auto"/>
          <w:szCs w:val="28"/>
        </w:rPr>
        <w:t>2.8投标人信用承诺书</w:t>
      </w:r>
      <w:r>
        <w:rPr>
          <w:color w:val="auto"/>
        </w:rPr>
        <w:tab/>
      </w:r>
      <w:r>
        <w:rPr>
          <w:color w:val="auto"/>
        </w:rPr>
        <w:fldChar w:fldCharType="begin"/>
      </w:r>
      <w:r>
        <w:rPr>
          <w:color w:val="auto"/>
        </w:rPr>
        <w:instrText xml:space="preserve"> PAGEREF _Toc24981 \h </w:instrText>
      </w:r>
      <w:r>
        <w:rPr>
          <w:color w:val="auto"/>
        </w:rPr>
        <w:fldChar w:fldCharType="separate"/>
      </w:r>
      <w:r>
        <w:rPr>
          <w:color w:val="auto"/>
        </w:rPr>
        <w:t>41</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"_Toc19879" </w:instrText>
      </w:r>
      <w:r>
        <w:fldChar w:fldCharType="separate"/>
      </w:r>
      <w:r>
        <w:rPr>
          <w:rFonts w:hint="eastAsia"/>
          <w:color w:val="auto"/>
          <w:szCs w:val="28"/>
        </w:rPr>
        <w:t>2.9具有履行合同所必需的设备和专业技术能力承诺</w:t>
      </w:r>
      <w:r>
        <w:rPr>
          <w:color w:val="auto"/>
        </w:rPr>
        <w:tab/>
      </w:r>
      <w:r>
        <w:rPr>
          <w:color w:val="auto"/>
        </w:rPr>
        <w:fldChar w:fldCharType="begin"/>
      </w:r>
      <w:r>
        <w:rPr>
          <w:color w:val="auto"/>
        </w:rPr>
        <w:instrText xml:space="preserve"> PAGEREF _Toc19879 \h </w:instrText>
      </w:r>
      <w:r>
        <w:rPr>
          <w:color w:val="auto"/>
        </w:rPr>
        <w:fldChar w:fldCharType="separate"/>
      </w:r>
      <w:r>
        <w:rPr>
          <w:color w:val="auto"/>
        </w:rPr>
        <w:t>42</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"_Toc13630" </w:instrText>
      </w:r>
      <w:r>
        <w:fldChar w:fldCharType="separate"/>
      </w:r>
      <w:r>
        <w:rPr>
          <w:rFonts w:hint="eastAsia"/>
          <w:color w:val="auto"/>
          <w:szCs w:val="28"/>
        </w:rPr>
        <w:t>2.10无重大违法记录的书面声明</w:t>
      </w:r>
      <w:r>
        <w:rPr>
          <w:color w:val="auto"/>
        </w:rPr>
        <w:tab/>
      </w:r>
      <w:r>
        <w:rPr>
          <w:color w:val="auto"/>
        </w:rPr>
        <w:fldChar w:fldCharType="begin"/>
      </w:r>
      <w:r>
        <w:rPr>
          <w:color w:val="auto"/>
        </w:rPr>
        <w:instrText xml:space="preserve"> PAGEREF _Toc13630 \h </w:instrText>
      </w:r>
      <w:r>
        <w:rPr>
          <w:color w:val="auto"/>
        </w:rPr>
        <w:fldChar w:fldCharType="separate"/>
      </w:r>
      <w:r>
        <w:rPr>
          <w:color w:val="auto"/>
        </w:rPr>
        <w:t>42</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"_Toc3012" </w:instrText>
      </w:r>
      <w:r>
        <w:fldChar w:fldCharType="separate"/>
      </w:r>
      <w:r>
        <w:rPr>
          <w:rFonts w:hint="eastAsia"/>
          <w:color w:val="auto"/>
          <w:szCs w:val="28"/>
        </w:rPr>
        <w:t>2.11存在控股、管理关系承诺</w:t>
      </w:r>
      <w:r>
        <w:rPr>
          <w:color w:val="auto"/>
        </w:rPr>
        <w:tab/>
      </w:r>
      <w:r>
        <w:rPr>
          <w:color w:val="auto"/>
        </w:rPr>
        <w:fldChar w:fldCharType="begin"/>
      </w:r>
      <w:r>
        <w:rPr>
          <w:color w:val="auto"/>
        </w:rPr>
        <w:instrText xml:space="preserve"> PAGEREF _Toc3012 \h </w:instrText>
      </w:r>
      <w:r>
        <w:rPr>
          <w:color w:val="auto"/>
        </w:rPr>
        <w:fldChar w:fldCharType="separate"/>
      </w:r>
      <w:r>
        <w:rPr>
          <w:color w:val="auto"/>
        </w:rPr>
        <w:t>42</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"_Toc28226" </w:instrText>
      </w:r>
      <w:r>
        <w:fldChar w:fldCharType="separate"/>
      </w:r>
      <w:r>
        <w:rPr>
          <w:rFonts w:hint="eastAsia"/>
          <w:color w:val="auto"/>
          <w:szCs w:val="28"/>
        </w:rPr>
        <w:t>2.12无关联承诺</w:t>
      </w:r>
      <w:r>
        <w:rPr>
          <w:color w:val="auto"/>
        </w:rPr>
        <w:tab/>
      </w:r>
      <w:r>
        <w:rPr>
          <w:color w:val="auto"/>
        </w:rPr>
        <w:fldChar w:fldCharType="begin"/>
      </w:r>
      <w:r>
        <w:rPr>
          <w:color w:val="auto"/>
        </w:rPr>
        <w:instrText xml:space="preserve"> PAGEREF _Toc28226 \h </w:instrText>
      </w:r>
      <w:r>
        <w:rPr>
          <w:color w:val="auto"/>
        </w:rPr>
        <w:fldChar w:fldCharType="separate"/>
      </w:r>
      <w:r>
        <w:rPr>
          <w:color w:val="auto"/>
        </w:rPr>
        <w:t>43</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"_Toc10952" </w:instrText>
      </w:r>
      <w:r>
        <w:fldChar w:fldCharType="separate"/>
      </w:r>
      <w:r>
        <w:rPr>
          <w:rFonts w:hint="eastAsia"/>
          <w:color w:val="auto"/>
          <w:szCs w:val="28"/>
        </w:rPr>
        <w:t>2.13非联合体投标承诺</w:t>
      </w:r>
      <w:r>
        <w:rPr>
          <w:color w:val="auto"/>
        </w:rPr>
        <w:tab/>
      </w:r>
      <w:r>
        <w:rPr>
          <w:color w:val="auto"/>
        </w:rPr>
        <w:fldChar w:fldCharType="begin"/>
      </w:r>
      <w:r>
        <w:rPr>
          <w:color w:val="auto"/>
        </w:rPr>
        <w:instrText xml:space="preserve"> PAGEREF _Toc10952 \h </w:instrText>
      </w:r>
      <w:r>
        <w:rPr>
          <w:color w:val="auto"/>
        </w:rPr>
        <w:fldChar w:fldCharType="separate"/>
      </w:r>
      <w:r>
        <w:rPr>
          <w:color w:val="auto"/>
        </w:rPr>
        <w:t>43</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"_Toc18086" </w:instrText>
      </w:r>
      <w:r>
        <w:fldChar w:fldCharType="separate"/>
      </w:r>
      <w:r>
        <w:rPr>
          <w:rFonts w:hint="eastAsia"/>
          <w:color w:val="auto"/>
          <w:szCs w:val="28"/>
        </w:rPr>
        <w:t>2.14非</w:t>
      </w:r>
      <w:r>
        <w:rPr>
          <w:rFonts w:hint="eastAsia"/>
          <w:color w:val="auto"/>
        </w:rPr>
        <w:t>整车</w:t>
      </w:r>
      <w:r>
        <w:rPr>
          <w:rFonts w:hint="eastAsia"/>
          <w:color w:val="auto"/>
          <w:szCs w:val="28"/>
        </w:rPr>
        <w:t>进口产品投标承诺</w:t>
      </w:r>
      <w:r>
        <w:rPr>
          <w:color w:val="auto"/>
        </w:rPr>
        <w:tab/>
      </w:r>
      <w:r>
        <w:rPr>
          <w:color w:val="auto"/>
        </w:rPr>
        <w:fldChar w:fldCharType="begin"/>
      </w:r>
      <w:r>
        <w:rPr>
          <w:color w:val="auto"/>
        </w:rPr>
        <w:instrText xml:space="preserve"> PAGEREF _Toc18086 \h </w:instrText>
      </w:r>
      <w:r>
        <w:rPr>
          <w:color w:val="auto"/>
        </w:rPr>
        <w:fldChar w:fldCharType="separate"/>
      </w:r>
      <w:r>
        <w:rPr>
          <w:color w:val="auto"/>
        </w:rPr>
        <w:t>43</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"_Toc18033" </w:instrText>
      </w:r>
      <w:r>
        <w:fldChar w:fldCharType="separate"/>
      </w:r>
      <w:r>
        <w:rPr>
          <w:rFonts w:hint="eastAsia"/>
          <w:color w:val="auto"/>
          <w:szCs w:val="28"/>
        </w:rPr>
        <w:t>2.15中小微企业声明函</w:t>
      </w:r>
      <w:r>
        <w:rPr>
          <w:rFonts w:hint="eastAsia"/>
          <w:bCs/>
          <w:color w:val="auto"/>
        </w:rPr>
        <w:t>(3标包用此格式)</w:t>
      </w:r>
      <w:r>
        <w:rPr>
          <w:color w:val="auto"/>
        </w:rPr>
        <w:tab/>
      </w:r>
      <w:r>
        <w:rPr>
          <w:color w:val="auto"/>
        </w:rPr>
        <w:fldChar w:fldCharType="begin"/>
      </w:r>
      <w:r>
        <w:rPr>
          <w:color w:val="auto"/>
        </w:rPr>
        <w:instrText xml:space="preserve"> PAGEREF _Toc18033 \h </w:instrText>
      </w:r>
      <w:r>
        <w:rPr>
          <w:color w:val="auto"/>
        </w:rPr>
        <w:fldChar w:fldCharType="separate"/>
      </w:r>
      <w:r>
        <w:rPr>
          <w:color w:val="auto"/>
        </w:rPr>
        <w:t>44</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"_Toc13776" </w:instrText>
      </w:r>
      <w:r>
        <w:fldChar w:fldCharType="separate"/>
      </w:r>
      <w:r>
        <w:rPr>
          <w:rFonts w:hint="eastAsia"/>
          <w:color w:val="auto"/>
          <w:szCs w:val="28"/>
        </w:rPr>
        <w:t>2.15小微企业声明函</w:t>
      </w:r>
      <w:r>
        <w:rPr>
          <w:rFonts w:hint="eastAsia"/>
          <w:bCs/>
          <w:color w:val="auto"/>
        </w:rPr>
        <w:t>(除了3标包以外的所有标包用此格式)</w:t>
      </w:r>
      <w:r>
        <w:rPr>
          <w:color w:val="auto"/>
        </w:rPr>
        <w:tab/>
      </w:r>
      <w:r>
        <w:rPr>
          <w:color w:val="auto"/>
        </w:rPr>
        <w:fldChar w:fldCharType="begin"/>
      </w:r>
      <w:r>
        <w:rPr>
          <w:color w:val="auto"/>
        </w:rPr>
        <w:instrText xml:space="preserve"> PAGEREF _Toc13776 \h </w:instrText>
      </w:r>
      <w:r>
        <w:rPr>
          <w:color w:val="auto"/>
        </w:rPr>
        <w:fldChar w:fldCharType="separate"/>
      </w:r>
      <w:r>
        <w:rPr>
          <w:color w:val="auto"/>
        </w:rPr>
        <w:t>45</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"_Toc8355" </w:instrText>
      </w:r>
      <w:r>
        <w:fldChar w:fldCharType="separate"/>
      </w:r>
      <w:r>
        <w:rPr>
          <w:rFonts w:hint="eastAsia"/>
          <w:color w:val="auto"/>
          <w:szCs w:val="28"/>
        </w:rPr>
        <w:t>2.16残疾人福利性单位声明函</w:t>
      </w:r>
      <w:r>
        <w:rPr>
          <w:color w:val="auto"/>
        </w:rPr>
        <w:tab/>
      </w:r>
      <w:r>
        <w:rPr>
          <w:color w:val="auto"/>
        </w:rPr>
        <w:fldChar w:fldCharType="begin"/>
      </w:r>
      <w:r>
        <w:rPr>
          <w:color w:val="auto"/>
        </w:rPr>
        <w:instrText xml:space="preserve"> PAGEREF _Toc8355 \h </w:instrText>
      </w:r>
      <w:r>
        <w:rPr>
          <w:color w:val="auto"/>
        </w:rPr>
        <w:fldChar w:fldCharType="separate"/>
      </w:r>
      <w:r>
        <w:rPr>
          <w:color w:val="auto"/>
        </w:rPr>
        <w:t>46</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"_Toc26054" </w:instrText>
      </w:r>
      <w:r>
        <w:fldChar w:fldCharType="separate"/>
      </w:r>
      <w:r>
        <w:rPr>
          <w:rFonts w:hint="eastAsia"/>
          <w:color w:val="auto"/>
          <w:szCs w:val="28"/>
        </w:rPr>
        <w:t>2.17监狱企业证明文件</w:t>
      </w:r>
      <w:r>
        <w:rPr>
          <w:color w:val="auto"/>
        </w:rPr>
        <w:tab/>
      </w:r>
      <w:r>
        <w:rPr>
          <w:color w:val="auto"/>
        </w:rPr>
        <w:fldChar w:fldCharType="begin"/>
      </w:r>
      <w:r>
        <w:rPr>
          <w:color w:val="auto"/>
        </w:rPr>
        <w:instrText xml:space="preserve"> PAGEREF _Toc26054 \h </w:instrText>
      </w:r>
      <w:r>
        <w:rPr>
          <w:color w:val="auto"/>
        </w:rPr>
        <w:fldChar w:fldCharType="separate"/>
      </w:r>
      <w:r>
        <w:rPr>
          <w:color w:val="auto"/>
        </w:rPr>
        <w:t>47</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"_Toc13369" </w:instrText>
      </w:r>
      <w:r>
        <w:fldChar w:fldCharType="separate"/>
      </w:r>
      <w:r>
        <w:rPr>
          <w:rFonts w:hint="eastAsia"/>
          <w:color w:val="auto"/>
          <w:szCs w:val="28"/>
        </w:rPr>
        <w:t>2.18投标人认为资格条件需提交的其他资料</w:t>
      </w:r>
      <w:r>
        <w:rPr>
          <w:color w:val="auto"/>
        </w:rPr>
        <w:tab/>
      </w:r>
      <w:r>
        <w:rPr>
          <w:color w:val="auto"/>
        </w:rPr>
        <w:fldChar w:fldCharType="begin"/>
      </w:r>
      <w:r>
        <w:rPr>
          <w:color w:val="auto"/>
        </w:rPr>
        <w:instrText xml:space="preserve"> PAGEREF _Toc13369 \h </w:instrText>
      </w:r>
      <w:r>
        <w:rPr>
          <w:color w:val="auto"/>
        </w:rPr>
        <w:fldChar w:fldCharType="separate"/>
      </w:r>
      <w:r>
        <w:rPr>
          <w:color w:val="auto"/>
        </w:rPr>
        <w:t>48</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"_Toc9018" </w:instrText>
      </w:r>
      <w:r>
        <w:fldChar w:fldCharType="separate"/>
      </w:r>
      <w:r>
        <w:rPr>
          <w:rFonts w:hint="eastAsia"/>
          <w:color w:val="auto"/>
          <w:szCs w:val="32"/>
        </w:rPr>
        <w:t>三、 商务部分</w:t>
      </w:r>
      <w:r>
        <w:rPr>
          <w:color w:val="auto"/>
        </w:rPr>
        <w:tab/>
      </w:r>
      <w:r>
        <w:rPr>
          <w:color w:val="auto"/>
        </w:rPr>
        <w:fldChar w:fldCharType="begin"/>
      </w:r>
      <w:r>
        <w:rPr>
          <w:color w:val="auto"/>
        </w:rPr>
        <w:instrText xml:space="preserve"> PAGEREF _Toc9018 \h </w:instrText>
      </w:r>
      <w:r>
        <w:rPr>
          <w:color w:val="auto"/>
        </w:rPr>
        <w:fldChar w:fldCharType="separate"/>
      </w:r>
      <w:r>
        <w:rPr>
          <w:color w:val="auto"/>
        </w:rPr>
        <w:t>49</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"_Toc27477" </w:instrText>
      </w:r>
      <w:r>
        <w:fldChar w:fldCharType="separate"/>
      </w:r>
      <w:r>
        <w:rPr>
          <w:rFonts w:hint="eastAsia" w:ascii="仿宋" w:hAnsi="仿宋" w:eastAsia="仿宋" w:cs="仿宋"/>
          <w:color w:val="auto"/>
          <w:szCs w:val="28"/>
        </w:rPr>
        <w:t>3.1 商务条款偏离表</w:t>
      </w:r>
      <w:r>
        <w:rPr>
          <w:color w:val="auto"/>
        </w:rPr>
        <w:tab/>
      </w:r>
      <w:r>
        <w:rPr>
          <w:color w:val="auto"/>
        </w:rPr>
        <w:fldChar w:fldCharType="begin"/>
      </w:r>
      <w:r>
        <w:rPr>
          <w:color w:val="auto"/>
        </w:rPr>
        <w:instrText xml:space="preserve"> PAGEREF _Toc27477 \h </w:instrText>
      </w:r>
      <w:r>
        <w:rPr>
          <w:color w:val="auto"/>
        </w:rPr>
        <w:fldChar w:fldCharType="separate"/>
      </w:r>
      <w:r>
        <w:rPr>
          <w:color w:val="auto"/>
        </w:rPr>
        <w:t>49</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"_Toc10010" </w:instrText>
      </w:r>
      <w:r>
        <w:fldChar w:fldCharType="separate"/>
      </w:r>
      <w:r>
        <w:rPr>
          <w:rFonts w:hint="eastAsia"/>
          <w:bCs/>
          <w:color w:val="auto"/>
        </w:rPr>
        <w:t>3.2政策功能情况（如有）</w:t>
      </w:r>
      <w:r>
        <w:rPr>
          <w:color w:val="auto"/>
        </w:rPr>
        <w:tab/>
      </w:r>
      <w:r>
        <w:rPr>
          <w:color w:val="auto"/>
        </w:rPr>
        <w:fldChar w:fldCharType="begin"/>
      </w:r>
      <w:r>
        <w:rPr>
          <w:color w:val="auto"/>
        </w:rPr>
        <w:instrText xml:space="preserve"> PAGEREF _Toc10010 \h </w:instrText>
      </w:r>
      <w:r>
        <w:rPr>
          <w:color w:val="auto"/>
        </w:rPr>
        <w:fldChar w:fldCharType="separate"/>
      </w:r>
      <w:r>
        <w:rPr>
          <w:color w:val="auto"/>
        </w:rPr>
        <w:t>50</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"_Toc32058" </w:instrText>
      </w:r>
      <w:r>
        <w:fldChar w:fldCharType="separate"/>
      </w:r>
      <w:r>
        <w:rPr>
          <w:rFonts w:hint="eastAsia"/>
          <w:bCs/>
          <w:color w:val="auto"/>
        </w:rPr>
        <w:t>3.3</w:t>
      </w:r>
      <w:r>
        <w:rPr>
          <w:rFonts w:hint="eastAsia" w:ascii="仿宋" w:hAnsi="仿宋" w:eastAsia="仿宋" w:cs="仿宋"/>
          <w:color w:val="auto"/>
          <w:szCs w:val="28"/>
        </w:rPr>
        <w:t>分项报价明细表</w:t>
      </w:r>
      <w:r>
        <w:rPr>
          <w:color w:val="auto"/>
        </w:rPr>
        <w:tab/>
      </w:r>
      <w:r>
        <w:rPr>
          <w:color w:val="auto"/>
        </w:rPr>
        <w:fldChar w:fldCharType="begin"/>
      </w:r>
      <w:r>
        <w:rPr>
          <w:color w:val="auto"/>
        </w:rPr>
        <w:instrText xml:space="preserve"> PAGEREF _Toc32058 \h </w:instrText>
      </w:r>
      <w:r>
        <w:rPr>
          <w:color w:val="auto"/>
        </w:rPr>
        <w:fldChar w:fldCharType="separate"/>
      </w:r>
      <w:r>
        <w:rPr>
          <w:color w:val="auto"/>
        </w:rPr>
        <w:t>51</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"_Toc19839" </w:instrText>
      </w:r>
      <w:r>
        <w:fldChar w:fldCharType="separate"/>
      </w:r>
      <w:r>
        <w:rPr>
          <w:rFonts w:hint="eastAsia" w:ascii="仿宋" w:hAnsi="仿宋" w:eastAsia="仿宋" w:cs="仿宋"/>
          <w:color w:val="auto"/>
          <w:szCs w:val="28"/>
        </w:rPr>
        <w:t>3.4  2020 年至今完成的类似项目一览表</w:t>
      </w:r>
      <w:r>
        <w:rPr>
          <w:color w:val="auto"/>
        </w:rPr>
        <w:tab/>
      </w:r>
      <w:r>
        <w:rPr>
          <w:color w:val="auto"/>
        </w:rPr>
        <w:fldChar w:fldCharType="begin"/>
      </w:r>
      <w:r>
        <w:rPr>
          <w:color w:val="auto"/>
        </w:rPr>
        <w:instrText xml:space="preserve"> PAGEREF _Toc19839 \h </w:instrText>
      </w:r>
      <w:r>
        <w:rPr>
          <w:color w:val="auto"/>
        </w:rPr>
        <w:fldChar w:fldCharType="separate"/>
      </w:r>
      <w:r>
        <w:rPr>
          <w:color w:val="auto"/>
        </w:rPr>
        <w:t>52</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"_Toc22519" </w:instrText>
      </w:r>
      <w:r>
        <w:fldChar w:fldCharType="separate"/>
      </w:r>
      <w:r>
        <w:rPr>
          <w:rFonts w:hint="eastAsia" w:ascii="仿宋" w:hAnsi="仿宋" w:eastAsia="仿宋" w:cs="仿宋"/>
          <w:color w:val="auto"/>
          <w:szCs w:val="28"/>
        </w:rPr>
        <w:t>3.5 供货方案（格式自拟）</w:t>
      </w:r>
      <w:r>
        <w:rPr>
          <w:color w:val="auto"/>
        </w:rPr>
        <w:tab/>
      </w:r>
      <w:r>
        <w:rPr>
          <w:color w:val="auto"/>
        </w:rPr>
        <w:fldChar w:fldCharType="begin"/>
      </w:r>
      <w:r>
        <w:rPr>
          <w:color w:val="auto"/>
        </w:rPr>
        <w:instrText xml:space="preserve"> PAGEREF _Toc22519 \h </w:instrText>
      </w:r>
      <w:r>
        <w:rPr>
          <w:color w:val="auto"/>
        </w:rPr>
        <w:fldChar w:fldCharType="separate"/>
      </w:r>
      <w:r>
        <w:rPr>
          <w:color w:val="auto"/>
        </w:rPr>
        <w:t>52</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"_Toc11563" </w:instrText>
      </w:r>
      <w:r>
        <w:fldChar w:fldCharType="separate"/>
      </w:r>
      <w:r>
        <w:rPr>
          <w:rFonts w:hint="eastAsia" w:ascii="仿宋" w:hAnsi="仿宋" w:eastAsia="仿宋" w:cs="仿宋"/>
          <w:color w:val="auto"/>
          <w:szCs w:val="28"/>
        </w:rPr>
        <w:t>3.6 售后服务承诺（格式自拟）</w:t>
      </w:r>
      <w:r>
        <w:rPr>
          <w:color w:val="auto"/>
        </w:rPr>
        <w:tab/>
      </w:r>
      <w:r>
        <w:rPr>
          <w:color w:val="auto"/>
        </w:rPr>
        <w:fldChar w:fldCharType="begin"/>
      </w:r>
      <w:r>
        <w:rPr>
          <w:color w:val="auto"/>
        </w:rPr>
        <w:instrText xml:space="preserve"> PAGEREF _Toc11563 \h </w:instrText>
      </w:r>
      <w:r>
        <w:rPr>
          <w:color w:val="auto"/>
        </w:rPr>
        <w:fldChar w:fldCharType="separate"/>
      </w:r>
      <w:r>
        <w:rPr>
          <w:color w:val="auto"/>
        </w:rPr>
        <w:t>52</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"_Toc23660" </w:instrText>
      </w:r>
      <w:r>
        <w:fldChar w:fldCharType="separate"/>
      </w:r>
      <w:r>
        <w:rPr>
          <w:rFonts w:hint="eastAsia"/>
          <w:color w:val="auto"/>
          <w:szCs w:val="32"/>
        </w:rPr>
        <w:t>四、技术部分</w:t>
      </w:r>
      <w:r>
        <w:rPr>
          <w:color w:val="auto"/>
        </w:rPr>
        <w:tab/>
      </w:r>
      <w:r>
        <w:rPr>
          <w:color w:val="auto"/>
        </w:rPr>
        <w:fldChar w:fldCharType="begin"/>
      </w:r>
      <w:r>
        <w:rPr>
          <w:color w:val="auto"/>
        </w:rPr>
        <w:instrText xml:space="preserve"> PAGEREF _Toc23660 \h </w:instrText>
      </w:r>
      <w:r>
        <w:rPr>
          <w:color w:val="auto"/>
        </w:rPr>
        <w:fldChar w:fldCharType="separate"/>
      </w:r>
      <w:r>
        <w:rPr>
          <w:color w:val="auto"/>
        </w:rPr>
        <w:t>53</w:t>
      </w:r>
      <w:r>
        <w:rPr>
          <w:color w:val="auto"/>
        </w:rPr>
        <w:fldChar w:fldCharType="end"/>
      </w:r>
      <w:r>
        <w:rPr>
          <w:color w:val="auto"/>
        </w:rPr>
        <w:fldChar w:fldCharType="end"/>
      </w:r>
    </w:p>
    <w:p>
      <w:pPr>
        <w:pStyle w:val="17"/>
        <w:tabs>
          <w:tab w:val="right" w:leader="dot" w:pos="8902"/>
        </w:tabs>
        <w:rPr>
          <w:color w:val="auto"/>
        </w:rPr>
      </w:pPr>
      <w:r>
        <w:fldChar w:fldCharType="begin"/>
      </w:r>
      <w:r>
        <w:instrText xml:space="preserve"> HYPERLINK \l "_Toc23552" </w:instrText>
      </w:r>
      <w:r>
        <w:fldChar w:fldCharType="separate"/>
      </w:r>
      <w:r>
        <w:rPr>
          <w:rFonts w:hint="eastAsia"/>
          <w:color w:val="auto"/>
          <w:szCs w:val="32"/>
        </w:rPr>
        <w:t>第五章  技术要求</w:t>
      </w:r>
      <w:r>
        <w:rPr>
          <w:color w:val="auto"/>
        </w:rPr>
        <w:tab/>
      </w:r>
      <w:r>
        <w:rPr>
          <w:color w:val="auto"/>
        </w:rPr>
        <w:fldChar w:fldCharType="begin"/>
      </w:r>
      <w:r>
        <w:rPr>
          <w:color w:val="auto"/>
        </w:rPr>
        <w:instrText xml:space="preserve"> PAGEREF _Toc23552 \h </w:instrText>
      </w:r>
      <w:r>
        <w:rPr>
          <w:color w:val="auto"/>
        </w:rPr>
        <w:fldChar w:fldCharType="separate"/>
      </w:r>
      <w:r>
        <w:rPr>
          <w:color w:val="auto"/>
        </w:rPr>
        <w:t>55</w:t>
      </w:r>
      <w:r>
        <w:rPr>
          <w:color w:val="auto"/>
        </w:rPr>
        <w:fldChar w:fldCharType="end"/>
      </w:r>
      <w:r>
        <w:rPr>
          <w:color w:val="auto"/>
        </w:rPr>
        <w:fldChar w:fldCharType="end"/>
      </w:r>
    </w:p>
    <w:p>
      <w:pPr>
        <w:pStyle w:val="17"/>
        <w:tabs>
          <w:tab w:val="right" w:leader="dot" w:pos="8902"/>
        </w:tabs>
        <w:rPr>
          <w:color w:val="auto"/>
        </w:rPr>
      </w:pPr>
      <w:r>
        <w:fldChar w:fldCharType="begin"/>
      </w:r>
      <w:r>
        <w:instrText xml:space="preserve"> HYPERLINK \l "_Toc10095" </w:instrText>
      </w:r>
      <w:r>
        <w:fldChar w:fldCharType="separate"/>
      </w:r>
      <w:r>
        <w:rPr>
          <w:rFonts w:hint="eastAsia"/>
          <w:color w:val="auto"/>
        </w:rPr>
        <w:t>第六章 资格审查</w:t>
      </w:r>
      <w:r>
        <w:rPr>
          <w:color w:val="auto"/>
        </w:rPr>
        <w:tab/>
      </w:r>
      <w:r>
        <w:rPr>
          <w:color w:val="auto"/>
        </w:rPr>
        <w:fldChar w:fldCharType="begin"/>
      </w:r>
      <w:r>
        <w:rPr>
          <w:color w:val="auto"/>
        </w:rPr>
        <w:instrText xml:space="preserve"> PAGEREF _Toc10095 \h </w:instrText>
      </w:r>
      <w:r>
        <w:rPr>
          <w:color w:val="auto"/>
        </w:rPr>
        <w:fldChar w:fldCharType="separate"/>
      </w:r>
      <w:r>
        <w:rPr>
          <w:color w:val="auto"/>
        </w:rPr>
        <w:t>126</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"_Toc20494" </w:instrText>
      </w:r>
      <w:r>
        <w:fldChar w:fldCharType="separate"/>
      </w:r>
      <w:r>
        <w:rPr>
          <w:rFonts w:hint="eastAsia"/>
          <w:color w:val="auto"/>
        </w:rPr>
        <w:t>资格审查表</w:t>
      </w:r>
      <w:r>
        <w:rPr>
          <w:color w:val="auto"/>
        </w:rPr>
        <w:tab/>
      </w:r>
      <w:r>
        <w:rPr>
          <w:color w:val="auto"/>
        </w:rPr>
        <w:fldChar w:fldCharType="begin"/>
      </w:r>
      <w:r>
        <w:rPr>
          <w:color w:val="auto"/>
        </w:rPr>
        <w:instrText xml:space="preserve"> PAGEREF _Toc20494 \h </w:instrText>
      </w:r>
      <w:r>
        <w:rPr>
          <w:color w:val="auto"/>
        </w:rPr>
        <w:fldChar w:fldCharType="separate"/>
      </w:r>
      <w:r>
        <w:rPr>
          <w:color w:val="auto"/>
        </w:rPr>
        <w:t>126</w:t>
      </w:r>
      <w:r>
        <w:rPr>
          <w:color w:val="auto"/>
        </w:rPr>
        <w:fldChar w:fldCharType="end"/>
      </w:r>
      <w:r>
        <w:rPr>
          <w:color w:val="auto"/>
        </w:rPr>
        <w:fldChar w:fldCharType="end"/>
      </w:r>
    </w:p>
    <w:p>
      <w:pPr>
        <w:pStyle w:val="17"/>
        <w:tabs>
          <w:tab w:val="right" w:leader="dot" w:pos="8902"/>
        </w:tabs>
        <w:rPr>
          <w:color w:val="auto"/>
        </w:rPr>
      </w:pPr>
      <w:r>
        <w:fldChar w:fldCharType="begin"/>
      </w:r>
      <w:r>
        <w:instrText xml:space="preserve"> HYPERLINK \l "_Toc14619" </w:instrText>
      </w:r>
      <w:r>
        <w:fldChar w:fldCharType="separate"/>
      </w:r>
      <w:r>
        <w:rPr>
          <w:rFonts w:hint="eastAsia"/>
          <w:color w:val="auto"/>
          <w:szCs w:val="32"/>
        </w:rPr>
        <w:t>第七章 评审办法</w:t>
      </w:r>
      <w:r>
        <w:rPr>
          <w:color w:val="auto"/>
        </w:rPr>
        <w:tab/>
      </w:r>
      <w:r>
        <w:rPr>
          <w:color w:val="auto"/>
        </w:rPr>
        <w:fldChar w:fldCharType="begin"/>
      </w:r>
      <w:r>
        <w:rPr>
          <w:color w:val="auto"/>
        </w:rPr>
        <w:instrText xml:space="preserve"> PAGEREF _Toc14619 \h </w:instrText>
      </w:r>
      <w:r>
        <w:rPr>
          <w:color w:val="auto"/>
        </w:rPr>
        <w:fldChar w:fldCharType="separate"/>
      </w:r>
      <w:r>
        <w:rPr>
          <w:color w:val="auto"/>
        </w:rPr>
        <w:t>127</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"_Toc2601" </w:instrText>
      </w:r>
      <w:r>
        <w:fldChar w:fldCharType="separate"/>
      </w:r>
      <w:r>
        <w:rPr>
          <w:rFonts w:hint="eastAsia"/>
          <w:color w:val="auto"/>
          <w:szCs w:val="28"/>
        </w:rPr>
        <w:t>评审办法前附表</w:t>
      </w:r>
      <w:r>
        <w:rPr>
          <w:color w:val="auto"/>
        </w:rPr>
        <w:tab/>
      </w:r>
      <w:r>
        <w:rPr>
          <w:color w:val="auto"/>
        </w:rPr>
        <w:fldChar w:fldCharType="begin"/>
      </w:r>
      <w:r>
        <w:rPr>
          <w:color w:val="auto"/>
        </w:rPr>
        <w:instrText xml:space="preserve"> PAGEREF _Toc2601 \h </w:instrText>
      </w:r>
      <w:r>
        <w:rPr>
          <w:color w:val="auto"/>
        </w:rPr>
        <w:fldChar w:fldCharType="separate"/>
      </w:r>
      <w:r>
        <w:rPr>
          <w:color w:val="auto"/>
        </w:rPr>
        <w:t>127</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"_Toc5004" </w:instrText>
      </w:r>
      <w:r>
        <w:fldChar w:fldCharType="separate"/>
      </w:r>
      <w:r>
        <w:rPr>
          <w:rFonts w:hint="eastAsia"/>
          <w:color w:val="auto"/>
        </w:rPr>
        <w:t>1.评标方法：</w:t>
      </w:r>
      <w:r>
        <w:rPr>
          <w:color w:val="auto"/>
        </w:rPr>
        <w:tab/>
      </w:r>
      <w:r>
        <w:rPr>
          <w:color w:val="auto"/>
        </w:rPr>
        <w:fldChar w:fldCharType="begin"/>
      </w:r>
      <w:r>
        <w:rPr>
          <w:color w:val="auto"/>
        </w:rPr>
        <w:instrText xml:space="preserve"> PAGEREF _Toc5004 \h </w:instrText>
      </w:r>
      <w:r>
        <w:rPr>
          <w:color w:val="auto"/>
        </w:rPr>
        <w:fldChar w:fldCharType="separate"/>
      </w:r>
      <w:r>
        <w:rPr>
          <w:color w:val="auto"/>
        </w:rPr>
        <w:t>134</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"_Toc24109" </w:instrText>
      </w:r>
      <w:r>
        <w:fldChar w:fldCharType="separate"/>
      </w:r>
      <w:r>
        <w:rPr>
          <w:rFonts w:hint="eastAsia"/>
          <w:color w:val="auto"/>
        </w:rPr>
        <w:t>2.评标程序及标准</w:t>
      </w:r>
      <w:r>
        <w:rPr>
          <w:color w:val="auto"/>
        </w:rPr>
        <w:tab/>
      </w:r>
      <w:r>
        <w:rPr>
          <w:color w:val="auto"/>
        </w:rPr>
        <w:fldChar w:fldCharType="begin"/>
      </w:r>
      <w:r>
        <w:rPr>
          <w:color w:val="auto"/>
        </w:rPr>
        <w:instrText xml:space="preserve"> PAGEREF _Toc24109 \h </w:instrText>
      </w:r>
      <w:r>
        <w:rPr>
          <w:color w:val="auto"/>
        </w:rPr>
        <w:fldChar w:fldCharType="separate"/>
      </w:r>
      <w:r>
        <w:rPr>
          <w:color w:val="auto"/>
        </w:rPr>
        <w:t>134</w:t>
      </w:r>
      <w:r>
        <w:rPr>
          <w:color w:val="auto"/>
        </w:rPr>
        <w:fldChar w:fldCharType="end"/>
      </w:r>
      <w:r>
        <w:rPr>
          <w:color w:val="auto"/>
        </w:rPr>
        <w:fldChar w:fldCharType="end"/>
      </w:r>
    </w:p>
    <w:p>
      <w:pPr>
        <w:pStyle w:val="19"/>
        <w:tabs>
          <w:tab w:val="right" w:leader="dot" w:pos="8902"/>
        </w:tabs>
        <w:rPr>
          <w:color w:val="auto"/>
        </w:rPr>
      </w:pPr>
      <w:r>
        <w:fldChar w:fldCharType="begin"/>
      </w:r>
      <w:r>
        <w:instrText xml:space="preserve"> HYPERLINK \l "_Toc29851" </w:instrText>
      </w:r>
      <w:r>
        <w:fldChar w:fldCharType="separate"/>
      </w:r>
      <w:r>
        <w:rPr>
          <w:rFonts w:hint="eastAsia"/>
          <w:color w:val="auto"/>
        </w:rPr>
        <w:t>3.评标结果</w:t>
      </w:r>
      <w:r>
        <w:rPr>
          <w:color w:val="auto"/>
        </w:rPr>
        <w:tab/>
      </w:r>
      <w:r>
        <w:rPr>
          <w:color w:val="auto"/>
        </w:rPr>
        <w:fldChar w:fldCharType="begin"/>
      </w:r>
      <w:r>
        <w:rPr>
          <w:color w:val="auto"/>
        </w:rPr>
        <w:instrText xml:space="preserve"> PAGEREF _Toc29851 \h </w:instrText>
      </w:r>
      <w:r>
        <w:rPr>
          <w:color w:val="auto"/>
        </w:rPr>
        <w:fldChar w:fldCharType="separate"/>
      </w:r>
      <w:r>
        <w:rPr>
          <w:color w:val="auto"/>
        </w:rPr>
        <w:t>135</w:t>
      </w:r>
      <w:r>
        <w:rPr>
          <w:color w:val="auto"/>
        </w:rPr>
        <w:fldChar w:fldCharType="end"/>
      </w:r>
      <w:r>
        <w:rPr>
          <w:color w:val="auto"/>
        </w:rPr>
        <w:fldChar w:fldCharType="end"/>
      </w:r>
    </w:p>
    <w:p>
      <w:pPr>
        <w:rPr>
          <w:color w:val="auto"/>
        </w:rPr>
      </w:pPr>
      <w:r>
        <w:rPr>
          <w:color w:val="auto"/>
          <w:szCs w:val="24"/>
        </w:rPr>
        <w:fldChar w:fldCharType="end"/>
      </w:r>
    </w:p>
    <w:p>
      <w:pPr>
        <w:pStyle w:val="2"/>
        <w:rPr>
          <w:color w:val="auto"/>
        </w:rPr>
        <w:sectPr>
          <w:headerReference r:id="rId11" w:type="default"/>
          <w:footerReference r:id="rId12" w:type="default"/>
          <w:pgSz w:w="11906" w:h="16838"/>
          <w:pgMar w:top="1417" w:right="1417" w:bottom="1417" w:left="1587" w:header="1134" w:footer="1134" w:gutter="0"/>
          <w:cols w:space="425" w:num="1"/>
          <w:docGrid w:type="lines" w:linePitch="312" w:charSpace="0"/>
        </w:sectPr>
      </w:pPr>
    </w:p>
    <w:p>
      <w:pPr>
        <w:pStyle w:val="2"/>
        <w:numPr>
          <w:ilvl w:val="0"/>
          <w:numId w:val="2"/>
        </w:numPr>
        <w:spacing w:line="240" w:lineRule="auto"/>
        <w:rPr>
          <w:color w:val="auto"/>
          <w:sz w:val="32"/>
          <w:szCs w:val="32"/>
        </w:rPr>
      </w:pPr>
      <w:r>
        <w:rPr>
          <w:rFonts w:hint="eastAsia"/>
          <w:color w:val="auto"/>
          <w:sz w:val="32"/>
          <w:szCs w:val="32"/>
        </w:rPr>
        <w:t xml:space="preserve"> </w:t>
      </w:r>
      <w:bookmarkStart w:id="0" w:name="_Toc4653"/>
      <w:r>
        <w:rPr>
          <w:rFonts w:hint="eastAsia"/>
          <w:color w:val="auto"/>
          <w:sz w:val="32"/>
          <w:szCs w:val="32"/>
        </w:rPr>
        <w:t>招标公告</w:t>
      </w:r>
      <w:bookmarkEnd w:id="0"/>
    </w:p>
    <w:tbl>
      <w:tblPr>
        <w:tblStyle w:val="36"/>
        <w:tblW w:w="9200" w:type="dxa"/>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00"/>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PrEx>
        <w:trPr>
          <w:trHeight w:val="1436" w:hRule="atLeast"/>
          <w:jc w:val="center"/>
        </w:trPr>
        <w:tc>
          <w:tcPr>
            <w:tcW w:w="9200" w:type="dxa"/>
          </w:tcPr>
          <w:p>
            <w:pPr>
              <w:spacing w:line="240" w:lineRule="auto"/>
              <w:ind w:firstLine="0" w:firstLineChars="0"/>
              <w:rPr>
                <w:color w:val="auto"/>
              </w:rPr>
            </w:pPr>
          </w:p>
          <w:p>
            <w:pPr>
              <w:spacing w:line="240" w:lineRule="auto"/>
              <w:ind w:firstLine="0" w:firstLineChars="0"/>
              <w:rPr>
                <w:color w:val="auto"/>
              </w:rPr>
            </w:pPr>
            <w:r>
              <w:rPr>
                <w:rFonts w:hint="eastAsia"/>
                <w:color w:val="auto"/>
              </w:rPr>
              <w:t>项目概况</w:t>
            </w:r>
          </w:p>
          <w:p>
            <w:pPr>
              <w:spacing w:line="240" w:lineRule="auto"/>
              <w:rPr>
                <w:color w:val="auto"/>
              </w:rPr>
            </w:pPr>
            <w:r>
              <w:rPr>
                <w:rFonts w:hint="eastAsia"/>
                <w:color w:val="auto"/>
              </w:rPr>
              <w:t>云南省消防救援总队2023年“自然灾害应急能力提升工程”装备配备项目（车辆部分）第一批次的潜在投标人应在中招国际招标有限公司现场或邮件或邮寄获取招标文件，并于本招标公告规定的投标截止时间前递交投标文件。</w:t>
            </w:r>
          </w:p>
        </w:tc>
      </w:tr>
    </w:tbl>
    <w:p>
      <w:pPr>
        <w:pStyle w:val="3"/>
        <w:ind w:firstLine="562"/>
        <w:rPr>
          <w:color w:val="auto"/>
          <w:sz w:val="28"/>
          <w:szCs w:val="28"/>
        </w:rPr>
      </w:pPr>
      <w:bookmarkStart w:id="1" w:name="_Toc23265"/>
      <w:r>
        <w:rPr>
          <w:rFonts w:hint="eastAsia"/>
          <w:color w:val="auto"/>
          <w:sz w:val="28"/>
          <w:szCs w:val="28"/>
        </w:rPr>
        <w:t>一、项目基本情况</w:t>
      </w:r>
      <w:bookmarkEnd w:id="1"/>
    </w:p>
    <w:p>
      <w:pPr>
        <w:rPr>
          <w:color w:val="auto"/>
        </w:rPr>
      </w:pPr>
      <w:r>
        <w:rPr>
          <w:rFonts w:hint="eastAsia"/>
          <w:color w:val="auto"/>
        </w:rPr>
        <w:t>1.1项目编号：YNSXFJYZD2023NZRZHYJNLTSGCZBPBXM（CLBF）DYPC</w:t>
      </w:r>
    </w:p>
    <w:p>
      <w:pPr>
        <w:rPr>
          <w:color w:val="auto"/>
        </w:rPr>
      </w:pPr>
      <w:r>
        <w:rPr>
          <w:rFonts w:hint="eastAsia"/>
          <w:color w:val="auto"/>
        </w:rPr>
        <w:t xml:space="preserve">   招标编号：TC24974AQ</w:t>
      </w:r>
    </w:p>
    <w:p>
      <w:pPr>
        <w:rPr>
          <w:color w:val="auto"/>
        </w:rPr>
      </w:pPr>
      <w:r>
        <w:rPr>
          <w:rFonts w:hint="eastAsia"/>
          <w:color w:val="auto"/>
        </w:rPr>
        <w:t>1.2项目名称：云南省消防救援总队2023年“自然灾害应急能力提升工程”装备配备项目（车辆部分）第一批次</w:t>
      </w:r>
    </w:p>
    <w:p>
      <w:pPr>
        <w:rPr>
          <w:color w:val="auto"/>
        </w:rPr>
      </w:pPr>
      <w:r>
        <w:rPr>
          <w:rFonts w:hint="eastAsia"/>
          <w:color w:val="auto"/>
        </w:rPr>
        <w:t>1.3招标方式：按照《中华人民共和国政府采购法》、《中华人民共和国政府采购法实施条例》等有关法律法规的规定，采用公开招标方式。</w:t>
      </w:r>
    </w:p>
    <w:p>
      <w:pPr>
        <w:rPr>
          <w:color w:val="auto"/>
        </w:rPr>
      </w:pPr>
      <w:r>
        <w:rPr>
          <w:rFonts w:hint="eastAsia"/>
          <w:color w:val="auto"/>
        </w:rPr>
        <w:t>1.4预算金额：5075.41万元。</w:t>
      </w:r>
    </w:p>
    <w:p>
      <w:pPr>
        <w:rPr>
          <w:color w:val="auto"/>
        </w:rPr>
      </w:pPr>
      <w:r>
        <w:rPr>
          <w:rFonts w:hint="eastAsia"/>
          <w:color w:val="auto"/>
        </w:rPr>
        <w:t>1.5最高限价：1标包最高投标限价130万元、2标包最高投标限价256万元、3标包最高投标限价39万元、4标包最高投标限价208万元、5标包最高投标限价540万元、6标包最高投标限价350万元、7标包最高投标限价170万元、8标包最高投标限价494万元、9标包最高投标限价1710万元、10标包最高投标限价576.66万元、11标包最高投标限价90.09 万元、12标包最高投标限价386.76万元、13标包最高投标限价48.28万元、14标包最高投标限价76.62万元。</w:t>
      </w:r>
    </w:p>
    <w:p>
      <w:pPr>
        <w:spacing w:line="240" w:lineRule="auto"/>
        <w:rPr>
          <w:color w:val="auto"/>
        </w:rPr>
      </w:pPr>
      <w:r>
        <w:rPr>
          <w:rFonts w:hint="eastAsia"/>
          <w:color w:val="auto"/>
        </w:rPr>
        <w:t>1.6采购需求：</w:t>
      </w:r>
    </w:p>
    <w:tbl>
      <w:tblPr>
        <w:tblStyle w:val="27"/>
        <w:tblW w:w="9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510"/>
        <w:gridCol w:w="3210"/>
        <w:gridCol w:w="2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标包号</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标包名称</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内容及数量</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最高限价（万元）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1标包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干粉消防车</w:t>
            </w:r>
          </w:p>
        </w:tc>
        <w:tc>
          <w:tcPr>
            <w:tcW w:w="3210" w:type="dxa"/>
            <w:vAlign w:val="center"/>
          </w:tcPr>
          <w:p>
            <w:pPr>
              <w:pStyle w:val="25"/>
              <w:widowControl w:val="0"/>
              <w:spacing w:after="0" w:line="240" w:lineRule="auto"/>
              <w:ind w:left="0" w:leftChars="0" w:firstLine="0" w:firstLineChars="0"/>
              <w:jc w:val="center"/>
              <w:rPr>
                <w:color w:val="auto"/>
              </w:rPr>
            </w:pPr>
            <w:r>
              <w:rPr>
                <w:color w:val="auto"/>
              </w:rPr>
              <w:t>1辆干粉消防车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2标包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防化洗消消防车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2辆防化洗消消防车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256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3标包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器材消防车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1辆器材消防车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4标包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照明消防车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1辆照明消防车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5标包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泡沫输转消防车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2辆泡沫输转消防车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540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6标包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指挥方舱车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1辆指挥方舱车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7标包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破冰除雪车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1辆破冰除雪车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8标包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强臂破拆车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1辆强臂破拆车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494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9标包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抢险救援车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18辆抢险救援车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1710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10标包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前突模块A皮卡车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21辆前突模块A皮卡车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576.66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11标包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前突模块B皮卡车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3辆前突模块B皮卡车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90.09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12标包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前突模块C皮卡车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12辆前突模块C皮卡车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386.76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13标包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前突模块D皮卡车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2辆前突模块D皮卡车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48.28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pPr>
              <w:pStyle w:val="25"/>
              <w:widowControl w:val="0"/>
              <w:spacing w:after="0" w:line="240" w:lineRule="auto"/>
              <w:ind w:left="0" w:leftChars="0" w:firstLine="0" w:firstLineChars="0"/>
              <w:jc w:val="center"/>
              <w:rPr>
                <w:color w:val="auto"/>
              </w:rPr>
            </w:pPr>
            <w:r>
              <w:rPr>
                <w:rFonts w:hint="eastAsia"/>
                <w:color w:val="auto"/>
              </w:rPr>
              <w:t>14标包</w:t>
            </w:r>
          </w:p>
        </w:tc>
        <w:tc>
          <w:tcPr>
            <w:tcW w:w="2510" w:type="dxa"/>
            <w:vAlign w:val="center"/>
          </w:tcPr>
          <w:p>
            <w:pPr>
              <w:pStyle w:val="25"/>
              <w:widowControl w:val="0"/>
              <w:spacing w:after="0" w:line="240" w:lineRule="auto"/>
              <w:ind w:left="0" w:leftChars="0" w:firstLine="0" w:firstLineChars="0"/>
              <w:jc w:val="center"/>
              <w:rPr>
                <w:color w:val="auto"/>
              </w:rPr>
            </w:pPr>
            <w:r>
              <w:rPr>
                <w:rFonts w:hint="eastAsia"/>
                <w:color w:val="auto"/>
              </w:rPr>
              <w:t>前突模块E皮卡车</w:t>
            </w:r>
          </w:p>
        </w:tc>
        <w:tc>
          <w:tcPr>
            <w:tcW w:w="3210" w:type="dxa"/>
            <w:vAlign w:val="center"/>
          </w:tcPr>
          <w:p>
            <w:pPr>
              <w:pStyle w:val="25"/>
              <w:widowControl w:val="0"/>
              <w:spacing w:after="0" w:line="240" w:lineRule="auto"/>
              <w:ind w:left="0" w:leftChars="0" w:firstLine="0" w:firstLineChars="0"/>
              <w:jc w:val="center"/>
              <w:rPr>
                <w:color w:val="auto"/>
              </w:rPr>
            </w:pPr>
            <w:r>
              <w:rPr>
                <w:rFonts w:hint="eastAsia"/>
                <w:color w:val="auto"/>
              </w:rPr>
              <w:t>3辆前突模块E皮卡车</w:t>
            </w:r>
          </w:p>
        </w:tc>
        <w:tc>
          <w:tcPr>
            <w:tcW w:w="2382" w:type="dxa"/>
            <w:vAlign w:val="center"/>
          </w:tcPr>
          <w:p>
            <w:pPr>
              <w:pStyle w:val="25"/>
              <w:widowControl w:val="0"/>
              <w:spacing w:after="0" w:line="240" w:lineRule="auto"/>
              <w:ind w:left="0" w:leftChars="0" w:firstLine="0" w:firstLineChars="0"/>
              <w:jc w:val="center"/>
              <w:rPr>
                <w:color w:val="auto"/>
              </w:rPr>
            </w:pPr>
            <w:r>
              <w:rPr>
                <w:rFonts w:hint="eastAsia"/>
                <w:color w:val="auto"/>
              </w:rPr>
              <w:t>76.62</w:t>
            </w:r>
          </w:p>
        </w:tc>
      </w:tr>
    </w:tbl>
    <w:p>
      <w:pPr>
        <w:pStyle w:val="25"/>
        <w:spacing w:after="0"/>
        <w:ind w:left="0" w:leftChars="0"/>
        <w:rPr>
          <w:color w:val="auto"/>
        </w:rPr>
      </w:pPr>
      <w:r>
        <w:rPr>
          <w:rFonts w:hint="eastAsia"/>
          <w:color w:val="auto"/>
        </w:rPr>
        <w:t>注：本招标项目设置14个标包，本项目3标包为专门面向中小企业预留份额，其余标包为非专门面向中小企业采购，本项目兼投兼中，如投标人投多个标包，各标包文件应按招标文件规定分开编制密封。评审顺序按标包号由小到大进行评审。</w:t>
      </w:r>
    </w:p>
    <w:p>
      <w:pPr>
        <w:rPr>
          <w:color w:val="auto"/>
        </w:rPr>
      </w:pPr>
      <w:r>
        <w:rPr>
          <w:rFonts w:hint="eastAsia"/>
          <w:color w:val="auto"/>
        </w:rPr>
        <w:t>1.7交货期：4标包、5标包和8标包要求自合同签订之日起300个日历天内交付，其余标包要求自合同签订之日起150个日历天内交付。整车、随车器材、随车资料和办理车辆牌证的全部资料均齐全，确保能够悬挂应急车牌，方可视为交货完毕。</w:t>
      </w:r>
    </w:p>
    <w:p>
      <w:pPr>
        <w:rPr>
          <w:color w:val="auto"/>
        </w:rPr>
      </w:pPr>
      <w:r>
        <w:rPr>
          <w:rFonts w:hint="eastAsia"/>
          <w:color w:val="auto"/>
        </w:rPr>
        <w:t>1.8交货地点：云南省消防救援总队指定地点。</w:t>
      </w:r>
    </w:p>
    <w:p>
      <w:pPr>
        <w:rPr>
          <w:color w:val="auto"/>
        </w:rPr>
      </w:pPr>
      <w:r>
        <w:rPr>
          <w:rFonts w:hint="eastAsia"/>
          <w:color w:val="auto"/>
        </w:rPr>
        <w:t>1.9售后服务及质保期：车辆最低质保是5年，随车器材整体质保3年。在最终验收后的质量保证期，乙方应对由于设计、工艺或者材料的缺陷而发生的任何不足或故障负责，费用由乙方承担。</w:t>
      </w:r>
    </w:p>
    <w:p>
      <w:pPr>
        <w:rPr>
          <w:color w:val="auto"/>
        </w:rPr>
      </w:pPr>
      <w:r>
        <w:rPr>
          <w:rFonts w:hint="eastAsia"/>
          <w:color w:val="auto"/>
        </w:rPr>
        <w:t>1.10质量要求：符合国家行业相关标准和合同约定的相关要求，满足招标文件及招标人技术需求。</w:t>
      </w:r>
    </w:p>
    <w:p>
      <w:pPr>
        <w:rPr>
          <w:color w:val="auto"/>
        </w:rPr>
      </w:pPr>
      <w:r>
        <w:rPr>
          <w:rFonts w:hint="eastAsia"/>
          <w:color w:val="auto"/>
        </w:rPr>
        <w:t>1.11其他要求：按照国家综合性消防救援队伍要求，车辆器材装备交付时需附着二维码（或RFID），个人防护装备需根据最新要求制作标志标识，印制单位名称等。</w:t>
      </w:r>
    </w:p>
    <w:p>
      <w:pPr>
        <w:pStyle w:val="3"/>
        <w:ind w:firstLine="482"/>
        <w:rPr>
          <w:color w:val="auto"/>
        </w:rPr>
      </w:pPr>
      <w:bookmarkStart w:id="2" w:name="_Toc3099"/>
      <w:r>
        <w:rPr>
          <w:rFonts w:hint="eastAsia"/>
          <w:color w:val="auto"/>
        </w:rPr>
        <w:t>二、投标人的资格要求：</w:t>
      </w:r>
      <w:bookmarkEnd w:id="2"/>
    </w:p>
    <w:p>
      <w:pPr>
        <w:rPr>
          <w:color w:val="auto"/>
        </w:rPr>
      </w:pPr>
      <w:r>
        <w:rPr>
          <w:rFonts w:hint="eastAsia"/>
          <w:color w:val="auto"/>
        </w:rPr>
        <w:t>1.满足《中华人民共和国政府采购法》第二十二条规定；</w:t>
      </w:r>
    </w:p>
    <w:p>
      <w:pPr>
        <w:rPr>
          <w:color w:val="auto"/>
        </w:rPr>
      </w:pPr>
      <w:r>
        <w:rPr>
          <w:rFonts w:hint="eastAsia"/>
          <w:color w:val="auto"/>
        </w:rPr>
        <w:t xml:space="preserve">2.落实政府采购政策需满足的资格要求： </w:t>
      </w:r>
    </w:p>
    <w:p>
      <w:pPr>
        <w:rPr>
          <w:color w:val="auto"/>
        </w:rPr>
      </w:pPr>
      <w:r>
        <w:rPr>
          <w:rFonts w:hint="eastAsia"/>
          <w:color w:val="auto"/>
        </w:rPr>
        <w:t>本项目3标包器材消防车为专门面向中小企业采购的项目，故不再执行价格优惠扣除。非中小企业投标人来参与本项目3标包器材消防车投标的，将被拒绝。</w:t>
      </w:r>
    </w:p>
    <w:p>
      <w:pPr>
        <w:rPr>
          <w:color w:val="auto"/>
        </w:rPr>
      </w:pPr>
      <w:r>
        <w:rPr>
          <w:rFonts w:hint="eastAsia"/>
          <w:color w:val="auto"/>
        </w:rPr>
        <w:t>除了3标包以外的所有标包均为非专门面向中小企业采购的项目。评审时，给予小型、微型企业10%的价格扣除，用扣除后的价格参与报价评审。监狱企业、残疾人福利性单位视同小微企业。小微企业的认定标准及相关要求详见本项目招标文件。</w:t>
      </w:r>
    </w:p>
    <w:p>
      <w:pPr>
        <w:rPr>
          <w:color w:val="auto"/>
        </w:rPr>
      </w:pPr>
      <w:r>
        <w:rPr>
          <w:rFonts w:hint="eastAsia"/>
          <w:color w:val="auto"/>
        </w:rPr>
        <w:t>3.本项目的特定资格要求：</w:t>
      </w:r>
    </w:p>
    <w:p>
      <w:pPr>
        <w:rPr>
          <w:color w:val="auto"/>
        </w:rPr>
      </w:pPr>
      <w:r>
        <w:rPr>
          <w:rFonts w:hint="eastAsia"/>
          <w:color w:val="auto"/>
        </w:rPr>
        <w:t>3.1单位负责人为同一人或者存在直接控股、管理关系的不同投标人，不得参加同一招标项目包的政府采购活动。</w:t>
      </w:r>
    </w:p>
    <w:p>
      <w:pPr>
        <w:rPr>
          <w:color w:val="auto"/>
        </w:rPr>
      </w:pPr>
      <w:r>
        <w:rPr>
          <w:rFonts w:hint="eastAsia"/>
          <w:color w:val="auto"/>
        </w:rPr>
        <w:t>3.2投标人在国家企业信用信息公示系统上未被列入“严重违法失信名单（黑名单）信息”；未被信用中国列入“失信被执行人”（失信被执行人由《信用中国》跳转至《中国执行信息公开网》查询）；在中国政府采购网（www.ccgp.gov.cn）上无政府采购严重违法失信行为记录名单记录 (以投标文件递交截止时间后招标代理机构查询结果为准，查询截图交由评标委员会评审并留档)</w:t>
      </w:r>
    </w:p>
    <w:p>
      <w:pPr>
        <w:rPr>
          <w:color w:val="auto"/>
        </w:rPr>
      </w:pPr>
      <w:r>
        <w:rPr>
          <w:rFonts w:hint="eastAsia"/>
          <w:color w:val="auto"/>
        </w:rPr>
        <w:t>3.3投标人不得直接或间接地与招标人为采购本次招标的项目进行设计、编制规范或其他文件所委托的咨询公司或其他附属机构、个人有任何关联，符合《中华人民共和国政府采购法实施条例》（第658号）第九条之规定。</w:t>
      </w:r>
    </w:p>
    <w:p>
      <w:pPr>
        <w:rPr>
          <w:color w:val="auto"/>
        </w:rPr>
      </w:pPr>
      <w:r>
        <w:rPr>
          <w:rFonts w:hint="eastAsia"/>
          <w:color w:val="auto"/>
        </w:rPr>
        <w:t>3.4本项目不接受联合体投标、不接受整车进口产品投标。</w:t>
      </w:r>
    </w:p>
    <w:p>
      <w:pPr>
        <w:pStyle w:val="3"/>
        <w:ind w:firstLine="482"/>
        <w:rPr>
          <w:color w:val="auto"/>
        </w:rPr>
      </w:pPr>
      <w:bookmarkStart w:id="3" w:name="_Toc14554"/>
      <w:r>
        <w:rPr>
          <w:rFonts w:hint="eastAsia"/>
          <w:color w:val="auto"/>
        </w:rPr>
        <w:t>三、获取招标文件</w:t>
      </w:r>
      <w:bookmarkEnd w:id="3"/>
    </w:p>
    <w:p>
      <w:pPr>
        <w:wordWrap w:val="0"/>
        <w:rPr>
          <w:color w:val="auto"/>
        </w:rPr>
      </w:pPr>
      <w:r>
        <w:rPr>
          <w:rFonts w:hint="eastAsia"/>
          <w:color w:val="auto"/>
        </w:rPr>
        <w:t>1.时间：2024年5月15日至2024年5月21日，每日上午9：00时至12：00时，下午14：00时至17：00时（北京时间，法定节假日除外）。</w:t>
      </w:r>
    </w:p>
    <w:p>
      <w:pPr>
        <w:wordWrap w:val="0"/>
        <w:rPr>
          <w:color w:val="auto"/>
        </w:rPr>
      </w:pPr>
      <w:r>
        <w:rPr>
          <w:rFonts w:hint="eastAsia"/>
          <w:color w:val="auto"/>
        </w:rPr>
        <w:t>2.地点：昆明市高新区金泰国际1期9栋5楼</w:t>
      </w:r>
    </w:p>
    <w:p>
      <w:pPr>
        <w:wordWrap w:val="0"/>
        <w:rPr>
          <w:color w:val="auto"/>
        </w:rPr>
      </w:pPr>
      <w:r>
        <w:rPr>
          <w:rFonts w:hint="eastAsia"/>
          <w:color w:val="auto"/>
        </w:rPr>
        <w:t>3.方式：现场或邮件或邮寄获取均可</w:t>
      </w:r>
    </w:p>
    <w:p>
      <w:pPr>
        <w:wordWrap w:val="0"/>
        <w:rPr>
          <w:color w:val="auto"/>
        </w:rPr>
      </w:pPr>
      <w:r>
        <w:rPr>
          <w:rFonts w:hint="eastAsia"/>
          <w:color w:val="auto"/>
        </w:rPr>
        <w:t>4.获取招标文件时提供：</w:t>
      </w:r>
    </w:p>
    <w:p>
      <w:pPr>
        <w:wordWrap w:val="0"/>
        <w:rPr>
          <w:color w:val="auto"/>
        </w:rPr>
      </w:pPr>
      <w:r>
        <w:rPr>
          <w:rFonts w:hint="eastAsia"/>
          <w:color w:val="auto"/>
        </w:rPr>
        <w:t>①营业执照加盖鲜章的复印件。</w:t>
      </w:r>
    </w:p>
    <w:p>
      <w:pPr>
        <w:wordWrap w:val="0"/>
        <w:rPr>
          <w:color w:val="auto"/>
        </w:rPr>
      </w:pPr>
      <w:r>
        <w:rPr>
          <w:rFonts w:hint="eastAsia"/>
          <w:color w:val="auto"/>
        </w:rPr>
        <w:t>②法定代表人身份证明书和授权委托书（委托代理时提供）。</w:t>
      </w:r>
    </w:p>
    <w:p>
      <w:pPr>
        <w:wordWrap w:val="0"/>
        <w:rPr>
          <w:color w:val="auto"/>
        </w:rPr>
      </w:pPr>
      <w:r>
        <w:rPr>
          <w:rFonts w:hint="eastAsia"/>
          <w:color w:val="auto"/>
        </w:rPr>
        <w:t>③招标资料获取确认（详见公告附件一）。</w:t>
      </w:r>
    </w:p>
    <w:p>
      <w:pPr>
        <w:wordWrap w:val="0"/>
        <w:rPr>
          <w:color w:val="auto"/>
        </w:rPr>
      </w:pPr>
      <w:r>
        <w:rPr>
          <w:rFonts w:hint="eastAsia"/>
          <w:color w:val="auto"/>
        </w:rPr>
        <w:t>④云南省消防救援总队政府采购廉洁提示卡、供应商廉洁守法承诺书（加盖公章且法定代表人或授权其委托代理人签字）（详见公告附件二）。</w:t>
      </w:r>
    </w:p>
    <w:p>
      <w:pPr>
        <w:wordWrap w:val="0"/>
        <w:rPr>
          <w:color w:val="auto"/>
        </w:rPr>
      </w:pPr>
      <w:r>
        <w:rPr>
          <w:rFonts w:hint="eastAsia"/>
          <w:color w:val="auto"/>
        </w:rPr>
        <w:t>5.招标文件费：人民币600.00元每标包，售后不退。</w:t>
      </w:r>
    </w:p>
    <w:p>
      <w:pPr>
        <w:wordWrap w:val="0"/>
        <w:rPr>
          <w:color w:val="auto"/>
        </w:rPr>
      </w:pPr>
      <w:r>
        <w:rPr>
          <w:rFonts w:hint="eastAsia"/>
          <w:color w:val="auto"/>
        </w:rPr>
        <w:t>6.未按本公告规定时间及方式获取本项目招标文件的投标人不得参与本项目投标。</w:t>
      </w:r>
    </w:p>
    <w:p>
      <w:pPr>
        <w:pStyle w:val="3"/>
        <w:ind w:firstLine="482"/>
        <w:rPr>
          <w:color w:val="auto"/>
        </w:rPr>
      </w:pPr>
      <w:bookmarkStart w:id="4" w:name="_Toc2563"/>
      <w:r>
        <w:rPr>
          <w:rFonts w:hint="eastAsia"/>
          <w:color w:val="auto"/>
        </w:rPr>
        <w:t>四、投标截止时间、开标时间及地点</w:t>
      </w:r>
      <w:bookmarkEnd w:id="4"/>
    </w:p>
    <w:p>
      <w:pPr>
        <w:ind w:firstLine="422"/>
        <w:rPr>
          <w:color w:val="auto"/>
        </w:rPr>
      </w:pPr>
      <w:r>
        <w:rPr>
          <w:rFonts w:hint="eastAsia"/>
          <w:b/>
          <w:bCs/>
          <w:color w:val="auto"/>
        </w:rPr>
        <w:t>1-7标包</w:t>
      </w:r>
      <w:r>
        <w:rPr>
          <w:rFonts w:hint="eastAsia"/>
          <w:color w:val="auto"/>
        </w:rPr>
        <w:t>投标截止时间：2024年6月4日9时00分。</w:t>
      </w:r>
    </w:p>
    <w:p>
      <w:pPr>
        <w:ind w:firstLine="422"/>
        <w:rPr>
          <w:color w:val="auto"/>
        </w:rPr>
      </w:pPr>
      <w:r>
        <w:rPr>
          <w:rFonts w:hint="eastAsia"/>
          <w:b/>
          <w:bCs/>
          <w:color w:val="auto"/>
        </w:rPr>
        <w:t>1-7标包</w:t>
      </w:r>
      <w:r>
        <w:rPr>
          <w:rFonts w:hint="eastAsia"/>
          <w:color w:val="auto"/>
        </w:rPr>
        <w:t>开标时间：2024年6月4日9时00分。</w:t>
      </w:r>
    </w:p>
    <w:p>
      <w:pPr>
        <w:rPr>
          <w:color w:val="auto"/>
        </w:rPr>
      </w:pPr>
      <w:r>
        <w:rPr>
          <w:rFonts w:hint="eastAsia"/>
          <w:color w:val="auto"/>
        </w:rPr>
        <w:t>地点：暂定昆明市高新区金泰国际1期9栋5楼（第一开标室），如有更改另行通知。</w:t>
      </w:r>
    </w:p>
    <w:p>
      <w:pPr>
        <w:ind w:firstLine="422"/>
        <w:rPr>
          <w:color w:val="auto"/>
        </w:rPr>
      </w:pPr>
      <w:r>
        <w:rPr>
          <w:rFonts w:hint="eastAsia"/>
          <w:b/>
          <w:bCs/>
          <w:color w:val="auto"/>
        </w:rPr>
        <w:t>8-14标包</w:t>
      </w:r>
      <w:r>
        <w:rPr>
          <w:rFonts w:hint="eastAsia"/>
          <w:color w:val="auto"/>
        </w:rPr>
        <w:t>投标截止时间：2024年6月5日9时00分。</w:t>
      </w:r>
    </w:p>
    <w:p>
      <w:pPr>
        <w:ind w:firstLine="422"/>
        <w:rPr>
          <w:color w:val="auto"/>
        </w:rPr>
      </w:pPr>
      <w:r>
        <w:rPr>
          <w:rFonts w:hint="eastAsia"/>
          <w:b/>
          <w:bCs/>
          <w:color w:val="auto"/>
        </w:rPr>
        <w:t>8-14标包</w:t>
      </w:r>
      <w:r>
        <w:rPr>
          <w:rFonts w:hint="eastAsia"/>
          <w:color w:val="auto"/>
        </w:rPr>
        <w:t>开标时间：2024年6月5日9时00分。</w:t>
      </w:r>
    </w:p>
    <w:p>
      <w:pPr>
        <w:rPr>
          <w:color w:val="auto"/>
        </w:rPr>
      </w:pPr>
      <w:r>
        <w:rPr>
          <w:rFonts w:hint="eastAsia"/>
          <w:color w:val="auto"/>
        </w:rPr>
        <w:t>地点：暂定昆明市高新区金泰国际1期9栋5楼（第一开标室），如有更改另行通知。</w:t>
      </w:r>
    </w:p>
    <w:p>
      <w:pPr>
        <w:pStyle w:val="3"/>
        <w:ind w:firstLine="482"/>
        <w:rPr>
          <w:color w:val="auto"/>
        </w:rPr>
      </w:pPr>
      <w:bookmarkStart w:id="5" w:name="_Toc1611"/>
      <w:r>
        <w:rPr>
          <w:rFonts w:hint="eastAsia"/>
          <w:color w:val="auto"/>
        </w:rPr>
        <w:t>五、公告期限</w:t>
      </w:r>
      <w:bookmarkEnd w:id="5"/>
    </w:p>
    <w:p>
      <w:pPr>
        <w:rPr>
          <w:color w:val="auto"/>
        </w:rPr>
      </w:pPr>
      <w:r>
        <w:rPr>
          <w:rFonts w:hint="eastAsia"/>
          <w:color w:val="auto"/>
        </w:rPr>
        <w:t>本项目在“《中国政府采购网》（</w:t>
      </w:r>
      <w:r>
        <w:fldChar w:fldCharType="begin"/>
      </w:r>
      <w:r>
        <w:instrText xml:space="preserve"> HYPERLINK "http://www.ccgp.gov.cn/" </w:instrText>
      </w:r>
      <w:r>
        <w:fldChar w:fldCharType="separate"/>
      </w:r>
      <w:r>
        <w:rPr>
          <w:rFonts w:hint="eastAsia"/>
          <w:color w:val="auto"/>
        </w:rPr>
        <w:t>www.ccgp.gov.cn)</w:t>
      </w:r>
      <w:r>
        <w:rPr>
          <w:rFonts w:hint="eastAsia"/>
          <w:color w:val="auto"/>
        </w:rPr>
        <w:fldChar w:fldCharType="end"/>
      </w:r>
      <w:r>
        <w:rPr>
          <w:rFonts w:hint="eastAsia"/>
          <w:color w:val="auto"/>
        </w:rPr>
        <w:t>和《中国招标投标公共服务平台》（www.bulletin.cebpubservice.com）”上发布公告</w:t>
      </w:r>
      <w:r>
        <w:rPr>
          <w:rFonts w:hint="eastAsia"/>
          <w:color w:val="auto"/>
        </w:rPr>
        <w:fldChar w:fldCharType="begin"/>
      </w:r>
      <w:r>
        <w:rPr>
          <w:color w:val="auto"/>
        </w:rPr>
        <w:instrText xml:space="preserve"> HYPERLINK </w:instrText>
      </w:r>
      <w:r>
        <w:rPr>
          <w:rFonts w:hint="eastAsia"/>
          <w:color w:val="auto"/>
        </w:rPr>
        <w:fldChar w:fldCharType="separate"/>
      </w:r>
      <w:r>
        <w:rPr>
          <w:rFonts w:hint="eastAsia"/>
          <w:color w:val="auto"/>
        </w:rPr>
        <w:t>。</w:t>
      </w:r>
      <w:r>
        <w:rPr>
          <w:rFonts w:hint="eastAsia"/>
          <w:color w:val="auto"/>
        </w:rPr>
        <w:fldChar w:fldCharType="end"/>
      </w:r>
      <w:r>
        <w:rPr>
          <w:rFonts w:hint="eastAsia"/>
          <w:color w:val="auto"/>
        </w:rPr>
        <w:t>公告期限自本公告发布之日起5个工作日。</w:t>
      </w:r>
    </w:p>
    <w:p>
      <w:pPr>
        <w:pStyle w:val="3"/>
        <w:ind w:firstLine="482"/>
        <w:rPr>
          <w:color w:val="auto"/>
        </w:rPr>
      </w:pPr>
      <w:bookmarkStart w:id="6" w:name="_Toc8285"/>
      <w:r>
        <w:rPr>
          <w:rFonts w:hint="eastAsia"/>
          <w:color w:val="auto"/>
        </w:rPr>
        <w:t>六、项目联系人及电话</w:t>
      </w:r>
      <w:bookmarkEnd w:id="6"/>
    </w:p>
    <w:p>
      <w:pPr>
        <w:rPr>
          <w:color w:val="auto"/>
        </w:rPr>
      </w:pPr>
      <w:r>
        <w:rPr>
          <w:rFonts w:hint="eastAsia"/>
          <w:color w:val="auto"/>
        </w:rPr>
        <w:t>1.招标人信息</w:t>
      </w:r>
    </w:p>
    <w:p>
      <w:pPr>
        <w:rPr>
          <w:color w:val="auto"/>
        </w:rPr>
      </w:pPr>
      <w:r>
        <w:rPr>
          <w:rFonts w:hint="eastAsia"/>
          <w:color w:val="auto"/>
        </w:rPr>
        <w:t>名称：云南省消防救援总队</w:t>
      </w:r>
    </w:p>
    <w:p>
      <w:pPr>
        <w:rPr>
          <w:color w:val="auto"/>
        </w:rPr>
      </w:pPr>
      <w:r>
        <w:rPr>
          <w:rFonts w:hint="eastAsia"/>
          <w:color w:val="auto"/>
        </w:rPr>
        <w:t>地址：云南省昆明市官渡区海塘路666号</w:t>
      </w:r>
    </w:p>
    <w:p>
      <w:pPr>
        <w:rPr>
          <w:color w:val="auto"/>
        </w:rPr>
      </w:pPr>
      <w:r>
        <w:rPr>
          <w:rFonts w:hint="eastAsia"/>
          <w:color w:val="auto"/>
        </w:rPr>
        <w:t>联系方式：0871-64569342</w:t>
      </w:r>
    </w:p>
    <w:p>
      <w:pPr>
        <w:rPr>
          <w:color w:val="auto"/>
        </w:rPr>
      </w:pPr>
      <w:r>
        <w:rPr>
          <w:rFonts w:hint="eastAsia"/>
          <w:color w:val="auto"/>
        </w:rPr>
        <w:t>2.招标代理机构信息</w:t>
      </w:r>
    </w:p>
    <w:p>
      <w:pPr>
        <w:rPr>
          <w:color w:val="auto"/>
        </w:rPr>
      </w:pPr>
      <w:r>
        <w:rPr>
          <w:rFonts w:hint="eastAsia"/>
          <w:color w:val="auto"/>
        </w:rPr>
        <w:t>名称：中招国际招标有限公司</w:t>
      </w:r>
    </w:p>
    <w:p>
      <w:pPr>
        <w:rPr>
          <w:color w:val="auto"/>
        </w:rPr>
      </w:pPr>
      <w:r>
        <w:rPr>
          <w:rFonts w:hint="eastAsia"/>
          <w:color w:val="auto"/>
        </w:rPr>
        <w:t>地址：昆明市高新区金泰国际1期9栋5楼</w:t>
      </w:r>
    </w:p>
    <w:p>
      <w:pPr>
        <w:pStyle w:val="25"/>
        <w:spacing w:after="0"/>
        <w:ind w:left="0" w:leftChars="0"/>
        <w:rPr>
          <w:color w:val="auto"/>
        </w:rPr>
      </w:pPr>
      <w:r>
        <w:rPr>
          <w:rFonts w:hint="eastAsia"/>
          <w:color w:val="auto"/>
        </w:rPr>
        <w:t>联系方式：0871-65311242</w:t>
      </w:r>
    </w:p>
    <w:p>
      <w:pPr>
        <w:pStyle w:val="25"/>
        <w:spacing w:after="0"/>
        <w:ind w:left="0" w:leftChars="0"/>
        <w:rPr>
          <w:color w:val="auto"/>
        </w:rPr>
      </w:pPr>
      <w:r>
        <w:rPr>
          <w:rFonts w:hint="eastAsia"/>
          <w:color w:val="auto"/>
        </w:rPr>
        <w:t>3.项目联系方式</w:t>
      </w:r>
    </w:p>
    <w:p>
      <w:pPr>
        <w:pStyle w:val="25"/>
        <w:spacing w:after="0"/>
        <w:ind w:left="0" w:leftChars="0"/>
        <w:rPr>
          <w:color w:val="auto"/>
        </w:rPr>
      </w:pPr>
      <w:r>
        <w:rPr>
          <w:rFonts w:hint="eastAsia"/>
          <w:color w:val="auto"/>
        </w:rPr>
        <w:t xml:space="preserve">项目联系人：董晓扬、赵庆鹏、张仁皓、李叶、杨华、吕庆贵 </w:t>
      </w:r>
    </w:p>
    <w:p>
      <w:pPr>
        <w:pStyle w:val="25"/>
        <w:spacing w:after="0"/>
        <w:ind w:left="0" w:leftChars="0"/>
        <w:rPr>
          <w:color w:val="auto"/>
        </w:rPr>
      </w:pPr>
      <w:r>
        <w:rPr>
          <w:rFonts w:hint="eastAsia"/>
          <w:color w:val="auto"/>
        </w:rPr>
        <w:t>电话：18869873318、0871-65311242  邮箱：3242914909@qq.com</w:t>
      </w:r>
    </w:p>
    <w:p>
      <w:pPr>
        <w:ind w:firstLine="560"/>
        <w:rPr>
          <w:rFonts w:ascii="方正小标宋_GBK" w:eastAsia="方正小标宋_GBK" w:cs="Times New Roman"/>
          <w:color w:val="auto"/>
          <w:sz w:val="28"/>
          <w:szCs w:val="28"/>
        </w:rPr>
      </w:pPr>
      <w:r>
        <w:rPr>
          <w:rFonts w:hint="eastAsia" w:ascii="方正小标宋_GBK" w:eastAsia="方正小标宋_GBK" w:cs="Times New Roman"/>
          <w:color w:val="auto"/>
          <w:sz w:val="28"/>
          <w:szCs w:val="28"/>
        </w:rPr>
        <w:br w:type="page"/>
      </w:r>
    </w:p>
    <w:p>
      <w:pPr>
        <w:spacing w:line="400" w:lineRule="exact"/>
        <w:ind w:firstLine="560"/>
        <w:rPr>
          <w:rFonts w:ascii="方正小标宋_GBK" w:eastAsia="方正小标宋_GBK" w:cs="Times New Roman"/>
          <w:color w:val="auto"/>
          <w:sz w:val="28"/>
          <w:szCs w:val="28"/>
        </w:rPr>
      </w:pPr>
      <w:r>
        <w:rPr>
          <w:rFonts w:hint="eastAsia" w:ascii="方正小标宋_GBK" w:eastAsia="方正小标宋_GBK" w:cs="Times New Roman"/>
          <w:color w:val="auto"/>
          <w:sz w:val="28"/>
          <w:szCs w:val="28"/>
        </w:rPr>
        <w:t>附件一</w:t>
      </w:r>
    </w:p>
    <w:p>
      <w:pPr>
        <w:spacing w:before="156" w:beforeLines="50"/>
        <w:ind w:firstLine="643"/>
        <w:jc w:val="center"/>
        <w:rPr>
          <w:b/>
          <w:bCs/>
          <w:color w:val="auto"/>
          <w:sz w:val="32"/>
          <w:szCs w:val="32"/>
        </w:rPr>
      </w:pPr>
      <w:r>
        <w:rPr>
          <w:rFonts w:hint="eastAsia"/>
          <w:b/>
          <w:bCs/>
          <w:color w:val="auto"/>
          <w:sz w:val="32"/>
          <w:szCs w:val="32"/>
        </w:rPr>
        <w:t>招标资料获取确认</w:t>
      </w:r>
    </w:p>
    <w:tbl>
      <w:tblPr>
        <w:tblStyle w:val="26"/>
        <w:tblW w:w="8899" w:type="dxa"/>
        <w:jc w:val="center"/>
        <w:tblLayout w:type="fixed"/>
        <w:tblCellMar>
          <w:top w:w="0" w:type="dxa"/>
          <w:left w:w="108" w:type="dxa"/>
          <w:bottom w:w="0" w:type="dxa"/>
          <w:right w:w="108" w:type="dxa"/>
        </w:tblCellMar>
      </w:tblPr>
      <w:tblGrid>
        <w:gridCol w:w="2610"/>
        <w:gridCol w:w="6289"/>
      </w:tblGrid>
      <w:tr>
        <w:tblPrEx>
          <w:tblCellMar>
            <w:top w:w="0" w:type="dxa"/>
            <w:left w:w="108" w:type="dxa"/>
            <w:bottom w:w="0" w:type="dxa"/>
            <w:right w:w="108" w:type="dxa"/>
          </w:tblCellMar>
        </w:tblPrEx>
        <w:trPr>
          <w:trHeight w:val="472" w:hRule="atLeast"/>
          <w:jc w:val="center"/>
        </w:trPr>
        <w:tc>
          <w:tcPr>
            <w:tcW w:w="261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rFonts w:hint="eastAsia"/>
                <w:color w:val="auto"/>
              </w:rPr>
              <w:t>项目编号</w:t>
            </w:r>
          </w:p>
        </w:tc>
        <w:tc>
          <w:tcPr>
            <w:tcW w:w="6289" w:type="dxa"/>
            <w:tcBorders>
              <w:top w:val="single" w:color="auto" w:sz="4" w:space="0"/>
              <w:left w:val="nil"/>
              <w:bottom w:val="single" w:color="auto" w:sz="4" w:space="0"/>
              <w:right w:val="single" w:color="auto" w:sz="4" w:space="0"/>
            </w:tcBorders>
            <w:vAlign w:val="center"/>
          </w:tcPr>
          <w:p>
            <w:pPr>
              <w:jc w:val="center"/>
              <w:rPr>
                <w:color w:val="auto"/>
              </w:rPr>
            </w:pPr>
          </w:p>
        </w:tc>
      </w:tr>
      <w:tr>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项目名称</w:t>
            </w:r>
          </w:p>
        </w:tc>
        <w:tc>
          <w:tcPr>
            <w:tcW w:w="6289" w:type="dxa"/>
            <w:tcBorders>
              <w:top w:val="nil"/>
              <w:left w:val="nil"/>
              <w:bottom w:val="single" w:color="auto" w:sz="4" w:space="0"/>
              <w:right w:val="single" w:color="auto" w:sz="4" w:space="0"/>
            </w:tcBorders>
            <w:vAlign w:val="center"/>
          </w:tcPr>
          <w:p>
            <w:pPr>
              <w:jc w:val="center"/>
              <w:rPr>
                <w:color w:val="auto"/>
              </w:rPr>
            </w:pPr>
          </w:p>
        </w:tc>
      </w:tr>
      <w:tr>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标包(如有)</w:t>
            </w:r>
          </w:p>
        </w:tc>
        <w:tc>
          <w:tcPr>
            <w:tcW w:w="6289" w:type="dxa"/>
            <w:tcBorders>
              <w:top w:val="nil"/>
              <w:left w:val="nil"/>
              <w:bottom w:val="single" w:color="auto" w:sz="4" w:space="0"/>
              <w:right w:val="single" w:color="auto" w:sz="4" w:space="0"/>
            </w:tcBorders>
            <w:vAlign w:val="center"/>
          </w:tcPr>
          <w:p>
            <w:pPr>
              <w:jc w:val="center"/>
              <w:rPr>
                <w:color w:val="auto"/>
                <w:u w:val="single"/>
              </w:rPr>
            </w:pPr>
          </w:p>
        </w:tc>
      </w:tr>
      <w:tr>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统一社会信用代码</w:t>
            </w:r>
          </w:p>
        </w:tc>
        <w:tc>
          <w:tcPr>
            <w:tcW w:w="6289" w:type="dxa"/>
            <w:tcBorders>
              <w:top w:val="nil"/>
              <w:left w:val="nil"/>
              <w:bottom w:val="single" w:color="auto" w:sz="4" w:space="0"/>
              <w:right w:val="single" w:color="auto" w:sz="4" w:space="0"/>
            </w:tcBorders>
            <w:vAlign w:val="center"/>
          </w:tcPr>
          <w:p>
            <w:pPr>
              <w:rPr>
                <w:color w:val="auto"/>
              </w:rPr>
            </w:pPr>
            <w:r>
              <w:rPr>
                <w:rFonts w:hint="eastAsia"/>
                <w:color w:val="auto"/>
              </w:rPr>
              <w:t>　</w:t>
            </w:r>
          </w:p>
        </w:tc>
      </w:tr>
      <w:tr>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公司（单位）名称</w:t>
            </w:r>
          </w:p>
        </w:tc>
        <w:tc>
          <w:tcPr>
            <w:tcW w:w="6289" w:type="dxa"/>
            <w:tcBorders>
              <w:top w:val="nil"/>
              <w:left w:val="nil"/>
              <w:bottom w:val="single" w:color="auto" w:sz="4" w:space="0"/>
              <w:right w:val="single" w:color="auto" w:sz="4" w:space="0"/>
            </w:tcBorders>
            <w:vAlign w:val="center"/>
          </w:tcPr>
          <w:p>
            <w:pPr>
              <w:rPr>
                <w:color w:val="auto"/>
              </w:rPr>
            </w:pPr>
            <w:r>
              <w:rPr>
                <w:rFonts w:hint="eastAsia"/>
                <w:color w:val="auto"/>
              </w:rPr>
              <w:t>　</w:t>
            </w:r>
          </w:p>
        </w:tc>
      </w:tr>
      <w:tr>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公司（单位）地址</w:t>
            </w:r>
          </w:p>
        </w:tc>
        <w:tc>
          <w:tcPr>
            <w:tcW w:w="6289" w:type="dxa"/>
            <w:tcBorders>
              <w:top w:val="nil"/>
              <w:left w:val="nil"/>
              <w:bottom w:val="single" w:color="auto" w:sz="4" w:space="0"/>
              <w:right w:val="single" w:color="auto" w:sz="4" w:space="0"/>
            </w:tcBorders>
            <w:vAlign w:val="center"/>
          </w:tcPr>
          <w:p>
            <w:pPr>
              <w:rPr>
                <w:color w:val="auto"/>
              </w:rPr>
            </w:pPr>
            <w:r>
              <w:rPr>
                <w:rFonts w:hint="eastAsia"/>
                <w:color w:val="auto"/>
              </w:rPr>
              <w:t>　</w:t>
            </w:r>
          </w:p>
        </w:tc>
      </w:tr>
      <w:tr>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法定代表人</w:t>
            </w:r>
          </w:p>
        </w:tc>
        <w:tc>
          <w:tcPr>
            <w:tcW w:w="6289" w:type="dxa"/>
            <w:tcBorders>
              <w:top w:val="nil"/>
              <w:left w:val="nil"/>
              <w:bottom w:val="single" w:color="auto" w:sz="4" w:space="0"/>
              <w:right w:val="single" w:color="auto" w:sz="4" w:space="0"/>
            </w:tcBorders>
            <w:vAlign w:val="center"/>
          </w:tcPr>
          <w:p>
            <w:pPr>
              <w:rPr>
                <w:color w:val="auto"/>
              </w:rPr>
            </w:pPr>
            <w:r>
              <w:rPr>
                <w:rFonts w:hint="eastAsia"/>
                <w:color w:val="auto"/>
              </w:rPr>
              <w:t>　</w:t>
            </w:r>
          </w:p>
        </w:tc>
      </w:tr>
      <w:tr>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本项目联系人</w:t>
            </w:r>
          </w:p>
        </w:tc>
        <w:tc>
          <w:tcPr>
            <w:tcW w:w="6289" w:type="dxa"/>
            <w:tcBorders>
              <w:top w:val="nil"/>
              <w:left w:val="nil"/>
              <w:bottom w:val="single" w:color="auto" w:sz="4" w:space="0"/>
              <w:right w:val="single" w:color="auto" w:sz="4" w:space="0"/>
            </w:tcBorders>
            <w:vAlign w:val="center"/>
          </w:tcPr>
          <w:p>
            <w:pPr>
              <w:rPr>
                <w:color w:val="auto"/>
              </w:rPr>
            </w:pPr>
            <w:r>
              <w:rPr>
                <w:rFonts w:hint="eastAsia"/>
                <w:color w:val="auto"/>
              </w:rPr>
              <w:t>　</w:t>
            </w:r>
          </w:p>
        </w:tc>
      </w:tr>
      <w:tr>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联系电话</w:t>
            </w:r>
          </w:p>
        </w:tc>
        <w:tc>
          <w:tcPr>
            <w:tcW w:w="6289" w:type="dxa"/>
            <w:tcBorders>
              <w:top w:val="nil"/>
              <w:left w:val="nil"/>
              <w:bottom w:val="single" w:color="auto" w:sz="4" w:space="0"/>
              <w:right w:val="single" w:color="auto" w:sz="4" w:space="0"/>
            </w:tcBorders>
            <w:vAlign w:val="center"/>
          </w:tcPr>
          <w:p>
            <w:pPr>
              <w:rPr>
                <w:color w:val="auto"/>
              </w:rPr>
            </w:pPr>
            <w:r>
              <w:rPr>
                <w:rFonts w:hint="eastAsia"/>
                <w:color w:val="auto"/>
              </w:rPr>
              <w:t>　</w:t>
            </w:r>
          </w:p>
        </w:tc>
      </w:tr>
      <w:tr>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 xml:space="preserve">邮 </w:t>
            </w:r>
            <w:r>
              <w:rPr>
                <w:color w:val="auto"/>
              </w:rPr>
              <w:t xml:space="preserve">   </w:t>
            </w:r>
            <w:r>
              <w:rPr>
                <w:rFonts w:hint="eastAsia"/>
                <w:color w:val="auto"/>
              </w:rPr>
              <w:t>箱</w:t>
            </w:r>
          </w:p>
        </w:tc>
        <w:tc>
          <w:tcPr>
            <w:tcW w:w="6289" w:type="dxa"/>
            <w:tcBorders>
              <w:top w:val="nil"/>
              <w:left w:val="nil"/>
              <w:bottom w:val="single" w:color="auto" w:sz="4" w:space="0"/>
              <w:right w:val="single" w:color="auto" w:sz="4" w:space="0"/>
            </w:tcBorders>
            <w:vAlign w:val="center"/>
          </w:tcPr>
          <w:p>
            <w:pPr>
              <w:rPr>
                <w:color w:val="auto"/>
              </w:rPr>
            </w:pPr>
            <w:r>
              <w:rPr>
                <w:rFonts w:hint="eastAsia"/>
                <w:color w:val="auto"/>
              </w:rPr>
              <w:t>　</w:t>
            </w:r>
          </w:p>
        </w:tc>
      </w:tr>
      <w:tr>
        <w:tblPrEx>
          <w:tblCellMar>
            <w:top w:w="0" w:type="dxa"/>
            <w:left w:w="108" w:type="dxa"/>
            <w:bottom w:w="0" w:type="dxa"/>
            <w:right w:w="108" w:type="dxa"/>
          </w:tblCellMar>
        </w:tblPrEx>
        <w:trPr>
          <w:trHeight w:val="472" w:hRule="atLeast"/>
          <w:jc w:val="center"/>
        </w:trPr>
        <w:tc>
          <w:tcPr>
            <w:tcW w:w="8899" w:type="dxa"/>
            <w:gridSpan w:val="2"/>
            <w:tcBorders>
              <w:top w:val="single" w:color="auto" w:sz="4" w:space="0"/>
              <w:left w:val="single" w:color="auto" w:sz="4" w:space="0"/>
              <w:bottom w:val="single" w:color="000000" w:sz="4" w:space="0"/>
              <w:right w:val="single" w:color="000000" w:sz="4" w:space="0"/>
            </w:tcBorders>
            <w:vAlign w:val="center"/>
          </w:tcPr>
          <w:p>
            <w:pPr>
              <w:ind w:firstLine="422"/>
              <w:jc w:val="center"/>
              <w:rPr>
                <w:b/>
                <w:bCs/>
                <w:color w:val="auto"/>
              </w:rPr>
            </w:pPr>
            <w:r>
              <w:rPr>
                <w:rFonts w:hint="eastAsia"/>
                <w:b/>
                <w:bCs/>
                <w:color w:val="auto"/>
              </w:rPr>
              <w:t>验证资料</w:t>
            </w:r>
          </w:p>
        </w:tc>
      </w:tr>
      <w:tr>
        <w:tblPrEx>
          <w:tblCellMar>
            <w:top w:w="0" w:type="dxa"/>
            <w:left w:w="108" w:type="dxa"/>
            <w:bottom w:w="0" w:type="dxa"/>
            <w:right w:w="108" w:type="dxa"/>
          </w:tblCellMar>
        </w:tblPrEx>
        <w:trPr>
          <w:trHeight w:val="935"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提供  是</w:t>
            </w:r>
            <w:r>
              <w:rPr>
                <w:rFonts w:hint="eastAsia" w:cs="仿宋"/>
                <w:color w:val="auto"/>
              </w:rPr>
              <w:t>☑</w:t>
            </w:r>
            <w:r>
              <w:rPr>
                <w:color w:val="auto"/>
              </w:rPr>
              <w:t xml:space="preserve">    </w:t>
            </w:r>
            <w:r>
              <w:rPr>
                <w:rFonts w:hint="eastAsia"/>
                <w:color w:val="auto"/>
              </w:rPr>
              <w:t>否</w:t>
            </w:r>
            <w:r>
              <w:rPr>
                <w:rFonts w:hint="eastAsia" w:cs="仿宋"/>
                <w:color w:val="auto"/>
              </w:rPr>
              <w:t>□</w:t>
            </w:r>
          </w:p>
        </w:tc>
        <w:tc>
          <w:tcPr>
            <w:tcW w:w="6289" w:type="dxa"/>
            <w:tcBorders>
              <w:top w:val="nil"/>
              <w:left w:val="nil"/>
              <w:bottom w:val="single" w:color="auto" w:sz="4" w:space="0"/>
              <w:right w:val="single" w:color="auto" w:sz="4" w:space="0"/>
            </w:tcBorders>
            <w:vAlign w:val="center"/>
          </w:tcPr>
          <w:p>
            <w:pPr>
              <w:rPr>
                <w:color w:val="auto"/>
              </w:rPr>
            </w:pPr>
            <w:r>
              <w:rPr>
                <w:rFonts w:hint="eastAsia"/>
                <w:color w:val="auto"/>
              </w:rPr>
              <w:t>(1)法定代表人授权委托书原件(法定代表人报名的除外)，法定代表人身份证明书。</w:t>
            </w:r>
          </w:p>
        </w:tc>
      </w:tr>
      <w:tr>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提供  是</w:t>
            </w:r>
            <w:r>
              <w:rPr>
                <w:rFonts w:hint="eastAsia" w:cs="仿宋"/>
                <w:color w:val="auto"/>
              </w:rPr>
              <w:t>☑</w:t>
            </w:r>
            <w:r>
              <w:rPr>
                <w:color w:val="auto"/>
              </w:rPr>
              <w:t xml:space="preserve">    </w:t>
            </w:r>
            <w:r>
              <w:rPr>
                <w:rFonts w:hint="eastAsia"/>
                <w:color w:val="auto"/>
              </w:rPr>
              <w:t>否</w:t>
            </w:r>
            <w:r>
              <w:rPr>
                <w:rFonts w:hint="eastAsia" w:cs="仿宋"/>
                <w:color w:val="auto"/>
              </w:rPr>
              <w:t>□</w:t>
            </w:r>
          </w:p>
        </w:tc>
        <w:tc>
          <w:tcPr>
            <w:tcW w:w="6289" w:type="dxa"/>
            <w:tcBorders>
              <w:top w:val="nil"/>
              <w:left w:val="nil"/>
              <w:bottom w:val="single" w:color="auto" w:sz="4" w:space="0"/>
              <w:right w:val="single" w:color="auto" w:sz="4" w:space="0"/>
            </w:tcBorders>
            <w:vAlign w:val="center"/>
          </w:tcPr>
          <w:p>
            <w:pPr>
              <w:rPr>
                <w:color w:val="auto"/>
              </w:rPr>
            </w:pPr>
            <w:r>
              <w:rPr>
                <w:rFonts w:hint="eastAsia"/>
                <w:color w:val="auto"/>
              </w:rPr>
              <w:t>(2)法定代表人或授权其委托代理人居民身份证</w:t>
            </w:r>
          </w:p>
        </w:tc>
      </w:tr>
      <w:tr>
        <w:tblPrEx>
          <w:tblCellMar>
            <w:top w:w="0" w:type="dxa"/>
            <w:left w:w="108" w:type="dxa"/>
            <w:bottom w:w="0" w:type="dxa"/>
            <w:right w:w="108" w:type="dxa"/>
          </w:tblCellMar>
        </w:tblPrEx>
        <w:trPr>
          <w:trHeight w:val="935"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提供  是</w:t>
            </w:r>
            <w:r>
              <w:rPr>
                <w:rFonts w:hint="eastAsia" w:cs="仿宋"/>
                <w:color w:val="auto"/>
              </w:rPr>
              <w:t>☑</w:t>
            </w:r>
            <w:r>
              <w:rPr>
                <w:color w:val="auto"/>
              </w:rPr>
              <w:t xml:space="preserve">    </w:t>
            </w:r>
            <w:r>
              <w:rPr>
                <w:rFonts w:hint="eastAsia"/>
                <w:color w:val="auto"/>
              </w:rPr>
              <w:t>否</w:t>
            </w:r>
            <w:r>
              <w:rPr>
                <w:rFonts w:hint="eastAsia" w:cs="仿宋"/>
                <w:color w:val="auto"/>
              </w:rPr>
              <w:t>□</w:t>
            </w:r>
          </w:p>
        </w:tc>
        <w:tc>
          <w:tcPr>
            <w:tcW w:w="6289" w:type="dxa"/>
            <w:tcBorders>
              <w:top w:val="nil"/>
              <w:left w:val="nil"/>
              <w:bottom w:val="single" w:color="auto" w:sz="4" w:space="0"/>
              <w:right w:val="single" w:color="auto" w:sz="4" w:space="0"/>
            </w:tcBorders>
            <w:vAlign w:val="center"/>
          </w:tcPr>
          <w:p>
            <w:pPr>
              <w:rPr>
                <w:color w:val="auto"/>
              </w:rPr>
            </w:pPr>
            <w:r>
              <w:rPr>
                <w:color w:val="auto"/>
              </w:rPr>
              <w:t>(</w:t>
            </w:r>
            <w:r>
              <w:rPr>
                <w:rFonts w:hint="eastAsia"/>
                <w:color w:val="auto"/>
              </w:rPr>
              <w:t>3</w:t>
            </w:r>
            <w:r>
              <w:rPr>
                <w:color w:val="auto"/>
              </w:rPr>
              <w:t>)</w:t>
            </w:r>
            <w:r>
              <w:rPr>
                <w:rFonts w:hint="eastAsia"/>
                <w:color w:val="auto"/>
              </w:rPr>
              <w:t>云南省消防救援总队政府采购廉洁提示卡、云南省消防救援总队政府采购供应商廉洁守法承诺书</w:t>
            </w:r>
          </w:p>
        </w:tc>
      </w:tr>
      <w:tr>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提供  是</w:t>
            </w:r>
            <w:r>
              <w:rPr>
                <w:rFonts w:hint="eastAsia" w:cs="仿宋"/>
                <w:color w:val="auto"/>
              </w:rPr>
              <w:t>☑</w:t>
            </w:r>
            <w:r>
              <w:rPr>
                <w:color w:val="auto"/>
              </w:rPr>
              <w:t xml:space="preserve">    </w:t>
            </w:r>
            <w:r>
              <w:rPr>
                <w:rFonts w:hint="eastAsia"/>
                <w:color w:val="auto"/>
              </w:rPr>
              <w:t>否</w:t>
            </w:r>
            <w:r>
              <w:rPr>
                <w:rFonts w:hint="eastAsia" w:cs="仿宋"/>
                <w:color w:val="auto"/>
              </w:rPr>
              <w:t>□</w:t>
            </w:r>
          </w:p>
        </w:tc>
        <w:tc>
          <w:tcPr>
            <w:tcW w:w="6289" w:type="dxa"/>
            <w:tcBorders>
              <w:top w:val="nil"/>
              <w:left w:val="nil"/>
              <w:bottom w:val="single" w:color="auto" w:sz="4" w:space="0"/>
              <w:right w:val="single" w:color="auto" w:sz="4" w:space="0"/>
            </w:tcBorders>
            <w:vAlign w:val="center"/>
          </w:tcPr>
          <w:p>
            <w:pPr>
              <w:rPr>
                <w:color w:val="auto"/>
              </w:rPr>
            </w:pPr>
            <w:r>
              <w:rPr>
                <w:color w:val="auto"/>
              </w:rPr>
              <w:t>(</w:t>
            </w:r>
            <w:r>
              <w:rPr>
                <w:rFonts w:hint="eastAsia"/>
                <w:color w:val="auto"/>
              </w:rPr>
              <w:t>4</w:t>
            </w:r>
            <w:r>
              <w:rPr>
                <w:color w:val="auto"/>
              </w:rPr>
              <w:t>)</w:t>
            </w:r>
            <w:r>
              <w:rPr>
                <w:rFonts w:hint="eastAsia"/>
                <w:color w:val="auto"/>
              </w:rPr>
              <w:t>招标资料获取确认</w:t>
            </w:r>
          </w:p>
        </w:tc>
      </w:tr>
      <w:tr>
        <w:tblPrEx>
          <w:tblCellMar>
            <w:top w:w="0" w:type="dxa"/>
            <w:left w:w="108" w:type="dxa"/>
            <w:bottom w:w="0" w:type="dxa"/>
            <w:right w:w="108" w:type="dxa"/>
          </w:tblCellMar>
        </w:tblPrEx>
        <w:trPr>
          <w:trHeight w:val="472" w:hRule="atLeast"/>
          <w:jc w:val="center"/>
        </w:trPr>
        <w:tc>
          <w:tcPr>
            <w:tcW w:w="8899" w:type="dxa"/>
            <w:gridSpan w:val="2"/>
            <w:tcBorders>
              <w:top w:val="nil"/>
              <w:left w:val="single" w:color="auto" w:sz="4" w:space="0"/>
              <w:bottom w:val="single" w:color="auto" w:sz="4" w:space="0"/>
              <w:right w:val="single" w:color="auto" w:sz="4" w:space="0"/>
            </w:tcBorders>
            <w:vAlign w:val="center"/>
          </w:tcPr>
          <w:p>
            <w:pPr>
              <w:ind w:firstLine="422"/>
              <w:jc w:val="center"/>
              <w:rPr>
                <w:color w:val="auto"/>
              </w:rPr>
            </w:pPr>
            <w:r>
              <w:rPr>
                <w:rFonts w:hint="eastAsia"/>
                <w:b/>
                <w:bCs/>
                <w:color w:val="auto"/>
              </w:rPr>
              <w:t>获取资料内容</w:t>
            </w:r>
          </w:p>
        </w:tc>
      </w:tr>
      <w:tr>
        <w:tblPrEx>
          <w:tblCellMar>
            <w:top w:w="0" w:type="dxa"/>
            <w:left w:w="108" w:type="dxa"/>
            <w:bottom w:w="0" w:type="dxa"/>
            <w:right w:w="108" w:type="dxa"/>
          </w:tblCellMar>
        </w:tblPrEx>
        <w:trPr>
          <w:trHeight w:val="803"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提供  是</w:t>
            </w:r>
            <w:r>
              <w:rPr>
                <w:rFonts w:hint="eastAsia" w:cs="仿宋"/>
                <w:color w:val="auto"/>
              </w:rPr>
              <w:t>☑</w:t>
            </w:r>
            <w:r>
              <w:rPr>
                <w:color w:val="auto"/>
              </w:rPr>
              <w:t xml:space="preserve">    </w:t>
            </w:r>
            <w:r>
              <w:rPr>
                <w:rFonts w:hint="eastAsia"/>
                <w:color w:val="auto"/>
              </w:rPr>
              <w:t>否</w:t>
            </w:r>
            <w:r>
              <w:rPr>
                <w:rFonts w:hint="eastAsia" w:cs="仿宋"/>
                <w:color w:val="auto"/>
              </w:rPr>
              <w:t>□</w:t>
            </w:r>
          </w:p>
        </w:tc>
        <w:tc>
          <w:tcPr>
            <w:tcW w:w="6289" w:type="dxa"/>
            <w:tcBorders>
              <w:top w:val="nil"/>
              <w:left w:val="nil"/>
              <w:bottom w:val="single" w:color="auto" w:sz="4" w:space="0"/>
              <w:right w:val="single" w:color="auto" w:sz="4" w:space="0"/>
            </w:tcBorders>
            <w:vAlign w:val="center"/>
          </w:tcPr>
          <w:p>
            <w:pPr>
              <w:ind w:firstLine="360"/>
              <w:rPr>
                <w:color w:val="auto"/>
              </w:rPr>
            </w:pPr>
            <w:r>
              <w:rPr>
                <w:rFonts w:hint="eastAsia" w:ascii="黑体" w:hAnsi="黑体" w:eastAsia="黑体" w:cs="黑体"/>
                <w:color w:val="auto"/>
                <w:sz w:val="18"/>
                <w:szCs w:val="18"/>
                <w14:textOutline w14:w="3263" w14:cap="flat" w14:cmpd="sng" w14:algn="ctr">
                  <w14:solidFill>
                    <w14:srgbClr w14:val="000000"/>
                  </w14:solidFill>
                  <w14:prstDash w14:val="solid"/>
                  <w14:miter w14:val="0"/>
                </w14:textOutline>
              </w:rPr>
              <w:t>云南省消防救援总队2023年“自然灾害应急能力提升工程”装备配备项目（车辆部分）第一批次招标文件</w:t>
            </w:r>
          </w:p>
        </w:tc>
      </w:tr>
      <w:tr>
        <w:tblPrEx>
          <w:tblCellMar>
            <w:top w:w="0" w:type="dxa"/>
            <w:left w:w="108" w:type="dxa"/>
            <w:bottom w:w="0" w:type="dxa"/>
            <w:right w:w="108" w:type="dxa"/>
          </w:tblCellMar>
        </w:tblPrEx>
        <w:trPr>
          <w:trHeight w:val="946" w:hRule="atLeast"/>
          <w:jc w:val="center"/>
        </w:trPr>
        <w:tc>
          <w:tcPr>
            <w:tcW w:w="2610" w:type="dxa"/>
            <w:tcBorders>
              <w:top w:val="nil"/>
              <w:left w:val="single" w:color="auto" w:sz="4" w:space="0"/>
              <w:bottom w:val="single" w:color="auto" w:sz="4" w:space="0"/>
              <w:right w:val="single" w:color="auto" w:sz="4" w:space="0"/>
            </w:tcBorders>
            <w:vAlign w:val="center"/>
          </w:tcPr>
          <w:p>
            <w:pPr>
              <w:jc w:val="center"/>
              <w:rPr>
                <w:color w:val="auto"/>
              </w:rPr>
            </w:pPr>
            <w:r>
              <w:rPr>
                <w:rFonts w:hint="eastAsia"/>
                <w:color w:val="auto"/>
              </w:rPr>
              <w:t>备注</w:t>
            </w:r>
          </w:p>
        </w:tc>
        <w:tc>
          <w:tcPr>
            <w:tcW w:w="6289" w:type="dxa"/>
            <w:tcBorders>
              <w:top w:val="nil"/>
              <w:left w:val="nil"/>
              <w:bottom w:val="single" w:color="auto" w:sz="4" w:space="0"/>
              <w:right w:val="single" w:color="auto" w:sz="4" w:space="0"/>
            </w:tcBorders>
            <w:vAlign w:val="center"/>
          </w:tcPr>
          <w:p>
            <w:pPr>
              <w:rPr>
                <w:color w:val="auto"/>
              </w:rPr>
            </w:pPr>
            <w:r>
              <w:rPr>
                <w:rFonts w:hint="eastAsia"/>
                <w:color w:val="auto"/>
              </w:rPr>
              <w:t>各投标人请根据招标公告中所列明的现场获取或邮件或邮寄方式获取招标文件的要求，按要求提供报名资料。</w:t>
            </w:r>
          </w:p>
        </w:tc>
      </w:tr>
    </w:tbl>
    <w:p>
      <w:pPr>
        <w:ind w:firstLine="560"/>
        <w:rPr>
          <w:rFonts w:ascii="方正小标宋_GBK" w:hAnsi="Times New Roman" w:eastAsia="方正小标宋_GBK" w:cs="Times New Roman"/>
          <w:color w:val="auto"/>
          <w:sz w:val="28"/>
          <w:szCs w:val="28"/>
        </w:rPr>
      </w:pPr>
      <w:r>
        <w:rPr>
          <w:rFonts w:hint="eastAsia" w:ascii="方正小标宋_GBK" w:hAnsi="Times New Roman" w:eastAsia="方正小标宋_GBK" w:cs="Times New Roman"/>
          <w:color w:val="auto"/>
          <w:sz w:val="28"/>
          <w:szCs w:val="28"/>
        </w:rPr>
        <w:br w:type="page"/>
      </w:r>
    </w:p>
    <w:p>
      <w:pPr>
        <w:widowControl w:val="0"/>
        <w:adjustRightInd/>
        <w:snapToGrid/>
        <w:spacing w:line="400" w:lineRule="exact"/>
        <w:ind w:firstLine="0" w:firstLineChars="0"/>
        <w:jc w:val="both"/>
        <w:rPr>
          <w:rFonts w:ascii="方正小标宋_GBK" w:hAnsi="Times New Roman" w:eastAsia="方正小标宋_GBK" w:cs="Times New Roman"/>
          <w:color w:val="auto"/>
          <w:sz w:val="28"/>
          <w:szCs w:val="28"/>
        </w:rPr>
      </w:pPr>
      <w:r>
        <w:rPr>
          <w:rFonts w:hint="eastAsia" w:ascii="方正小标宋_GBK" w:hAnsi="Times New Roman" w:eastAsia="方正小标宋_GBK" w:cs="Times New Roman"/>
          <w:color w:val="auto"/>
          <w:sz w:val="28"/>
          <w:szCs w:val="28"/>
        </w:rPr>
        <w:t>附件二</w:t>
      </w:r>
    </w:p>
    <w:p>
      <w:pPr>
        <w:widowControl w:val="0"/>
        <w:adjustRightInd/>
        <w:snapToGrid/>
        <w:spacing w:line="595" w:lineRule="exact"/>
        <w:ind w:firstLine="0" w:firstLineChars="0"/>
        <w:jc w:val="center"/>
        <w:rPr>
          <w:rFonts w:ascii="方正小标宋_GBK" w:hAnsi="Times New Roman" w:eastAsia="方正小标宋_GBK" w:cs="Times New Roman"/>
          <w:color w:val="auto"/>
          <w:sz w:val="32"/>
          <w:szCs w:val="32"/>
        </w:rPr>
      </w:pPr>
      <w:r>
        <w:rPr>
          <w:rFonts w:hint="eastAsia" w:ascii="方正小标宋_GBK" w:hAnsi="Times New Roman" w:eastAsia="方正小标宋_GBK" w:cs="Times New Roman"/>
          <w:color w:val="auto"/>
          <w:sz w:val="32"/>
          <w:szCs w:val="32"/>
        </w:rPr>
        <w:t>云南省消防救援总队政府采购</w:t>
      </w:r>
    </w:p>
    <w:p>
      <w:pPr>
        <w:widowControl w:val="0"/>
        <w:adjustRightInd/>
        <w:snapToGrid/>
        <w:spacing w:line="595" w:lineRule="exact"/>
        <w:ind w:firstLine="0" w:firstLineChars="0"/>
        <w:jc w:val="center"/>
        <w:rPr>
          <w:rFonts w:ascii="方正小标宋_GBK" w:hAnsi="Times New Roman" w:eastAsia="方正小标宋_GBK" w:cs="Times New Roman"/>
          <w:color w:val="auto"/>
          <w:sz w:val="32"/>
          <w:szCs w:val="32"/>
        </w:rPr>
      </w:pPr>
      <w:r>
        <w:rPr>
          <w:rFonts w:hint="eastAsia" w:ascii="方正小标宋_GBK" w:hAnsi="Times New Roman" w:eastAsia="方正小标宋_GBK" w:cs="Times New Roman"/>
          <w:color w:val="auto"/>
          <w:sz w:val="32"/>
          <w:szCs w:val="32"/>
        </w:rPr>
        <w:t>廉洁提示卡</w:t>
      </w:r>
    </w:p>
    <w:p>
      <w:pPr>
        <w:widowControl w:val="0"/>
        <w:adjustRightInd/>
        <w:snapToGrid/>
        <w:spacing w:line="595" w:lineRule="exact"/>
        <w:ind w:firstLine="0" w:firstLineChars="0"/>
        <w:rPr>
          <w:color w:val="auto"/>
        </w:rPr>
      </w:pPr>
      <w:r>
        <w:rPr>
          <w:rFonts w:hint="eastAsia"/>
          <w:color w:val="auto"/>
        </w:rPr>
        <w:t>1.不得与他人串通，泄露招标投标机密。</w:t>
      </w:r>
    </w:p>
    <w:p>
      <w:pPr>
        <w:widowControl w:val="0"/>
        <w:adjustRightInd/>
        <w:snapToGrid/>
        <w:spacing w:line="595" w:lineRule="exact"/>
        <w:ind w:firstLine="0" w:firstLineChars="0"/>
        <w:rPr>
          <w:color w:val="auto"/>
        </w:rPr>
      </w:pPr>
      <w:r>
        <w:rPr>
          <w:rFonts w:hint="eastAsia"/>
          <w:color w:val="auto"/>
        </w:rPr>
        <w:t>2.不得与采购人、供应商串通投标。</w:t>
      </w:r>
    </w:p>
    <w:p>
      <w:pPr>
        <w:widowControl w:val="0"/>
        <w:adjustRightInd/>
        <w:snapToGrid/>
        <w:spacing w:line="595" w:lineRule="exact"/>
        <w:ind w:firstLine="0" w:firstLineChars="0"/>
        <w:rPr>
          <w:color w:val="auto"/>
        </w:rPr>
      </w:pPr>
      <w:r>
        <w:rPr>
          <w:rFonts w:hint="eastAsia"/>
          <w:color w:val="auto"/>
        </w:rPr>
        <w:t>3.不得向评标专家支付合理报酬以外的费用，包括并不限于现金、购物卡、礼品、实物等，不得进行其他可能影响客观公正评审的活动。</w:t>
      </w:r>
    </w:p>
    <w:p>
      <w:pPr>
        <w:widowControl w:val="0"/>
        <w:adjustRightInd/>
        <w:snapToGrid/>
        <w:spacing w:line="595" w:lineRule="exact"/>
        <w:ind w:firstLine="0" w:firstLineChars="0"/>
        <w:rPr>
          <w:color w:val="auto"/>
        </w:rPr>
      </w:pPr>
      <w:r>
        <w:rPr>
          <w:rFonts w:hint="eastAsia"/>
          <w:color w:val="auto"/>
        </w:rPr>
        <w:t>4.不得向招标投标监督人员或机构请客、送礼及组织其它有可能影响客观公正监督的活动。</w:t>
      </w:r>
    </w:p>
    <w:p>
      <w:pPr>
        <w:widowControl w:val="0"/>
        <w:adjustRightInd/>
        <w:snapToGrid/>
        <w:spacing w:line="595" w:lineRule="exact"/>
        <w:ind w:firstLine="0" w:firstLineChars="0"/>
        <w:rPr>
          <w:color w:val="auto"/>
        </w:rPr>
      </w:pPr>
      <w:r>
        <w:rPr>
          <w:rFonts w:hint="eastAsia"/>
          <w:color w:val="auto"/>
        </w:rPr>
        <w:t>5.不得向采购人提供不正当利益，以谋求合作关系。</w:t>
      </w:r>
    </w:p>
    <w:p>
      <w:pPr>
        <w:widowControl w:val="0"/>
        <w:adjustRightInd/>
        <w:snapToGrid/>
        <w:spacing w:line="595" w:lineRule="exact"/>
        <w:ind w:firstLine="0" w:firstLineChars="0"/>
        <w:rPr>
          <w:color w:val="auto"/>
        </w:rPr>
      </w:pPr>
      <w:r>
        <w:rPr>
          <w:rFonts w:hint="eastAsia"/>
          <w:color w:val="auto"/>
        </w:rPr>
        <w:t>6.不得采取恶性竞争等不正当手段竞争业务。</w:t>
      </w:r>
    </w:p>
    <w:p>
      <w:pPr>
        <w:widowControl w:val="0"/>
        <w:adjustRightInd/>
        <w:snapToGrid/>
        <w:spacing w:line="595" w:lineRule="exact"/>
        <w:ind w:firstLine="0" w:firstLineChars="0"/>
        <w:rPr>
          <w:color w:val="auto"/>
        </w:rPr>
      </w:pPr>
      <w:r>
        <w:rPr>
          <w:rFonts w:hint="eastAsia"/>
          <w:color w:val="auto"/>
        </w:rPr>
        <w:t>7.禁止一切行贿行为。</w:t>
      </w:r>
    </w:p>
    <w:p>
      <w:pPr>
        <w:widowControl w:val="0"/>
        <w:adjustRightInd/>
        <w:snapToGrid/>
        <w:spacing w:line="595" w:lineRule="exact"/>
        <w:ind w:firstLine="0" w:firstLineChars="0"/>
        <w:rPr>
          <w:color w:val="auto"/>
        </w:rPr>
      </w:pPr>
      <w:r>
        <w:rPr>
          <w:rFonts w:hint="eastAsia"/>
          <w:color w:val="auto"/>
        </w:rPr>
        <w:t>8.禁止一切索贿、受贿等行为。</w:t>
      </w:r>
    </w:p>
    <w:p>
      <w:pPr>
        <w:widowControl w:val="0"/>
        <w:adjustRightInd/>
        <w:snapToGrid/>
        <w:spacing w:line="595" w:lineRule="exact"/>
        <w:ind w:firstLine="0" w:firstLineChars="0"/>
        <w:rPr>
          <w:color w:val="auto"/>
        </w:rPr>
      </w:pPr>
      <w:r>
        <w:rPr>
          <w:rFonts w:hint="eastAsia"/>
          <w:color w:val="auto"/>
        </w:rPr>
        <w:t>9.严格遵守国家、地方以及监管部门关于加强党风廉政建设的各项规定，杜绝违纪违法行为的发生。</w:t>
      </w:r>
    </w:p>
    <w:p>
      <w:pPr>
        <w:widowControl w:val="0"/>
        <w:adjustRightInd/>
        <w:snapToGrid/>
        <w:spacing w:line="595" w:lineRule="exact"/>
        <w:ind w:firstLine="0" w:firstLineChars="0"/>
        <w:rPr>
          <w:color w:val="auto"/>
        </w:rPr>
      </w:pPr>
      <w:r>
        <w:rPr>
          <w:rFonts w:hint="eastAsia"/>
          <w:color w:val="auto"/>
        </w:rPr>
        <w:t>10.发现违纪违规行为，可通过电话、信件或扫描下方二维码进行举报。</w:t>
      </w:r>
    </w:p>
    <w:p>
      <w:pPr>
        <w:widowControl w:val="0"/>
        <w:adjustRightInd/>
        <w:snapToGrid/>
        <w:spacing w:line="595" w:lineRule="exact"/>
        <w:ind w:firstLine="0" w:firstLineChars="0"/>
        <w:rPr>
          <w:color w:val="auto"/>
        </w:rPr>
      </w:pPr>
      <w:r>
        <w:rPr>
          <w:rFonts w:hint="eastAsia"/>
          <w:color w:val="auto"/>
        </w:rPr>
        <w:t>电话：0871-64569418</w:t>
      </w:r>
    </w:p>
    <w:p>
      <w:pPr>
        <w:adjustRightInd/>
        <w:snapToGrid/>
        <w:spacing w:line="440" w:lineRule="exact"/>
        <w:ind w:firstLine="0" w:firstLineChars="0"/>
        <w:rPr>
          <w:color w:val="auto"/>
        </w:rPr>
      </w:pPr>
      <w:r>
        <w:rPr>
          <w:rFonts w:hint="eastAsia"/>
          <w:color w:val="auto"/>
        </w:rPr>
        <w:drawing>
          <wp:anchor distT="0" distB="0" distL="0" distR="0" simplePos="0" relativeHeight="251661312" behindDoc="0" locked="0" layoutInCell="1" allowOverlap="1">
            <wp:simplePos x="0" y="0"/>
            <wp:positionH relativeFrom="column">
              <wp:posOffset>4175760</wp:posOffset>
            </wp:positionH>
            <wp:positionV relativeFrom="paragraph">
              <wp:posOffset>330835</wp:posOffset>
            </wp:positionV>
            <wp:extent cx="1238250" cy="1238250"/>
            <wp:effectExtent l="0" t="0" r="0" b="0"/>
            <wp:wrapSquare wrapText="bothSides"/>
            <wp:docPr id="1" name="图片 6"/>
            <wp:cNvGraphicFramePr/>
            <a:graphic xmlns:a="http://schemas.openxmlformats.org/drawingml/2006/main">
              <a:graphicData uri="http://schemas.openxmlformats.org/drawingml/2006/picture">
                <pic:pic xmlns:pic="http://schemas.openxmlformats.org/drawingml/2006/picture">
                  <pic:nvPicPr>
                    <pic:cNvPr id="1" name="图片 6"/>
                    <pic:cNvPicPr/>
                  </pic:nvPicPr>
                  <pic:blipFill>
                    <a:blip r:embed="rId16" cstate="print"/>
                    <a:srcRect/>
                    <a:stretch>
                      <a:fillRect/>
                    </a:stretch>
                  </pic:blipFill>
                  <pic:spPr>
                    <a:xfrm>
                      <a:off x="0" y="0"/>
                      <a:ext cx="1238250" cy="1238250"/>
                    </a:xfrm>
                    <a:prstGeom prst="rect">
                      <a:avLst/>
                    </a:prstGeom>
                    <a:ln w="12700">
                      <a:noFill/>
                    </a:ln>
                  </pic:spPr>
                </pic:pic>
              </a:graphicData>
            </a:graphic>
          </wp:anchor>
        </w:drawing>
      </w:r>
      <w:r>
        <w:rPr>
          <w:rFonts w:hint="eastAsia"/>
          <w:color w:val="auto"/>
        </w:rPr>
        <w:t>来信、来访地址：云南省昆明市官渡区珥季路龙马段云南省消防救援总队纪委</w:t>
      </w:r>
    </w:p>
    <w:p>
      <w:pPr>
        <w:adjustRightInd/>
        <w:snapToGrid/>
        <w:spacing w:line="440" w:lineRule="exact"/>
        <w:ind w:firstLine="0" w:firstLineChars="0"/>
        <w:rPr>
          <w:color w:val="auto"/>
        </w:rPr>
      </w:pPr>
      <w:r>
        <w:rPr>
          <w:rFonts w:hint="eastAsia"/>
          <w:color w:val="auto"/>
          <w:kern w:val="2"/>
        </w:rPr>
        <w:t>邮政编码：</w:t>
      </w:r>
      <w:r>
        <w:rPr>
          <w:rFonts w:hint="eastAsia"/>
          <w:color w:val="auto"/>
        </w:rPr>
        <w:t>650200</w:t>
      </w:r>
    </w:p>
    <w:p>
      <w:pPr>
        <w:widowControl w:val="0"/>
        <w:adjustRightInd/>
        <w:snapToGrid/>
        <w:spacing w:line="579" w:lineRule="exact"/>
        <w:ind w:firstLine="0" w:firstLineChars="0"/>
        <w:jc w:val="right"/>
        <w:rPr>
          <w:color w:val="auto"/>
        </w:rPr>
      </w:pPr>
    </w:p>
    <w:p>
      <w:pPr>
        <w:widowControl w:val="0"/>
        <w:adjustRightInd/>
        <w:snapToGrid/>
        <w:spacing w:line="579" w:lineRule="exact"/>
        <w:ind w:firstLine="0" w:firstLineChars="0"/>
        <w:jc w:val="right"/>
        <w:rPr>
          <w:color w:val="auto"/>
        </w:rPr>
      </w:pPr>
    </w:p>
    <w:p>
      <w:pPr>
        <w:widowControl w:val="0"/>
        <w:adjustRightInd/>
        <w:snapToGrid/>
        <w:spacing w:line="579" w:lineRule="exact"/>
        <w:ind w:firstLine="0" w:firstLineChars="0"/>
        <w:jc w:val="right"/>
        <w:rPr>
          <w:color w:val="auto"/>
        </w:rPr>
      </w:pPr>
    </w:p>
    <w:p>
      <w:pPr>
        <w:widowControl w:val="0"/>
        <w:adjustRightInd/>
        <w:snapToGrid/>
        <w:spacing w:line="579" w:lineRule="exact"/>
        <w:ind w:firstLine="0" w:firstLineChars="0"/>
        <w:jc w:val="right"/>
        <w:rPr>
          <w:color w:val="auto"/>
        </w:rPr>
      </w:pPr>
      <w:r>
        <w:rPr>
          <w:rFonts w:hint="eastAsia"/>
          <w:color w:val="auto"/>
        </w:rPr>
        <w:t>中共云南省消防救援总队纪律检查委员会</w:t>
      </w:r>
    </w:p>
    <w:p>
      <w:pPr>
        <w:widowControl w:val="0"/>
        <w:adjustRightInd/>
        <w:snapToGrid/>
        <w:spacing w:line="595" w:lineRule="exact"/>
        <w:ind w:firstLine="0" w:firstLineChars="0"/>
        <w:jc w:val="right"/>
        <w:rPr>
          <w:color w:val="auto"/>
        </w:rPr>
      </w:pPr>
      <w:r>
        <w:rPr>
          <w:rFonts w:hint="eastAsia"/>
          <w:color w:val="auto"/>
        </w:rPr>
        <w:t>2024年</w:t>
      </w:r>
      <w:r>
        <w:rPr>
          <w:rFonts w:hint="eastAsia"/>
          <w:color w:val="auto"/>
          <w:lang w:val="en-US" w:eastAsia="zh-CN"/>
        </w:rPr>
        <w:t xml:space="preserve"> </w:t>
      </w:r>
      <w:r>
        <w:rPr>
          <w:rFonts w:hint="eastAsia"/>
          <w:color w:val="auto"/>
        </w:rPr>
        <w:t>月</w:t>
      </w:r>
    </w:p>
    <w:p>
      <w:pPr>
        <w:widowControl w:val="0"/>
        <w:adjustRightInd/>
        <w:snapToGrid/>
        <w:spacing w:line="240" w:lineRule="auto"/>
        <w:ind w:firstLine="0" w:firstLineChars="0"/>
        <w:jc w:val="center"/>
        <w:rPr>
          <w:rFonts w:ascii="方正小标宋_GBK" w:hAnsi="Times New Roman" w:eastAsia="方正小标宋_GBK" w:cs="Times New Roman"/>
          <w:color w:val="auto"/>
          <w:sz w:val="36"/>
          <w:szCs w:val="36"/>
        </w:rPr>
      </w:pPr>
      <w:r>
        <w:rPr>
          <w:rFonts w:hint="eastAsia"/>
          <w:color w:val="auto"/>
          <w:sz w:val="32"/>
          <w:szCs w:val="28"/>
        </w:rPr>
        <w:br w:type="page"/>
      </w:r>
      <w:r>
        <w:rPr>
          <w:rFonts w:hint="eastAsia" w:ascii="方正小标宋_GBK" w:hAnsi="Times New Roman" w:eastAsia="方正小标宋_GBK" w:cs="Times New Roman"/>
          <w:color w:val="auto"/>
          <w:sz w:val="36"/>
          <w:szCs w:val="36"/>
        </w:rPr>
        <w:t>云南省消防救援总队政府采购</w:t>
      </w:r>
    </w:p>
    <w:p>
      <w:pPr>
        <w:widowControl w:val="0"/>
        <w:adjustRightInd/>
        <w:snapToGrid/>
        <w:spacing w:line="240" w:lineRule="auto"/>
        <w:ind w:firstLine="0" w:firstLineChars="0"/>
        <w:jc w:val="center"/>
        <w:rPr>
          <w:rFonts w:ascii="方正小标宋_GBK" w:hAnsi="Times New Roman" w:eastAsia="方正小标宋_GBK" w:cs="Times New Roman"/>
          <w:color w:val="auto"/>
          <w:sz w:val="36"/>
          <w:szCs w:val="36"/>
        </w:rPr>
      </w:pPr>
      <w:r>
        <w:rPr>
          <w:rFonts w:hint="eastAsia" w:ascii="方正小标宋_GBK" w:hAnsi="Times New Roman" w:eastAsia="方正小标宋_GBK" w:cs="Times New Roman"/>
          <w:color w:val="auto"/>
          <w:sz w:val="36"/>
          <w:szCs w:val="36"/>
        </w:rPr>
        <w:t>供应商廉洁守法承诺书</w:t>
      </w:r>
    </w:p>
    <w:p>
      <w:pPr>
        <w:widowControl w:val="0"/>
        <w:adjustRightInd/>
        <w:snapToGrid/>
        <w:spacing w:line="440" w:lineRule="exact"/>
        <w:jc w:val="both"/>
        <w:rPr>
          <w:rFonts w:ascii="Times New Roman" w:hAnsi="Times New Roman"/>
          <w:color w:val="auto"/>
        </w:rPr>
      </w:pPr>
      <w:r>
        <w:rPr>
          <w:rFonts w:hint="eastAsia" w:ascii="Times New Roman" w:hAnsi="Times New Roman"/>
          <w:color w:val="auto"/>
        </w:rPr>
        <w:t>为加强政府采购中的廉政建设，坚决维护国家利益和社会公共利益，确保采购活动的规范与廉洁，根据国家有关法律、法规和廉政建设责任制的规定，本公司作如下承诺：</w:t>
      </w:r>
    </w:p>
    <w:p>
      <w:pPr>
        <w:widowControl w:val="0"/>
        <w:adjustRightInd/>
        <w:snapToGrid/>
        <w:spacing w:line="440" w:lineRule="exact"/>
        <w:jc w:val="both"/>
        <w:rPr>
          <w:rFonts w:ascii="Times New Roman" w:hAnsi="Times New Roman"/>
          <w:color w:val="auto"/>
        </w:rPr>
      </w:pPr>
      <w:r>
        <w:rPr>
          <w:rFonts w:hint="eastAsia" w:ascii="Times New Roman" w:hAnsi="Times New Roman"/>
          <w:color w:val="auto"/>
        </w:rPr>
        <w:t>1.在业务往来中，严格遵守国家有关的法律法规和廉洁从业规定，坚持公平、公开、公正、诚实信用的原则，决不损害国家和采购单位利益。</w:t>
      </w:r>
    </w:p>
    <w:p>
      <w:pPr>
        <w:widowControl w:val="0"/>
        <w:adjustRightInd/>
        <w:snapToGrid/>
        <w:spacing w:line="440" w:lineRule="exact"/>
        <w:jc w:val="both"/>
        <w:rPr>
          <w:rFonts w:ascii="Times New Roman" w:hAnsi="Times New Roman"/>
          <w:color w:val="auto"/>
        </w:rPr>
      </w:pPr>
      <w:r>
        <w:rPr>
          <w:rFonts w:hint="eastAsia" w:ascii="Times New Roman" w:hAnsi="Times New Roman"/>
          <w:color w:val="auto"/>
        </w:rPr>
        <w:t>2.本公司（含公司工作人员，下同）决不向贵单位工作人员（含工作人员的配偶、子女及亲属，下同）馈赠礼品（包括但不限于现金、有价证券、支付凭证及贵重物品等）。</w:t>
      </w:r>
    </w:p>
    <w:p>
      <w:pPr>
        <w:widowControl w:val="0"/>
        <w:adjustRightInd/>
        <w:snapToGrid/>
        <w:spacing w:line="440" w:lineRule="exact"/>
        <w:jc w:val="both"/>
        <w:rPr>
          <w:rFonts w:ascii="Times New Roman" w:hAnsi="Times New Roman"/>
          <w:color w:val="auto"/>
        </w:rPr>
      </w:pPr>
      <w:r>
        <w:rPr>
          <w:rFonts w:hint="eastAsia" w:ascii="Times New Roman" w:hAnsi="Times New Roman"/>
          <w:color w:val="auto"/>
        </w:rPr>
        <w:t>3.本公司决不向贵单位工作人员提供宴请、联谊活动、度假、旅游，以及到营业性娱乐场所（包括但不限于营业性的歌厅、舞厅、卡拉</w:t>
      </w:r>
      <w:r>
        <w:rPr>
          <w:rFonts w:ascii="Times New Roman" w:hAnsi="Times New Roman"/>
          <w:color w:val="auto"/>
        </w:rPr>
        <w:t>OK厅、夜总会、桑拿、按摩和高尔夫球等）消费。</w:t>
      </w:r>
    </w:p>
    <w:p>
      <w:pPr>
        <w:widowControl w:val="0"/>
        <w:adjustRightInd/>
        <w:snapToGrid/>
        <w:spacing w:line="440" w:lineRule="exact"/>
        <w:jc w:val="both"/>
        <w:rPr>
          <w:rFonts w:ascii="Times New Roman" w:hAnsi="Times New Roman"/>
          <w:color w:val="auto"/>
        </w:rPr>
      </w:pPr>
      <w:r>
        <w:rPr>
          <w:rFonts w:hint="eastAsia" w:ascii="Times New Roman" w:hAnsi="Times New Roman"/>
          <w:color w:val="auto"/>
        </w:rPr>
        <w:t>4.本公司决不为贵单位工作人员安排工作，以及支付应由其个人自付的各种费用（包括但不限于住宅装修、婚丧嫁娶、旅游、度假、食宿、购物、学费、子女出国留学等）。</w:t>
      </w:r>
    </w:p>
    <w:p>
      <w:pPr>
        <w:widowControl w:val="0"/>
        <w:adjustRightInd/>
        <w:snapToGrid/>
        <w:spacing w:line="440" w:lineRule="exact"/>
        <w:jc w:val="both"/>
        <w:rPr>
          <w:rFonts w:ascii="Times New Roman" w:hAnsi="Times New Roman"/>
          <w:color w:val="auto"/>
        </w:rPr>
      </w:pPr>
      <w:r>
        <w:rPr>
          <w:rFonts w:hint="eastAsia" w:ascii="Times New Roman" w:hAnsi="Times New Roman"/>
          <w:color w:val="auto"/>
        </w:rPr>
        <w:t>5.本公司发现贵单位工作人员有违反本承诺书行为倾向的，应及时提醒纠正并向贵公司的监督管理部门举报。</w:t>
      </w:r>
    </w:p>
    <w:p>
      <w:pPr>
        <w:widowControl w:val="0"/>
        <w:adjustRightInd/>
        <w:snapToGrid/>
        <w:spacing w:line="440" w:lineRule="exact"/>
        <w:jc w:val="both"/>
        <w:rPr>
          <w:rFonts w:ascii="Times New Roman" w:hAnsi="Times New Roman"/>
          <w:color w:val="auto"/>
        </w:rPr>
      </w:pPr>
      <w:r>
        <w:rPr>
          <w:rFonts w:hint="eastAsia" w:ascii="Times New Roman" w:hAnsi="Times New Roman"/>
          <w:color w:val="auto"/>
        </w:rPr>
        <w:t>6.如发现本公司违反承诺，经贵单位监督部门认定违规事实后，按照下列规定进行处罚。</w:t>
      </w:r>
    </w:p>
    <w:p>
      <w:pPr>
        <w:widowControl w:val="0"/>
        <w:adjustRightInd/>
        <w:snapToGrid/>
        <w:spacing w:line="440" w:lineRule="exact"/>
        <w:ind w:firstLine="0" w:firstLineChars="0"/>
        <w:jc w:val="both"/>
        <w:rPr>
          <w:rFonts w:ascii="Times New Roman" w:hAnsi="Times New Roman"/>
          <w:color w:val="auto"/>
        </w:rPr>
      </w:pPr>
      <w:r>
        <w:rPr>
          <w:rFonts w:hint="eastAsia" w:ascii="Times New Roman" w:hAnsi="Times New Roman"/>
          <w:color w:val="auto"/>
        </w:rPr>
        <w:t>（一）本公司的行为致使贵单位工作人员违规的，同意将本公司列入贵公司供应商黑名单，三年丧失贵单位供应商资格。</w:t>
      </w:r>
    </w:p>
    <w:p>
      <w:pPr>
        <w:widowControl w:val="0"/>
        <w:adjustRightInd/>
        <w:snapToGrid/>
        <w:spacing w:line="440" w:lineRule="exact"/>
        <w:ind w:firstLine="0" w:firstLineChars="0"/>
        <w:jc w:val="both"/>
        <w:rPr>
          <w:rFonts w:ascii="Times New Roman" w:hAnsi="Times New Roman"/>
          <w:color w:val="auto"/>
        </w:rPr>
      </w:pPr>
      <w:r>
        <w:rPr>
          <w:rFonts w:hint="eastAsia" w:ascii="Times New Roman" w:hAnsi="Times New Roman"/>
          <w:color w:val="auto"/>
        </w:rPr>
        <w:t>（二）本公司的行为致使贵单位工作人员违法的，同意永远丧失贵单位供应商资格。</w:t>
      </w:r>
    </w:p>
    <w:p>
      <w:pPr>
        <w:widowControl w:val="0"/>
        <w:adjustRightInd/>
        <w:snapToGrid/>
        <w:spacing w:line="440" w:lineRule="exact"/>
        <w:ind w:firstLine="0" w:firstLineChars="0"/>
        <w:jc w:val="both"/>
        <w:rPr>
          <w:rFonts w:ascii="Times New Roman" w:hAnsi="Times New Roman"/>
          <w:color w:val="auto"/>
        </w:rPr>
      </w:pPr>
    </w:p>
    <w:p>
      <w:pPr>
        <w:widowControl w:val="0"/>
        <w:adjustRightInd/>
        <w:snapToGrid/>
        <w:spacing w:line="440" w:lineRule="exact"/>
        <w:ind w:firstLine="0" w:firstLineChars="0"/>
        <w:jc w:val="both"/>
        <w:rPr>
          <w:rFonts w:ascii="Times New Roman" w:hAnsi="Times New Roman"/>
          <w:color w:val="auto"/>
        </w:rPr>
      </w:pPr>
      <w:r>
        <w:rPr>
          <w:rFonts w:hint="eastAsia" w:ascii="Times New Roman" w:hAnsi="Times New Roman"/>
          <w:color w:val="auto"/>
        </w:rPr>
        <w:t>此致</w:t>
      </w:r>
    </w:p>
    <w:p>
      <w:pPr>
        <w:widowControl w:val="0"/>
        <w:adjustRightInd/>
        <w:snapToGrid/>
        <w:spacing w:line="440" w:lineRule="exact"/>
        <w:ind w:firstLine="0" w:firstLineChars="0"/>
        <w:jc w:val="both"/>
        <w:rPr>
          <w:rFonts w:ascii="Times New Roman" w:hAnsi="Times New Roman"/>
          <w:color w:val="auto"/>
        </w:rPr>
      </w:pPr>
    </w:p>
    <w:p>
      <w:pPr>
        <w:widowControl w:val="0"/>
        <w:adjustRightInd/>
        <w:snapToGrid/>
        <w:spacing w:line="440" w:lineRule="exact"/>
        <w:ind w:firstLine="0" w:firstLineChars="0"/>
        <w:jc w:val="both"/>
        <w:rPr>
          <w:rFonts w:ascii="Times New Roman" w:hAnsi="Times New Roman"/>
          <w:color w:val="auto"/>
        </w:rPr>
      </w:pPr>
      <w:r>
        <w:rPr>
          <w:rFonts w:hint="eastAsia" w:ascii="Times New Roman" w:hAnsi="Times New Roman"/>
          <w:color w:val="auto"/>
        </w:rPr>
        <w:t>承诺方（盖公章）：</w:t>
      </w:r>
    </w:p>
    <w:p>
      <w:pPr>
        <w:widowControl w:val="0"/>
        <w:autoSpaceDE w:val="0"/>
        <w:autoSpaceDN w:val="0"/>
        <w:spacing w:line="440" w:lineRule="exact"/>
        <w:ind w:firstLine="480"/>
        <w:rPr>
          <w:rFonts w:ascii="Times New Roman" w:hAnsi="Times New Roman"/>
          <w:color w:val="auto"/>
          <w:sz w:val="24"/>
          <w:szCs w:val="24"/>
        </w:rPr>
      </w:pPr>
    </w:p>
    <w:p>
      <w:pPr>
        <w:widowControl w:val="0"/>
        <w:adjustRightInd/>
        <w:snapToGrid/>
        <w:spacing w:line="440" w:lineRule="exact"/>
        <w:ind w:firstLine="0" w:firstLineChars="0"/>
        <w:jc w:val="both"/>
        <w:rPr>
          <w:rFonts w:ascii="Times New Roman" w:hAnsi="Times New Roman"/>
          <w:color w:val="auto"/>
        </w:rPr>
      </w:pPr>
      <w:r>
        <w:rPr>
          <w:rFonts w:hint="eastAsia" w:ascii="Times New Roman" w:hAnsi="Times New Roman"/>
          <w:color w:val="auto"/>
        </w:rPr>
        <w:t>承诺方法人代表（或委托人）：</w:t>
      </w:r>
    </w:p>
    <w:p>
      <w:pPr>
        <w:widowControl w:val="0"/>
        <w:adjustRightInd/>
        <w:snapToGrid/>
        <w:spacing w:line="440" w:lineRule="exact"/>
        <w:ind w:firstLine="0" w:firstLineChars="0"/>
        <w:jc w:val="right"/>
        <w:rPr>
          <w:rFonts w:ascii="Times New Roman" w:hAnsi="Times New Roman"/>
          <w:color w:val="auto"/>
        </w:rPr>
      </w:pPr>
      <w:r>
        <w:rPr>
          <w:rFonts w:hint="eastAsia" w:ascii="Times New Roman" w:hAnsi="Times New Roman"/>
          <w:color w:val="auto"/>
        </w:rPr>
        <w:t>2024年  月  日</w:t>
      </w:r>
    </w:p>
    <w:p>
      <w:pPr>
        <w:pStyle w:val="25"/>
        <w:rPr>
          <w:color w:val="auto"/>
        </w:rPr>
      </w:pPr>
      <w:r>
        <w:rPr>
          <w:rFonts w:hint="eastAsia" w:ascii="宋体" w:hAnsi="宋体"/>
          <w:color w:val="auto"/>
          <w:szCs w:val="32"/>
        </w:rPr>
        <w:br w:type="page"/>
      </w:r>
    </w:p>
    <w:p>
      <w:pPr>
        <w:pStyle w:val="2"/>
        <w:rPr>
          <w:color w:val="auto"/>
        </w:rPr>
      </w:pPr>
      <w:bookmarkStart w:id="7" w:name="_Toc19159"/>
      <w:r>
        <w:rPr>
          <w:rFonts w:hint="eastAsia"/>
          <w:color w:val="auto"/>
        </w:rPr>
        <w:t>第二章 投标人须知</w:t>
      </w:r>
      <w:bookmarkEnd w:id="7"/>
    </w:p>
    <w:p>
      <w:pPr>
        <w:pStyle w:val="3"/>
        <w:spacing w:line="240" w:lineRule="auto"/>
        <w:ind w:firstLine="482"/>
        <w:jc w:val="center"/>
        <w:rPr>
          <w:color w:val="auto"/>
        </w:rPr>
      </w:pPr>
      <w:bookmarkStart w:id="8" w:name="_Toc12554"/>
      <w:r>
        <w:rPr>
          <w:rFonts w:hint="eastAsia"/>
          <w:color w:val="auto"/>
        </w:rPr>
        <w:t>投标人须知前附表</w:t>
      </w:r>
      <w:bookmarkEnd w:id="8"/>
    </w:p>
    <w:tbl>
      <w:tblPr>
        <w:tblStyle w:val="36"/>
        <w:tblW w:w="1018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5"/>
        <w:gridCol w:w="786"/>
        <w:gridCol w:w="1465"/>
        <w:gridCol w:w="76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1121" w:type="dxa"/>
            <w:gridSpan w:val="2"/>
            <w:tcMar>
              <w:top w:w="57" w:type="dxa"/>
              <w:left w:w="57" w:type="dxa"/>
              <w:bottom w:w="57" w:type="dxa"/>
              <w:right w:w="57" w:type="dxa"/>
            </w:tcMar>
            <w:vAlign w:val="center"/>
          </w:tcPr>
          <w:p>
            <w:pPr>
              <w:kinsoku w:val="0"/>
              <w:autoSpaceDE w:val="0"/>
              <w:autoSpaceDN w:val="0"/>
              <w:spacing w:line="240" w:lineRule="auto"/>
              <w:ind w:firstLine="0" w:firstLineChars="0"/>
              <w:jc w:val="center"/>
              <w:rPr>
                <w:color w:val="auto"/>
              </w:rPr>
            </w:pPr>
            <w:r>
              <w:rPr>
                <w:rFonts w:hint="eastAsia"/>
                <w:b/>
                <w:bCs/>
                <w:color w:val="auto"/>
              </w:rPr>
              <w:t>条款号</w:t>
            </w:r>
          </w:p>
        </w:tc>
        <w:tc>
          <w:tcPr>
            <w:tcW w:w="1465" w:type="dxa"/>
            <w:tcMar>
              <w:top w:w="57" w:type="dxa"/>
              <w:left w:w="57" w:type="dxa"/>
              <w:bottom w:w="57" w:type="dxa"/>
              <w:right w:w="57" w:type="dxa"/>
            </w:tcMar>
            <w:vAlign w:val="center"/>
          </w:tcPr>
          <w:p>
            <w:pPr>
              <w:kinsoku w:val="0"/>
              <w:autoSpaceDE w:val="0"/>
              <w:autoSpaceDN w:val="0"/>
              <w:spacing w:line="240" w:lineRule="auto"/>
              <w:ind w:firstLine="0" w:firstLineChars="0"/>
              <w:jc w:val="center"/>
              <w:rPr>
                <w:b/>
                <w:bCs/>
                <w:color w:val="auto"/>
              </w:rPr>
            </w:pPr>
            <w:r>
              <w:rPr>
                <w:rFonts w:hint="eastAsia"/>
                <w:b/>
                <w:bCs/>
                <w:color w:val="auto"/>
              </w:rPr>
              <w:t>条款名称</w:t>
            </w:r>
          </w:p>
        </w:tc>
        <w:tc>
          <w:tcPr>
            <w:tcW w:w="7600" w:type="dxa"/>
            <w:tcMar>
              <w:top w:w="57" w:type="dxa"/>
              <w:left w:w="57" w:type="dxa"/>
              <w:bottom w:w="57" w:type="dxa"/>
              <w:right w:w="57" w:type="dxa"/>
            </w:tcMar>
            <w:vAlign w:val="center"/>
          </w:tcPr>
          <w:p>
            <w:pPr>
              <w:kinsoku w:val="0"/>
              <w:autoSpaceDE w:val="0"/>
              <w:autoSpaceDN w:val="0"/>
              <w:spacing w:line="240" w:lineRule="auto"/>
              <w:ind w:firstLine="0" w:firstLineChars="0"/>
              <w:jc w:val="center"/>
              <w:rPr>
                <w:b/>
                <w:bCs/>
                <w:color w:val="auto"/>
              </w:rPr>
            </w:pPr>
            <w:r>
              <w:rPr>
                <w:rFonts w:hint="eastAsia"/>
                <w:b/>
                <w:bCs/>
                <w:color w:val="auto"/>
              </w:rPr>
              <w:t>编列内容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jc w:val="center"/>
        </w:trPr>
        <w:tc>
          <w:tcPr>
            <w:tcW w:w="1121" w:type="dxa"/>
            <w:gridSpan w:val="2"/>
            <w:vMerge w:val="restart"/>
            <w:tcBorders>
              <w:bottom w:val="nil"/>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1.1</w:t>
            </w: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招标人</w:t>
            </w:r>
          </w:p>
        </w:tc>
        <w:tc>
          <w:tcPr>
            <w:tcW w:w="7600" w:type="dxa"/>
            <w:tcMar>
              <w:top w:w="57" w:type="dxa"/>
              <w:left w:w="57" w:type="dxa"/>
              <w:bottom w:w="57" w:type="dxa"/>
              <w:right w:w="57" w:type="dxa"/>
            </w:tcMar>
            <w:vAlign w:val="center"/>
          </w:tcPr>
          <w:p>
            <w:pPr>
              <w:kinsoku w:val="0"/>
              <w:autoSpaceDE w:val="0"/>
              <w:autoSpaceDN w:val="0"/>
              <w:spacing w:line="240" w:lineRule="auto"/>
              <w:ind w:firstLine="0" w:firstLineChars="0"/>
              <w:rPr>
                <w:color w:val="auto"/>
              </w:rPr>
            </w:pPr>
            <w:r>
              <w:rPr>
                <w:rFonts w:hint="eastAsia"/>
                <w:color w:val="auto"/>
              </w:rPr>
              <w:t>云南省消防救援总队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jc w:val="center"/>
        </w:trPr>
        <w:tc>
          <w:tcPr>
            <w:tcW w:w="1121" w:type="dxa"/>
            <w:gridSpan w:val="2"/>
            <w:vMerge w:val="continue"/>
            <w:tcBorders>
              <w:top w:val="nil"/>
              <w:bottom w:val="nil"/>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招标代理机构</w:t>
            </w:r>
          </w:p>
        </w:tc>
        <w:tc>
          <w:tcPr>
            <w:tcW w:w="7600" w:type="dxa"/>
            <w:tcMar>
              <w:top w:w="57" w:type="dxa"/>
              <w:left w:w="57" w:type="dxa"/>
              <w:bottom w:w="57" w:type="dxa"/>
              <w:right w:w="57" w:type="dxa"/>
            </w:tcMar>
            <w:vAlign w:val="center"/>
          </w:tcPr>
          <w:p>
            <w:pPr>
              <w:kinsoku w:val="0"/>
              <w:autoSpaceDE w:val="0"/>
              <w:autoSpaceDN w:val="0"/>
              <w:spacing w:line="240" w:lineRule="auto"/>
              <w:ind w:firstLine="0" w:firstLineChars="0"/>
              <w:rPr>
                <w:color w:val="auto"/>
              </w:rPr>
            </w:pPr>
            <w:r>
              <w:rPr>
                <w:rFonts w:hint="eastAsia"/>
                <w:color w:val="auto"/>
              </w:rPr>
              <w:t>中招国际招标有限公司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jc w:val="center"/>
        </w:trPr>
        <w:tc>
          <w:tcPr>
            <w:tcW w:w="1121" w:type="dxa"/>
            <w:gridSpan w:val="2"/>
            <w:vMerge w:val="continue"/>
            <w:tcBorders>
              <w:top w:val="nil"/>
              <w:bottom w:val="nil"/>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项目名称</w:t>
            </w:r>
          </w:p>
        </w:tc>
        <w:tc>
          <w:tcPr>
            <w:tcW w:w="7600" w:type="dxa"/>
            <w:tcMar>
              <w:top w:w="57" w:type="dxa"/>
              <w:left w:w="57" w:type="dxa"/>
              <w:bottom w:w="57" w:type="dxa"/>
              <w:right w:w="57" w:type="dxa"/>
            </w:tcMar>
            <w:vAlign w:val="center"/>
          </w:tcPr>
          <w:p>
            <w:pPr>
              <w:kinsoku w:val="0"/>
              <w:autoSpaceDE w:val="0"/>
              <w:autoSpaceDN w:val="0"/>
              <w:spacing w:line="240" w:lineRule="auto"/>
              <w:ind w:firstLine="0" w:firstLineChars="0"/>
              <w:rPr>
                <w:color w:val="auto"/>
              </w:rPr>
            </w:pPr>
            <w:r>
              <w:rPr>
                <w:rFonts w:hint="eastAsia"/>
                <w:color w:val="auto"/>
              </w:rPr>
              <w:t>云南省消防救援总队2023年“自然灾害应急能力提升工程”装备配备项目（车辆部分）第一批次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1121" w:type="dxa"/>
            <w:gridSpan w:val="2"/>
            <w:vMerge w:val="continue"/>
            <w:tcBorders>
              <w:top w:val="nil"/>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项目编号</w:t>
            </w:r>
          </w:p>
        </w:tc>
        <w:tc>
          <w:tcPr>
            <w:tcW w:w="7600" w:type="dxa"/>
            <w:tcMar>
              <w:top w:w="57" w:type="dxa"/>
              <w:left w:w="57" w:type="dxa"/>
              <w:bottom w:w="57" w:type="dxa"/>
              <w:right w:w="57" w:type="dxa"/>
            </w:tcMar>
            <w:vAlign w:val="center"/>
          </w:tcPr>
          <w:p>
            <w:pPr>
              <w:kinsoku w:val="0"/>
              <w:autoSpaceDE w:val="0"/>
              <w:autoSpaceDN w:val="0"/>
              <w:spacing w:line="240" w:lineRule="auto"/>
              <w:ind w:firstLine="0" w:firstLineChars="0"/>
              <w:rPr>
                <w:color w:val="auto"/>
              </w:rPr>
            </w:pPr>
            <w:r>
              <w:rPr>
                <w:rFonts w:hint="eastAsia"/>
                <w:color w:val="auto"/>
              </w:rPr>
              <w:t>YNSXFJYZD2023NZRZHYJNLTSGCZBPBXM（CLBF）DYPC</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1121" w:type="dxa"/>
            <w:gridSpan w:val="2"/>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2</w:t>
            </w: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资金来源</w:t>
            </w:r>
          </w:p>
        </w:tc>
        <w:tc>
          <w:tcPr>
            <w:tcW w:w="7600" w:type="dxa"/>
            <w:tcMar>
              <w:top w:w="57" w:type="dxa"/>
              <w:left w:w="57" w:type="dxa"/>
              <w:bottom w:w="57" w:type="dxa"/>
              <w:right w:w="57" w:type="dxa"/>
            </w:tcMar>
            <w:vAlign w:val="center"/>
          </w:tcPr>
          <w:p>
            <w:pPr>
              <w:kinsoku w:val="0"/>
              <w:autoSpaceDE w:val="0"/>
              <w:autoSpaceDN w:val="0"/>
              <w:spacing w:line="240" w:lineRule="auto"/>
              <w:ind w:firstLine="0" w:firstLineChars="0"/>
              <w:rPr>
                <w:color w:val="auto"/>
              </w:rPr>
            </w:pPr>
            <w:r>
              <w:rPr>
                <w:rFonts w:hint="eastAsia"/>
                <w:color w:val="auto"/>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jc w:val="center"/>
        </w:trPr>
        <w:tc>
          <w:tcPr>
            <w:tcW w:w="1121" w:type="dxa"/>
            <w:gridSpan w:val="2"/>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3.1</w:t>
            </w: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招标内容</w:t>
            </w:r>
          </w:p>
        </w:tc>
        <w:tc>
          <w:tcPr>
            <w:tcW w:w="7600" w:type="dxa"/>
            <w:tcMar>
              <w:top w:w="57" w:type="dxa"/>
              <w:left w:w="57" w:type="dxa"/>
              <w:bottom w:w="57" w:type="dxa"/>
              <w:right w:w="57" w:type="dxa"/>
            </w:tcMar>
            <w:vAlign w:val="center"/>
          </w:tcPr>
          <w:p>
            <w:pPr>
              <w:kinsoku w:val="0"/>
              <w:autoSpaceDE w:val="0"/>
              <w:autoSpaceDN w:val="0"/>
              <w:spacing w:line="240" w:lineRule="auto"/>
              <w:ind w:firstLine="0" w:firstLineChars="0"/>
              <w:rPr>
                <w:color w:val="auto"/>
              </w:rPr>
            </w:pPr>
            <w:r>
              <w:rPr>
                <w:rFonts w:hint="eastAsia"/>
                <w:color w:val="auto"/>
              </w:rPr>
              <w:t>详见“第五章 技术要求”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 w:hRule="atLeast"/>
          <w:jc w:val="center"/>
        </w:trPr>
        <w:tc>
          <w:tcPr>
            <w:tcW w:w="1121" w:type="dxa"/>
            <w:gridSpan w:val="2"/>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3.2</w:t>
            </w: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交货期、质量要求</w:t>
            </w:r>
          </w:p>
        </w:tc>
        <w:tc>
          <w:tcPr>
            <w:tcW w:w="7600" w:type="dxa"/>
            <w:tcMar>
              <w:top w:w="57" w:type="dxa"/>
              <w:left w:w="57" w:type="dxa"/>
              <w:bottom w:w="57" w:type="dxa"/>
              <w:right w:w="57" w:type="dxa"/>
            </w:tcMar>
            <w:vAlign w:val="center"/>
          </w:tcPr>
          <w:p>
            <w:pPr>
              <w:kinsoku w:val="0"/>
              <w:autoSpaceDE w:val="0"/>
              <w:autoSpaceDN w:val="0"/>
              <w:spacing w:line="240" w:lineRule="auto"/>
              <w:ind w:firstLine="0" w:firstLineChars="0"/>
              <w:rPr>
                <w:color w:val="auto"/>
              </w:rPr>
            </w:pPr>
            <w:r>
              <w:rPr>
                <w:rFonts w:hint="eastAsia"/>
                <w:color w:val="auto"/>
              </w:rPr>
              <w:t>详见“第一章 招标公告”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jc w:val="center"/>
        </w:trPr>
        <w:tc>
          <w:tcPr>
            <w:tcW w:w="335" w:type="dxa"/>
            <w:vMerge w:val="restart"/>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4</w:t>
            </w:r>
          </w:p>
        </w:tc>
        <w:tc>
          <w:tcPr>
            <w:tcW w:w="786"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4.1.2</w:t>
            </w: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良好的商业信誉和健全的财务会计制度</w:t>
            </w:r>
          </w:p>
        </w:tc>
        <w:tc>
          <w:tcPr>
            <w:tcW w:w="7600" w:type="dxa"/>
            <w:tcMar>
              <w:top w:w="57" w:type="dxa"/>
              <w:left w:w="57" w:type="dxa"/>
              <w:bottom w:w="57" w:type="dxa"/>
              <w:right w:w="57" w:type="dxa"/>
            </w:tcMar>
            <w:vAlign w:val="center"/>
          </w:tcPr>
          <w:p>
            <w:pPr>
              <w:numPr>
                <w:ilvl w:val="0"/>
                <w:numId w:val="3"/>
              </w:numPr>
              <w:kinsoku w:val="0"/>
              <w:autoSpaceDE w:val="0"/>
              <w:autoSpaceDN w:val="0"/>
              <w:spacing w:line="240" w:lineRule="auto"/>
              <w:ind w:firstLine="0" w:firstLineChars="0"/>
              <w:rPr>
                <w:color w:val="auto"/>
              </w:rPr>
            </w:pPr>
            <w:r>
              <w:rPr>
                <w:rFonts w:hint="eastAsia"/>
                <w:color w:val="auto"/>
              </w:rPr>
              <w:t>提供2021年度-2023年度任意一年经审计的财务会计报表，包括财务审计报告、资产负债表、利润表、现金流量表；</w:t>
            </w:r>
          </w:p>
          <w:p>
            <w:pPr>
              <w:numPr>
                <w:ilvl w:val="0"/>
                <w:numId w:val="3"/>
              </w:numPr>
              <w:kinsoku w:val="0"/>
              <w:autoSpaceDE w:val="0"/>
              <w:autoSpaceDN w:val="0"/>
              <w:spacing w:line="240" w:lineRule="auto"/>
              <w:ind w:firstLine="0" w:firstLineChars="0"/>
              <w:rPr>
                <w:color w:val="auto"/>
              </w:rPr>
            </w:pPr>
            <w:r>
              <w:rPr>
                <w:rFonts w:hint="eastAsia"/>
                <w:color w:val="auto"/>
              </w:rPr>
              <w:t>对于从取得营业执照时间起到递交投标文件截止时间为止不足1年的投标人，提供自投标文件提交截止时间前三个月内开户银行出具的资信证明。</w:t>
            </w:r>
          </w:p>
          <w:p>
            <w:pPr>
              <w:kinsoku w:val="0"/>
              <w:autoSpaceDE w:val="0"/>
              <w:autoSpaceDN w:val="0"/>
              <w:spacing w:line="240" w:lineRule="auto"/>
              <w:ind w:firstLine="0" w:firstLineChars="0"/>
              <w:rPr>
                <w:color w:val="auto"/>
              </w:rPr>
            </w:pPr>
            <w:r>
              <w:rPr>
                <w:rFonts w:hint="eastAsia"/>
                <w:color w:val="auto"/>
              </w:rPr>
              <w:t>（3）财政部门认可的政府采购专业担保机构出具的关于财务状况的投标担保函（需同时提供专业担保机构经财政部门认可的证明文件）。</w:t>
            </w:r>
          </w:p>
          <w:p>
            <w:pPr>
              <w:kinsoku w:val="0"/>
              <w:autoSpaceDE w:val="0"/>
              <w:autoSpaceDN w:val="0"/>
              <w:spacing w:line="240" w:lineRule="auto"/>
              <w:ind w:firstLine="0" w:firstLineChars="0"/>
              <w:rPr>
                <w:color w:val="auto"/>
              </w:rPr>
            </w:pPr>
            <w:r>
              <w:rPr>
                <w:rFonts w:hint="eastAsia"/>
                <w:b/>
                <w:bCs/>
                <w:color w:val="auto"/>
              </w:rPr>
              <w:t>备注：投标人可根据自身情况提供上述任意一种证明材料。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35" w:type="dxa"/>
            <w:vMerge w:val="continue"/>
            <w:tcMar>
              <w:top w:w="57" w:type="dxa"/>
              <w:left w:w="57" w:type="dxa"/>
              <w:bottom w:w="57" w:type="dxa"/>
              <w:right w:w="57" w:type="dxa"/>
            </w:tcMar>
            <w:vAlign w:val="center"/>
          </w:tcPr>
          <w:p>
            <w:pPr>
              <w:keepLines/>
              <w:kinsoku w:val="0"/>
              <w:spacing w:line="240" w:lineRule="auto"/>
              <w:ind w:firstLine="0" w:firstLineChars="0"/>
              <w:jc w:val="center"/>
              <w:rPr>
                <w:color w:val="auto"/>
              </w:rPr>
            </w:pPr>
          </w:p>
        </w:tc>
        <w:tc>
          <w:tcPr>
            <w:tcW w:w="786"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4.1.3</w:t>
            </w: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缴纳税收</w:t>
            </w:r>
          </w:p>
        </w:tc>
        <w:tc>
          <w:tcPr>
            <w:tcW w:w="7600" w:type="dxa"/>
            <w:tcMar>
              <w:top w:w="57" w:type="dxa"/>
              <w:left w:w="57" w:type="dxa"/>
              <w:bottom w:w="57" w:type="dxa"/>
              <w:right w:w="57" w:type="dxa"/>
            </w:tcMar>
            <w:vAlign w:val="center"/>
          </w:tcPr>
          <w:p>
            <w:pPr>
              <w:kinsoku w:val="0"/>
              <w:autoSpaceDE w:val="0"/>
              <w:autoSpaceDN w:val="0"/>
              <w:spacing w:line="240" w:lineRule="auto"/>
              <w:ind w:firstLine="0" w:firstLineChars="0"/>
              <w:rPr>
                <w:color w:val="auto"/>
              </w:rPr>
            </w:pPr>
            <w:r>
              <w:rPr>
                <w:rFonts w:hint="eastAsia"/>
                <w:color w:val="auto"/>
              </w:rPr>
              <w:t>缴税所属时间在</w:t>
            </w:r>
            <w:r>
              <w:rPr>
                <w:rFonts w:hint="eastAsia"/>
                <w:b/>
                <w:bCs/>
                <w:color w:val="auto"/>
              </w:rPr>
              <w:t>2023年1月至今期间任意3个月</w:t>
            </w:r>
            <w:r>
              <w:rPr>
                <w:rFonts w:hint="eastAsia"/>
                <w:color w:val="auto"/>
              </w:rPr>
              <w:t>的税务局税收通用缴款书复印件或银行电子缴税(费)凭证复印件或税务局出具纳税情况的相关证明复印件。</w:t>
            </w:r>
          </w:p>
          <w:p>
            <w:pPr>
              <w:kinsoku w:val="0"/>
              <w:autoSpaceDE w:val="0"/>
              <w:autoSpaceDN w:val="0"/>
              <w:spacing w:line="240" w:lineRule="auto"/>
              <w:ind w:firstLine="0" w:firstLineChars="0"/>
              <w:rPr>
                <w:color w:val="auto"/>
              </w:rPr>
            </w:pPr>
            <w:r>
              <w:rPr>
                <w:rFonts w:hint="eastAsia"/>
                <w:color w:val="auto"/>
              </w:rPr>
              <w:t>（依法免税的，应提供依法免税的相关证明文件；2024年1月份及以后成立的投标人需出具承诺函）。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335" w:type="dxa"/>
            <w:vMerge w:val="continue"/>
            <w:tcMar>
              <w:top w:w="57" w:type="dxa"/>
              <w:left w:w="57" w:type="dxa"/>
              <w:bottom w:w="57" w:type="dxa"/>
              <w:right w:w="57" w:type="dxa"/>
            </w:tcMar>
            <w:vAlign w:val="center"/>
          </w:tcPr>
          <w:p>
            <w:pPr>
              <w:keepLines/>
              <w:kinsoku w:val="0"/>
              <w:spacing w:line="240" w:lineRule="auto"/>
              <w:ind w:firstLine="0" w:firstLineChars="0"/>
              <w:jc w:val="center"/>
              <w:rPr>
                <w:color w:val="auto"/>
              </w:rPr>
            </w:pPr>
          </w:p>
        </w:tc>
        <w:tc>
          <w:tcPr>
            <w:tcW w:w="786"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4.1.4</w:t>
            </w: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缴纳社会保障资金</w:t>
            </w:r>
          </w:p>
        </w:tc>
        <w:tc>
          <w:tcPr>
            <w:tcW w:w="7600" w:type="dxa"/>
            <w:tcMar>
              <w:top w:w="57" w:type="dxa"/>
              <w:left w:w="57" w:type="dxa"/>
              <w:bottom w:w="57" w:type="dxa"/>
              <w:right w:w="57" w:type="dxa"/>
            </w:tcMar>
            <w:vAlign w:val="center"/>
          </w:tcPr>
          <w:p>
            <w:pPr>
              <w:kinsoku w:val="0"/>
              <w:autoSpaceDE w:val="0"/>
              <w:autoSpaceDN w:val="0"/>
              <w:spacing w:line="240" w:lineRule="auto"/>
              <w:ind w:firstLine="0" w:firstLineChars="0"/>
              <w:rPr>
                <w:color w:val="auto"/>
              </w:rPr>
            </w:pPr>
            <w:r>
              <w:rPr>
                <w:rFonts w:hint="eastAsia"/>
                <w:color w:val="auto"/>
              </w:rPr>
              <w:t>缴费所属时间在</w:t>
            </w:r>
            <w:r>
              <w:rPr>
                <w:rFonts w:hint="eastAsia"/>
                <w:b/>
                <w:bCs/>
                <w:color w:val="auto"/>
              </w:rPr>
              <w:t>2023年1月至今期间任意3个月</w:t>
            </w:r>
            <w:r>
              <w:rPr>
                <w:rFonts w:hint="eastAsia"/>
                <w:color w:val="auto"/>
              </w:rPr>
              <w:t>的社会保险费缴款书复印件或银行电子缴税(费) 凭证复印件或社保管理部门出具的有效的缴款证明复印件。</w:t>
            </w:r>
          </w:p>
          <w:p>
            <w:pPr>
              <w:kinsoku w:val="0"/>
              <w:autoSpaceDE w:val="0"/>
              <w:autoSpaceDN w:val="0"/>
              <w:spacing w:line="240" w:lineRule="auto"/>
              <w:ind w:firstLine="0" w:firstLineChars="0"/>
              <w:rPr>
                <w:color w:val="auto"/>
              </w:rPr>
            </w:pPr>
            <w:r>
              <w:rPr>
                <w:rFonts w:hint="eastAsia"/>
                <w:color w:val="auto"/>
              </w:rPr>
              <w:t>（依法免缴的，应提供依法免缴的相关证明文件；2024年1月份及以后成立的投标人需出具承诺函）。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35" w:type="dxa"/>
            <w:vMerge w:val="continue"/>
            <w:tcMar>
              <w:top w:w="57" w:type="dxa"/>
              <w:left w:w="57" w:type="dxa"/>
              <w:bottom w:w="57" w:type="dxa"/>
              <w:right w:w="57" w:type="dxa"/>
            </w:tcMar>
            <w:vAlign w:val="center"/>
          </w:tcPr>
          <w:p>
            <w:pPr>
              <w:keepLines/>
              <w:kinsoku w:val="0"/>
              <w:spacing w:line="240" w:lineRule="auto"/>
              <w:ind w:firstLine="0" w:firstLineChars="0"/>
              <w:jc w:val="center"/>
              <w:rPr>
                <w:color w:val="auto"/>
              </w:rPr>
            </w:pPr>
          </w:p>
        </w:tc>
        <w:tc>
          <w:tcPr>
            <w:tcW w:w="786"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4.1.6</w:t>
            </w: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没有重大违法记录</w:t>
            </w:r>
          </w:p>
        </w:tc>
        <w:tc>
          <w:tcPr>
            <w:tcW w:w="7600" w:type="dxa"/>
            <w:tcMar>
              <w:top w:w="57" w:type="dxa"/>
              <w:left w:w="57" w:type="dxa"/>
              <w:bottom w:w="57" w:type="dxa"/>
              <w:right w:w="57" w:type="dxa"/>
            </w:tcMar>
            <w:vAlign w:val="center"/>
          </w:tcPr>
          <w:p>
            <w:pPr>
              <w:kinsoku w:val="0"/>
              <w:autoSpaceDE w:val="0"/>
              <w:autoSpaceDN w:val="0"/>
              <w:spacing w:line="240" w:lineRule="auto"/>
              <w:ind w:firstLine="0" w:firstLineChars="0"/>
              <w:rPr>
                <w:color w:val="auto"/>
              </w:rPr>
            </w:pPr>
            <w:r>
              <w:rPr>
                <w:rFonts w:hint="eastAsia"/>
                <w:color w:val="auto"/>
              </w:rPr>
              <w:t>投标人必须提供参加本项目政府采购活动前 3 年内在经营活动中没有重大违法记录的书面声明。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35" w:type="dxa"/>
            <w:vMerge w:val="continue"/>
            <w:tcMar>
              <w:top w:w="57" w:type="dxa"/>
              <w:left w:w="57" w:type="dxa"/>
              <w:bottom w:w="57" w:type="dxa"/>
              <w:right w:w="57" w:type="dxa"/>
            </w:tcMar>
            <w:vAlign w:val="center"/>
          </w:tcPr>
          <w:p>
            <w:pPr>
              <w:keepLines/>
              <w:kinsoku w:val="0"/>
              <w:spacing w:line="240" w:lineRule="auto"/>
              <w:ind w:firstLine="0" w:firstLineChars="0"/>
              <w:jc w:val="center"/>
              <w:rPr>
                <w:color w:val="auto"/>
              </w:rPr>
            </w:pPr>
          </w:p>
        </w:tc>
        <w:tc>
          <w:tcPr>
            <w:tcW w:w="786"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4.2</w:t>
            </w: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落实政府采购政策需满足的资格要求</w:t>
            </w:r>
          </w:p>
        </w:tc>
        <w:tc>
          <w:tcPr>
            <w:tcW w:w="7600" w:type="dxa"/>
            <w:tcMar>
              <w:top w:w="57" w:type="dxa"/>
              <w:left w:w="57" w:type="dxa"/>
              <w:bottom w:w="57" w:type="dxa"/>
              <w:right w:w="57" w:type="dxa"/>
            </w:tcMar>
            <w:vAlign w:val="center"/>
          </w:tcPr>
          <w:p>
            <w:pPr>
              <w:kinsoku w:val="0"/>
              <w:autoSpaceDE w:val="0"/>
              <w:autoSpaceDN w:val="0"/>
              <w:spacing w:line="240" w:lineRule="auto"/>
              <w:ind w:firstLine="0" w:firstLineChars="0"/>
              <w:rPr>
                <w:color w:val="auto"/>
              </w:rPr>
            </w:pPr>
            <w:r>
              <w:rPr>
                <w:rFonts w:hint="eastAsia"/>
                <w:color w:val="auto"/>
              </w:rPr>
              <w:t>见第一章 二、投标人的资格要求 2、落实政府采购政策需满足的资格要求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jc w:val="center"/>
        </w:trPr>
        <w:tc>
          <w:tcPr>
            <w:tcW w:w="335" w:type="dxa"/>
            <w:vMerge w:val="continue"/>
            <w:tcMar>
              <w:top w:w="57" w:type="dxa"/>
              <w:left w:w="57" w:type="dxa"/>
              <w:bottom w:w="57" w:type="dxa"/>
              <w:right w:w="57" w:type="dxa"/>
            </w:tcMar>
            <w:vAlign w:val="center"/>
          </w:tcPr>
          <w:p>
            <w:pPr>
              <w:keepLines/>
              <w:kinsoku w:val="0"/>
              <w:spacing w:line="240" w:lineRule="auto"/>
              <w:ind w:firstLine="0" w:firstLineChars="0"/>
              <w:jc w:val="center"/>
              <w:rPr>
                <w:color w:val="auto"/>
              </w:rPr>
            </w:pPr>
          </w:p>
        </w:tc>
        <w:tc>
          <w:tcPr>
            <w:tcW w:w="786"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4.3</w:t>
            </w: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本项目的特定要求</w:t>
            </w:r>
          </w:p>
        </w:tc>
        <w:tc>
          <w:tcPr>
            <w:tcW w:w="7600"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rPr>
            </w:pPr>
            <w:r>
              <w:rPr>
                <w:rFonts w:hint="eastAsia"/>
                <w:color w:val="auto"/>
                <w:spacing w:val="-1"/>
              </w:rPr>
              <w:t>见第</w:t>
            </w:r>
            <w:r>
              <w:rPr>
                <w:rFonts w:hint="eastAsia"/>
                <w:color w:val="auto"/>
              </w:rPr>
              <w:t>一章 二、投标人的资格要求 3、本项目的特定资</w:t>
            </w:r>
            <w:r>
              <w:rPr>
                <w:rFonts w:hint="eastAsia"/>
                <w:color w:val="auto"/>
                <w:spacing w:val="-2"/>
              </w:rPr>
              <w:t>格</w:t>
            </w:r>
            <w:r>
              <w:rPr>
                <w:rFonts w:hint="eastAsia"/>
                <w:color w:val="auto"/>
                <w:spacing w:val="-1"/>
              </w:rPr>
              <w:t>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335" w:type="dxa"/>
            <w:vMerge w:val="continue"/>
            <w:tcBorders>
              <w:bottom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p>
        </w:tc>
        <w:tc>
          <w:tcPr>
            <w:tcW w:w="786" w:type="dxa"/>
            <w:tcBorders>
              <w:bottom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4.4</w:t>
            </w:r>
          </w:p>
        </w:tc>
        <w:tc>
          <w:tcPr>
            <w:tcW w:w="1465" w:type="dxa"/>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是否接受联合体参加投标</w:t>
            </w:r>
          </w:p>
        </w:tc>
        <w:tc>
          <w:tcPr>
            <w:tcW w:w="7600" w:type="dxa"/>
            <w:tcMar>
              <w:top w:w="57" w:type="dxa"/>
              <w:left w:w="57" w:type="dxa"/>
              <w:bottom w:w="57" w:type="dxa"/>
              <w:right w:w="57" w:type="dxa"/>
            </w:tcMar>
            <w:vAlign w:val="center"/>
          </w:tcPr>
          <w:p>
            <w:pPr>
              <w:kinsoku w:val="0"/>
              <w:autoSpaceDE w:val="0"/>
              <w:autoSpaceDN w:val="0"/>
              <w:adjustRightInd/>
              <w:spacing w:line="240" w:lineRule="auto"/>
              <w:ind w:firstLine="0" w:firstLineChars="0"/>
              <w:jc w:val="both"/>
              <w:rPr>
                <w:color w:val="auto"/>
              </w:rPr>
            </w:pPr>
            <w:r>
              <w:rPr>
                <w:rFonts w:hint="eastAsia"/>
                <w:color w:val="auto"/>
                <w:spacing w:val="-4"/>
              </w:rPr>
              <w:t>□接</w:t>
            </w:r>
            <w:r>
              <w:rPr>
                <w:rFonts w:hint="eastAsia"/>
                <w:color w:val="auto"/>
                <w:spacing w:val="-2"/>
              </w:rPr>
              <w:t xml:space="preserve">受    </w:t>
            </w:r>
            <w:r>
              <w:rPr>
                <w:rFonts w:hint="eastAsia"/>
                <w:color w:val="auto"/>
                <w:spacing w:val="-4"/>
              </w:rPr>
              <w:t>☑</w:t>
            </w:r>
            <w:r>
              <w:rPr>
                <w:rFonts w:hint="eastAsia"/>
                <w:color w:val="auto"/>
                <w:spacing w:val="-2"/>
              </w:rPr>
              <w:t>不接受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11.2投标</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构成投标文件的其他资料</w:t>
            </w:r>
          </w:p>
        </w:tc>
        <w:tc>
          <w:tcPr>
            <w:tcW w:w="7600"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rPr>
            </w:pPr>
            <w:r>
              <w:rPr>
                <w:rFonts w:hint="eastAsia"/>
                <w:color w:val="auto"/>
              </w:rPr>
              <w:t>（1）</w:t>
            </w:r>
            <w:r>
              <w:rPr>
                <w:rFonts w:hint="eastAsia"/>
                <w:color w:val="auto"/>
                <w:spacing w:val="-2"/>
              </w:rPr>
              <w:t>“第五章 技术要求”中要求提供的其他资料。</w:t>
            </w:r>
          </w:p>
          <w:p>
            <w:pPr>
              <w:kinsoku w:val="0"/>
              <w:autoSpaceDE w:val="0"/>
              <w:autoSpaceDN w:val="0"/>
              <w:adjustRightInd/>
              <w:spacing w:line="240" w:lineRule="auto"/>
              <w:ind w:firstLine="0" w:firstLineChars="0"/>
              <w:rPr>
                <w:color w:val="auto"/>
              </w:rPr>
            </w:pPr>
            <w:r>
              <w:rPr>
                <w:rFonts w:hint="eastAsia"/>
                <w:color w:val="auto"/>
              </w:rPr>
              <w:t>（2）招标文件中所涉及到的相关资料及证明文件</w:t>
            </w:r>
            <w:r>
              <w:rPr>
                <w:rFonts w:hint="eastAsia"/>
                <w:color w:val="auto"/>
                <w:spacing w:val="-2"/>
              </w:rPr>
              <w:t>或投标人</w:t>
            </w:r>
            <w:r>
              <w:rPr>
                <w:rFonts w:hint="eastAsia"/>
                <w:color w:val="auto"/>
                <w:spacing w:val="-1"/>
              </w:rPr>
              <w:t>认为必须提供的其他相关资料。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13.1</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投标有效期</w:t>
            </w:r>
          </w:p>
        </w:tc>
        <w:tc>
          <w:tcPr>
            <w:tcW w:w="7600"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rPr>
            </w:pPr>
            <w:r>
              <w:rPr>
                <w:rFonts w:hint="eastAsia"/>
                <w:color w:val="auto"/>
                <w:spacing w:val="-11"/>
              </w:rPr>
              <w:t xml:space="preserve">从递交投标文件截止之日起 </w:t>
            </w:r>
            <w:r>
              <w:rPr>
                <w:rFonts w:hint="eastAsia"/>
                <w:color w:val="auto"/>
                <w:spacing w:val="-11"/>
                <w:u w:val="single"/>
              </w:rPr>
              <w:t xml:space="preserve">90 </w:t>
            </w:r>
            <w:r>
              <w:rPr>
                <w:rFonts w:hint="eastAsia"/>
                <w:color w:val="auto"/>
                <w:spacing w:val="-11"/>
              </w:rPr>
              <w:t>日历</w:t>
            </w:r>
            <w:r>
              <w:rPr>
                <w:rFonts w:hint="eastAsia"/>
                <w:color w:val="auto"/>
                <w:spacing w:val="-8"/>
              </w:rPr>
              <w:t>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14.4</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投标文件份数</w:t>
            </w:r>
          </w:p>
        </w:tc>
        <w:tc>
          <w:tcPr>
            <w:tcW w:w="7600"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rPr>
            </w:pPr>
            <w:r>
              <w:rPr>
                <w:rFonts w:hint="eastAsia"/>
                <w:color w:val="auto"/>
              </w:rPr>
              <w:t>纸质版投标文件正本壹份，副本贰份；电子版投标文件贰份(内容提供word 版）、投标文件正本的 PDF 扫描件各 1 份，存储介质为U盘和光盘各壹份，随纸质文件一起封装递交)。</w:t>
            </w:r>
          </w:p>
          <w:p>
            <w:pPr>
              <w:kinsoku w:val="0"/>
              <w:autoSpaceDE w:val="0"/>
              <w:autoSpaceDN w:val="0"/>
              <w:adjustRightInd/>
              <w:spacing w:line="240" w:lineRule="auto"/>
              <w:ind w:firstLine="0" w:firstLineChars="0"/>
              <w:rPr>
                <w:color w:val="auto"/>
              </w:rPr>
            </w:pPr>
            <w:r>
              <w:rPr>
                <w:rFonts w:hint="eastAsia"/>
                <w:color w:val="auto"/>
              </w:rPr>
              <w:t>投标文件的正本与副本应分别装订成册，不得采用活页夹等可随时拆换的方式装订。投标文件应编制目录，并编制页码，否则，招标人对由于投标文件装订松散而造成的丢失或其他后果不承担任何责任。</w:t>
            </w:r>
          </w:p>
          <w:p>
            <w:pPr>
              <w:kinsoku w:val="0"/>
              <w:autoSpaceDE w:val="0"/>
              <w:autoSpaceDN w:val="0"/>
              <w:adjustRightInd/>
              <w:spacing w:line="240" w:lineRule="auto"/>
              <w:ind w:firstLine="0" w:firstLineChars="0"/>
              <w:rPr>
                <w:color w:val="auto"/>
              </w:rPr>
            </w:pPr>
            <w:r>
              <w:rPr>
                <w:rFonts w:hint="eastAsia"/>
                <w:color w:val="auto"/>
              </w:rPr>
              <w:t>注：资格审查文件不单独成册，与投标文件一同装订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14.6</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kern w:val="2"/>
              </w:rPr>
              <w:t>封套上应载明的信息</w:t>
            </w:r>
          </w:p>
        </w:tc>
        <w:tc>
          <w:tcPr>
            <w:tcW w:w="7600" w:type="dxa"/>
            <w:tcMar>
              <w:top w:w="57" w:type="dxa"/>
              <w:left w:w="57" w:type="dxa"/>
              <w:bottom w:w="57" w:type="dxa"/>
              <w:right w:w="57" w:type="dxa"/>
            </w:tcMar>
            <w:vAlign w:val="center"/>
          </w:tcPr>
          <w:p>
            <w:pPr>
              <w:wordWrap w:val="0"/>
              <w:topLinePunct/>
              <w:spacing w:line="240" w:lineRule="auto"/>
              <w:ind w:right="6" w:firstLine="0" w:firstLineChars="0"/>
              <w:rPr>
                <w:color w:val="auto"/>
                <w:spacing w:val="-3"/>
                <w:u w:val="single"/>
              </w:rPr>
            </w:pPr>
            <w:r>
              <w:rPr>
                <w:rFonts w:hint="eastAsia"/>
                <w:color w:val="auto"/>
              </w:rPr>
              <w:t>投标人名</w:t>
            </w:r>
            <w:r>
              <w:rPr>
                <w:rFonts w:hint="eastAsia"/>
                <w:color w:val="auto"/>
                <w:spacing w:val="-3"/>
              </w:rPr>
              <w:t>称：</w:t>
            </w:r>
            <w:r>
              <w:rPr>
                <w:rFonts w:hint="eastAsia"/>
                <w:color w:val="auto"/>
                <w:u w:val="single"/>
              </w:rPr>
              <w:t xml:space="preserve">               （加盖公章）</w:t>
            </w:r>
          </w:p>
          <w:p>
            <w:pPr>
              <w:wordWrap w:val="0"/>
              <w:topLinePunct/>
              <w:spacing w:line="240" w:lineRule="auto"/>
              <w:ind w:right="6" w:firstLine="0" w:firstLineChars="0"/>
              <w:rPr>
                <w:color w:val="auto"/>
                <w:u w:val="single"/>
              </w:rPr>
            </w:pPr>
            <w:r>
              <w:rPr>
                <w:rFonts w:hint="eastAsia"/>
                <w:color w:val="auto"/>
              </w:rPr>
              <w:t>投标人地</w:t>
            </w:r>
            <w:r>
              <w:rPr>
                <w:rFonts w:hint="eastAsia"/>
                <w:color w:val="auto"/>
                <w:spacing w:val="-3"/>
              </w:rPr>
              <w:t>址</w:t>
            </w:r>
            <w:r>
              <w:rPr>
                <w:rFonts w:hint="eastAsia"/>
                <w:color w:val="auto"/>
              </w:rPr>
              <w:t>：</w:t>
            </w:r>
            <w:r>
              <w:rPr>
                <w:rFonts w:hint="eastAsia"/>
                <w:color w:val="auto"/>
                <w:u w:val="single"/>
              </w:rPr>
              <w:t xml:space="preserve">              </w:t>
            </w:r>
          </w:p>
          <w:p>
            <w:pPr>
              <w:pStyle w:val="56"/>
              <w:tabs>
                <w:tab w:val="left" w:pos="1156"/>
              </w:tabs>
              <w:wordWrap w:val="0"/>
              <w:topLinePunct/>
              <w:spacing w:line="240" w:lineRule="auto"/>
              <w:ind w:right="6" w:firstLine="0" w:firstLineChars="0"/>
              <w:rPr>
                <w:color w:val="auto"/>
              </w:rPr>
            </w:pPr>
            <w:r>
              <w:rPr>
                <w:rFonts w:hint="eastAsia"/>
                <w:color w:val="auto"/>
                <w:u w:val="single"/>
              </w:rPr>
              <w:t xml:space="preserve">          （</w:t>
            </w:r>
            <w:r>
              <w:rPr>
                <w:rFonts w:hint="eastAsia"/>
                <w:color w:val="auto"/>
                <w:spacing w:val="2"/>
                <w:u w:val="single"/>
              </w:rPr>
              <w:t>项目名称</w:t>
            </w:r>
            <w:r>
              <w:rPr>
                <w:rFonts w:hint="eastAsia"/>
                <w:color w:val="auto"/>
                <w:u w:val="single"/>
              </w:rPr>
              <w:t xml:space="preserve">）          </w:t>
            </w:r>
            <w:r>
              <w:rPr>
                <w:rFonts w:hint="eastAsia"/>
                <w:color w:val="auto"/>
                <w:spacing w:val="2"/>
              </w:rPr>
              <w:t>项目</w:t>
            </w:r>
            <w:r>
              <w:rPr>
                <w:rFonts w:hint="eastAsia"/>
                <w:color w:val="auto"/>
                <w:spacing w:val="2"/>
                <w:u w:val="single"/>
              </w:rPr>
              <w:t xml:space="preserve">     </w:t>
            </w:r>
            <w:r>
              <w:rPr>
                <w:rFonts w:hint="eastAsia"/>
                <w:color w:val="auto"/>
                <w:spacing w:val="2"/>
              </w:rPr>
              <w:t>标包投</w:t>
            </w:r>
            <w:r>
              <w:rPr>
                <w:rFonts w:hint="eastAsia"/>
                <w:color w:val="auto"/>
              </w:rPr>
              <w:t>标文件</w:t>
            </w:r>
          </w:p>
          <w:p>
            <w:pPr>
              <w:wordWrap w:val="0"/>
              <w:topLinePunct/>
              <w:spacing w:line="240" w:lineRule="auto"/>
              <w:ind w:right="6" w:firstLine="0" w:firstLineChars="0"/>
              <w:rPr>
                <w:color w:val="auto"/>
              </w:rPr>
            </w:pPr>
            <w:r>
              <w:rPr>
                <w:rFonts w:hint="eastAsia"/>
                <w:color w:val="auto"/>
              </w:rPr>
              <w:t>项目</w:t>
            </w:r>
            <w:r>
              <w:rPr>
                <w:rFonts w:hint="eastAsia"/>
                <w:color w:val="auto"/>
                <w:spacing w:val="-3"/>
              </w:rPr>
              <w:t>编号</w:t>
            </w:r>
            <w:r>
              <w:rPr>
                <w:rFonts w:hint="eastAsia"/>
                <w:color w:val="auto"/>
              </w:rPr>
              <w:t>：</w:t>
            </w:r>
          </w:p>
          <w:p>
            <w:pPr>
              <w:kinsoku w:val="0"/>
              <w:autoSpaceDE w:val="0"/>
              <w:autoSpaceDN w:val="0"/>
              <w:adjustRightInd/>
              <w:spacing w:line="240" w:lineRule="auto"/>
              <w:ind w:firstLine="0" w:firstLineChars="0"/>
              <w:rPr>
                <w:color w:val="auto"/>
              </w:rPr>
            </w:pPr>
            <w:r>
              <w:rPr>
                <w:rFonts w:hint="eastAsia"/>
                <w:color w:val="auto"/>
              </w:rPr>
              <w:t>在</w:t>
            </w:r>
            <w:r>
              <w:rPr>
                <w:rFonts w:hint="eastAsia"/>
                <w:color w:val="auto"/>
                <w:u w:val="single" w:color="000000"/>
              </w:rPr>
              <w:t xml:space="preserve">      </w:t>
            </w:r>
            <w:r>
              <w:rPr>
                <w:rFonts w:hint="eastAsia"/>
                <w:color w:val="auto"/>
              </w:rPr>
              <w:t>年</w:t>
            </w:r>
            <w:r>
              <w:rPr>
                <w:rFonts w:hint="eastAsia"/>
                <w:color w:val="auto"/>
                <w:u w:val="single" w:color="000000"/>
              </w:rPr>
              <w:tab/>
            </w:r>
            <w:r>
              <w:rPr>
                <w:rFonts w:hint="eastAsia"/>
                <w:color w:val="auto"/>
                <w:u w:val="single" w:color="000000"/>
              </w:rPr>
              <w:t xml:space="preserve">   </w:t>
            </w:r>
            <w:r>
              <w:rPr>
                <w:rFonts w:hint="eastAsia"/>
                <w:color w:val="auto"/>
                <w:spacing w:val="-3"/>
              </w:rPr>
              <w:t>月</w:t>
            </w:r>
            <w:r>
              <w:rPr>
                <w:rFonts w:hint="eastAsia"/>
                <w:color w:val="auto"/>
                <w:spacing w:val="-3"/>
                <w:u w:val="single" w:color="000000"/>
              </w:rPr>
              <w:tab/>
            </w:r>
            <w:r>
              <w:rPr>
                <w:rFonts w:hint="eastAsia"/>
                <w:color w:val="auto"/>
                <w:spacing w:val="-3"/>
                <w:u w:val="single" w:color="000000"/>
              </w:rPr>
              <w:t xml:space="preserve">    </w:t>
            </w:r>
            <w:r>
              <w:rPr>
                <w:rFonts w:hint="eastAsia"/>
                <w:color w:val="auto"/>
              </w:rPr>
              <w:t>日</w:t>
            </w:r>
            <w:r>
              <w:rPr>
                <w:rFonts w:hint="eastAsia"/>
                <w:color w:val="auto"/>
                <w:u w:val="single" w:color="000000"/>
              </w:rPr>
              <w:tab/>
            </w:r>
            <w:r>
              <w:rPr>
                <w:rFonts w:hint="eastAsia"/>
                <w:color w:val="auto"/>
                <w:u w:val="single" w:color="000000"/>
              </w:rPr>
              <w:t xml:space="preserve">     </w:t>
            </w:r>
            <w:r>
              <w:rPr>
                <w:rFonts w:hint="eastAsia"/>
                <w:color w:val="auto"/>
              </w:rPr>
              <w:t>时</w:t>
            </w:r>
            <w:r>
              <w:rPr>
                <w:rFonts w:hint="eastAsia"/>
                <w:color w:val="auto"/>
                <w:spacing w:val="-3"/>
              </w:rPr>
              <w:t>前</w:t>
            </w:r>
            <w:r>
              <w:rPr>
                <w:rFonts w:hint="eastAsia"/>
                <w:color w:val="auto"/>
              </w:rPr>
              <w:t>不</w:t>
            </w:r>
            <w:r>
              <w:rPr>
                <w:rFonts w:hint="eastAsia"/>
                <w:color w:val="auto"/>
                <w:spacing w:val="-3"/>
              </w:rPr>
              <w:t>得</w:t>
            </w:r>
            <w:r>
              <w:rPr>
                <w:rFonts w:hint="eastAsia"/>
                <w:color w:val="auto"/>
              </w:rPr>
              <w:t>开启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15.1</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投标保证金</w:t>
            </w:r>
          </w:p>
        </w:tc>
        <w:tc>
          <w:tcPr>
            <w:tcW w:w="7600"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rPr>
            </w:pPr>
            <w:r>
              <w:rPr>
                <w:rFonts w:hint="eastAsia"/>
                <w:color w:val="auto"/>
              </w:rPr>
              <w:t>投标保证金应当以银行转账、支票、汇票、本票或者金融机构、担保机构出具的保函等非现金形式提交。投标人未按照招标文件要求提交投标保证金的，投标无效。</w:t>
            </w:r>
          </w:p>
          <w:p>
            <w:pPr>
              <w:kinsoku w:val="0"/>
              <w:autoSpaceDE w:val="0"/>
              <w:autoSpaceDN w:val="0"/>
              <w:adjustRightInd/>
              <w:spacing w:line="240" w:lineRule="auto"/>
              <w:ind w:firstLine="0" w:firstLineChars="0"/>
              <w:rPr>
                <w:color w:val="auto"/>
              </w:rPr>
            </w:pPr>
            <w:r>
              <w:rPr>
                <w:rFonts w:hint="eastAsia"/>
                <w:color w:val="auto"/>
              </w:rPr>
              <w:t>保证金金额：(不超1%)</w:t>
            </w:r>
          </w:p>
          <w:p>
            <w:pPr>
              <w:kinsoku w:val="0"/>
              <w:autoSpaceDE w:val="0"/>
              <w:autoSpaceDN w:val="0"/>
              <w:adjustRightInd/>
              <w:spacing w:line="240" w:lineRule="auto"/>
              <w:ind w:firstLine="0" w:firstLineChars="0"/>
              <w:rPr>
                <w:color w:val="auto"/>
              </w:rPr>
            </w:pPr>
            <w:r>
              <w:rPr>
                <w:rFonts w:hint="eastAsia"/>
                <w:color w:val="auto"/>
              </w:rPr>
              <w:t>1标包：13000元（大写：壹万叁仟元整）</w:t>
            </w:r>
          </w:p>
          <w:p>
            <w:pPr>
              <w:kinsoku w:val="0"/>
              <w:autoSpaceDE w:val="0"/>
              <w:autoSpaceDN w:val="0"/>
              <w:adjustRightInd/>
              <w:spacing w:line="240" w:lineRule="auto"/>
              <w:ind w:firstLine="0" w:firstLineChars="0"/>
              <w:rPr>
                <w:color w:val="auto"/>
              </w:rPr>
            </w:pPr>
            <w:r>
              <w:rPr>
                <w:rFonts w:hint="eastAsia"/>
                <w:color w:val="auto"/>
              </w:rPr>
              <w:t>2标包：25000元（大写：贰万伍仟元整）</w:t>
            </w:r>
          </w:p>
          <w:p>
            <w:pPr>
              <w:kinsoku w:val="0"/>
              <w:autoSpaceDE w:val="0"/>
              <w:autoSpaceDN w:val="0"/>
              <w:adjustRightInd/>
              <w:spacing w:line="240" w:lineRule="auto"/>
              <w:ind w:firstLine="0" w:firstLineChars="0"/>
              <w:rPr>
                <w:color w:val="auto"/>
              </w:rPr>
            </w:pPr>
            <w:r>
              <w:rPr>
                <w:rFonts w:hint="eastAsia"/>
                <w:color w:val="auto"/>
              </w:rPr>
              <w:t>3标包：3500元（大写：叁仟伍佰元整）</w:t>
            </w:r>
          </w:p>
          <w:p>
            <w:pPr>
              <w:kinsoku w:val="0"/>
              <w:autoSpaceDE w:val="0"/>
              <w:autoSpaceDN w:val="0"/>
              <w:adjustRightInd/>
              <w:spacing w:line="240" w:lineRule="auto"/>
              <w:ind w:firstLine="0" w:firstLineChars="0"/>
              <w:rPr>
                <w:color w:val="auto"/>
              </w:rPr>
            </w:pPr>
            <w:r>
              <w:rPr>
                <w:rFonts w:hint="eastAsia"/>
                <w:color w:val="auto"/>
              </w:rPr>
              <w:t>4标包：20000元（大写：贰万元整）</w:t>
            </w:r>
          </w:p>
          <w:p>
            <w:pPr>
              <w:kinsoku w:val="0"/>
              <w:autoSpaceDE w:val="0"/>
              <w:autoSpaceDN w:val="0"/>
              <w:adjustRightInd/>
              <w:spacing w:line="240" w:lineRule="auto"/>
              <w:ind w:firstLine="0" w:firstLineChars="0"/>
              <w:rPr>
                <w:color w:val="auto"/>
              </w:rPr>
            </w:pPr>
            <w:r>
              <w:rPr>
                <w:rFonts w:hint="eastAsia"/>
                <w:color w:val="auto"/>
              </w:rPr>
              <w:t>5标包：50000元（大写：伍万元整）</w:t>
            </w:r>
          </w:p>
          <w:p>
            <w:pPr>
              <w:kinsoku w:val="0"/>
              <w:autoSpaceDE w:val="0"/>
              <w:autoSpaceDN w:val="0"/>
              <w:adjustRightInd/>
              <w:spacing w:line="240" w:lineRule="auto"/>
              <w:ind w:firstLine="0" w:firstLineChars="0"/>
              <w:rPr>
                <w:color w:val="auto"/>
              </w:rPr>
            </w:pPr>
            <w:r>
              <w:rPr>
                <w:rFonts w:hint="eastAsia"/>
                <w:color w:val="auto"/>
              </w:rPr>
              <w:t>6标包：35000元（大写：叁万伍仟元整）</w:t>
            </w:r>
          </w:p>
          <w:p>
            <w:pPr>
              <w:kinsoku w:val="0"/>
              <w:autoSpaceDE w:val="0"/>
              <w:autoSpaceDN w:val="0"/>
              <w:adjustRightInd/>
              <w:spacing w:line="240" w:lineRule="auto"/>
              <w:ind w:firstLine="0" w:firstLineChars="0"/>
              <w:rPr>
                <w:color w:val="auto"/>
              </w:rPr>
            </w:pPr>
            <w:r>
              <w:rPr>
                <w:rFonts w:hint="eastAsia"/>
                <w:color w:val="auto"/>
              </w:rPr>
              <w:t>7标包：15000元（大写：壹万伍仟元整）</w:t>
            </w:r>
          </w:p>
          <w:p>
            <w:pPr>
              <w:kinsoku w:val="0"/>
              <w:autoSpaceDE w:val="0"/>
              <w:autoSpaceDN w:val="0"/>
              <w:adjustRightInd/>
              <w:spacing w:line="240" w:lineRule="auto"/>
              <w:ind w:firstLine="0" w:firstLineChars="0"/>
              <w:rPr>
                <w:color w:val="auto"/>
              </w:rPr>
            </w:pPr>
            <w:r>
              <w:rPr>
                <w:rFonts w:hint="eastAsia"/>
                <w:color w:val="auto"/>
              </w:rPr>
              <w:t>8标包：48000元（大写：肆万捌仟元整）</w:t>
            </w:r>
          </w:p>
          <w:p>
            <w:pPr>
              <w:kinsoku w:val="0"/>
              <w:autoSpaceDE w:val="0"/>
              <w:autoSpaceDN w:val="0"/>
              <w:adjustRightInd/>
              <w:spacing w:line="240" w:lineRule="auto"/>
              <w:ind w:firstLine="0" w:firstLineChars="0"/>
              <w:rPr>
                <w:color w:val="auto"/>
              </w:rPr>
            </w:pPr>
            <w:r>
              <w:rPr>
                <w:rFonts w:hint="eastAsia"/>
                <w:color w:val="auto"/>
              </w:rPr>
              <w:t>9标包：150000元（大写：壹拾伍万元整）</w:t>
            </w:r>
          </w:p>
          <w:p>
            <w:pPr>
              <w:kinsoku w:val="0"/>
              <w:autoSpaceDE w:val="0"/>
              <w:autoSpaceDN w:val="0"/>
              <w:adjustRightInd/>
              <w:spacing w:line="240" w:lineRule="auto"/>
              <w:ind w:firstLine="0" w:firstLineChars="0"/>
              <w:rPr>
                <w:color w:val="auto"/>
              </w:rPr>
            </w:pPr>
            <w:r>
              <w:rPr>
                <w:rFonts w:hint="eastAsia"/>
                <w:color w:val="auto"/>
              </w:rPr>
              <w:t>10标包：55000元（大写：伍万伍仟元整）</w:t>
            </w:r>
          </w:p>
          <w:p>
            <w:pPr>
              <w:kinsoku w:val="0"/>
              <w:autoSpaceDE w:val="0"/>
              <w:autoSpaceDN w:val="0"/>
              <w:adjustRightInd/>
              <w:spacing w:line="240" w:lineRule="auto"/>
              <w:ind w:firstLine="0" w:firstLineChars="0"/>
              <w:rPr>
                <w:color w:val="auto"/>
              </w:rPr>
            </w:pPr>
            <w:r>
              <w:rPr>
                <w:rFonts w:hint="eastAsia"/>
                <w:color w:val="auto"/>
              </w:rPr>
              <w:t>11标包：9000元（大写：玖仟元整）</w:t>
            </w:r>
          </w:p>
          <w:p>
            <w:pPr>
              <w:kinsoku w:val="0"/>
              <w:autoSpaceDE w:val="0"/>
              <w:autoSpaceDN w:val="0"/>
              <w:adjustRightInd/>
              <w:spacing w:line="240" w:lineRule="auto"/>
              <w:ind w:firstLine="0" w:firstLineChars="0"/>
              <w:rPr>
                <w:color w:val="auto"/>
              </w:rPr>
            </w:pPr>
            <w:r>
              <w:rPr>
                <w:rFonts w:hint="eastAsia"/>
                <w:color w:val="auto"/>
              </w:rPr>
              <w:t>12标包：35000元（大写：叁万伍仟元整）</w:t>
            </w:r>
          </w:p>
          <w:p>
            <w:pPr>
              <w:kinsoku w:val="0"/>
              <w:autoSpaceDE w:val="0"/>
              <w:autoSpaceDN w:val="0"/>
              <w:adjustRightInd/>
              <w:spacing w:line="240" w:lineRule="auto"/>
              <w:ind w:firstLine="0" w:firstLineChars="0"/>
              <w:rPr>
                <w:color w:val="auto"/>
              </w:rPr>
            </w:pPr>
            <w:r>
              <w:rPr>
                <w:rFonts w:hint="eastAsia"/>
                <w:color w:val="auto"/>
              </w:rPr>
              <w:t>13标包：4500元（大写：肆仟伍佰元整）</w:t>
            </w:r>
          </w:p>
          <w:p>
            <w:pPr>
              <w:kinsoku w:val="0"/>
              <w:autoSpaceDE w:val="0"/>
              <w:autoSpaceDN w:val="0"/>
              <w:adjustRightInd/>
              <w:spacing w:line="240" w:lineRule="auto"/>
              <w:ind w:firstLine="0" w:firstLineChars="0"/>
              <w:rPr>
                <w:color w:val="auto"/>
              </w:rPr>
            </w:pPr>
            <w:r>
              <w:rPr>
                <w:rFonts w:hint="eastAsia"/>
                <w:color w:val="auto"/>
              </w:rPr>
              <w:t>14标包：7000元（大写：柒仟元整）</w:t>
            </w:r>
          </w:p>
          <w:p>
            <w:pPr>
              <w:kinsoku w:val="0"/>
              <w:autoSpaceDE w:val="0"/>
              <w:autoSpaceDN w:val="0"/>
              <w:adjustRightInd/>
              <w:spacing w:line="240" w:lineRule="auto"/>
              <w:ind w:firstLine="0" w:firstLineChars="0"/>
              <w:rPr>
                <w:color w:val="auto"/>
              </w:rPr>
            </w:pPr>
            <w:r>
              <w:rPr>
                <w:rFonts w:hint="eastAsia"/>
                <w:color w:val="auto"/>
              </w:rPr>
              <w:t>到账截止时间同投标文件递交截止时间，到账时间以项目专项账户实际到账时间为准，未按时到账的保证金视为未按照招标文件要求提交投标保证金。</w:t>
            </w:r>
          </w:p>
          <w:p>
            <w:pPr>
              <w:kinsoku w:val="0"/>
              <w:autoSpaceDE w:val="0"/>
              <w:autoSpaceDN w:val="0"/>
              <w:adjustRightInd/>
              <w:spacing w:line="240" w:lineRule="auto"/>
              <w:ind w:firstLine="0" w:firstLineChars="0"/>
              <w:rPr>
                <w:color w:val="auto"/>
              </w:rPr>
            </w:pPr>
            <w:r>
              <w:rPr>
                <w:rFonts w:hint="eastAsia"/>
                <w:color w:val="auto"/>
              </w:rPr>
              <w:t>以银行转账形式递交投标保证金请按以下流程操作：</w:t>
            </w:r>
          </w:p>
          <w:p>
            <w:pPr>
              <w:kinsoku w:val="0"/>
              <w:autoSpaceDE w:val="0"/>
              <w:autoSpaceDN w:val="0"/>
              <w:adjustRightInd/>
              <w:spacing w:line="240" w:lineRule="auto"/>
              <w:ind w:firstLine="0" w:firstLineChars="0"/>
              <w:rPr>
                <w:color w:val="auto"/>
              </w:rPr>
            </w:pPr>
            <w:r>
              <w:rPr>
                <w:rFonts w:hint="eastAsia"/>
                <w:color w:val="auto"/>
              </w:rPr>
              <w:t>（一）登录中招联合招标采购平台（http://www.365trade.com.cn；以下简称“交易平台”）进行免费注册；</w:t>
            </w:r>
          </w:p>
          <w:p>
            <w:pPr>
              <w:kinsoku w:val="0"/>
              <w:autoSpaceDE w:val="0"/>
              <w:autoSpaceDN w:val="0"/>
              <w:adjustRightInd/>
              <w:spacing w:line="240" w:lineRule="auto"/>
              <w:ind w:firstLine="0" w:firstLineChars="0"/>
              <w:rPr>
                <w:color w:val="auto"/>
              </w:rPr>
            </w:pPr>
            <w:r>
              <w:rPr>
                <w:rFonts w:hint="eastAsia"/>
                <w:color w:val="auto"/>
              </w:rPr>
              <w:t>（二）凭注册时的用户名、密码验证身份登录，进入中招联合电子招标采购平台在线免费下载招标文件（因已经线下支付过招标文件费，所以无需在平台上缴纳任何服务费）</w:t>
            </w:r>
          </w:p>
          <w:p>
            <w:pPr>
              <w:kinsoku w:val="0"/>
              <w:autoSpaceDE w:val="0"/>
              <w:autoSpaceDN w:val="0"/>
              <w:adjustRightInd/>
              <w:spacing w:line="240" w:lineRule="auto"/>
              <w:ind w:firstLine="0" w:firstLineChars="0"/>
              <w:rPr>
                <w:color w:val="auto"/>
              </w:rPr>
            </w:pPr>
            <w:r>
              <w:rPr>
                <w:rFonts w:hint="eastAsia"/>
                <w:color w:val="auto"/>
              </w:rPr>
              <w:t>（三）招标文件下载完成后进入“缴纳保证金”功能模块，填写相关信息后通过平台自动获取保证金收款账户信息。请投标人按此信息将保证金电汇或银行转账至指定账户。</w:t>
            </w:r>
          </w:p>
          <w:p>
            <w:pPr>
              <w:kinsoku w:val="0"/>
              <w:autoSpaceDE w:val="0"/>
              <w:autoSpaceDN w:val="0"/>
              <w:adjustRightInd/>
              <w:spacing w:line="240" w:lineRule="auto"/>
              <w:ind w:firstLine="0" w:firstLineChars="0"/>
              <w:rPr>
                <w:color w:val="auto"/>
              </w:rPr>
            </w:pPr>
            <w:r>
              <w:rPr>
                <w:rFonts w:hint="eastAsia"/>
                <w:color w:val="auto"/>
              </w:rPr>
              <w:t>*特别注意：该账号为虚拟账号，仅针对本投标人本标包有效，对于其他投标人、其他项目或标包无效。同一个标包的不同供应商虚拟账户信息不相同；同一供应商不同标包的虚拟账户信息也不相同。请勿泄露虚拟账户信息。（特别提示：同一虚拟账户出现不同供应商汇款，即视为围标、串标，请妥善保管虚拟账户信息。）</w:t>
            </w:r>
          </w:p>
          <w:p>
            <w:pPr>
              <w:kinsoku w:val="0"/>
              <w:autoSpaceDE w:val="0"/>
              <w:autoSpaceDN w:val="0"/>
              <w:adjustRightInd/>
              <w:spacing w:line="240" w:lineRule="auto"/>
              <w:ind w:firstLine="0" w:firstLineChars="0"/>
              <w:rPr>
                <w:color w:val="auto"/>
              </w:rPr>
            </w:pPr>
            <w:r>
              <w:rPr>
                <w:rFonts w:hint="eastAsia"/>
                <w:color w:val="auto"/>
              </w:rPr>
              <w:t>中招国际招标有限公司委托中招联合信息股份有限公司及平安银行股份有限公司北京分行办理投标保证金收、退、转及结账、结算等相关业务。保证金办理相关问题请咨询中招联合（010-86397110）</w:t>
            </w:r>
          </w:p>
          <w:p>
            <w:pPr>
              <w:kinsoku w:val="0"/>
              <w:autoSpaceDE w:val="0"/>
              <w:autoSpaceDN w:val="0"/>
              <w:adjustRightInd/>
              <w:spacing w:line="240" w:lineRule="auto"/>
              <w:ind w:firstLine="0" w:firstLineChars="0"/>
              <w:rPr>
                <w:color w:val="auto"/>
              </w:rPr>
            </w:pPr>
            <w:r>
              <w:rPr>
                <w:rFonts w:hint="eastAsia"/>
                <w:color w:val="auto"/>
              </w:rPr>
              <w:t>注：（1）办理保证金手续时，请务必在银行进账单或电汇单的用途栏或空白栏上注明项目名称及标包号（可简写）。因标包众多，如投多个标包，各标包保证金务必分开缴纳。</w:t>
            </w:r>
          </w:p>
          <w:p>
            <w:pPr>
              <w:kinsoku w:val="0"/>
              <w:autoSpaceDE w:val="0"/>
              <w:autoSpaceDN w:val="0"/>
              <w:adjustRightInd/>
              <w:spacing w:line="240" w:lineRule="auto"/>
              <w:ind w:firstLine="0" w:firstLineChars="0"/>
              <w:rPr>
                <w:color w:val="auto"/>
              </w:rPr>
            </w:pPr>
            <w:r>
              <w:rPr>
                <w:rFonts w:hint="eastAsia"/>
                <w:color w:val="auto"/>
              </w:rPr>
              <w:t>（2）中标公示期结束后，若无质疑或投诉，自中标通知书发出之日起5个工作日内退还未中标人的投标保证金。如有质疑或投诉，将在质疑或投诉处理完毕后5个工作日内退还。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16</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投标文件的密封与标记</w:t>
            </w:r>
          </w:p>
        </w:tc>
        <w:tc>
          <w:tcPr>
            <w:tcW w:w="7600"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rPr>
            </w:pPr>
            <w:r>
              <w:rPr>
                <w:rFonts w:hint="eastAsia"/>
                <w:color w:val="auto"/>
              </w:rPr>
              <w:t>（1）投标人应将正、副本投标文件加以密封，并在封贴处盖密封章或公章。逾期送达或者未按照招标文件要求密封与标记的投标文件，采购人、采购代理机构应当拒收。</w:t>
            </w:r>
          </w:p>
          <w:p>
            <w:pPr>
              <w:kinsoku w:val="0"/>
              <w:autoSpaceDE w:val="0"/>
              <w:autoSpaceDN w:val="0"/>
              <w:adjustRightInd/>
              <w:spacing w:line="240" w:lineRule="auto"/>
              <w:ind w:firstLine="0" w:firstLineChars="0"/>
              <w:rPr>
                <w:color w:val="auto"/>
              </w:rPr>
            </w:pPr>
            <w:r>
              <w:rPr>
                <w:rFonts w:hint="eastAsia"/>
                <w:color w:val="auto"/>
              </w:rPr>
              <w:t>（2）投标文件袋的封面应注明项目名称、项目编号、标包号、投标人名称。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17.1</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递交投标文件截止时间</w:t>
            </w:r>
          </w:p>
        </w:tc>
        <w:tc>
          <w:tcPr>
            <w:tcW w:w="7600"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rPr>
            </w:pPr>
            <w:r>
              <w:rPr>
                <w:rFonts w:hint="eastAsia"/>
                <w:color w:val="auto"/>
                <w:spacing w:val="8"/>
              </w:rPr>
              <w:t>详</w:t>
            </w:r>
            <w:r>
              <w:rPr>
                <w:rFonts w:hint="eastAsia"/>
                <w:color w:val="auto"/>
                <w:spacing w:val="7"/>
              </w:rPr>
              <w:t>见第一章“招标公告”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17.2</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递交投标文件地点</w:t>
            </w:r>
          </w:p>
        </w:tc>
        <w:tc>
          <w:tcPr>
            <w:tcW w:w="7600"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rPr>
            </w:pPr>
            <w:r>
              <w:rPr>
                <w:rFonts w:hint="eastAsia"/>
                <w:color w:val="auto"/>
                <w:spacing w:val="8"/>
              </w:rPr>
              <w:t>详</w:t>
            </w:r>
            <w:r>
              <w:rPr>
                <w:rFonts w:hint="eastAsia"/>
                <w:color w:val="auto"/>
                <w:spacing w:val="7"/>
              </w:rPr>
              <w:t>见第一章“招标公告”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17.3</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是否退还投标文件</w:t>
            </w:r>
          </w:p>
        </w:tc>
        <w:tc>
          <w:tcPr>
            <w:tcW w:w="7600"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rPr>
            </w:pPr>
            <w:r>
              <w:rPr>
                <w:rFonts w:hint="eastAsia"/>
                <w:color w:val="auto"/>
                <w:spacing w:val="-2"/>
              </w:rPr>
              <w:t>☑</w:t>
            </w:r>
            <w:r>
              <w:rPr>
                <w:rFonts w:hint="eastAsia"/>
                <w:color w:val="auto"/>
                <w:spacing w:val="-4"/>
              </w:rPr>
              <w:t>不</w:t>
            </w:r>
            <w:r>
              <w:rPr>
                <w:rFonts w:hint="eastAsia"/>
                <w:color w:val="auto"/>
                <w:spacing w:val="-3"/>
              </w:rPr>
              <w:t>予</w:t>
            </w:r>
            <w:r>
              <w:rPr>
                <w:rFonts w:hint="eastAsia"/>
                <w:color w:val="auto"/>
                <w:spacing w:val="-2"/>
              </w:rPr>
              <w:t>退还   □退还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18.1</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开标时间和地点</w:t>
            </w:r>
          </w:p>
        </w:tc>
        <w:tc>
          <w:tcPr>
            <w:tcW w:w="7600"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spacing w:val="-6"/>
              </w:rPr>
            </w:pPr>
            <w:r>
              <w:rPr>
                <w:rFonts w:hint="eastAsia"/>
                <w:color w:val="auto"/>
                <w:spacing w:val="-11"/>
              </w:rPr>
              <w:t>开标</w:t>
            </w:r>
            <w:r>
              <w:rPr>
                <w:rFonts w:hint="eastAsia"/>
                <w:color w:val="auto"/>
                <w:spacing w:val="-6"/>
              </w:rPr>
              <w:t>时间：同递交投标文件截止时间</w:t>
            </w:r>
          </w:p>
          <w:p>
            <w:pPr>
              <w:kinsoku w:val="0"/>
              <w:autoSpaceDE w:val="0"/>
              <w:autoSpaceDN w:val="0"/>
              <w:adjustRightInd/>
              <w:spacing w:line="240" w:lineRule="auto"/>
              <w:ind w:firstLine="0" w:firstLineChars="0"/>
              <w:rPr>
                <w:color w:val="auto"/>
              </w:rPr>
            </w:pPr>
            <w:r>
              <w:rPr>
                <w:rFonts w:hint="eastAsia"/>
                <w:color w:val="auto"/>
                <w:spacing w:val="-7"/>
              </w:rPr>
              <w:t>开标地点：同递交投标文件地点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20.1</w:t>
            </w:r>
          </w:p>
          <w:p>
            <w:pPr>
              <w:keepLines/>
              <w:kinsoku w:val="0"/>
              <w:spacing w:line="240" w:lineRule="auto"/>
              <w:ind w:firstLine="0" w:firstLineChars="0"/>
              <w:jc w:val="center"/>
              <w:rPr>
                <w:color w:val="auto"/>
              </w:rPr>
            </w:pPr>
            <w:r>
              <w:rPr>
                <w:rFonts w:hint="eastAsia"/>
                <w:color w:val="auto"/>
              </w:rPr>
              <w:t>20.2</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评标委员会的组建</w:t>
            </w:r>
          </w:p>
        </w:tc>
        <w:tc>
          <w:tcPr>
            <w:tcW w:w="7600" w:type="dxa"/>
            <w:tcMar>
              <w:top w:w="57" w:type="dxa"/>
              <w:left w:w="57" w:type="dxa"/>
              <w:bottom w:w="57" w:type="dxa"/>
              <w:right w:w="57" w:type="dxa"/>
            </w:tcMar>
            <w:vAlign w:val="center"/>
          </w:tcPr>
          <w:p>
            <w:pPr>
              <w:keepLines/>
              <w:kinsoku w:val="0"/>
              <w:spacing w:line="240" w:lineRule="auto"/>
              <w:ind w:firstLine="0" w:firstLineChars="0"/>
              <w:rPr>
                <w:color w:val="auto"/>
                <w:spacing w:val="-7"/>
              </w:rPr>
            </w:pPr>
            <w:r>
              <w:rPr>
                <w:rFonts w:hint="eastAsia"/>
                <w:color w:val="auto"/>
              </w:rPr>
              <w:t>评标委员会由采购人代表2人和有关技术、经济等方面的评审专家5人，共7人组成。其中评审专家人数不得少于评标委员会成员总数的2/3。招标代理机构人员不得参加本机构代理的采购项目的评审。评标委员会应当推选组长，但采购人评审代表不得担任组长。技术、经济等方面由采购人依法在云南省政府采购专家管理子系统随机抽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25.1</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履约保证金金额</w:t>
            </w:r>
          </w:p>
        </w:tc>
        <w:tc>
          <w:tcPr>
            <w:tcW w:w="7600" w:type="dxa"/>
            <w:tcMar>
              <w:top w:w="57" w:type="dxa"/>
              <w:left w:w="57" w:type="dxa"/>
              <w:bottom w:w="57" w:type="dxa"/>
              <w:right w:w="57" w:type="dxa"/>
            </w:tcMar>
            <w:vAlign w:val="center"/>
          </w:tcPr>
          <w:p>
            <w:pPr>
              <w:kinsoku w:val="0"/>
              <w:autoSpaceDE w:val="0"/>
              <w:autoSpaceDN w:val="0"/>
              <w:adjustRightInd/>
              <w:spacing w:line="240" w:lineRule="auto"/>
              <w:rPr>
                <w:color w:val="auto"/>
              </w:rPr>
            </w:pPr>
            <w:r>
              <w:rPr>
                <w:rFonts w:hint="eastAsia"/>
                <w:color w:val="auto"/>
              </w:rPr>
              <w:t>乙方于合同签订前向甲方提交合同总价的5%（金额：XXX元，大写：人民币 XXX元整）作为履约保证金。</w:t>
            </w:r>
          </w:p>
          <w:p>
            <w:pPr>
              <w:kinsoku w:val="0"/>
              <w:autoSpaceDE w:val="0"/>
              <w:autoSpaceDN w:val="0"/>
              <w:adjustRightInd/>
              <w:spacing w:line="240" w:lineRule="auto"/>
              <w:rPr>
                <w:color w:val="auto"/>
              </w:rPr>
            </w:pPr>
            <w:r>
              <w:rPr>
                <w:rFonts w:hint="eastAsia"/>
                <w:color w:val="auto"/>
              </w:rPr>
              <w:t>甲方账户名：云南省消防救援总队</w:t>
            </w:r>
          </w:p>
          <w:p>
            <w:pPr>
              <w:kinsoku w:val="0"/>
              <w:autoSpaceDE w:val="0"/>
              <w:autoSpaceDN w:val="0"/>
              <w:adjustRightInd/>
              <w:spacing w:line="240" w:lineRule="auto"/>
              <w:rPr>
                <w:color w:val="auto"/>
              </w:rPr>
            </w:pPr>
            <w:r>
              <w:rPr>
                <w:rFonts w:hint="eastAsia"/>
                <w:color w:val="auto"/>
              </w:rPr>
              <w:t>甲方开户行：工行昆明南市区支行</w:t>
            </w:r>
          </w:p>
          <w:p>
            <w:pPr>
              <w:kinsoku w:val="0"/>
              <w:autoSpaceDE w:val="0"/>
              <w:autoSpaceDN w:val="0"/>
              <w:adjustRightInd/>
              <w:spacing w:line="240" w:lineRule="auto"/>
              <w:rPr>
                <w:color w:val="auto"/>
              </w:rPr>
            </w:pPr>
            <w:r>
              <w:rPr>
                <w:rFonts w:hint="eastAsia"/>
                <w:color w:val="auto"/>
              </w:rPr>
              <w:t>账号：2502 0250 0902 6701 338</w:t>
            </w:r>
          </w:p>
          <w:p>
            <w:pPr>
              <w:kinsoku w:val="0"/>
              <w:autoSpaceDE w:val="0"/>
              <w:autoSpaceDN w:val="0"/>
              <w:adjustRightInd/>
              <w:spacing w:line="240" w:lineRule="auto"/>
              <w:rPr>
                <w:color w:val="auto"/>
              </w:rPr>
            </w:pPr>
            <w:r>
              <w:rPr>
                <w:rFonts w:hint="eastAsia"/>
                <w:color w:val="auto"/>
              </w:rPr>
              <w:t>履约保证金收取方式：银行汇款</w:t>
            </w:r>
          </w:p>
          <w:p>
            <w:pPr>
              <w:kinsoku w:val="0"/>
              <w:autoSpaceDE w:val="0"/>
              <w:autoSpaceDN w:val="0"/>
              <w:adjustRightInd/>
              <w:spacing w:line="240" w:lineRule="auto"/>
              <w:rPr>
                <w:color w:val="auto"/>
              </w:rPr>
            </w:pPr>
            <w:r>
              <w:rPr>
                <w:rFonts w:hint="eastAsia"/>
                <w:color w:val="auto"/>
              </w:rPr>
              <w:t>履约保证金退还：自验收合格之日起1年期满后，无质量问题，甲方在30个日历天内一次性无息退还。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26.1</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招标代理服务费</w:t>
            </w:r>
          </w:p>
        </w:tc>
        <w:tc>
          <w:tcPr>
            <w:tcW w:w="7600" w:type="dxa"/>
            <w:tcMar>
              <w:top w:w="57" w:type="dxa"/>
              <w:left w:w="57" w:type="dxa"/>
              <w:bottom w:w="57" w:type="dxa"/>
              <w:right w:w="57" w:type="dxa"/>
            </w:tcMar>
            <w:vAlign w:val="center"/>
          </w:tcPr>
          <w:p>
            <w:pPr>
              <w:kinsoku w:val="0"/>
              <w:autoSpaceDE w:val="0"/>
              <w:autoSpaceDN w:val="0"/>
              <w:adjustRightInd/>
              <w:spacing w:line="240" w:lineRule="auto"/>
              <w:rPr>
                <w:color w:val="auto"/>
              </w:rPr>
            </w:pPr>
            <w:r>
              <w:rPr>
                <w:rFonts w:hint="eastAsia"/>
                <w:color w:val="auto"/>
              </w:rPr>
              <w:t>本项目招标代理服务费按照“云建招协〔2023〕51号 《云南省建设工程招标代理服务收费指导意见（试行）》中的《云南省招标代理服务收费指导标准》”货物类标准下浮20%收取。由中标人在领取中标通知书前向代理机构一次性支付。</w:t>
            </w:r>
          </w:p>
          <w:p>
            <w:pPr>
              <w:kinsoku w:val="0"/>
              <w:autoSpaceDE w:val="0"/>
              <w:autoSpaceDN w:val="0"/>
              <w:adjustRightInd/>
              <w:spacing w:line="240" w:lineRule="auto"/>
              <w:rPr>
                <w:color w:val="auto"/>
              </w:rPr>
            </w:pPr>
            <w:r>
              <w:rPr>
                <w:rFonts w:hint="eastAsia"/>
                <w:color w:val="auto"/>
              </w:rPr>
              <w:t>代理服务费缴纳形式：转账或现金</w:t>
            </w:r>
          </w:p>
          <w:p>
            <w:pPr>
              <w:kinsoku w:val="0"/>
              <w:autoSpaceDE w:val="0"/>
              <w:autoSpaceDN w:val="0"/>
              <w:adjustRightInd/>
              <w:spacing w:line="240" w:lineRule="auto"/>
              <w:rPr>
                <w:color w:val="auto"/>
              </w:rPr>
            </w:pPr>
            <w:r>
              <w:rPr>
                <w:rFonts w:hint="eastAsia"/>
                <w:color w:val="auto"/>
              </w:rPr>
              <w:t>收款账户信息如下：</w:t>
            </w:r>
          </w:p>
          <w:p>
            <w:pPr>
              <w:kinsoku w:val="0"/>
              <w:autoSpaceDE w:val="0"/>
              <w:autoSpaceDN w:val="0"/>
              <w:adjustRightInd/>
              <w:spacing w:line="240" w:lineRule="auto"/>
              <w:rPr>
                <w:color w:val="auto"/>
              </w:rPr>
            </w:pPr>
            <w:r>
              <w:rPr>
                <w:color w:val="auto"/>
              </w:rPr>
              <w:t>公司名称:中招国际招标有限公司云南分公司</w:t>
            </w:r>
          </w:p>
          <w:p>
            <w:pPr>
              <w:kinsoku w:val="0"/>
              <w:autoSpaceDE w:val="0"/>
              <w:autoSpaceDN w:val="0"/>
              <w:adjustRightInd/>
              <w:spacing w:line="240" w:lineRule="auto"/>
              <w:rPr>
                <w:color w:val="auto"/>
              </w:rPr>
            </w:pPr>
            <w:r>
              <w:rPr>
                <w:color w:val="auto"/>
              </w:rPr>
              <w:t>纳税人识别号:91530100582370297L</w:t>
            </w:r>
          </w:p>
          <w:p>
            <w:pPr>
              <w:kinsoku w:val="0"/>
              <w:autoSpaceDE w:val="0"/>
              <w:autoSpaceDN w:val="0"/>
              <w:adjustRightInd/>
              <w:spacing w:line="240" w:lineRule="auto"/>
              <w:rPr>
                <w:color w:val="auto"/>
              </w:rPr>
            </w:pPr>
            <w:r>
              <w:rPr>
                <w:color w:val="auto"/>
              </w:rPr>
              <w:t>地址:云南省昆明市高新区滇景名筑小区9#5层501-516号</w:t>
            </w:r>
          </w:p>
          <w:p>
            <w:pPr>
              <w:kinsoku w:val="0"/>
              <w:autoSpaceDE w:val="0"/>
              <w:autoSpaceDN w:val="0"/>
              <w:adjustRightInd/>
              <w:spacing w:line="240" w:lineRule="auto"/>
              <w:rPr>
                <w:color w:val="auto"/>
              </w:rPr>
            </w:pPr>
            <w:r>
              <w:rPr>
                <w:color w:val="auto"/>
              </w:rPr>
              <w:t>电话</w:t>
            </w:r>
            <w:r>
              <w:rPr>
                <w:rFonts w:hint="eastAsia"/>
                <w:color w:val="auto"/>
              </w:rPr>
              <w:t>：</w:t>
            </w:r>
            <w:r>
              <w:rPr>
                <w:color w:val="auto"/>
              </w:rPr>
              <w:t>0871-68316488</w:t>
            </w:r>
          </w:p>
          <w:p>
            <w:pPr>
              <w:kinsoku w:val="0"/>
              <w:autoSpaceDE w:val="0"/>
              <w:autoSpaceDN w:val="0"/>
              <w:adjustRightInd/>
              <w:spacing w:line="240" w:lineRule="auto"/>
              <w:rPr>
                <w:color w:val="auto"/>
              </w:rPr>
            </w:pPr>
            <w:r>
              <w:rPr>
                <w:color w:val="auto"/>
              </w:rPr>
              <w:t>开户行:中国工商银行股份有限公司昆明花园支行</w:t>
            </w:r>
          </w:p>
          <w:p>
            <w:pPr>
              <w:kinsoku w:val="0"/>
              <w:autoSpaceDE w:val="0"/>
              <w:autoSpaceDN w:val="0"/>
              <w:adjustRightInd/>
              <w:spacing w:line="240" w:lineRule="auto"/>
              <w:rPr>
                <w:color w:val="auto"/>
              </w:rPr>
            </w:pPr>
            <w:r>
              <w:rPr>
                <w:color w:val="auto"/>
              </w:rPr>
              <w:t>账号：2502124119024521401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28.1</w:t>
            </w:r>
          </w:p>
        </w:tc>
        <w:tc>
          <w:tcPr>
            <w:tcW w:w="1465" w:type="dxa"/>
            <w:tcBorders>
              <w:left w:val="single" w:color="auto" w:sz="4" w:space="0"/>
            </w:tcBorders>
            <w:tcMar>
              <w:top w:w="57" w:type="dxa"/>
              <w:left w:w="57" w:type="dxa"/>
              <w:bottom w:w="57" w:type="dxa"/>
              <w:right w:w="57" w:type="dxa"/>
            </w:tcMar>
            <w:vAlign w:val="center"/>
          </w:tcPr>
          <w:p>
            <w:pPr>
              <w:keepLines/>
              <w:kinsoku w:val="0"/>
              <w:spacing w:line="240" w:lineRule="auto"/>
              <w:ind w:firstLine="0" w:firstLineChars="0"/>
              <w:jc w:val="center"/>
              <w:rPr>
                <w:color w:val="auto"/>
              </w:rPr>
            </w:pPr>
            <w:r>
              <w:rPr>
                <w:rFonts w:hint="eastAsia"/>
                <w:color w:val="auto"/>
              </w:rPr>
              <w:t>备选方案</w:t>
            </w:r>
          </w:p>
        </w:tc>
        <w:tc>
          <w:tcPr>
            <w:tcW w:w="7600" w:type="dxa"/>
            <w:tcMar>
              <w:top w:w="57" w:type="dxa"/>
              <w:left w:w="57" w:type="dxa"/>
              <w:bottom w:w="57" w:type="dxa"/>
              <w:right w:w="57" w:type="dxa"/>
            </w:tcMar>
            <w:vAlign w:val="center"/>
          </w:tcPr>
          <w:p>
            <w:pPr>
              <w:kinsoku w:val="0"/>
              <w:autoSpaceDE w:val="0"/>
              <w:autoSpaceDN w:val="0"/>
              <w:adjustRightInd/>
              <w:spacing w:line="240" w:lineRule="auto"/>
              <w:ind w:firstLine="404"/>
              <w:jc w:val="both"/>
              <w:rPr>
                <w:color w:val="auto"/>
              </w:rPr>
            </w:pPr>
            <w:r>
              <w:rPr>
                <w:rFonts w:hint="eastAsia"/>
                <w:color w:val="auto"/>
                <w:spacing w:val="-4"/>
              </w:rPr>
              <w:t>□</w:t>
            </w:r>
            <w:r>
              <w:rPr>
                <w:rFonts w:hint="eastAsia"/>
                <w:color w:val="auto"/>
                <w:spacing w:val="-3"/>
              </w:rPr>
              <w:t>接</w:t>
            </w:r>
            <w:r>
              <w:rPr>
                <w:rFonts w:hint="eastAsia"/>
                <w:color w:val="auto"/>
                <w:spacing w:val="-2"/>
              </w:rPr>
              <w:t xml:space="preserve">受     </w:t>
            </w:r>
            <w:r>
              <w:rPr>
                <w:rFonts w:hint="eastAsia"/>
                <w:color w:val="auto"/>
                <w:spacing w:val="-4"/>
              </w:rPr>
              <w:t>☑</w:t>
            </w:r>
            <w:r>
              <w:rPr>
                <w:rFonts w:hint="eastAsia"/>
                <w:color w:val="auto"/>
                <w:spacing w:val="-2"/>
              </w:rPr>
              <w:t>不接受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kinsoku w:val="0"/>
              <w:autoSpaceDE w:val="0"/>
              <w:autoSpaceDN w:val="0"/>
              <w:spacing w:line="240" w:lineRule="auto"/>
              <w:ind w:firstLine="0" w:firstLineChars="0"/>
              <w:jc w:val="center"/>
              <w:rPr>
                <w:color w:val="auto"/>
              </w:rPr>
            </w:pPr>
            <w:r>
              <w:rPr>
                <w:rFonts w:hint="eastAsia"/>
                <w:color w:val="auto"/>
              </w:rPr>
              <w:t>29</w:t>
            </w:r>
          </w:p>
        </w:tc>
        <w:tc>
          <w:tcPr>
            <w:tcW w:w="9065" w:type="dxa"/>
            <w:gridSpan w:val="2"/>
            <w:tcBorders>
              <w:lef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422"/>
              <w:jc w:val="center"/>
              <w:rPr>
                <w:color w:val="auto"/>
              </w:rPr>
            </w:pPr>
            <w:r>
              <w:rPr>
                <w:rFonts w:hint="eastAsia"/>
                <w:b/>
                <w:bCs/>
                <w:color w:val="auto"/>
              </w:rPr>
              <w:t>本项目不允许分包。</w:t>
            </w:r>
          </w:p>
        </w:tc>
      </w:tr>
    </w:tbl>
    <w:p>
      <w:pPr>
        <w:spacing w:line="240" w:lineRule="auto"/>
        <w:rPr>
          <w:color w:val="auto"/>
        </w:rPr>
      </w:pPr>
      <w:r>
        <w:rPr>
          <w:rFonts w:hint="eastAsia"/>
          <w:color w:val="auto"/>
        </w:rPr>
        <w:br w:type="page"/>
      </w:r>
    </w:p>
    <w:p>
      <w:pPr>
        <w:pStyle w:val="3"/>
        <w:ind w:firstLine="482"/>
        <w:jc w:val="center"/>
        <w:rPr>
          <w:color w:val="auto"/>
        </w:rPr>
      </w:pPr>
      <w:bookmarkStart w:id="9" w:name="_Toc7810"/>
      <w:r>
        <w:rPr>
          <w:rFonts w:hint="eastAsia"/>
          <w:color w:val="auto"/>
        </w:rPr>
        <w:t>一、总则</w:t>
      </w:r>
      <w:bookmarkEnd w:id="9"/>
    </w:p>
    <w:p>
      <w:pPr>
        <w:rPr>
          <w:color w:val="auto"/>
        </w:rPr>
      </w:pPr>
      <w:r>
        <w:rPr>
          <w:rFonts w:hint="eastAsia"/>
          <w:color w:val="auto"/>
        </w:rPr>
        <w:t>1、项目概况</w:t>
      </w:r>
    </w:p>
    <w:p>
      <w:pPr>
        <w:rPr>
          <w:color w:val="auto"/>
        </w:rPr>
      </w:pPr>
      <w:r>
        <w:rPr>
          <w:rFonts w:hint="eastAsia"/>
          <w:color w:val="auto"/>
        </w:rPr>
        <w:t>1.1 招标人、招标代理机构、项目名称及项目编号：见“投标人须知前附表”。</w:t>
      </w:r>
    </w:p>
    <w:p>
      <w:pPr>
        <w:rPr>
          <w:color w:val="auto"/>
        </w:rPr>
      </w:pPr>
      <w:r>
        <w:rPr>
          <w:rFonts w:hint="eastAsia"/>
          <w:color w:val="auto"/>
        </w:rPr>
        <w:t>2、资金来源</w:t>
      </w:r>
    </w:p>
    <w:p>
      <w:pPr>
        <w:rPr>
          <w:color w:val="auto"/>
        </w:rPr>
      </w:pPr>
      <w:r>
        <w:rPr>
          <w:rFonts w:hint="eastAsia"/>
          <w:color w:val="auto"/>
        </w:rPr>
        <w:t>2.1 “投标人须知前附表”中所述的招标资金，用于招标“第五章 技术要求”所列货物。</w:t>
      </w:r>
    </w:p>
    <w:p>
      <w:pPr>
        <w:rPr>
          <w:color w:val="auto"/>
        </w:rPr>
      </w:pPr>
      <w:r>
        <w:rPr>
          <w:rFonts w:hint="eastAsia"/>
          <w:color w:val="auto"/>
        </w:rPr>
        <w:t>3、招标范围</w:t>
      </w:r>
    </w:p>
    <w:p>
      <w:pPr>
        <w:rPr>
          <w:color w:val="auto"/>
        </w:rPr>
      </w:pPr>
      <w:r>
        <w:rPr>
          <w:rFonts w:hint="eastAsia"/>
          <w:color w:val="auto"/>
        </w:rPr>
        <w:t>3.1 本项目招标内容：见“投标人须知前附表”。</w:t>
      </w:r>
    </w:p>
    <w:p>
      <w:pPr>
        <w:rPr>
          <w:color w:val="auto"/>
        </w:rPr>
      </w:pPr>
      <w:r>
        <w:rPr>
          <w:rFonts w:hint="eastAsia"/>
          <w:color w:val="auto"/>
        </w:rPr>
        <w:t>3.2 本项目交货期、质量要求：见“投标人须知前附表”。</w:t>
      </w:r>
    </w:p>
    <w:p>
      <w:pPr>
        <w:rPr>
          <w:color w:val="auto"/>
        </w:rPr>
      </w:pPr>
      <w:r>
        <w:rPr>
          <w:rFonts w:hint="eastAsia"/>
          <w:color w:val="auto"/>
        </w:rPr>
        <w:t>4、合格的投标人(以下简称投标人)</w:t>
      </w:r>
    </w:p>
    <w:p>
      <w:pPr>
        <w:rPr>
          <w:color w:val="auto"/>
        </w:rPr>
      </w:pPr>
      <w:r>
        <w:rPr>
          <w:rFonts w:hint="eastAsia"/>
          <w:color w:val="auto"/>
        </w:rPr>
        <w:t>4.1 投标人应具备《中华人民共和国政府采购法》第二十二条规定的条件，并提供下列材料：</w:t>
      </w:r>
    </w:p>
    <w:p>
      <w:pPr>
        <w:rPr>
          <w:color w:val="auto"/>
        </w:rPr>
      </w:pPr>
      <w:r>
        <w:rPr>
          <w:rFonts w:hint="eastAsia"/>
          <w:color w:val="auto"/>
        </w:rPr>
        <w:t>4.1.1 投标人必须是具有独立承担民事责任能力的法人、其他组织；提供营业执照(复印件加盖公章）；</w:t>
      </w:r>
    </w:p>
    <w:p>
      <w:pPr>
        <w:rPr>
          <w:color w:val="auto"/>
        </w:rPr>
      </w:pPr>
      <w:r>
        <w:rPr>
          <w:rFonts w:hint="eastAsia"/>
          <w:color w:val="auto"/>
        </w:rPr>
        <w:t>4.1.2 投标人须提供财务状况报告，内容详见“投标人须知前附表”；</w:t>
      </w:r>
    </w:p>
    <w:p>
      <w:pPr>
        <w:rPr>
          <w:color w:val="auto"/>
        </w:rPr>
      </w:pPr>
      <w:r>
        <w:rPr>
          <w:rFonts w:hint="eastAsia"/>
          <w:color w:val="auto"/>
        </w:rPr>
        <w:t>4.1.3 投标人提供近期内(具体月份详见“投标人须知前附表”)依法缴纳税收如税务局税收通用缴款书复印件或银行电子缴税(费) 凭证复印件或税务局出具纳税情况的相关证明复印件；</w:t>
      </w:r>
    </w:p>
    <w:p>
      <w:pPr>
        <w:rPr>
          <w:color w:val="auto"/>
        </w:rPr>
      </w:pPr>
      <w:r>
        <w:rPr>
          <w:rFonts w:hint="eastAsia"/>
          <w:color w:val="auto"/>
        </w:rPr>
        <w:t>4.1.4 投标人提供近期内(具体月份详见“投标人须知前附表”)的社会保险费缴款书复印件或银行电子缴税(费)凭证复印件或社保管理部门出具的有效的缴款证明复印件；</w:t>
      </w:r>
    </w:p>
    <w:p>
      <w:pPr>
        <w:rPr>
          <w:color w:val="auto"/>
        </w:rPr>
      </w:pPr>
      <w:r>
        <w:rPr>
          <w:rFonts w:hint="eastAsia"/>
          <w:color w:val="auto"/>
        </w:rPr>
        <w:t>4.1.5 投标人须提供具备履行合同所必需的设备和专业技术能力的证明材料；</w:t>
      </w:r>
    </w:p>
    <w:p>
      <w:pPr>
        <w:rPr>
          <w:color w:val="auto"/>
        </w:rPr>
      </w:pPr>
      <w:r>
        <w:rPr>
          <w:rFonts w:hint="eastAsia"/>
          <w:color w:val="auto"/>
        </w:rPr>
        <w:t>4.1.6 投标人必须提供参加本项目政府采购活动前 3 年内在经营活动中没有重大违法记录的书面声明(重大违法记录，是指投标人因违法经营受到刑事处罚或者责令停产停业、吊销许可证或者执照、较大数额罚款等行政处罚) ；</w:t>
      </w:r>
    </w:p>
    <w:p>
      <w:pPr>
        <w:rPr>
          <w:color w:val="auto"/>
        </w:rPr>
      </w:pPr>
      <w:r>
        <w:rPr>
          <w:rFonts w:hint="eastAsia"/>
          <w:color w:val="auto"/>
        </w:rPr>
        <w:t>4.2 落实政府采购政策需满足的资格要求：见“投标人须知前附表”。</w:t>
      </w:r>
    </w:p>
    <w:p>
      <w:pPr>
        <w:rPr>
          <w:color w:val="auto"/>
        </w:rPr>
      </w:pPr>
      <w:r>
        <w:rPr>
          <w:rFonts w:hint="eastAsia"/>
          <w:color w:val="auto"/>
        </w:rPr>
        <w:t>4.3 本项目的特定要求： 见“投标人须知前附表”。</w:t>
      </w:r>
    </w:p>
    <w:p>
      <w:pPr>
        <w:rPr>
          <w:color w:val="auto"/>
        </w:rPr>
      </w:pPr>
      <w:r>
        <w:rPr>
          <w:rFonts w:hint="eastAsia"/>
          <w:color w:val="auto"/>
        </w:rPr>
        <w:t>5、投标费用</w:t>
      </w:r>
    </w:p>
    <w:p>
      <w:pPr>
        <w:rPr>
          <w:color w:val="auto"/>
        </w:rPr>
      </w:pPr>
      <w:r>
        <w:rPr>
          <w:rFonts w:hint="eastAsia"/>
          <w:color w:val="auto"/>
        </w:rPr>
        <w:t>5.1 无论是否中标，投标人自行承担所有与参加投标有关的全部费用。</w:t>
      </w:r>
    </w:p>
    <w:p>
      <w:pPr>
        <w:rPr>
          <w:color w:val="auto"/>
        </w:rPr>
      </w:pPr>
      <w:r>
        <w:rPr>
          <w:rFonts w:hint="eastAsia"/>
          <w:color w:val="auto"/>
        </w:rPr>
        <w:t>6.1 投标人认为招标文件、评审过程和中标结果使自己的权益受到损害的，可以在知道或者应知其权益受到损害之日起 7 个工作日内，以书面形式向招标人、招标代理机构提出质疑，质疑内容不得含有虚假、恶意成分。投标人需在法定质疑期内一次性提出针对同一程序环节的质疑。当事人对自己提出的主张，有责任提供证据，提出质疑时应同时提交相关证据材料和注明事实的确切来源且证据合法、真实、有效。招标人或招标代理机构应当在 7 个工作日内对投标人依法提出的质疑作出书面答复，但答复的内容不得涉及商业秘密。投标人知其权益受到损害之日，是指：</w:t>
      </w:r>
    </w:p>
    <w:p>
      <w:pPr>
        <w:rPr>
          <w:color w:val="auto"/>
        </w:rPr>
      </w:pPr>
      <w:r>
        <w:rPr>
          <w:rFonts w:hint="eastAsia"/>
          <w:color w:val="auto"/>
        </w:rPr>
        <w:t>(一)对可以质疑的招标文件提出质疑的，为收到招标文件之日或者招标文件公告期限届满之日；</w:t>
      </w:r>
    </w:p>
    <w:p>
      <w:pPr>
        <w:rPr>
          <w:color w:val="auto"/>
        </w:rPr>
      </w:pPr>
      <w:r>
        <w:rPr>
          <w:rFonts w:hint="eastAsia"/>
          <w:color w:val="auto"/>
        </w:rPr>
        <w:t>(二)对招标过程提出质疑的，为各招标程序环节结束之日；</w:t>
      </w:r>
    </w:p>
    <w:p>
      <w:pPr>
        <w:rPr>
          <w:color w:val="auto"/>
        </w:rPr>
      </w:pPr>
      <w:r>
        <w:rPr>
          <w:rFonts w:hint="eastAsia"/>
          <w:color w:val="auto"/>
        </w:rPr>
        <w:t>(三)对中标结果提出质疑的，为中标结果公告期限届满之日。(中标公告发布之日起七个工作日内)</w:t>
      </w:r>
    </w:p>
    <w:p>
      <w:pPr>
        <w:rPr>
          <w:color w:val="auto"/>
        </w:rPr>
      </w:pPr>
      <w:r>
        <w:rPr>
          <w:rFonts w:hint="eastAsia"/>
          <w:color w:val="auto"/>
        </w:rPr>
        <w:t>6.2 投标人提供的质疑书(如材料中有外文资料应同时附上中文译本)应当包括以下主要内容：</w:t>
      </w:r>
    </w:p>
    <w:p>
      <w:pPr>
        <w:rPr>
          <w:color w:val="auto"/>
        </w:rPr>
      </w:pPr>
      <w:r>
        <w:rPr>
          <w:rFonts w:hint="eastAsia"/>
          <w:color w:val="auto"/>
        </w:rPr>
        <w:t>(1) 投标人的姓名或者名称、地址、邮编、联系人及联系电话；</w:t>
      </w:r>
    </w:p>
    <w:p>
      <w:pPr>
        <w:rPr>
          <w:color w:val="auto"/>
        </w:rPr>
      </w:pPr>
      <w:r>
        <w:rPr>
          <w:rFonts w:hint="eastAsia"/>
          <w:color w:val="auto"/>
        </w:rPr>
        <w:t>(2) 质疑项目的名称、编号；</w:t>
      </w:r>
    </w:p>
    <w:p>
      <w:pPr>
        <w:rPr>
          <w:color w:val="auto"/>
        </w:rPr>
      </w:pPr>
      <w:r>
        <w:rPr>
          <w:rFonts w:hint="eastAsia"/>
          <w:color w:val="auto"/>
        </w:rPr>
        <w:t>(3) 具体、明确的质疑事项和与质疑事项相关的请求；</w:t>
      </w:r>
    </w:p>
    <w:p>
      <w:pPr>
        <w:rPr>
          <w:color w:val="auto"/>
        </w:rPr>
      </w:pPr>
      <w:r>
        <w:rPr>
          <w:rFonts w:hint="eastAsia"/>
          <w:color w:val="auto"/>
        </w:rPr>
        <w:t>(4) 事实依据；</w:t>
      </w:r>
    </w:p>
    <w:p>
      <w:pPr>
        <w:rPr>
          <w:color w:val="auto"/>
        </w:rPr>
      </w:pPr>
      <w:r>
        <w:rPr>
          <w:rFonts w:hint="eastAsia"/>
          <w:color w:val="auto"/>
        </w:rPr>
        <w:t>(5) 必要的法律依据；</w:t>
      </w:r>
    </w:p>
    <w:p>
      <w:pPr>
        <w:rPr>
          <w:color w:val="auto"/>
        </w:rPr>
      </w:pPr>
      <w:r>
        <w:rPr>
          <w:rFonts w:hint="eastAsia"/>
          <w:color w:val="auto"/>
        </w:rPr>
        <w:t>(6) 提出质疑的日期。</w:t>
      </w:r>
    </w:p>
    <w:p>
      <w:pPr>
        <w:ind w:firstLine="422"/>
        <w:rPr>
          <w:b/>
          <w:bCs/>
          <w:color w:val="auto"/>
        </w:rPr>
      </w:pPr>
      <w:r>
        <w:rPr>
          <w:rFonts w:hint="eastAsia"/>
          <w:b/>
          <w:bCs/>
          <w:color w:val="auto"/>
        </w:rPr>
        <w:t>质疑书实行实名制，应当由法定代表人或者其授权代表签字或者盖章，并加盖公章。</w:t>
      </w:r>
    </w:p>
    <w:p>
      <w:pPr>
        <w:rPr>
          <w:color w:val="auto"/>
        </w:rPr>
      </w:pPr>
      <w:r>
        <w:rPr>
          <w:rFonts w:hint="eastAsia"/>
          <w:color w:val="auto"/>
        </w:rPr>
        <w:t>受理质疑部门：XX公司     电话：XX</w:t>
      </w:r>
    </w:p>
    <w:p>
      <w:pPr>
        <w:rPr>
          <w:color w:val="auto"/>
        </w:rPr>
      </w:pPr>
      <w:r>
        <w:rPr>
          <w:rFonts w:hint="eastAsia"/>
          <w:color w:val="auto"/>
        </w:rPr>
        <w:t>通讯地址：昆明市XX            邮编：650000</w:t>
      </w:r>
    </w:p>
    <w:p>
      <w:pPr>
        <w:pStyle w:val="12"/>
        <w:spacing w:after="0"/>
        <w:ind w:left="0" w:leftChars="0"/>
        <w:rPr>
          <w:color w:val="auto"/>
        </w:rPr>
      </w:pPr>
      <w:r>
        <w:rPr>
          <w:rFonts w:hint="eastAsia"/>
          <w:color w:val="auto"/>
        </w:rPr>
        <w:t>6.3 提出质疑的供应商应当是参与所质疑项目采购活动的供应商。</w:t>
      </w:r>
    </w:p>
    <w:p>
      <w:pPr>
        <w:rPr>
          <w:color w:val="auto"/>
        </w:rPr>
      </w:pPr>
      <w:r>
        <w:rPr>
          <w:rFonts w:hint="eastAsia"/>
          <w:color w:val="auto"/>
        </w:rPr>
        <w:t>7、投诉</w:t>
      </w:r>
    </w:p>
    <w:p>
      <w:pPr>
        <w:rPr>
          <w:color w:val="auto"/>
        </w:rPr>
      </w:pPr>
      <w:r>
        <w:rPr>
          <w:rFonts w:hint="eastAsia"/>
          <w:color w:val="auto"/>
        </w:rPr>
        <w:t>当事人提出的投诉事项必须首先经过质疑程序。质疑投标人对招标人、招标代理机构的答复不满意，或者招标人、招标代理机构未在规定时间内作出答复的，可以在答复期满后 15 个工作日内向本级财政部门提起投诉。</w:t>
      </w:r>
    </w:p>
    <w:p>
      <w:pPr>
        <w:pStyle w:val="3"/>
        <w:ind w:firstLine="482"/>
        <w:jc w:val="center"/>
        <w:rPr>
          <w:color w:val="auto"/>
        </w:rPr>
      </w:pPr>
      <w:bookmarkStart w:id="10" w:name="_Toc17171"/>
      <w:r>
        <w:rPr>
          <w:rFonts w:hint="eastAsia"/>
          <w:color w:val="auto"/>
        </w:rPr>
        <w:t>二、招标文件</w:t>
      </w:r>
      <w:bookmarkEnd w:id="10"/>
    </w:p>
    <w:p>
      <w:pPr>
        <w:rPr>
          <w:color w:val="auto"/>
        </w:rPr>
      </w:pPr>
      <w:r>
        <w:rPr>
          <w:rFonts w:hint="eastAsia"/>
          <w:color w:val="auto"/>
        </w:rPr>
        <w:t>8、招标文件的组成</w:t>
      </w:r>
    </w:p>
    <w:p>
      <w:pPr>
        <w:rPr>
          <w:color w:val="auto"/>
        </w:rPr>
      </w:pPr>
      <w:r>
        <w:rPr>
          <w:rFonts w:hint="eastAsia"/>
          <w:color w:val="auto"/>
        </w:rPr>
        <w:t>第一章：招标公告</w:t>
      </w:r>
    </w:p>
    <w:p>
      <w:pPr>
        <w:rPr>
          <w:color w:val="auto"/>
        </w:rPr>
      </w:pPr>
      <w:r>
        <w:rPr>
          <w:rFonts w:hint="eastAsia"/>
          <w:color w:val="auto"/>
        </w:rPr>
        <w:t>第二章：投标人须知</w:t>
      </w:r>
    </w:p>
    <w:p>
      <w:pPr>
        <w:rPr>
          <w:color w:val="auto"/>
        </w:rPr>
      </w:pPr>
      <w:r>
        <w:rPr>
          <w:rFonts w:hint="eastAsia"/>
          <w:color w:val="auto"/>
        </w:rPr>
        <w:t>第三章：合同书样式及主要条款</w:t>
      </w:r>
    </w:p>
    <w:p>
      <w:pPr>
        <w:rPr>
          <w:color w:val="auto"/>
        </w:rPr>
      </w:pPr>
      <w:r>
        <w:rPr>
          <w:rFonts w:hint="eastAsia"/>
          <w:color w:val="auto"/>
        </w:rPr>
        <w:t>第四章：投标文件格式</w:t>
      </w:r>
    </w:p>
    <w:p>
      <w:pPr>
        <w:rPr>
          <w:color w:val="auto"/>
        </w:rPr>
      </w:pPr>
      <w:r>
        <w:rPr>
          <w:rFonts w:hint="eastAsia"/>
          <w:color w:val="auto"/>
        </w:rPr>
        <w:t>第五章：技术要求</w:t>
      </w:r>
    </w:p>
    <w:p>
      <w:pPr>
        <w:rPr>
          <w:color w:val="auto"/>
        </w:rPr>
      </w:pPr>
      <w:r>
        <w:rPr>
          <w:rFonts w:hint="eastAsia"/>
          <w:color w:val="auto"/>
        </w:rPr>
        <w:t>第六章：资格审查</w:t>
      </w:r>
    </w:p>
    <w:p>
      <w:pPr>
        <w:rPr>
          <w:color w:val="auto"/>
        </w:rPr>
      </w:pPr>
      <w:r>
        <w:rPr>
          <w:rFonts w:hint="eastAsia"/>
          <w:color w:val="auto"/>
        </w:rPr>
        <w:t>第七章评审办法</w:t>
      </w:r>
    </w:p>
    <w:p>
      <w:pPr>
        <w:rPr>
          <w:color w:val="auto"/>
        </w:rPr>
      </w:pPr>
      <w:r>
        <w:rPr>
          <w:rFonts w:hint="eastAsia"/>
          <w:color w:val="auto"/>
        </w:rPr>
        <w:t>9、招标文件的澄清、修改</w:t>
      </w:r>
    </w:p>
    <w:p>
      <w:pPr>
        <w:rPr>
          <w:color w:val="auto"/>
        </w:rPr>
      </w:pPr>
      <w:r>
        <w:rPr>
          <w:rFonts w:hint="eastAsia"/>
          <w:color w:val="auto"/>
        </w:rPr>
        <w:t>9.1 招标代理机构对已发出的招标文件进行必要澄清或者修改的，在发布招标公告相同媒体上发布更正公告，并以书面形式通知所有获取招标文件的投标人。该澄清或者修改的内容为招标文件的组成部分。</w:t>
      </w:r>
    </w:p>
    <w:p>
      <w:pPr>
        <w:rPr>
          <w:color w:val="auto"/>
        </w:rPr>
      </w:pPr>
      <w:r>
        <w:rPr>
          <w:rFonts w:hint="eastAsia"/>
          <w:color w:val="auto"/>
        </w:rPr>
        <w:t>9.2 澄清或者修改的内容可能影响投标文件编制的，招标代理机构在投标截止时间至少 15 日前，以书面形式通知所有获取招标文件的潜在投标人；不足 15 日的，招标代理机构将顺延提交投标文件的截止时间。</w:t>
      </w:r>
    </w:p>
    <w:p>
      <w:pPr>
        <w:rPr>
          <w:color w:val="auto"/>
          <w:spacing w:val="-4"/>
        </w:rPr>
      </w:pPr>
      <w:r>
        <w:rPr>
          <w:rFonts w:hint="eastAsia"/>
          <w:color w:val="auto"/>
        </w:rPr>
        <w:t>9.3 招标代理机构和招标人可以视项目具体情况，延长投标截止时间和推迟开标时间，但至少在招标文件要求提交投标文件的截止时间前将变更时间书面通知所有获取招标文件的投标人，并在发布招标公告相同媒体上发布变更公告。</w:t>
      </w:r>
    </w:p>
    <w:p>
      <w:pPr>
        <w:pStyle w:val="3"/>
        <w:ind w:firstLine="482"/>
        <w:jc w:val="center"/>
        <w:rPr>
          <w:color w:val="auto"/>
        </w:rPr>
      </w:pPr>
      <w:bookmarkStart w:id="11" w:name="_Toc26335"/>
      <w:r>
        <w:rPr>
          <w:rFonts w:hint="eastAsia"/>
          <w:color w:val="auto"/>
        </w:rPr>
        <w:t>三、投标文件</w:t>
      </w:r>
      <w:bookmarkEnd w:id="11"/>
    </w:p>
    <w:p>
      <w:pPr>
        <w:rPr>
          <w:color w:val="auto"/>
        </w:rPr>
      </w:pPr>
      <w:r>
        <w:rPr>
          <w:rFonts w:hint="eastAsia"/>
          <w:color w:val="auto"/>
        </w:rPr>
        <w:t>10、投标文件编写注意事项</w:t>
      </w:r>
    </w:p>
    <w:p>
      <w:pPr>
        <w:rPr>
          <w:color w:val="auto"/>
        </w:rPr>
      </w:pPr>
      <w:r>
        <w:rPr>
          <w:rFonts w:hint="eastAsia"/>
          <w:color w:val="auto"/>
        </w:rPr>
        <w:t>10.1 投标人应仔细阅读招标文件，在完全了解招标的内容、技术要求(见第五章“技术要求”)和商务条件后，编写投标文件。</w:t>
      </w:r>
    </w:p>
    <w:p>
      <w:pPr>
        <w:rPr>
          <w:color w:val="auto"/>
        </w:rPr>
      </w:pPr>
      <w:r>
        <w:rPr>
          <w:rFonts w:hint="eastAsia"/>
          <w:color w:val="auto"/>
        </w:rPr>
        <w:t>10.2 对招标文件提出的实质性要求和条件作出响应是指投标人必须对招标文件中规定的中标实质性要求和条件作出满足或者优于原要求和条件的承诺，并提供相应的证明材料。</w:t>
      </w:r>
    </w:p>
    <w:p>
      <w:pPr>
        <w:rPr>
          <w:color w:val="auto"/>
        </w:rPr>
      </w:pPr>
      <w:r>
        <w:rPr>
          <w:rFonts w:hint="eastAsia"/>
          <w:color w:val="auto"/>
        </w:rPr>
        <w:t>11、投标文件构成</w:t>
      </w:r>
    </w:p>
    <w:p>
      <w:pPr>
        <w:rPr>
          <w:color w:val="auto"/>
        </w:rPr>
      </w:pPr>
      <w:r>
        <w:rPr>
          <w:rFonts w:hint="eastAsia"/>
          <w:color w:val="auto"/>
        </w:rPr>
        <w:t>11.1 投标人编写的投标文件应按第四章“投标文件格式”要求填写。有关文件的提交如未特别注明需提供原件的，可提供复印件。</w:t>
      </w:r>
    </w:p>
    <w:p>
      <w:pPr>
        <w:rPr>
          <w:color w:val="auto"/>
        </w:rPr>
      </w:pPr>
      <w:r>
        <w:rPr>
          <w:rFonts w:hint="eastAsia"/>
          <w:color w:val="auto"/>
        </w:rPr>
        <w:t>11.2 构成投标文件的其他资料：见“投标人须知前附表”。</w:t>
      </w:r>
    </w:p>
    <w:p>
      <w:pPr>
        <w:rPr>
          <w:color w:val="auto"/>
        </w:rPr>
      </w:pPr>
      <w:r>
        <w:rPr>
          <w:rFonts w:hint="eastAsia"/>
          <w:color w:val="auto"/>
        </w:rPr>
        <w:t>12、报价和报价货币</w:t>
      </w:r>
    </w:p>
    <w:p>
      <w:pPr>
        <w:ind w:firstLine="422"/>
        <w:rPr>
          <w:color w:val="auto"/>
        </w:rPr>
      </w:pPr>
      <w:r>
        <w:rPr>
          <w:rFonts w:hint="eastAsia"/>
          <w:b/>
          <w:bCs/>
          <w:color w:val="auto"/>
        </w:rPr>
        <w:t>12.1 投标人须就“第五章 技术要求”中所参与投标的项目内容作完整唯一报价。</w:t>
      </w:r>
    </w:p>
    <w:p>
      <w:pPr>
        <w:rPr>
          <w:color w:val="auto"/>
        </w:rPr>
      </w:pPr>
      <w:r>
        <w:rPr>
          <w:rFonts w:hint="eastAsia"/>
          <w:color w:val="auto"/>
        </w:rPr>
        <w:t>12.2 投标人应依据招标文件的要求及有关资料，执行国家或行业现行技术经济标准规范，自行测算出满足采购要求的货物的投标报价。报价包括但不仅限于人员工资、福利、招标代理服务费，市场价格变化的风险费用、利润、税金等的总和，该报价应考虑市场风险、政策性风险、汇率风险等因素，并能保证投标人完成履行合同所需的全部工作。合同一旦签订，此价格在合同实施期间将不作调整。投标人应根据本企业的成本自行决定报价，但不得以低于成本的报价竞标。</w:t>
      </w:r>
    </w:p>
    <w:p>
      <w:pPr>
        <w:rPr>
          <w:color w:val="auto"/>
        </w:rPr>
      </w:pPr>
      <w:r>
        <w:rPr>
          <w:rFonts w:hint="eastAsia"/>
          <w:color w:val="auto"/>
        </w:rPr>
        <w:t>12.3投标人不得哄抬报价，也不应低于成本价（或进价）报价。评标委员会认为投标人的最低报价或者某些分项报价明显不合理或者低于成本，有可能影响商品质量和不能诚信履约的，将要求其在规定的期限内提供书面文件予以解释说明，并提交相关证明材料。否则，评标委员会可以否决该投标人的投标文件。</w:t>
      </w:r>
    </w:p>
    <w:p>
      <w:pPr>
        <w:rPr>
          <w:color w:val="auto"/>
        </w:rPr>
      </w:pPr>
      <w:r>
        <w:rPr>
          <w:rFonts w:hint="eastAsia"/>
          <w:color w:val="auto"/>
        </w:rPr>
        <w:t>12.</w:t>
      </w:r>
      <w:r>
        <w:rPr>
          <w:color w:val="auto"/>
        </w:rPr>
        <w:t>4</w:t>
      </w:r>
      <w:r>
        <w:rPr>
          <w:rFonts w:hint="eastAsia"/>
          <w:color w:val="auto"/>
        </w:rPr>
        <w:t xml:space="preserve"> 报价货币为人民币。</w:t>
      </w:r>
    </w:p>
    <w:p>
      <w:pPr>
        <w:rPr>
          <w:color w:val="auto"/>
        </w:rPr>
      </w:pPr>
      <w:r>
        <w:rPr>
          <w:rFonts w:hint="eastAsia"/>
          <w:color w:val="auto"/>
        </w:rPr>
        <w:t>13、投标有效期</w:t>
      </w:r>
    </w:p>
    <w:p>
      <w:pPr>
        <w:rPr>
          <w:color w:val="auto"/>
        </w:rPr>
      </w:pPr>
      <w:r>
        <w:rPr>
          <w:rFonts w:hint="eastAsia"/>
          <w:color w:val="auto"/>
        </w:rPr>
        <w:t>13.1 在“投标人须知前附表”规定的有效期内，投标人不得要求撤销或修改其投标文件。</w:t>
      </w:r>
    </w:p>
    <w:p>
      <w:pPr>
        <w:rPr>
          <w:color w:val="auto"/>
        </w:rPr>
      </w:pPr>
      <w:r>
        <w:rPr>
          <w:rFonts w:hint="eastAsia"/>
          <w:color w:val="auto"/>
        </w:rPr>
        <w:t>13.2 因特殊情况需要延长有效期的，招标代理机构以书面形式通知所有投标人延长有效期。投标人同意延长的，应相应延长其保证金的有效期，但不得要求或被允许修改或撤销其投标文件；投标人拒绝延长的，其投标文件失效，但投标人有权收回其投标保证金。</w:t>
      </w:r>
    </w:p>
    <w:p>
      <w:pPr>
        <w:rPr>
          <w:color w:val="auto"/>
        </w:rPr>
      </w:pPr>
      <w:r>
        <w:rPr>
          <w:rFonts w:hint="eastAsia"/>
          <w:color w:val="auto"/>
        </w:rPr>
        <w:t>14、投标文件的编制</w:t>
      </w:r>
    </w:p>
    <w:p>
      <w:pPr>
        <w:rPr>
          <w:color w:val="auto"/>
        </w:rPr>
      </w:pPr>
      <w:r>
        <w:rPr>
          <w:rFonts w:hint="eastAsia"/>
          <w:color w:val="auto"/>
        </w:rPr>
        <w:t>14.1 投标文件须用不褪色的墨水书写或打印。并按招标文件要求由投标人的法定代表人或其委托代理人签字或盖单位章。委托代理人签字的，投标文件应附法定代表人签署的授权委托书。</w:t>
      </w:r>
    </w:p>
    <w:p>
      <w:pPr>
        <w:rPr>
          <w:color w:val="auto"/>
        </w:rPr>
      </w:pPr>
      <w:r>
        <w:rPr>
          <w:rFonts w:hint="eastAsia"/>
          <w:color w:val="auto"/>
        </w:rPr>
        <w:t>14.2 投标文件应尽量避免涂改、行间插字或删除。如果出现上述情况，改动之处应加盖单位章或投标人法定代表人或其授权的代理人签字确认。</w:t>
      </w:r>
    </w:p>
    <w:p>
      <w:pPr>
        <w:rPr>
          <w:color w:val="auto"/>
        </w:rPr>
      </w:pPr>
      <w:r>
        <w:rPr>
          <w:rFonts w:hint="eastAsia"/>
          <w:color w:val="auto"/>
        </w:rPr>
        <w:t>14.3 投标文件应由法定代表人或其委托代理人在凡规定签字处逐一签字，要求盖章处应盖单位章，若以投标专用章或合同专用章代替的，须出具投标人单位公章对投标专用章或合同专用章的授权函原件。</w:t>
      </w:r>
    </w:p>
    <w:p>
      <w:pPr>
        <w:rPr>
          <w:color w:val="auto"/>
        </w:rPr>
      </w:pPr>
      <w:r>
        <w:rPr>
          <w:rFonts w:hint="eastAsia"/>
          <w:color w:val="auto"/>
        </w:rPr>
        <w:t>14.4 投标文件应按“投标人须知前附表”中规定的数量准备正本和副本。投标文件封面上应标明“正本”或“副本”以及项目名称、项目编号、投标人名称等内容。若副本和正本不符，以正本为准。副本可以是正本的复印件。</w:t>
      </w:r>
    </w:p>
    <w:p>
      <w:pPr>
        <w:rPr>
          <w:color w:val="auto"/>
        </w:rPr>
      </w:pPr>
      <w:r>
        <w:rPr>
          <w:rFonts w:hint="eastAsia"/>
          <w:color w:val="auto"/>
        </w:rPr>
        <w:t>14.5 投标文件正本与副本应分别装订成册，并编制目录。投标文件装订应牢固，不得采用活页夹，并要求逐页标注连续页码。</w:t>
      </w:r>
    </w:p>
    <w:p>
      <w:pPr>
        <w:pStyle w:val="11"/>
        <w:spacing w:after="0"/>
        <w:rPr>
          <w:color w:val="auto"/>
        </w:rPr>
      </w:pPr>
      <w:r>
        <w:rPr>
          <w:rFonts w:hint="eastAsia"/>
          <w:color w:val="auto"/>
        </w:rPr>
        <w:t>14.6投标文件的密封：投标</w:t>
      </w:r>
      <w:r>
        <w:rPr>
          <w:rFonts w:hint="eastAsia"/>
          <w:color w:val="auto"/>
          <w:spacing w:val="-3"/>
        </w:rPr>
        <w:t>文</w:t>
      </w:r>
      <w:r>
        <w:rPr>
          <w:rFonts w:hint="eastAsia"/>
          <w:color w:val="auto"/>
        </w:rPr>
        <w:t>件</w:t>
      </w:r>
      <w:r>
        <w:rPr>
          <w:rFonts w:hint="eastAsia"/>
          <w:color w:val="auto"/>
          <w:spacing w:val="-3"/>
        </w:rPr>
        <w:t>应</w:t>
      </w:r>
      <w:r>
        <w:rPr>
          <w:rFonts w:hint="eastAsia"/>
          <w:color w:val="auto"/>
        </w:rPr>
        <w:t>密封包装（包含电子版），并</w:t>
      </w:r>
      <w:r>
        <w:rPr>
          <w:rFonts w:hint="eastAsia"/>
          <w:color w:val="auto"/>
          <w:spacing w:val="-3"/>
        </w:rPr>
        <w:t>在</w:t>
      </w:r>
      <w:r>
        <w:rPr>
          <w:rFonts w:hint="eastAsia"/>
          <w:color w:val="auto"/>
        </w:rPr>
        <w:t>封</w:t>
      </w:r>
      <w:r>
        <w:rPr>
          <w:rFonts w:hint="eastAsia"/>
          <w:color w:val="auto"/>
          <w:spacing w:val="-3"/>
        </w:rPr>
        <w:t>套</w:t>
      </w:r>
      <w:r>
        <w:rPr>
          <w:rFonts w:hint="eastAsia"/>
          <w:color w:val="auto"/>
        </w:rPr>
        <w:t>的</w:t>
      </w:r>
      <w:r>
        <w:rPr>
          <w:rFonts w:hint="eastAsia"/>
          <w:color w:val="auto"/>
          <w:spacing w:val="-3"/>
        </w:rPr>
        <w:t>封口</w:t>
      </w:r>
      <w:r>
        <w:rPr>
          <w:rFonts w:hint="eastAsia"/>
          <w:color w:val="auto"/>
        </w:rPr>
        <w:t>处加</w:t>
      </w:r>
      <w:r>
        <w:rPr>
          <w:rFonts w:hint="eastAsia"/>
          <w:color w:val="auto"/>
          <w:spacing w:val="-3"/>
        </w:rPr>
        <w:t>盖</w:t>
      </w:r>
      <w:r>
        <w:rPr>
          <w:rFonts w:hint="eastAsia"/>
          <w:color w:val="auto"/>
        </w:rPr>
        <w:t>投</w:t>
      </w:r>
      <w:r>
        <w:rPr>
          <w:rFonts w:hint="eastAsia"/>
          <w:color w:val="auto"/>
          <w:spacing w:val="-3"/>
        </w:rPr>
        <w:t>标</w:t>
      </w:r>
      <w:r>
        <w:rPr>
          <w:rFonts w:hint="eastAsia"/>
          <w:color w:val="auto"/>
        </w:rPr>
        <w:t>人</w:t>
      </w:r>
      <w:r>
        <w:rPr>
          <w:rFonts w:hint="eastAsia"/>
          <w:color w:val="auto"/>
          <w:spacing w:val="-3"/>
        </w:rPr>
        <w:t>单</w:t>
      </w:r>
      <w:r>
        <w:rPr>
          <w:rFonts w:hint="eastAsia"/>
          <w:color w:val="auto"/>
        </w:rPr>
        <w:t>位</w:t>
      </w:r>
      <w:r>
        <w:rPr>
          <w:rFonts w:hint="eastAsia"/>
          <w:color w:val="auto"/>
          <w:spacing w:val="-3"/>
        </w:rPr>
        <w:t>章</w:t>
      </w:r>
      <w:r>
        <w:rPr>
          <w:rFonts w:hint="eastAsia"/>
          <w:color w:val="auto"/>
        </w:rPr>
        <w:t>或</w:t>
      </w:r>
      <w:r>
        <w:rPr>
          <w:rFonts w:hint="eastAsia"/>
          <w:color w:val="auto"/>
          <w:spacing w:val="-3"/>
        </w:rPr>
        <w:t>由</w:t>
      </w:r>
      <w:r>
        <w:rPr>
          <w:rFonts w:hint="eastAsia"/>
          <w:color w:val="auto"/>
        </w:rPr>
        <w:t>投标</w:t>
      </w:r>
      <w:r>
        <w:rPr>
          <w:rFonts w:hint="eastAsia"/>
          <w:color w:val="auto"/>
          <w:spacing w:val="-3"/>
        </w:rPr>
        <w:t>人</w:t>
      </w:r>
      <w:r>
        <w:rPr>
          <w:rFonts w:hint="eastAsia"/>
          <w:color w:val="auto"/>
        </w:rPr>
        <w:t>的</w:t>
      </w:r>
      <w:r>
        <w:rPr>
          <w:rFonts w:hint="eastAsia"/>
          <w:color w:val="auto"/>
          <w:spacing w:val="-3"/>
        </w:rPr>
        <w:t>法</w:t>
      </w:r>
      <w:r>
        <w:rPr>
          <w:rFonts w:hint="eastAsia"/>
          <w:color w:val="auto"/>
        </w:rPr>
        <w:t>定代表</w:t>
      </w:r>
      <w:r>
        <w:rPr>
          <w:rFonts w:hint="eastAsia"/>
          <w:color w:val="auto"/>
          <w:spacing w:val="-3"/>
        </w:rPr>
        <w:t>人</w:t>
      </w:r>
      <w:r>
        <w:rPr>
          <w:rFonts w:hint="eastAsia"/>
          <w:color w:val="auto"/>
        </w:rPr>
        <w:t>或</w:t>
      </w:r>
      <w:r>
        <w:rPr>
          <w:rFonts w:hint="eastAsia"/>
          <w:color w:val="auto"/>
          <w:spacing w:val="-3"/>
        </w:rPr>
        <w:t>其</w:t>
      </w:r>
      <w:r>
        <w:rPr>
          <w:rFonts w:hint="eastAsia"/>
          <w:color w:val="auto"/>
        </w:rPr>
        <w:t>授</w:t>
      </w:r>
      <w:r>
        <w:rPr>
          <w:rFonts w:hint="eastAsia"/>
          <w:color w:val="auto"/>
          <w:spacing w:val="-3"/>
        </w:rPr>
        <w:t>权</w:t>
      </w:r>
      <w:r>
        <w:rPr>
          <w:rFonts w:hint="eastAsia"/>
          <w:color w:val="auto"/>
        </w:rPr>
        <w:t>的</w:t>
      </w:r>
      <w:r>
        <w:rPr>
          <w:rFonts w:hint="eastAsia"/>
          <w:color w:val="auto"/>
          <w:spacing w:val="-3"/>
        </w:rPr>
        <w:t>代</w:t>
      </w:r>
      <w:r>
        <w:rPr>
          <w:rFonts w:hint="eastAsia"/>
          <w:color w:val="auto"/>
        </w:rPr>
        <w:t>理</w:t>
      </w:r>
      <w:r>
        <w:rPr>
          <w:rFonts w:hint="eastAsia"/>
          <w:color w:val="auto"/>
          <w:spacing w:val="-3"/>
        </w:rPr>
        <w:t>人</w:t>
      </w:r>
      <w:r>
        <w:rPr>
          <w:rFonts w:hint="eastAsia"/>
          <w:color w:val="auto"/>
        </w:rPr>
        <w:t>签字。投</w:t>
      </w:r>
      <w:r>
        <w:rPr>
          <w:rFonts w:hint="eastAsia"/>
          <w:color w:val="auto"/>
          <w:spacing w:val="-3"/>
        </w:rPr>
        <w:t>标</w:t>
      </w:r>
      <w:r>
        <w:rPr>
          <w:rFonts w:hint="eastAsia"/>
          <w:color w:val="auto"/>
        </w:rPr>
        <w:t>文</w:t>
      </w:r>
      <w:r>
        <w:rPr>
          <w:rFonts w:hint="eastAsia"/>
          <w:color w:val="auto"/>
          <w:spacing w:val="-3"/>
        </w:rPr>
        <w:t>件</w:t>
      </w:r>
      <w:r>
        <w:rPr>
          <w:rFonts w:hint="eastAsia"/>
          <w:color w:val="auto"/>
        </w:rPr>
        <w:t>封</w:t>
      </w:r>
      <w:r>
        <w:rPr>
          <w:rFonts w:hint="eastAsia"/>
          <w:color w:val="auto"/>
          <w:spacing w:val="-3"/>
        </w:rPr>
        <w:t>套</w:t>
      </w:r>
      <w:r>
        <w:rPr>
          <w:rFonts w:hint="eastAsia"/>
          <w:color w:val="auto"/>
        </w:rPr>
        <w:t>上</w:t>
      </w:r>
      <w:r>
        <w:rPr>
          <w:rFonts w:hint="eastAsia"/>
          <w:color w:val="auto"/>
          <w:spacing w:val="-3"/>
        </w:rPr>
        <w:t>应写</w:t>
      </w:r>
      <w:r>
        <w:rPr>
          <w:rFonts w:hint="eastAsia"/>
          <w:color w:val="auto"/>
        </w:rPr>
        <w:t>明的</w:t>
      </w:r>
      <w:r>
        <w:rPr>
          <w:rFonts w:hint="eastAsia"/>
          <w:color w:val="auto"/>
          <w:spacing w:val="-3"/>
        </w:rPr>
        <w:t>内</w:t>
      </w:r>
      <w:r>
        <w:rPr>
          <w:rFonts w:hint="eastAsia"/>
          <w:color w:val="auto"/>
        </w:rPr>
        <w:t>容</w:t>
      </w:r>
      <w:r>
        <w:rPr>
          <w:rFonts w:hint="eastAsia"/>
          <w:color w:val="auto"/>
          <w:spacing w:val="-3"/>
        </w:rPr>
        <w:t>见</w:t>
      </w:r>
      <w:r>
        <w:rPr>
          <w:rFonts w:hint="eastAsia"/>
          <w:color w:val="auto"/>
        </w:rPr>
        <w:t>投</w:t>
      </w:r>
      <w:r>
        <w:rPr>
          <w:rFonts w:hint="eastAsia"/>
          <w:color w:val="auto"/>
          <w:spacing w:val="-3"/>
        </w:rPr>
        <w:t>标</w:t>
      </w:r>
      <w:r>
        <w:rPr>
          <w:rFonts w:hint="eastAsia"/>
          <w:color w:val="auto"/>
        </w:rPr>
        <w:t>人</w:t>
      </w:r>
      <w:r>
        <w:rPr>
          <w:rFonts w:hint="eastAsia"/>
          <w:color w:val="auto"/>
          <w:spacing w:val="-3"/>
        </w:rPr>
        <w:t>须</w:t>
      </w:r>
      <w:r>
        <w:rPr>
          <w:rFonts w:hint="eastAsia"/>
          <w:color w:val="auto"/>
        </w:rPr>
        <w:t>知</w:t>
      </w:r>
      <w:r>
        <w:rPr>
          <w:rFonts w:hint="eastAsia"/>
          <w:color w:val="auto"/>
          <w:spacing w:val="-3"/>
        </w:rPr>
        <w:t>前</w:t>
      </w:r>
      <w:r>
        <w:rPr>
          <w:rFonts w:hint="eastAsia"/>
          <w:color w:val="auto"/>
        </w:rPr>
        <w:t>附表。</w:t>
      </w:r>
    </w:p>
    <w:p>
      <w:pPr>
        <w:ind w:firstLine="422"/>
        <w:rPr>
          <w:b/>
          <w:bCs/>
          <w:color w:val="auto"/>
        </w:rPr>
      </w:pPr>
      <w:r>
        <w:rPr>
          <w:rFonts w:hint="eastAsia"/>
          <w:b/>
          <w:bCs/>
          <w:color w:val="auto"/>
        </w:rPr>
        <w:t>14.7如投标人投多个标包，各标包文件应按招标文件规定分开编制密封。</w:t>
      </w:r>
    </w:p>
    <w:p>
      <w:pPr>
        <w:rPr>
          <w:color w:val="auto"/>
        </w:rPr>
      </w:pPr>
      <w:r>
        <w:rPr>
          <w:rFonts w:hint="eastAsia"/>
          <w:color w:val="auto"/>
        </w:rPr>
        <w:t>15、投标保证金</w:t>
      </w:r>
    </w:p>
    <w:p>
      <w:pPr>
        <w:rPr>
          <w:color w:val="auto"/>
        </w:rPr>
      </w:pPr>
      <w:r>
        <w:rPr>
          <w:rFonts w:hint="eastAsia"/>
          <w:color w:val="auto"/>
        </w:rPr>
        <w:t>15.1 投标保证金为人民币。投标人应在递交投标文件截止时间以前按“投标人须知前附表”规定的方式及金额交至招标代理机构，并在投标有效期内保持有效。</w:t>
      </w:r>
    </w:p>
    <w:p>
      <w:pPr>
        <w:rPr>
          <w:color w:val="auto"/>
        </w:rPr>
      </w:pPr>
      <w:r>
        <w:rPr>
          <w:rFonts w:hint="eastAsia"/>
          <w:color w:val="auto"/>
        </w:rPr>
        <w:t>15.2 投标保证金形式：投标保证金应按“投标人须知前附表”规定的形式提交。</w:t>
      </w:r>
    </w:p>
    <w:p>
      <w:pPr>
        <w:rPr>
          <w:color w:val="auto"/>
        </w:rPr>
      </w:pPr>
      <w:r>
        <w:rPr>
          <w:rFonts w:hint="eastAsia"/>
          <w:color w:val="auto"/>
        </w:rPr>
        <w:t>15.3 办理保证金手续时，请务必在银行进账单或电汇单的用途栏或空白栏上注明项目名称及标包号（可简写）。</w:t>
      </w:r>
    </w:p>
    <w:p>
      <w:pPr>
        <w:rPr>
          <w:color w:val="auto"/>
        </w:rPr>
      </w:pPr>
      <w:r>
        <w:rPr>
          <w:rFonts w:hint="eastAsia"/>
          <w:color w:val="auto"/>
        </w:rPr>
        <w:t>15.4 投标人应在递交投标文件时向招标代理机构提交招标代理机构出具的保证金到账收据凭证，如果以电汇或网银转账等方式提交的则仅需出示电汇或网银转账凭证。</w:t>
      </w:r>
    </w:p>
    <w:p>
      <w:pPr>
        <w:rPr>
          <w:color w:val="auto"/>
        </w:rPr>
      </w:pPr>
      <w:r>
        <w:rPr>
          <w:rFonts w:hint="eastAsia"/>
          <w:color w:val="auto"/>
        </w:rPr>
        <w:t>15.5 未中标的投标人可在中标结果公告发出后五个工作日按招标文件规定办理退还投标保证金手续；中标人在签订合同后五个工作日内按招标文件规定办理退还投标保证金手续。</w:t>
      </w:r>
    </w:p>
    <w:p>
      <w:pPr>
        <w:rPr>
          <w:color w:val="auto"/>
        </w:rPr>
      </w:pPr>
      <w:r>
        <w:rPr>
          <w:rFonts w:hint="eastAsia"/>
          <w:color w:val="auto"/>
        </w:rPr>
        <w:t>15.6 下列情况发生时，投标保证金将不予退还：</w:t>
      </w:r>
    </w:p>
    <w:p>
      <w:pPr>
        <w:rPr>
          <w:color w:val="auto"/>
        </w:rPr>
      </w:pPr>
      <w:r>
        <w:rPr>
          <w:rFonts w:hint="eastAsia"/>
          <w:color w:val="auto"/>
        </w:rPr>
        <w:t>(1)投标人在投标截止时间后要求撤回投标文件的；</w:t>
      </w:r>
    </w:p>
    <w:p>
      <w:pPr>
        <w:rPr>
          <w:color w:val="auto"/>
        </w:rPr>
      </w:pPr>
      <w:r>
        <w:rPr>
          <w:rFonts w:hint="eastAsia"/>
          <w:color w:val="auto"/>
        </w:rPr>
        <w:t>(2)中标后投标人无正当理由不与招标人或者招标代理机构签订合同的；</w:t>
      </w:r>
    </w:p>
    <w:p>
      <w:pPr>
        <w:rPr>
          <w:color w:val="auto"/>
        </w:rPr>
      </w:pPr>
      <w:r>
        <w:rPr>
          <w:rFonts w:hint="eastAsia"/>
          <w:color w:val="auto"/>
        </w:rPr>
        <w:t>(3)中标人将中标项目转让给他人，或者在投标文件中未说明，且未经招标人同意，将中标项目分包给他人的；</w:t>
      </w:r>
    </w:p>
    <w:p>
      <w:pPr>
        <w:rPr>
          <w:color w:val="auto"/>
        </w:rPr>
      </w:pPr>
      <w:r>
        <w:rPr>
          <w:rFonts w:hint="eastAsia"/>
          <w:color w:val="auto"/>
        </w:rPr>
        <w:t>(4)中标人拒绝履行合同义务的。</w:t>
      </w:r>
    </w:p>
    <w:p>
      <w:pPr>
        <w:pStyle w:val="3"/>
        <w:ind w:firstLine="482"/>
        <w:jc w:val="center"/>
        <w:rPr>
          <w:color w:val="auto"/>
        </w:rPr>
      </w:pPr>
      <w:bookmarkStart w:id="12" w:name="_Toc32177"/>
      <w:r>
        <w:rPr>
          <w:rFonts w:hint="eastAsia"/>
          <w:color w:val="auto"/>
        </w:rPr>
        <w:t>四、投标文件的提交</w:t>
      </w:r>
      <w:bookmarkEnd w:id="12"/>
    </w:p>
    <w:p>
      <w:pPr>
        <w:rPr>
          <w:color w:val="auto"/>
        </w:rPr>
      </w:pPr>
      <w:r>
        <w:rPr>
          <w:rFonts w:hint="eastAsia"/>
          <w:color w:val="auto"/>
        </w:rPr>
        <w:t>16、投标文件的密封与标记详见“投标人须知前附表”的规定。</w:t>
      </w:r>
    </w:p>
    <w:p>
      <w:pPr>
        <w:rPr>
          <w:color w:val="auto"/>
        </w:rPr>
      </w:pPr>
      <w:r>
        <w:rPr>
          <w:rFonts w:hint="eastAsia"/>
          <w:color w:val="auto"/>
        </w:rPr>
        <w:t>17、递交投标文件的截止时间和地点</w:t>
      </w:r>
    </w:p>
    <w:p>
      <w:pPr>
        <w:rPr>
          <w:color w:val="auto"/>
        </w:rPr>
      </w:pPr>
      <w:r>
        <w:rPr>
          <w:rFonts w:hint="eastAsia"/>
          <w:color w:val="auto"/>
        </w:rPr>
        <w:t>17.1 投标文件的递交不得迟于“投标人须知前附表”规定的递交投标文件截止时间。逾期送达或者未按规定密封标记的投标文件，招标人不予接收。</w:t>
      </w:r>
    </w:p>
    <w:p>
      <w:pPr>
        <w:rPr>
          <w:color w:val="auto"/>
        </w:rPr>
      </w:pPr>
      <w:r>
        <w:rPr>
          <w:rFonts w:hint="eastAsia"/>
          <w:color w:val="auto"/>
        </w:rPr>
        <w:t>17.2 投标人必须在规定时间内将投标文件递交到“投标人须知前附表”规定的地点。</w:t>
      </w:r>
    </w:p>
    <w:p>
      <w:pPr>
        <w:rPr>
          <w:color w:val="auto"/>
        </w:rPr>
      </w:pPr>
      <w:r>
        <w:rPr>
          <w:rFonts w:hint="eastAsia"/>
          <w:color w:val="auto"/>
        </w:rPr>
        <w:t>17.3 除“投标人须知前附表”另有规定外，投标人所递交的投标文件不予退还。</w:t>
      </w:r>
    </w:p>
    <w:p>
      <w:pPr>
        <w:pStyle w:val="3"/>
        <w:ind w:firstLine="482"/>
        <w:jc w:val="center"/>
        <w:rPr>
          <w:color w:val="auto"/>
        </w:rPr>
      </w:pPr>
      <w:bookmarkStart w:id="13" w:name="_Toc20106"/>
      <w:r>
        <w:rPr>
          <w:rFonts w:hint="eastAsia"/>
          <w:color w:val="auto"/>
        </w:rPr>
        <w:t>五、开标与评标</w:t>
      </w:r>
      <w:bookmarkEnd w:id="13"/>
    </w:p>
    <w:p>
      <w:pPr>
        <w:rPr>
          <w:color w:val="auto"/>
        </w:rPr>
      </w:pPr>
      <w:r>
        <w:rPr>
          <w:rFonts w:hint="eastAsia"/>
          <w:color w:val="auto"/>
        </w:rPr>
        <w:t>18、开标</w:t>
      </w:r>
    </w:p>
    <w:p>
      <w:pPr>
        <w:rPr>
          <w:color w:val="auto"/>
        </w:rPr>
      </w:pPr>
      <w:r>
        <w:rPr>
          <w:rFonts w:hint="eastAsia"/>
          <w:color w:val="auto"/>
        </w:rPr>
        <w:t>18.1 招标代理机构将在“投标人须知前附表”规定的时间和地点进行开标，投标人的法定代表人或其委托代理人应按时参加。如投标人未参加开标的，视同认可开标结果。评标委员会成员不得参加开标活动。</w:t>
      </w:r>
    </w:p>
    <w:p>
      <w:pPr>
        <w:rPr>
          <w:color w:val="auto"/>
        </w:rPr>
      </w:pPr>
      <w:r>
        <w:rPr>
          <w:rFonts w:hint="eastAsia"/>
          <w:color w:val="auto"/>
        </w:rPr>
        <w:t>18.2 投标截止后投标人不足 3 家的，不得开标。</w:t>
      </w:r>
    </w:p>
    <w:p>
      <w:pPr>
        <w:rPr>
          <w:color w:val="auto"/>
        </w:rPr>
      </w:pPr>
      <w:r>
        <w:rPr>
          <w:rFonts w:hint="eastAsia"/>
          <w:color w:val="auto"/>
        </w:rPr>
        <w:t>18.3 开标程序：</w:t>
      </w:r>
    </w:p>
    <w:p>
      <w:pPr>
        <w:rPr>
          <w:color w:val="auto"/>
        </w:rPr>
      </w:pPr>
      <w:r>
        <w:rPr>
          <w:rFonts w:hint="eastAsia"/>
          <w:color w:val="auto"/>
        </w:rPr>
        <w:t>(1)开标会由招标代理机构主持；</w:t>
      </w:r>
    </w:p>
    <w:p>
      <w:pPr>
        <w:rPr>
          <w:color w:val="auto"/>
        </w:rPr>
      </w:pPr>
      <w:r>
        <w:rPr>
          <w:rFonts w:hint="eastAsia"/>
          <w:color w:val="auto"/>
        </w:rPr>
        <w:t>(2)由投标人或者其推选的代表检查投标文件的密封情况；</w:t>
      </w:r>
    </w:p>
    <w:p>
      <w:pPr>
        <w:rPr>
          <w:color w:val="auto"/>
        </w:rPr>
      </w:pPr>
      <w:r>
        <w:rPr>
          <w:rFonts w:hint="eastAsia"/>
          <w:color w:val="auto"/>
        </w:rPr>
        <w:t>(3)投标文件密封情况经确认无误后，由招标人或者招标代理机构工作人员当众拆封，宣布投标人名称、投标价格等招标文件《开标一览表》中的内容。（开启顺序：随机开启）</w:t>
      </w:r>
    </w:p>
    <w:p>
      <w:pPr>
        <w:rPr>
          <w:color w:val="auto"/>
        </w:rPr>
      </w:pPr>
      <w:r>
        <w:rPr>
          <w:rFonts w:hint="eastAsia"/>
          <w:color w:val="auto"/>
        </w:rPr>
        <w:t>18.4 开标工作人员将做开标记录，投标人代表须签字确认。</w:t>
      </w:r>
    </w:p>
    <w:p>
      <w:pPr>
        <w:rPr>
          <w:color w:val="auto"/>
        </w:rPr>
      </w:pPr>
      <w:r>
        <w:rPr>
          <w:rFonts w:hint="eastAsia"/>
          <w:color w:val="auto"/>
        </w:rPr>
        <w:t xml:space="preserve">18.5 投标人代表对开标过程和开标记录有疑义，以及认为招标人、招标代理机构相关工作人员有需要回避的情形的，应当场提出询问或者回避申请。招标人、招标代理机构对投标人代表提出的询问或者回避申请应当及时处理。 </w:t>
      </w:r>
    </w:p>
    <w:p>
      <w:pPr>
        <w:rPr>
          <w:color w:val="auto"/>
        </w:rPr>
      </w:pPr>
      <w:r>
        <w:rPr>
          <w:rFonts w:hint="eastAsia"/>
          <w:color w:val="auto"/>
        </w:rPr>
        <w:t xml:space="preserve">19. 资格审查 </w:t>
      </w:r>
    </w:p>
    <w:p>
      <w:pPr>
        <w:rPr>
          <w:color w:val="auto"/>
        </w:rPr>
      </w:pPr>
      <w:r>
        <w:rPr>
          <w:rFonts w:hint="eastAsia"/>
          <w:color w:val="auto"/>
        </w:rPr>
        <w:t>19.1 开标结束后，招标人或者招标代理机构应当按照“第六章 资格审查”中的资格审查评审标准依法对投标人的资格进行审查，合格投标人不足 3 家的，不得评标。</w:t>
      </w:r>
    </w:p>
    <w:p>
      <w:pPr>
        <w:rPr>
          <w:color w:val="auto"/>
        </w:rPr>
      </w:pPr>
      <w:r>
        <w:rPr>
          <w:rFonts w:hint="eastAsia"/>
          <w:color w:val="auto"/>
        </w:rPr>
        <w:t xml:space="preserve">20. 评标 </w:t>
      </w:r>
    </w:p>
    <w:p>
      <w:pPr>
        <w:keepLines/>
        <w:kinsoku w:val="0"/>
        <w:rPr>
          <w:color w:val="auto"/>
        </w:rPr>
      </w:pPr>
      <w:r>
        <w:rPr>
          <w:rFonts w:hint="eastAsia"/>
          <w:color w:val="auto"/>
        </w:rPr>
        <w:t>20.1 评标委员会由采购人代表2人和有关技术、经济等方面的评审专家5人，共7人组成。其中评审专家人数不得少于评标委员会成员总数的2/3。招标代理机构人员不得参加本机构代理的采购项目的评审。</w:t>
      </w:r>
    </w:p>
    <w:p>
      <w:pPr>
        <w:keepLines/>
        <w:kinsoku w:val="0"/>
        <w:rPr>
          <w:color w:val="auto"/>
        </w:rPr>
      </w:pPr>
      <w:r>
        <w:rPr>
          <w:rFonts w:hint="eastAsia"/>
          <w:color w:val="auto"/>
        </w:rPr>
        <w:t>20.2 评标委员会应当推选组长，但采购人评审代表不得担任组长。技术、经济等方面由采购人依法在云南省政府采购专家管理子系统随机抽取。</w:t>
      </w:r>
    </w:p>
    <w:p>
      <w:pPr>
        <w:rPr>
          <w:color w:val="auto"/>
        </w:rPr>
      </w:pPr>
      <w:r>
        <w:rPr>
          <w:rFonts w:hint="eastAsia"/>
          <w:color w:val="auto"/>
        </w:rPr>
        <w:t xml:space="preserve">20.3评标原则及方法 </w:t>
      </w:r>
    </w:p>
    <w:p>
      <w:pPr>
        <w:rPr>
          <w:color w:val="auto"/>
        </w:rPr>
      </w:pPr>
      <w:r>
        <w:rPr>
          <w:rFonts w:hint="eastAsia"/>
          <w:color w:val="auto"/>
        </w:rPr>
        <w:t xml:space="preserve">评标活动遵循客观、公正、审慎的原则，评审专家应当根据招标文件规定的评审程序、评审方法和评审标准进行独立评审。 </w:t>
      </w:r>
    </w:p>
    <w:p>
      <w:pPr>
        <w:rPr>
          <w:color w:val="auto"/>
        </w:rPr>
      </w:pPr>
      <w:r>
        <w:rPr>
          <w:rFonts w:hint="eastAsia"/>
          <w:color w:val="auto"/>
        </w:rPr>
        <w:t xml:space="preserve">20.4 评标方法 </w:t>
      </w:r>
    </w:p>
    <w:p>
      <w:pPr>
        <w:rPr>
          <w:color w:val="auto"/>
        </w:rPr>
      </w:pPr>
      <w:r>
        <w:rPr>
          <w:rFonts w:hint="eastAsia"/>
          <w:color w:val="auto"/>
        </w:rPr>
        <w:t xml:space="preserve">本项目按本招标文件第七章“评审方法”规定的评标方法评标。在评标中，不得改变招标文件中规定的评标标准、方法和中标条件。第七章“评审方法”没有规定的评审因素和标准，不作为评标依据。 </w:t>
      </w:r>
    </w:p>
    <w:p>
      <w:pPr>
        <w:rPr>
          <w:color w:val="auto"/>
        </w:rPr>
      </w:pPr>
      <w:r>
        <w:rPr>
          <w:rFonts w:hint="eastAsia"/>
          <w:color w:val="auto"/>
        </w:rPr>
        <w:t xml:space="preserve">20.5评标应当在严格保密的情况下进行。 任何单位和个人不得非法干预、影响评标办法的确定，以及评标过程和结果。评标委员会成员和与评标活动有关的人员在政府采购活动中应严格遵守政府采购评审工作纪律，不得向外界泄露评审情况。 </w:t>
      </w:r>
    </w:p>
    <w:p>
      <w:pPr>
        <w:rPr>
          <w:color w:val="auto"/>
        </w:rPr>
      </w:pPr>
      <w:r>
        <w:rPr>
          <w:color w:val="auto"/>
        </w:rPr>
        <w:t>2</w:t>
      </w:r>
      <w:r>
        <w:rPr>
          <w:rFonts w:hint="eastAsia"/>
          <w:color w:val="auto"/>
        </w:rPr>
        <w:t>0</w:t>
      </w:r>
      <w:r>
        <w:rPr>
          <w:color w:val="auto"/>
        </w:rPr>
        <w:t>.</w:t>
      </w:r>
      <w:r>
        <w:rPr>
          <w:rFonts w:hint="eastAsia"/>
          <w:color w:val="auto"/>
        </w:rPr>
        <w:t>6</w:t>
      </w:r>
      <w:r>
        <w:rPr>
          <w:color w:val="auto"/>
        </w:rPr>
        <w:t xml:space="preserve"> </w:t>
      </w:r>
      <w:r>
        <w:rPr>
          <w:rFonts w:hint="eastAsia"/>
          <w:color w:val="auto"/>
        </w:rPr>
        <w:t>有下列情形之一的，属于恶意串通，对供应商依照政府采购法第七十七条第一款的规定追究法律责任，对采购人、采购代理机构及其工作人员依照政府采购法第七十二条的规定追究法律责任：</w:t>
      </w:r>
    </w:p>
    <w:p>
      <w:pPr>
        <w:rPr>
          <w:color w:val="auto"/>
        </w:rPr>
      </w:pPr>
      <w:r>
        <w:rPr>
          <w:rFonts w:hint="eastAsia"/>
          <w:color w:val="auto"/>
        </w:rPr>
        <w:t>（一）供应商直接或者间接从采购人或者采购代理机构处获得其他供应商的相关情况并修改其投标文件或者响应文件；</w:t>
      </w:r>
    </w:p>
    <w:p>
      <w:pPr>
        <w:rPr>
          <w:color w:val="auto"/>
        </w:rPr>
      </w:pPr>
      <w:r>
        <w:rPr>
          <w:rFonts w:hint="eastAsia"/>
          <w:color w:val="auto"/>
        </w:rPr>
        <w:t>（二）供应商按照采购人或者采购代理机构的授意撤换、修改投标文件或者响应文件；</w:t>
      </w:r>
    </w:p>
    <w:p>
      <w:pPr>
        <w:rPr>
          <w:color w:val="auto"/>
        </w:rPr>
      </w:pPr>
      <w:r>
        <w:rPr>
          <w:rFonts w:hint="eastAsia"/>
          <w:color w:val="auto"/>
        </w:rPr>
        <w:t>（三）供应商之间协商报价、技术方案等投标文件或者响应文件的实质性内容；</w:t>
      </w:r>
    </w:p>
    <w:p>
      <w:pPr>
        <w:rPr>
          <w:color w:val="auto"/>
        </w:rPr>
      </w:pPr>
      <w:r>
        <w:rPr>
          <w:rFonts w:hint="eastAsia"/>
          <w:color w:val="auto"/>
        </w:rPr>
        <w:t>（四）属于同一集团、协会、商会等组织成员的供应商按照该组织要求协同参加政府采购活动；</w:t>
      </w:r>
    </w:p>
    <w:p>
      <w:pPr>
        <w:rPr>
          <w:color w:val="auto"/>
        </w:rPr>
      </w:pPr>
      <w:r>
        <w:rPr>
          <w:rFonts w:hint="eastAsia"/>
          <w:color w:val="auto"/>
        </w:rPr>
        <w:t>（五）供应商之间事先约定由某一特定供应商中标、成交；</w:t>
      </w:r>
    </w:p>
    <w:p>
      <w:pPr>
        <w:rPr>
          <w:color w:val="auto"/>
        </w:rPr>
      </w:pPr>
      <w:r>
        <w:rPr>
          <w:rFonts w:hint="eastAsia"/>
          <w:color w:val="auto"/>
        </w:rPr>
        <w:t>（六）供应商之间商定部分供应商放弃参加政府采购活动或者放弃中标、成交；</w:t>
      </w:r>
    </w:p>
    <w:p>
      <w:pPr>
        <w:rPr>
          <w:color w:val="auto"/>
        </w:rPr>
      </w:pPr>
      <w:r>
        <w:rPr>
          <w:rFonts w:hint="eastAsia"/>
          <w:color w:val="auto"/>
        </w:rPr>
        <w:t>（七）供应商与采购人或者采购代理机构之间、供应商相互之间，为谋求特定供应商中标、成交或者排斥其他供应商的其他串通行为。</w:t>
      </w:r>
    </w:p>
    <w:p>
      <w:pPr>
        <w:rPr>
          <w:color w:val="auto"/>
        </w:rPr>
      </w:pPr>
      <w:r>
        <w:rPr>
          <w:color w:val="auto"/>
        </w:rPr>
        <w:t>2</w:t>
      </w:r>
      <w:r>
        <w:rPr>
          <w:rFonts w:hint="eastAsia"/>
          <w:color w:val="auto"/>
        </w:rPr>
        <w:t>0</w:t>
      </w:r>
      <w:r>
        <w:rPr>
          <w:color w:val="auto"/>
        </w:rPr>
        <w:t>.</w:t>
      </w:r>
      <w:r>
        <w:rPr>
          <w:rFonts w:hint="eastAsia"/>
          <w:color w:val="auto"/>
        </w:rPr>
        <w:t xml:space="preserve">7有下列情形之一的，视为投标人串通投标，其投标无效： </w:t>
      </w:r>
    </w:p>
    <w:p>
      <w:pPr>
        <w:rPr>
          <w:color w:val="auto"/>
        </w:rPr>
      </w:pPr>
      <w:r>
        <w:rPr>
          <w:rFonts w:hint="eastAsia"/>
          <w:color w:val="auto"/>
        </w:rPr>
        <w:t xml:space="preserve">（一）不同投标人的投标文件由同一单位或者个人编制； </w:t>
      </w:r>
    </w:p>
    <w:p>
      <w:pPr>
        <w:rPr>
          <w:color w:val="auto"/>
        </w:rPr>
      </w:pPr>
      <w:r>
        <w:rPr>
          <w:rFonts w:hint="eastAsia"/>
          <w:color w:val="auto"/>
        </w:rPr>
        <w:t xml:space="preserve">（二）不同投标人委托同一单位或者个人办理投标事宜； </w:t>
      </w:r>
    </w:p>
    <w:p>
      <w:pPr>
        <w:rPr>
          <w:color w:val="auto"/>
        </w:rPr>
      </w:pPr>
      <w:r>
        <w:rPr>
          <w:rFonts w:hint="eastAsia"/>
          <w:color w:val="auto"/>
        </w:rPr>
        <w:t xml:space="preserve">（三）不同投标人的投标文件载明的项目管理成员或者联系人员为同一人； </w:t>
      </w:r>
    </w:p>
    <w:p>
      <w:pPr>
        <w:rPr>
          <w:color w:val="auto"/>
        </w:rPr>
      </w:pPr>
      <w:r>
        <w:rPr>
          <w:rFonts w:hint="eastAsia"/>
          <w:color w:val="auto"/>
        </w:rPr>
        <w:t xml:space="preserve">（四）不同投标人的投标文件异常一致或者投标报价呈规律性差异； </w:t>
      </w:r>
    </w:p>
    <w:p>
      <w:pPr>
        <w:rPr>
          <w:color w:val="auto"/>
        </w:rPr>
      </w:pPr>
      <w:r>
        <w:rPr>
          <w:rFonts w:hint="eastAsia"/>
          <w:color w:val="auto"/>
        </w:rPr>
        <w:t xml:space="preserve">（五）不同投标人的投标文件相互混装； </w:t>
      </w:r>
    </w:p>
    <w:p>
      <w:pPr>
        <w:rPr>
          <w:color w:val="auto"/>
        </w:rPr>
      </w:pPr>
      <w:r>
        <w:rPr>
          <w:rFonts w:hint="eastAsia"/>
          <w:color w:val="auto"/>
        </w:rPr>
        <w:t xml:space="preserve">（六）不同投标人的投标保证金从同一单位或者个人的账户转出。 </w:t>
      </w:r>
    </w:p>
    <w:p>
      <w:pPr>
        <w:rPr>
          <w:color w:val="auto"/>
        </w:rPr>
      </w:pPr>
      <w:r>
        <w:rPr>
          <w:rFonts w:hint="eastAsia"/>
          <w:color w:val="auto"/>
        </w:rPr>
        <w:t xml:space="preserve">21. 在招标采购中，出现下列情形之一的，应予废标： </w:t>
      </w:r>
    </w:p>
    <w:p>
      <w:pPr>
        <w:rPr>
          <w:color w:val="auto"/>
        </w:rPr>
      </w:pPr>
      <w:r>
        <w:rPr>
          <w:rFonts w:hint="eastAsia"/>
          <w:color w:val="auto"/>
        </w:rPr>
        <w:t xml:space="preserve">（一）符合专业条件的供应商或者对招标文件作实质响应的供应商不足三家的； </w:t>
      </w:r>
    </w:p>
    <w:p>
      <w:pPr>
        <w:rPr>
          <w:color w:val="auto"/>
        </w:rPr>
      </w:pPr>
      <w:r>
        <w:rPr>
          <w:rFonts w:hint="eastAsia"/>
          <w:color w:val="auto"/>
        </w:rPr>
        <w:t xml:space="preserve">（二）出现影响采购公正的违法、违规行为的； </w:t>
      </w:r>
    </w:p>
    <w:p>
      <w:pPr>
        <w:rPr>
          <w:color w:val="auto"/>
        </w:rPr>
      </w:pPr>
      <w:r>
        <w:rPr>
          <w:rFonts w:hint="eastAsia"/>
          <w:color w:val="auto"/>
        </w:rPr>
        <w:t xml:space="preserve">（三）投标人的报价均超过了采购预算，采购人不能支付的； </w:t>
      </w:r>
    </w:p>
    <w:p>
      <w:pPr>
        <w:rPr>
          <w:color w:val="auto"/>
        </w:rPr>
      </w:pPr>
      <w:r>
        <w:rPr>
          <w:rFonts w:hint="eastAsia"/>
          <w:color w:val="auto"/>
        </w:rPr>
        <w:t xml:space="preserve">（四）因重大变故，采购任务取消的。 </w:t>
      </w:r>
    </w:p>
    <w:p>
      <w:pPr>
        <w:rPr>
          <w:color w:val="auto"/>
        </w:rPr>
      </w:pPr>
      <w:r>
        <w:rPr>
          <w:rFonts w:hint="eastAsia"/>
          <w:color w:val="auto"/>
        </w:rPr>
        <w:t xml:space="preserve">　　废标后，采购人应当将废标理由通知所有投标人。 </w:t>
      </w:r>
    </w:p>
    <w:p>
      <w:pPr>
        <w:pStyle w:val="3"/>
        <w:ind w:firstLine="482"/>
        <w:jc w:val="center"/>
        <w:rPr>
          <w:color w:val="auto"/>
        </w:rPr>
      </w:pPr>
      <w:r>
        <w:rPr>
          <w:rFonts w:hint="eastAsia"/>
          <w:color w:val="auto"/>
        </w:rPr>
        <w:t>　　</w:t>
      </w:r>
      <w:bookmarkStart w:id="14" w:name="_Toc2119"/>
      <w:r>
        <w:rPr>
          <w:rFonts w:hint="eastAsia"/>
          <w:color w:val="auto"/>
        </w:rPr>
        <w:t>六、中标结果</w:t>
      </w:r>
      <w:bookmarkEnd w:id="14"/>
    </w:p>
    <w:p>
      <w:pPr>
        <w:rPr>
          <w:color w:val="auto"/>
        </w:rPr>
      </w:pPr>
      <w:r>
        <w:rPr>
          <w:rFonts w:hint="eastAsia"/>
          <w:color w:val="auto"/>
        </w:rPr>
        <w:t>22、中标人的确定</w:t>
      </w:r>
    </w:p>
    <w:p>
      <w:pPr>
        <w:rPr>
          <w:color w:val="auto"/>
        </w:rPr>
      </w:pPr>
      <w:r>
        <w:rPr>
          <w:rFonts w:hint="eastAsia"/>
          <w:color w:val="auto"/>
        </w:rPr>
        <w:t>22.1 招标代理机构在评标结束后 2 个工作日内将评审报告送招标人确认。</w:t>
      </w:r>
    </w:p>
    <w:p>
      <w:pPr>
        <w:rPr>
          <w:color w:val="auto"/>
        </w:rPr>
      </w:pPr>
      <w:r>
        <w:rPr>
          <w:rFonts w:hint="eastAsia"/>
          <w:color w:val="auto"/>
        </w:rPr>
        <w:t>22.2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rPr>
          <w:color w:val="auto"/>
        </w:rPr>
      </w:pPr>
      <w:r>
        <w:rPr>
          <w:rFonts w:hint="eastAsia"/>
          <w:color w:val="auto"/>
        </w:rPr>
        <w:t>采购人在收到评标报告5个工作日内未按评标报告推荐的中标候选人顺序确定中标人，又不能说明合法理由的，视同按评标报告推荐的顺序确定排名第一的中标候选人为中标人。</w:t>
      </w:r>
    </w:p>
    <w:p>
      <w:pPr>
        <w:rPr>
          <w:color w:val="auto"/>
        </w:rPr>
      </w:pPr>
      <w:r>
        <w:rPr>
          <w:rFonts w:hint="eastAsia"/>
          <w:color w:val="auto"/>
        </w:rPr>
        <w:t>23、中标通知书</w:t>
      </w:r>
    </w:p>
    <w:p>
      <w:pPr>
        <w:rPr>
          <w:color w:val="auto"/>
        </w:rPr>
      </w:pPr>
      <w:r>
        <w:rPr>
          <w:rFonts w:hint="eastAsia"/>
          <w:color w:val="auto"/>
        </w:rPr>
        <w:t>23.1 采购人或者采购代理机构应当自中标人确定之日起2个工作日内，在省级以上财政部门指定的媒体上公告中标结果，招标文件应当随中标结果同时公告。</w:t>
      </w:r>
    </w:p>
    <w:p>
      <w:pPr>
        <w:rPr>
          <w:color w:val="auto"/>
        </w:rPr>
      </w:pPr>
      <w:r>
        <w:rPr>
          <w:rFonts w:hint="eastAsia"/>
          <w:color w:val="auto"/>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pPr>
        <w:rPr>
          <w:color w:val="auto"/>
        </w:rPr>
      </w:pPr>
      <w:r>
        <w:rPr>
          <w:rFonts w:hint="eastAsia"/>
          <w:color w:val="auto"/>
        </w:rPr>
        <w:t>中标公告期限为1个工作日。</w:t>
      </w:r>
    </w:p>
    <w:p>
      <w:pPr>
        <w:rPr>
          <w:color w:val="auto"/>
        </w:rPr>
      </w:pPr>
      <w:r>
        <w:rPr>
          <w:rFonts w:hint="eastAsia"/>
          <w:color w:val="auto"/>
        </w:rPr>
        <w:t>在公告中标结果的同时，采购人或者采购代理机构应当向中标人发出中标通知书。</w:t>
      </w:r>
    </w:p>
    <w:p>
      <w:pPr>
        <w:rPr>
          <w:color w:val="auto"/>
        </w:rPr>
      </w:pPr>
      <w:r>
        <w:rPr>
          <w:rFonts w:hint="eastAsia"/>
          <w:color w:val="auto"/>
        </w:rPr>
        <w:t>23.2 中标通知书是合同的一个组成部分。</w:t>
      </w:r>
    </w:p>
    <w:p>
      <w:pPr>
        <w:rPr>
          <w:color w:val="auto"/>
        </w:rPr>
      </w:pPr>
      <w:r>
        <w:rPr>
          <w:rFonts w:hint="eastAsia"/>
          <w:color w:val="auto"/>
        </w:rPr>
        <w:t>24、签订合同</w:t>
      </w:r>
    </w:p>
    <w:p>
      <w:pPr>
        <w:rPr>
          <w:color w:val="auto"/>
        </w:rPr>
      </w:pPr>
      <w:r>
        <w:rPr>
          <w:rFonts w:hint="eastAsia"/>
          <w:color w:val="auto"/>
        </w:rPr>
        <w:t>24.1 招标人与中标人应当在中标通知书发出之日起30日内，按照招标文件确定的合同文本以及技术和服务要求等事项签订政府采购合同。如中标通知书发出之日起 30 日内，中标人未与招标人联系协商合同签订事宜，则视为自动放弃本次中标，招标人有权单方面终止中标人的中标资格,并另行委托招标代理机构重新组织招标，所发生的一切法律和经济责任由中标人承担。</w:t>
      </w:r>
    </w:p>
    <w:p>
      <w:pPr>
        <w:rPr>
          <w:color w:val="auto"/>
        </w:rPr>
      </w:pPr>
      <w:r>
        <w:rPr>
          <w:rFonts w:hint="eastAsia"/>
          <w:color w:val="auto"/>
        </w:rPr>
        <w:t>24.2 该项目采取“统招分签”方式，由总队统一审核合同模板，下发各支队签订合同文本，先由总队分别与各批次各标段中标单位签订总体框架合同后，支队根据总队下发的模板分别与相关中标单位签订合同。</w:t>
      </w:r>
    </w:p>
    <w:p>
      <w:pPr>
        <w:rPr>
          <w:color w:val="auto"/>
        </w:rPr>
      </w:pPr>
      <w:r>
        <w:rPr>
          <w:rFonts w:hint="eastAsia"/>
          <w:color w:val="auto"/>
        </w:rPr>
        <w:t>24.3中标人因不可抗力或者自身原因不能履行政府采购合同的，招标人可以与排位在中标人之后第一位的中标候选人协商签订政府采购合同，以此类推。也可以重新组织招标。</w:t>
      </w:r>
    </w:p>
    <w:p>
      <w:pPr>
        <w:rPr>
          <w:color w:val="auto"/>
        </w:rPr>
      </w:pPr>
      <w:r>
        <w:rPr>
          <w:rFonts w:hint="eastAsia"/>
          <w:color w:val="auto"/>
        </w:rPr>
        <w:t>25、履约保证金</w:t>
      </w:r>
    </w:p>
    <w:p>
      <w:pPr>
        <w:rPr>
          <w:color w:val="auto"/>
        </w:rPr>
      </w:pPr>
      <w:r>
        <w:rPr>
          <w:rFonts w:hint="eastAsia"/>
          <w:color w:val="auto"/>
        </w:rPr>
        <w:t>25.1 详见“投标人须知前附表”的规定。</w:t>
      </w:r>
    </w:p>
    <w:p>
      <w:pPr>
        <w:rPr>
          <w:color w:val="auto"/>
        </w:rPr>
      </w:pPr>
      <w:r>
        <w:rPr>
          <w:rFonts w:hint="eastAsia"/>
          <w:color w:val="auto"/>
        </w:rPr>
        <w:t>25.2 签订合同后，如中标人不按双方签订合同约定履约，则没收其全部履约保证金，履约保证金不足以赔偿损失的，按实际损失赔偿。</w:t>
      </w:r>
    </w:p>
    <w:p>
      <w:pPr>
        <w:pStyle w:val="3"/>
        <w:ind w:firstLine="482"/>
        <w:jc w:val="center"/>
        <w:rPr>
          <w:color w:val="auto"/>
        </w:rPr>
      </w:pPr>
      <w:bookmarkStart w:id="15" w:name="_Toc20902"/>
      <w:r>
        <w:rPr>
          <w:rFonts w:hint="eastAsia"/>
          <w:color w:val="auto"/>
        </w:rPr>
        <w:t>七、其他事项</w:t>
      </w:r>
      <w:bookmarkEnd w:id="15"/>
    </w:p>
    <w:p>
      <w:pPr>
        <w:rPr>
          <w:color w:val="auto"/>
        </w:rPr>
      </w:pPr>
      <w:r>
        <w:rPr>
          <w:rFonts w:hint="eastAsia"/>
          <w:color w:val="auto"/>
        </w:rPr>
        <w:t>26、招标代理服务费</w:t>
      </w:r>
    </w:p>
    <w:p>
      <w:pPr>
        <w:rPr>
          <w:color w:val="auto"/>
        </w:rPr>
      </w:pPr>
      <w:r>
        <w:rPr>
          <w:rFonts w:hint="eastAsia"/>
          <w:color w:val="auto"/>
        </w:rPr>
        <w:t>26.1 招标代理服务费由招标代理机构向中标人收取，收取标准详见“投标人须知前附表”。</w:t>
      </w:r>
    </w:p>
    <w:p>
      <w:pPr>
        <w:rPr>
          <w:color w:val="auto"/>
        </w:rPr>
      </w:pPr>
      <w:r>
        <w:rPr>
          <w:rFonts w:hint="eastAsia"/>
          <w:color w:val="auto"/>
        </w:rPr>
        <w:t>26.2 中标人应在接受“中标通知书”之前向招标代理机构一次付清招标代理服务费。</w:t>
      </w:r>
    </w:p>
    <w:p>
      <w:pPr>
        <w:rPr>
          <w:color w:val="auto"/>
        </w:rPr>
      </w:pPr>
      <w:r>
        <w:rPr>
          <w:rFonts w:hint="eastAsia"/>
          <w:color w:val="auto"/>
        </w:rPr>
        <w:t>27、招标文件编制依据</w:t>
      </w:r>
    </w:p>
    <w:p>
      <w:pPr>
        <w:rPr>
          <w:color w:val="auto"/>
        </w:rPr>
      </w:pPr>
      <w:r>
        <w:rPr>
          <w:rFonts w:hint="eastAsia"/>
          <w:color w:val="auto"/>
        </w:rPr>
        <w:t>本招标文件是根据《中华人民共和国政府采购法》、《中华人民共和国政府采购实施条例》及相关法律法规编制。</w:t>
      </w:r>
    </w:p>
    <w:p>
      <w:pPr>
        <w:rPr>
          <w:color w:val="auto"/>
        </w:rPr>
      </w:pPr>
      <w:r>
        <w:rPr>
          <w:rFonts w:hint="eastAsia"/>
          <w:color w:val="auto"/>
        </w:rPr>
        <w:t>28、需要补充的其他内容</w:t>
      </w:r>
    </w:p>
    <w:p>
      <w:pPr>
        <w:rPr>
          <w:color w:val="auto"/>
        </w:rPr>
      </w:pPr>
      <w:r>
        <w:rPr>
          <w:rFonts w:hint="eastAsia"/>
          <w:color w:val="auto"/>
        </w:rPr>
        <w:t>28.1 备选方案按“投标人须知前附表”的规定执行。</w:t>
      </w:r>
    </w:p>
    <w:p>
      <w:pPr>
        <w:rPr>
          <w:color w:val="auto"/>
        </w:rPr>
      </w:pPr>
      <w:r>
        <w:rPr>
          <w:rFonts w:hint="eastAsia"/>
          <w:color w:val="auto"/>
        </w:rPr>
        <w:t>28.2 需要补充的其他内容：见“投标人须知前附表”。</w:t>
      </w:r>
    </w:p>
    <w:p>
      <w:pPr>
        <w:adjustRightInd/>
        <w:ind w:firstLine="404"/>
        <w:rPr>
          <w:color w:val="auto"/>
          <w:sz w:val="2"/>
        </w:rPr>
      </w:pPr>
      <w:r>
        <w:rPr>
          <w:rFonts w:hint="eastAsia"/>
          <w:color w:val="auto"/>
          <w:spacing w:val="-4"/>
        </w:rPr>
        <w:br w:type="column"/>
      </w:r>
    </w:p>
    <w:p>
      <w:pPr>
        <w:pStyle w:val="2"/>
        <w:rPr>
          <w:color w:val="auto"/>
        </w:rPr>
      </w:pPr>
      <w:bookmarkStart w:id="16" w:name="_Toc24434"/>
      <w:r>
        <w:rPr>
          <w:rFonts w:hint="eastAsia"/>
          <w:color w:val="auto"/>
        </w:rPr>
        <w:t>第三章 合同书样式及主要条款</w:t>
      </w:r>
      <w:bookmarkEnd w:id="16"/>
    </w:p>
    <w:p>
      <w:pPr>
        <w:keepNext/>
        <w:keepLines/>
        <w:widowControl w:val="0"/>
        <w:spacing w:before="240" w:line="400" w:lineRule="exact"/>
        <w:ind w:firstLine="803"/>
        <w:jc w:val="center"/>
        <w:outlineLvl w:val="1"/>
        <w:rPr>
          <w:b/>
          <w:color w:val="auto"/>
          <w:spacing w:val="40"/>
          <w:sz w:val="32"/>
        </w:rPr>
      </w:pPr>
      <w:bookmarkStart w:id="17" w:name="_Toc20292"/>
      <w:r>
        <w:rPr>
          <w:rFonts w:hint="eastAsia"/>
          <w:b/>
          <w:bCs/>
          <w:color w:val="auto"/>
          <w:spacing w:val="40"/>
          <w:sz w:val="32"/>
          <w:szCs w:val="22"/>
        </w:rPr>
        <w:t>合同条款前附表</w:t>
      </w:r>
      <w:bookmarkEnd w:id="17"/>
    </w:p>
    <w:tbl>
      <w:tblPr>
        <w:tblStyle w:val="26"/>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2"/>
        <w:gridCol w:w="1800"/>
        <w:gridCol w:w="5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352" w:type="dxa"/>
            <w:vAlign w:val="center"/>
          </w:tcPr>
          <w:p>
            <w:pPr>
              <w:widowControl w:val="0"/>
              <w:adjustRightInd/>
              <w:snapToGrid/>
              <w:spacing w:line="400" w:lineRule="exact"/>
              <w:ind w:firstLine="0" w:firstLineChars="0"/>
              <w:jc w:val="center"/>
              <w:rPr>
                <w:b/>
                <w:color w:val="auto"/>
              </w:rPr>
            </w:pPr>
            <w:r>
              <w:rPr>
                <w:rFonts w:hint="eastAsia"/>
                <w:b/>
                <w:color w:val="auto"/>
              </w:rPr>
              <w:t>合同条款号</w:t>
            </w:r>
          </w:p>
        </w:tc>
        <w:tc>
          <w:tcPr>
            <w:tcW w:w="1800" w:type="dxa"/>
            <w:vAlign w:val="center"/>
          </w:tcPr>
          <w:p>
            <w:pPr>
              <w:widowControl w:val="0"/>
              <w:adjustRightInd/>
              <w:snapToGrid/>
              <w:spacing w:line="400" w:lineRule="exact"/>
              <w:ind w:firstLine="0" w:firstLineChars="0"/>
              <w:jc w:val="center"/>
              <w:rPr>
                <w:b/>
                <w:color w:val="auto"/>
              </w:rPr>
            </w:pPr>
            <w:r>
              <w:rPr>
                <w:rFonts w:hint="eastAsia"/>
                <w:b/>
                <w:color w:val="auto"/>
              </w:rPr>
              <w:t>项 目</w:t>
            </w:r>
          </w:p>
        </w:tc>
        <w:tc>
          <w:tcPr>
            <w:tcW w:w="5898" w:type="dxa"/>
            <w:vAlign w:val="center"/>
          </w:tcPr>
          <w:p>
            <w:pPr>
              <w:widowControl w:val="0"/>
              <w:adjustRightInd/>
              <w:snapToGrid/>
              <w:spacing w:line="400" w:lineRule="exact"/>
              <w:ind w:firstLine="0" w:firstLineChars="0"/>
              <w:jc w:val="center"/>
              <w:rPr>
                <w:b/>
                <w:color w:val="auto"/>
              </w:rPr>
            </w:pPr>
            <w:r>
              <w:rPr>
                <w:rFonts w:hint="eastAsia"/>
                <w:b/>
                <w:color w:val="auto"/>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vAlign w:val="center"/>
          </w:tcPr>
          <w:p>
            <w:pPr>
              <w:widowControl w:val="0"/>
              <w:adjustRightInd/>
              <w:snapToGrid/>
              <w:spacing w:line="400" w:lineRule="exact"/>
              <w:ind w:firstLine="0" w:firstLineChars="0"/>
              <w:jc w:val="center"/>
              <w:rPr>
                <w:color w:val="auto"/>
              </w:rPr>
            </w:pPr>
            <w:r>
              <w:rPr>
                <w:rFonts w:hint="eastAsia"/>
                <w:color w:val="auto"/>
              </w:rPr>
              <w:t>1</w:t>
            </w:r>
          </w:p>
        </w:tc>
        <w:tc>
          <w:tcPr>
            <w:tcW w:w="1800" w:type="dxa"/>
            <w:vAlign w:val="center"/>
          </w:tcPr>
          <w:p>
            <w:pPr>
              <w:widowControl w:val="0"/>
              <w:adjustRightInd/>
              <w:snapToGrid/>
              <w:spacing w:line="400" w:lineRule="exact"/>
              <w:ind w:firstLine="0" w:firstLineChars="0"/>
              <w:jc w:val="center"/>
              <w:rPr>
                <w:color w:val="auto"/>
              </w:rPr>
            </w:pPr>
            <w:r>
              <w:rPr>
                <w:rFonts w:hint="eastAsia"/>
                <w:color w:val="auto"/>
              </w:rPr>
              <w:t>交付、验收期</w:t>
            </w:r>
          </w:p>
        </w:tc>
        <w:tc>
          <w:tcPr>
            <w:tcW w:w="5898" w:type="dxa"/>
            <w:vAlign w:val="center"/>
          </w:tcPr>
          <w:p>
            <w:pPr>
              <w:widowControl w:val="0"/>
              <w:adjustRightInd/>
              <w:snapToGrid/>
              <w:spacing w:line="400" w:lineRule="exact"/>
              <w:ind w:firstLine="0" w:firstLineChars="0"/>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vAlign w:val="center"/>
          </w:tcPr>
          <w:p>
            <w:pPr>
              <w:widowControl w:val="0"/>
              <w:adjustRightInd/>
              <w:snapToGrid/>
              <w:spacing w:line="400" w:lineRule="exact"/>
              <w:ind w:firstLine="0" w:firstLineChars="0"/>
              <w:jc w:val="center"/>
              <w:rPr>
                <w:color w:val="auto"/>
              </w:rPr>
            </w:pPr>
            <w:r>
              <w:rPr>
                <w:rFonts w:hint="eastAsia"/>
                <w:color w:val="auto"/>
              </w:rPr>
              <w:t>2</w:t>
            </w:r>
          </w:p>
        </w:tc>
        <w:tc>
          <w:tcPr>
            <w:tcW w:w="1800" w:type="dxa"/>
            <w:vAlign w:val="center"/>
          </w:tcPr>
          <w:p>
            <w:pPr>
              <w:widowControl w:val="0"/>
              <w:adjustRightInd/>
              <w:snapToGrid/>
              <w:spacing w:line="400" w:lineRule="exact"/>
              <w:ind w:firstLine="0" w:firstLineChars="0"/>
              <w:jc w:val="center"/>
              <w:rPr>
                <w:color w:val="auto"/>
              </w:rPr>
            </w:pPr>
            <w:r>
              <w:rPr>
                <w:rFonts w:hint="eastAsia"/>
                <w:color w:val="auto"/>
              </w:rPr>
              <w:t>付款方式</w:t>
            </w:r>
          </w:p>
        </w:tc>
        <w:tc>
          <w:tcPr>
            <w:tcW w:w="5898" w:type="dxa"/>
            <w:vAlign w:val="center"/>
          </w:tcPr>
          <w:p>
            <w:pPr>
              <w:widowControl w:val="0"/>
              <w:adjustRightInd/>
              <w:snapToGrid/>
              <w:spacing w:line="400" w:lineRule="exact"/>
              <w:ind w:firstLine="0" w:firstLineChars="0"/>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vAlign w:val="center"/>
          </w:tcPr>
          <w:p>
            <w:pPr>
              <w:widowControl w:val="0"/>
              <w:adjustRightInd/>
              <w:snapToGrid/>
              <w:spacing w:line="400" w:lineRule="exact"/>
              <w:ind w:firstLine="0" w:firstLineChars="0"/>
              <w:jc w:val="center"/>
              <w:rPr>
                <w:color w:val="auto"/>
              </w:rPr>
            </w:pPr>
            <w:r>
              <w:rPr>
                <w:rFonts w:hint="eastAsia"/>
                <w:color w:val="auto"/>
              </w:rPr>
              <w:t>3</w:t>
            </w:r>
          </w:p>
        </w:tc>
        <w:tc>
          <w:tcPr>
            <w:tcW w:w="1800" w:type="dxa"/>
            <w:vAlign w:val="center"/>
          </w:tcPr>
          <w:p>
            <w:pPr>
              <w:widowControl w:val="0"/>
              <w:adjustRightInd/>
              <w:snapToGrid/>
              <w:spacing w:line="400" w:lineRule="exact"/>
              <w:ind w:firstLine="0" w:firstLineChars="0"/>
              <w:jc w:val="center"/>
              <w:rPr>
                <w:color w:val="auto"/>
              </w:rPr>
            </w:pPr>
            <w:r>
              <w:rPr>
                <w:rFonts w:hint="eastAsia"/>
                <w:color w:val="auto"/>
              </w:rPr>
              <w:t>验收</w:t>
            </w:r>
          </w:p>
        </w:tc>
        <w:tc>
          <w:tcPr>
            <w:tcW w:w="5898" w:type="dxa"/>
            <w:vAlign w:val="center"/>
          </w:tcPr>
          <w:p>
            <w:pPr>
              <w:widowControl w:val="0"/>
              <w:adjustRightInd/>
              <w:snapToGrid/>
              <w:spacing w:line="400" w:lineRule="exact"/>
              <w:ind w:firstLine="0" w:firstLineChars="0"/>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vAlign w:val="center"/>
          </w:tcPr>
          <w:p>
            <w:pPr>
              <w:widowControl w:val="0"/>
              <w:adjustRightInd/>
              <w:snapToGrid/>
              <w:spacing w:line="400" w:lineRule="exact"/>
              <w:ind w:firstLine="0" w:firstLineChars="0"/>
              <w:jc w:val="center"/>
              <w:rPr>
                <w:color w:val="auto"/>
              </w:rPr>
            </w:pPr>
            <w:r>
              <w:rPr>
                <w:rFonts w:hint="eastAsia"/>
                <w:color w:val="auto"/>
              </w:rPr>
              <w:t>4</w:t>
            </w:r>
          </w:p>
        </w:tc>
        <w:tc>
          <w:tcPr>
            <w:tcW w:w="1800" w:type="dxa"/>
            <w:vAlign w:val="center"/>
          </w:tcPr>
          <w:p>
            <w:pPr>
              <w:widowControl w:val="0"/>
              <w:adjustRightInd/>
              <w:snapToGrid/>
              <w:spacing w:line="400" w:lineRule="exact"/>
              <w:ind w:firstLine="0" w:firstLineChars="0"/>
              <w:jc w:val="center"/>
              <w:rPr>
                <w:color w:val="auto"/>
              </w:rPr>
            </w:pPr>
            <w:r>
              <w:rPr>
                <w:rFonts w:hint="eastAsia"/>
                <w:color w:val="auto"/>
              </w:rPr>
              <w:t>质保期</w:t>
            </w:r>
          </w:p>
        </w:tc>
        <w:tc>
          <w:tcPr>
            <w:tcW w:w="5898" w:type="dxa"/>
            <w:vAlign w:val="center"/>
          </w:tcPr>
          <w:p>
            <w:pPr>
              <w:widowControl w:val="0"/>
              <w:adjustRightInd/>
              <w:snapToGrid/>
              <w:spacing w:line="400" w:lineRule="exact"/>
              <w:ind w:firstLine="0" w:firstLineChars="0"/>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vAlign w:val="center"/>
          </w:tcPr>
          <w:p>
            <w:pPr>
              <w:widowControl w:val="0"/>
              <w:adjustRightInd/>
              <w:snapToGrid/>
              <w:spacing w:line="400" w:lineRule="exact"/>
              <w:ind w:firstLine="0" w:firstLineChars="0"/>
              <w:jc w:val="center"/>
              <w:rPr>
                <w:color w:val="auto"/>
              </w:rPr>
            </w:pPr>
            <w:r>
              <w:rPr>
                <w:rFonts w:hint="eastAsia"/>
                <w:color w:val="auto"/>
              </w:rPr>
              <w:t>......</w:t>
            </w:r>
          </w:p>
        </w:tc>
        <w:tc>
          <w:tcPr>
            <w:tcW w:w="1800" w:type="dxa"/>
            <w:vAlign w:val="center"/>
          </w:tcPr>
          <w:p>
            <w:pPr>
              <w:widowControl w:val="0"/>
              <w:adjustRightInd/>
              <w:snapToGrid/>
              <w:spacing w:line="400" w:lineRule="exact"/>
              <w:ind w:firstLine="0" w:firstLineChars="0"/>
              <w:jc w:val="center"/>
              <w:rPr>
                <w:color w:val="auto"/>
              </w:rPr>
            </w:pPr>
          </w:p>
        </w:tc>
        <w:tc>
          <w:tcPr>
            <w:tcW w:w="5898" w:type="dxa"/>
            <w:vAlign w:val="center"/>
          </w:tcPr>
          <w:p>
            <w:pPr>
              <w:widowControl w:val="0"/>
              <w:adjustRightInd/>
              <w:snapToGrid/>
              <w:spacing w:line="400" w:lineRule="exact"/>
              <w:ind w:firstLine="0" w:firstLineChars="0"/>
              <w:jc w:val="center"/>
              <w:rPr>
                <w:color w:val="auto"/>
              </w:rPr>
            </w:pPr>
          </w:p>
        </w:tc>
      </w:tr>
    </w:tbl>
    <w:p>
      <w:pPr>
        <w:adjustRightInd/>
        <w:snapToGrid/>
        <w:ind w:firstLine="0" w:firstLineChars="0"/>
        <w:jc w:val="center"/>
        <w:rPr>
          <w:color w:val="auto"/>
        </w:rPr>
      </w:pPr>
      <w:r>
        <w:rPr>
          <w:rFonts w:hint="eastAsia"/>
          <w:color w:val="auto"/>
          <w:spacing w:val="8"/>
          <w:shd w:val="clear" w:color="auto" w:fill="FFFFFF"/>
        </w:rPr>
        <w:br w:type="page"/>
      </w:r>
      <w:r>
        <w:rPr>
          <w:rFonts w:hint="eastAsia"/>
          <w:color w:val="auto"/>
          <w:sz w:val="30"/>
          <w:szCs w:val="30"/>
        </w:rPr>
        <w:t>合同编号：</w:t>
      </w:r>
      <w:r>
        <w:rPr>
          <w:rFonts w:hint="eastAsia"/>
          <w:b/>
          <w:bCs/>
          <w:color w:val="auto"/>
          <w:spacing w:val="6"/>
          <w:sz w:val="32"/>
          <w:szCs w:val="32"/>
        </w:rPr>
        <w:t>X标包号</w:t>
      </w:r>
    </w:p>
    <w:p>
      <w:pPr>
        <w:widowControl w:val="0"/>
        <w:adjustRightInd/>
        <w:snapToGrid/>
        <w:spacing w:line="440" w:lineRule="exact"/>
        <w:ind w:firstLine="0" w:firstLineChars="0"/>
        <w:jc w:val="both"/>
        <w:rPr>
          <w:color w:val="auto"/>
          <w:sz w:val="30"/>
          <w:szCs w:val="30"/>
        </w:rPr>
      </w:pPr>
    </w:p>
    <w:p>
      <w:pPr>
        <w:widowControl w:val="0"/>
        <w:tabs>
          <w:tab w:val="left" w:pos="4775"/>
        </w:tabs>
        <w:adjustRightInd/>
        <w:snapToGrid/>
        <w:ind w:firstLine="0" w:firstLineChars="0"/>
        <w:jc w:val="center"/>
        <w:rPr>
          <w:b/>
          <w:bCs/>
          <w:color w:val="auto"/>
          <w:sz w:val="40"/>
          <w:szCs w:val="36"/>
        </w:rPr>
      </w:pPr>
      <w:r>
        <w:rPr>
          <w:rFonts w:hint="eastAsia"/>
          <w:b/>
          <w:bCs/>
          <w:color w:val="auto"/>
          <w:sz w:val="40"/>
          <w:szCs w:val="36"/>
        </w:rPr>
        <w:t>云南省消防救援总队XX采购项目</w:t>
      </w:r>
    </w:p>
    <w:p>
      <w:pPr>
        <w:widowControl w:val="0"/>
        <w:tabs>
          <w:tab w:val="left" w:pos="4775"/>
        </w:tabs>
        <w:adjustRightInd/>
        <w:snapToGrid/>
        <w:ind w:firstLine="0" w:firstLineChars="0"/>
        <w:jc w:val="center"/>
        <w:rPr>
          <w:b/>
          <w:bCs/>
          <w:color w:val="auto"/>
          <w:sz w:val="40"/>
          <w:szCs w:val="36"/>
        </w:rPr>
      </w:pPr>
      <w:r>
        <w:rPr>
          <w:rFonts w:hint="eastAsia"/>
          <w:b/>
          <w:bCs/>
          <w:color w:val="auto"/>
          <w:sz w:val="40"/>
          <w:szCs w:val="36"/>
        </w:rPr>
        <w:t>（车辆部分）</w:t>
      </w:r>
    </w:p>
    <w:p>
      <w:pPr>
        <w:widowControl w:val="0"/>
        <w:tabs>
          <w:tab w:val="left" w:pos="4775"/>
        </w:tabs>
        <w:adjustRightInd/>
        <w:snapToGrid/>
        <w:spacing w:line="440" w:lineRule="exact"/>
        <w:ind w:firstLine="0" w:firstLineChars="0"/>
        <w:jc w:val="center"/>
        <w:rPr>
          <w:b/>
          <w:color w:val="auto"/>
          <w:sz w:val="36"/>
          <w:szCs w:val="36"/>
        </w:rPr>
      </w:pPr>
      <w:r>
        <w:rPr>
          <w:rFonts w:hint="eastAsia"/>
          <w:b/>
          <w:color w:val="auto"/>
          <w:sz w:val="36"/>
          <w:szCs w:val="36"/>
        </w:rPr>
        <w:t>（</w:t>
      </w:r>
      <w:r>
        <w:rPr>
          <w:rFonts w:hint="eastAsia"/>
          <w:b/>
          <w:color w:val="auto"/>
          <w:sz w:val="36"/>
          <w:szCs w:val="36"/>
          <w:u w:val="single"/>
        </w:rPr>
        <w:t xml:space="preserve">    </w:t>
      </w:r>
      <w:r>
        <w:rPr>
          <w:rFonts w:hint="eastAsia"/>
          <w:b/>
          <w:color w:val="auto"/>
          <w:sz w:val="36"/>
          <w:szCs w:val="36"/>
        </w:rPr>
        <w:t>标包）</w:t>
      </w:r>
    </w:p>
    <w:p>
      <w:pPr>
        <w:widowControl w:val="0"/>
        <w:adjustRightInd/>
        <w:snapToGrid/>
        <w:spacing w:line="440" w:lineRule="exact"/>
        <w:ind w:firstLine="0" w:firstLineChars="0"/>
        <w:jc w:val="both"/>
        <w:rPr>
          <w:b/>
          <w:bCs/>
          <w:color w:val="auto"/>
          <w:sz w:val="48"/>
          <w:szCs w:val="48"/>
        </w:rPr>
      </w:pPr>
    </w:p>
    <w:p>
      <w:pPr>
        <w:widowControl w:val="0"/>
        <w:adjustRightInd/>
        <w:snapToGrid/>
        <w:spacing w:line="440" w:lineRule="exact"/>
        <w:ind w:firstLine="0" w:firstLineChars="0"/>
        <w:jc w:val="both"/>
        <w:rPr>
          <w:b/>
          <w:bCs/>
          <w:color w:val="auto"/>
          <w:sz w:val="48"/>
          <w:szCs w:val="48"/>
        </w:rPr>
      </w:pPr>
    </w:p>
    <w:p>
      <w:pPr>
        <w:widowControl w:val="0"/>
        <w:adjustRightInd/>
        <w:snapToGrid/>
        <w:spacing w:line="440" w:lineRule="exact"/>
        <w:ind w:firstLine="0" w:firstLineChars="0"/>
        <w:jc w:val="both"/>
        <w:rPr>
          <w:b/>
          <w:bCs/>
          <w:color w:val="auto"/>
          <w:sz w:val="48"/>
          <w:szCs w:val="48"/>
        </w:rPr>
      </w:pPr>
    </w:p>
    <w:p>
      <w:pPr>
        <w:widowControl w:val="0"/>
        <w:wordWrap w:val="0"/>
        <w:adjustRightInd/>
        <w:snapToGrid/>
        <w:spacing w:before="312" w:beforeLines="100" w:after="312" w:afterLines="100" w:line="480" w:lineRule="auto"/>
        <w:ind w:firstLine="0" w:firstLineChars="0"/>
        <w:jc w:val="center"/>
        <w:rPr>
          <w:b/>
          <w:bCs/>
          <w:color w:val="auto"/>
          <w:sz w:val="72"/>
          <w:szCs w:val="72"/>
        </w:rPr>
      </w:pPr>
    </w:p>
    <w:p>
      <w:pPr>
        <w:widowControl w:val="0"/>
        <w:wordWrap w:val="0"/>
        <w:adjustRightInd/>
        <w:snapToGrid/>
        <w:spacing w:before="312" w:beforeLines="100" w:after="312" w:afterLines="100" w:line="480" w:lineRule="auto"/>
        <w:ind w:firstLine="0" w:firstLineChars="0"/>
        <w:jc w:val="center"/>
        <w:rPr>
          <w:b/>
          <w:bCs/>
          <w:color w:val="auto"/>
          <w:sz w:val="72"/>
          <w:szCs w:val="72"/>
        </w:rPr>
      </w:pPr>
      <w:r>
        <w:rPr>
          <w:rFonts w:hint="eastAsia"/>
          <w:b/>
          <w:bCs/>
          <w:color w:val="auto"/>
          <w:sz w:val="72"/>
          <w:szCs w:val="72"/>
        </w:rPr>
        <w:t>合</w:t>
      </w:r>
    </w:p>
    <w:p>
      <w:pPr>
        <w:widowControl w:val="0"/>
        <w:wordWrap w:val="0"/>
        <w:adjustRightInd/>
        <w:snapToGrid/>
        <w:spacing w:before="312" w:beforeLines="100" w:after="312" w:afterLines="100" w:line="480" w:lineRule="auto"/>
        <w:ind w:firstLine="0" w:firstLineChars="0"/>
        <w:jc w:val="center"/>
        <w:rPr>
          <w:b/>
          <w:bCs/>
          <w:color w:val="auto"/>
          <w:sz w:val="72"/>
          <w:szCs w:val="72"/>
        </w:rPr>
      </w:pPr>
      <w:r>
        <w:rPr>
          <w:rFonts w:hint="eastAsia"/>
          <w:b/>
          <w:bCs/>
          <w:color w:val="auto"/>
          <w:sz w:val="72"/>
          <w:szCs w:val="72"/>
        </w:rPr>
        <w:t>同</w:t>
      </w:r>
    </w:p>
    <w:p>
      <w:pPr>
        <w:widowControl w:val="0"/>
        <w:wordWrap w:val="0"/>
        <w:adjustRightInd/>
        <w:snapToGrid/>
        <w:spacing w:before="312" w:beforeLines="100" w:after="312" w:afterLines="100" w:line="480" w:lineRule="auto"/>
        <w:ind w:firstLine="0" w:firstLineChars="0"/>
        <w:jc w:val="center"/>
        <w:rPr>
          <w:b/>
          <w:bCs/>
          <w:color w:val="auto"/>
          <w:sz w:val="72"/>
          <w:szCs w:val="72"/>
        </w:rPr>
      </w:pPr>
      <w:r>
        <w:rPr>
          <w:rFonts w:hint="eastAsia"/>
          <w:b/>
          <w:bCs/>
          <w:color w:val="auto"/>
          <w:sz w:val="72"/>
          <w:szCs w:val="72"/>
        </w:rPr>
        <w:t>书</w:t>
      </w:r>
    </w:p>
    <w:p>
      <w:pPr>
        <w:widowControl w:val="0"/>
        <w:adjustRightInd/>
        <w:snapToGrid/>
        <w:spacing w:line="440" w:lineRule="exact"/>
        <w:ind w:firstLine="0" w:firstLineChars="0"/>
        <w:jc w:val="both"/>
        <w:rPr>
          <w:b/>
          <w:bCs/>
          <w:color w:val="auto"/>
          <w:sz w:val="48"/>
          <w:szCs w:val="48"/>
        </w:rPr>
      </w:pPr>
    </w:p>
    <w:p>
      <w:pPr>
        <w:widowControl w:val="0"/>
        <w:wordWrap w:val="0"/>
        <w:adjustRightInd/>
        <w:snapToGrid/>
        <w:spacing w:before="156" w:beforeLines="50" w:after="156" w:afterLines="50" w:line="440" w:lineRule="exact"/>
        <w:ind w:firstLine="0" w:firstLineChars="0"/>
        <w:jc w:val="center"/>
        <w:rPr>
          <w:b/>
          <w:bCs/>
          <w:color w:val="auto"/>
          <w:sz w:val="30"/>
          <w:szCs w:val="30"/>
        </w:rPr>
      </w:pPr>
    </w:p>
    <w:p>
      <w:pPr>
        <w:widowControl w:val="0"/>
        <w:wordWrap w:val="0"/>
        <w:adjustRightInd/>
        <w:snapToGrid/>
        <w:spacing w:before="156" w:beforeLines="50" w:after="156" w:afterLines="50" w:line="440" w:lineRule="exact"/>
        <w:ind w:firstLine="0" w:firstLineChars="0"/>
        <w:jc w:val="both"/>
        <w:rPr>
          <w:b/>
          <w:bCs/>
          <w:color w:val="auto"/>
          <w:sz w:val="30"/>
          <w:szCs w:val="30"/>
        </w:rPr>
      </w:pPr>
    </w:p>
    <w:p>
      <w:pPr>
        <w:widowControl w:val="0"/>
        <w:wordWrap w:val="0"/>
        <w:adjustRightInd/>
        <w:snapToGrid/>
        <w:spacing w:before="156" w:beforeLines="50" w:after="156" w:afterLines="50" w:line="440" w:lineRule="exact"/>
        <w:ind w:firstLine="0" w:firstLineChars="0"/>
        <w:jc w:val="center"/>
        <w:rPr>
          <w:b/>
          <w:bCs/>
          <w:color w:val="auto"/>
          <w:sz w:val="30"/>
          <w:szCs w:val="30"/>
        </w:rPr>
      </w:pPr>
    </w:p>
    <w:p>
      <w:pPr>
        <w:widowControl w:val="0"/>
        <w:wordWrap w:val="0"/>
        <w:adjustRightInd/>
        <w:snapToGrid/>
        <w:spacing w:before="156" w:beforeLines="50" w:after="156" w:afterLines="50" w:line="440" w:lineRule="exact"/>
        <w:ind w:firstLine="0" w:firstLineChars="0"/>
        <w:jc w:val="both"/>
        <w:rPr>
          <w:b/>
          <w:bCs/>
          <w:color w:val="auto"/>
          <w:sz w:val="30"/>
          <w:szCs w:val="30"/>
        </w:rPr>
      </w:pPr>
    </w:p>
    <w:p>
      <w:pPr>
        <w:widowControl w:val="0"/>
        <w:wordWrap w:val="0"/>
        <w:adjustRightInd/>
        <w:snapToGrid/>
        <w:spacing w:before="156" w:beforeLines="50" w:after="156" w:afterLines="50" w:line="440" w:lineRule="exact"/>
        <w:ind w:firstLine="0" w:firstLineChars="0"/>
        <w:jc w:val="center"/>
        <w:rPr>
          <w:b/>
          <w:bCs/>
          <w:color w:val="auto"/>
          <w:sz w:val="30"/>
          <w:szCs w:val="30"/>
        </w:rPr>
      </w:pPr>
    </w:p>
    <w:p>
      <w:pPr>
        <w:widowControl w:val="0"/>
        <w:wordWrap w:val="0"/>
        <w:adjustRightInd/>
        <w:snapToGrid/>
        <w:spacing w:before="156" w:beforeLines="50" w:after="156" w:afterLines="50" w:line="440" w:lineRule="exact"/>
        <w:ind w:firstLine="0" w:firstLineChars="0"/>
        <w:jc w:val="center"/>
        <w:rPr>
          <w:color w:val="auto"/>
          <w:sz w:val="32"/>
          <w:szCs w:val="32"/>
          <w:lang w:val="zh-CN"/>
        </w:rPr>
      </w:pPr>
      <w:r>
        <w:rPr>
          <w:rFonts w:hint="eastAsia"/>
          <w:b/>
          <w:bCs/>
          <w:color w:val="auto"/>
          <w:sz w:val="30"/>
          <w:szCs w:val="30"/>
        </w:rPr>
        <w:t>签订地点：</w:t>
      </w:r>
      <w:r>
        <w:rPr>
          <w:rFonts w:hint="eastAsia"/>
          <w:b/>
          <w:bCs/>
          <w:color w:val="auto"/>
          <w:sz w:val="30"/>
          <w:szCs w:val="30"/>
          <w:u w:val="single"/>
          <w:lang w:val="zh-CN"/>
        </w:rPr>
        <w:t>云南省消防救援总队（云南昆明）</w:t>
      </w:r>
    </w:p>
    <w:p>
      <w:pPr>
        <w:widowControl w:val="0"/>
        <w:adjustRightInd/>
        <w:snapToGrid/>
        <w:spacing w:line="440" w:lineRule="exact"/>
        <w:ind w:firstLine="0" w:firstLineChars="0"/>
        <w:jc w:val="both"/>
        <w:rPr>
          <w:b/>
          <w:bCs/>
          <w:color w:val="auto"/>
          <w:lang w:val="zh-CN"/>
        </w:rPr>
      </w:pPr>
      <w:r>
        <w:rPr>
          <w:rFonts w:hint="eastAsia"/>
          <w:color w:val="auto"/>
          <w:sz w:val="32"/>
          <w:szCs w:val="32"/>
          <w:lang w:val="zh-CN"/>
        </w:rPr>
        <w:br w:type="page"/>
      </w:r>
      <w:r>
        <w:rPr>
          <w:rFonts w:hint="eastAsia"/>
          <w:b/>
          <w:bCs/>
          <w:color w:val="auto"/>
          <w:lang w:val="zh-CN"/>
        </w:rPr>
        <w:t>甲方（</w:t>
      </w:r>
      <w:r>
        <w:rPr>
          <w:rFonts w:hint="eastAsia"/>
          <w:b/>
          <w:bCs/>
          <w:color w:val="auto"/>
        </w:rPr>
        <w:t>招标</w:t>
      </w:r>
      <w:r>
        <w:rPr>
          <w:rFonts w:hint="eastAsia"/>
          <w:b/>
          <w:bCs/>
          <w:color w:val="auto"/>
          <w:lang w:val="zh-CN"/>
        </w:rPr>
        <w:t>人）名      称：云南省消防救援总队</w:t>
      </w:r>
      <w:r>
        <w:rPr>
          <w:rFonts w:hint="eastAsia"/>
          <w:b/>
          <w:bCs/>
          <w:color w:val="auto"/>
        </w:rPr>
        <w:t xml:space="preserve"> </w:t>
      </w:r>
    </w:p>
    <w:p>
      <w:pPr>
        <w:widowControl w:val="0"/>
        <w:tabs>
          <w:tab w:val="left" w:pos="0"/>
        </w:tabs>
        <w:spacing w:line="579" w:lineRule="exact"/>
        <w:jc w:val="both"/>
        <w:rPr>
          <w:color w:val="auto"/>
          <w:lang w:val="zh-CN"/>
        </w:rPr>
      </w:pPr>
      <w:r>
        <w:rPr>
          <w:rFonts w:hint="eastAsia"/>
          <w:color w:val="auto"/>
          <w:lang w:val="zh-CN"/>
        </w:rPr>
        <w:t xml:space="preserve">          </w:t>
      </w:r>
      <w:r>
        <w:rPr>
          <w:rFonts w:hint="eastAsia"/>
          <w:color w:val="auto"/>
        </w:rPr>
        <w:t xml:space="preserve"> </w:t>
      </w:r>
      <w:r>
        <w:rPr>
          <w:rFonts w:hint="eastAsia"/>
          <w:color w:val="auto"/>
          <w:lang w:val="zh-CN"/>
        </w:rPr>
        <w:t xml:space="preserve">地     址：昆明市官渡区海塘路666号 </w:t>
      </w:r>
    </w:p>
    <w:p>
      <w:pPr>
        <w:widowControl w:val="0"/>
        <w:tabs>
          <w:tab w:val="left" w:pos="0"/>
        </w:tabs>
        <w:spacing w:line="579" w:lineRule="exact"/>
        <w:jc w:val="both"/>
        <w:rPr>
          <w:color w:val="auto"/>
          <w:lang w:val="zh-CN"/>
        </w:rPr>
      </w:pPr>
      <w:r>
        <w:rPr>
          <w:rFonts w:hint="eastAsia"/>
          <w:color w:val="auto"/>
          <w:lang w:val="zh-CN"/>
        </w:rPr>
        <w:t xml:space="preserve">           邮     编：650200 </w:t>
      </w:r>
    </w:p>
    <w:p>
      <w:pPr>
        <w:widowControl w:val="0"/>
        <w:tabs>
          <w:tab w:val="left" w:pos="0"/>
        </w:tabs>
        <w:spacing w:line="579" w:lineRule="exact"/>
        <w:jc w:val="both"/>
        <w:rPr>
          <w:color w:val="auto"/>
          <w:lang w:val="zh-CN"/>
        </w:rPr>
      </w:pPr>
      <w:r>
        <w:rPr>
          <w:rFonts w:hint="eastAsia"/>
          <w:color w:val="auto"/>
          <w:lang w:val="zh-CN"/>
        </w:rPr>
        <w:t xml:space="preserve">           负  责  人：</w:t>
      </w:r>
    </w:p>
    <w:p>
      <w:pPr>
        <w:widowControl w:val="0"/>
        <w:tabs>
          <w:tab w:val="left" w:pos="0"/>
        </w:tabs>
        <w:spacing w:line="579" w:lineRule="exact"/>
        <w:jc w:val="both"/>
        <w:rPr>
          <w:color w:val="auto"/>
          <w:lang w:val="zh-CN"/>
        </w:rPr>
      </w:pPr>
      <w:r>
        <w:rPr>
          <w:rFonts w:hint="eastAsia"/>
          <w:color w:val="auto"/>
          <w:lang w:val="zh-CN"/>
        </w:rPr>
        <w:t xml:space="preserve">           </w:t>
      </w:r>
      <w:r>
        <w:rPr>
          <w:color w:val="auto"/>
          <w:lang w:val="zh-CN"/>
        </w:rPr>
        <w:t xml:space="preserve"> </w:t>
      </w:r>
      <w:r>
        <w:rPr>
          <w:rFonts w:hint="eastAsia"/>
          <w:color w:val="auto"/>
          <w:lang w:val="zh-CN"/>
        </w:rPr>
        <w:t>其委托代理人：</w:t>
      </w:r>
    </w:p>
    <w:p>
      <w:pPr>
        <w:widowControl w:val="0"/>
        <w:tabs>
          <w:tab w:val="left" w:pos="0"/>
        </w:tabs>
        <w:spacing w:line="579" w:lineRule="exact"/>
        <w:jc w:val="both"/>
        <w:rPr>
          <w:color w:val="auto"/>
          <w:lang w:val="zh-CN"/>
        </w:rPr>
      </w:pPr>
      <w:r>
        <w:rPr>
          <w:rFonts w:hint="eastAsia"/>
          <w:color w:val="auto"/>
          <w:lang w:val="zh-CN"/>
        </w:rPr>
        <w:t xml:space="preserve">           </w:t>
      </w:r>
      <w:r>
        <w:rPr>
          <w:color w:val="auto"/>
          <w:lang w:val="zh-CN"/>
        </w:rPr>
        <w:t xml:space="preserve"> </w:t>
      </w:r>
      <w:r>
        <w:rPr>
          <w:rFonts w:hint="eastAsia"/>
          <w:color w:val="auto"/>
          <w:lang w:val="zh-CN"/>
        </w:rPr>
        <w:t>经  办  人：</w:t>
      </w:r>
    </w:p>
    <w:p>
      <w:pPr>
        <w:widowControl w:val="0"/>
        <w:tabs>
          <w:tab w:val="left" w:pos="0"/>
        </w:tabs>
        <w:spacing w:line="579" w:lineRule="exact"/>
        <w:ind w:firstLine="1486" w:firstLineChars="708"/>
        <w:jc w:val="both"/>
        <w:rPr>
          <w:color w:val="auto"/>
        </w:rPr>
      </w:pPr>
      <w:r>
        <w:rPr>
          <w:rFonts w:hint="eastAsia"/>
          <w:color w:val="auto"/>
          <w:lang w:val="zh-CN"/>
        </w:rPr>
        <w:t xml:space="preserve">电 </w:t>
      </w:r>
      <w:r>
        <w:rPr>
          <w:color w:val="auto"/>
          <w:lang w:val="zh-CN"/>
        </w:rPr>
        <w:t xml:space="preserve">      </w:t>
      </w:r>
      <w:r>
        <w:rPr>
          <w:rFonts w:hint="eastAsia"/>
          <w:color w:val="auto"/>
          <w:lang w:val="zh-CN"/>
        </w:rPr>
        <w:t>话： 0871-6456</w:t>
      </w:r>
      <w:r>
        <w:rPr>
          <w:rFonts w:hint="eastAsia"/>
          <w:color w:val="auto"/>
        </w:rPr>
        <w:t>9342</w:t>
      </w:r>
    </w:p>
    <w:p>
      <w:pPr>
        <w:widowControl w:val="0"/>
        <w:tabs>
          <w:tab w:val="left" w:pos="0"/>
        </w:tabs>
        <w:spacing w:line="579" w:lineRule="exact"/>
        <w:jc w:val="both"/>
        <w:rPr>
          <w:color w:val="auto"/>
        </w:rPr>
      </w:pPr>
    </w:p>
    <w:p>
      <w:pPr>
        <w:widowControl w:val="0"/>
        <w:adjustRightInd/>
        <w:snapToGrid/>
        <w:spacing w:line="440" w:lineRule="exact"/>
        <w:ind w:firstLine="0" w:firstLineChars="0"/>
        <w:jc w:val="both"/>
        <w:rPr>
          <w:color w:val="auto"/>
        </w:rPr>
      </w:pPr>
    </w:p>
    <w:p>
      <w:pPr>
        <w:widowControl w:val="0"/>
        <w:wordWrap w:val="0"/>
        <w:adjustRightInd/>
        <w:snapToGrid/>
        <w:spacing w:before="156" w:beforeLines="50" w:line="579" w:lineRule="exact"/>
        <w:ind w:firstLine="0" w:firstLineChars="0"/>
        <w:jc w:val="both"/>
        <w:rPr>
          <w:b/>
          <w:bCs/>
          <w:color w:val="auto"/>
        </w:rPr>
      </w:pPr>
      <w:r>
        <w:rPr>
          <w:rFonts w:hint="eastAsia"/>
          <w:b/>
          <w:bCs/>
          <w:color w:val="auto"/>
          <w:lang w:val="zh-CN"/>
        </w:rPr>
        <w:t>乙方（中标</w:t>
      </w:r>
      <w:r>
        <w:rPr>
          <w:rFonts w:hint="eastAsia"/>
          <w:b/>
          <w:bCs/>
          <w:color w:val="auto"/>
        </w:rPr>
        <w:t>人</w:t>
      </w:r>
      <w:r>
        <w:rPr>
          <w:rFonts w:hint="eastAsia"/>
          <w:b/>
          <w:bCs/>
          <w:color w:val="auto"/>
          <w:lang w:val="zh-CN"/>
        </w:rPr>
        <w:t>）名      称：</w:t>
      </w:r>
    </w:p>
    <w:p>
      <w:pPr>
        <w:widowControl w:val="0"/>
        <w:wordWrap w:val="0"/>
        <w:adjustRightInd/>
        <w:snapToGrid/>
        <w:spacing w:before="156" w:beforeLines="50" w:line="579" w:lineRule="exact"/>
        <w:ind w:left="2940" w:hanging="2940" w:hangingChars="1400"/>
        <w:jc w:val="both"/>
        <w:rPr>
          <w:color w:val="auto"/>
        </w:rPr>
      </w:pPr>
      <w:r>
        <w:rPr>
          <w:rFonts w:hint="eastAsia"/>
          <w:color w:val="auto"/>
          <w:lang w:val="zh-CN"/>
        </w:rPr>
        <w:t xml:space="preserve">              地      址：</w:t>
      </w:r>
    </w:p>
    <w:p>
      <w:pPr>
        <w:widowControl w:val="0"/>
        <w:wordWrap w:val="0"/>
        <w:adjustRightInd/>
        <w:snapToGrid/>
        <w:spacing w:before="156" w:beforeLines="50" w:line="579" w:lineRule="exact"/>
        <w:ind w:firstLine="0" w:firstLineChars="0"/>
        <w:jc w:val="both"/>
        <w:rPr>
          <w:color w:val="auto"/>
          <w:lang w:val="zh-CN"/>
        </w:rPr>
      </w:pPr>
      <w:r>
        <w:rPr>
          <w:rFonts w:hint="eastAsia"/>
          <w:color w:val="auto"/>
          <w:lang w:val="zh-CN"/>
        </w:rPr>
        <w:t xml:space="preserve">              邮      编：</w:t>
      </w:r>
    </w:p>
    <w:p>
      <w:pPr>
        <w:widowControl w:val="0"/>
        <w:wordWrap w:val="0"/>
        <w:adjustRightInd/>
        <w:snapToGrid/>
        <w:spacing w:before="156" w:beforeLines="50" w:line="579" w:lineRule="exact"/>
        <w:ind w:firstLine="0" w:firstLineChars="0"/>
        <w:jc w:val="both"/>
        <w:rPr>
          <w:color w:val="auto"/>
        </w:rPr>
      </w:pPr>
      <w:r>
        <w:rPr>
          <w:rFonts w:hint="eastAsia"/>
          <w:color w:val="auto"/>
          <w:lang w:val="zh-CN"/>
        </w:rPr>
        <w:t xml:space="preserve">              法定代表人：</w:t>
      </w:r>
    </w:p>
    <w:p>
      <w:pPr>
        <w:widowControl w:val="0"/>
        <w:wordWrap w:val="0"/>
        <w:adjustRightInd/>
        <w:snapToGrid/>
        <w:spacing w:before="156" w:beforeLines="50" w:line="579" w:lineRule="exact"/>
        <w:ind w:firstLine="1470" w:firstLineChars="700"/>
        <w:jc w:val="both"/>
        <w:rPr>
          <w:color w:val="auto"/>
        </w:rPr>
      </w:pPr>
      <w:r>
        <w:rPr>
          <w:rFonts w:hint="eastAsia"/>
          <w:color w:val="auto"/>
          <w:lang w:val="zh-CN"/>
        </w:rPr>
        <w:t>其委托代理人：       电话：</w:t>
      </w:r>
    </w:p>
    <w:p>
      <w:pPr>
        <w:widowControl w:val="0"/>
        <w:wordWrap w:val="0"/>
        <w:adjustRightInd/>
        <w:snapToGrid/>
        <w:spacing w:before="156" w:beforeLines="50" w:line="579" w:lineRule="exact"/>
        <w:ind w:firstLine="1470" w:firstLineChars="700"/>
        <w:jc w:val="both"/>
        <w:rPr>
          <w:color w:val="auto"/>
        </w:rPr>
      </w:pPr>
      <w:r>
        <w:rPr>
          <w:rFonts w:hint="eastAsia"/>
          <w:color w:val="auto"/>
          <w:lang w:val="zh-CN"/>
        </w:rPr>
        <w:t>售后技术联系人：</w:t>
      </w:r>
      <w:r>
        <w:rPr>
          <w:rFonts w:hint="eastAsia"/>
          <w:color w:val="auto"/>
        </w:rPr>
        <w:t xml:space="preserve">       </w:t>
      </w:r>
      <w:r>
        <w:rPr>
          <w:rFonts w:hint="eastAsia"/>
          <w:color w:val="auto"/>
          <w:lang w:val="zh-CN"/>
        </w:rPr>
        <w:t>电话：</w:t>
      </w:r>
    </w:p>
    <w:p>
      <w:pPr>
        <w:widowControl w:val="0"/>
        <w:wordWrap w:val="0"/>
        <w:adjustRightInd/>
        <w:snapToGrid/>
        <w:spacing w:before="156" w:beforeLines="50" w:line="579" w:lineRule="exact"/>
        <w:ind w:firstLine="1680" w:firstLineChars="800"/>
        <w:jc w:val="both"/>
        <w:rPr>
          <w:color w:val="auto"/>
        </w:rPr>
      </w:pPr>
      <w:r>
        <w:rPr>
          <w:rFonts w:hint="eastAsia"/>
          <w:color w:val="auto"/>
        </w:rPr>
        <w:t>开户银行：</w:t>
      </w:r>
    </w:p>
    <w:p>
      <w:pPr>
        <w:widowControl w:val="0"/>
        <w:wordWrap w:val="0"/>
        <w:adjustRightInd/>
        <w:snapToGrid/>
        <w:spacing w:before="156" w:beforeLines="50" w:line="579" w:lineRule="exact"/>
        <w:ind w:firstLine="1680" w:firstLineChars="800"/>
        <w:jc w:val="both"/>
        <w:rPr>
          <w:color w:val="auto"/>
          <w:lang w:val="zh-CN"/>
        </w:rPr>
      </w:pPr>
      <w:r>
        <w:rPr>
          <w:rFonts w:hint="eastAsia"/>
          <w:color w:val="auto"/>
        </w:rPr>
        <w:t>账</w:t>
      </w:r>
      <w:r>
        <w:rPr>
          <w:rFonts w:hint="eastAsia"/>
          <w:color w:val="auto"/>
          <w:lang w:val="zh-CN"/>
        </w:rPr>
        <w:t xml:space="preserve"> </w:t>
      </w:r>
      <w:r>
        <w:rPr>
          <w:rFonts w:hint="eastAsia"/>
          <w:color w:val="auto"/>
        </w:rPr>
        <w:t xml:space="preserve">  </w:t>
      </w:r>
      <w:r>
        <w:rPr>
          <w:rFonts w:hint="eastAsia"/>
          <w:color w:val="auto"/>
          <w:lang w:val="zh-CN"/>
        </w:rPr>
        <w:t xml:space="preserve"> </w:t>
      </w:r>
      <w:r>
        <w:rPr>
          <w:rFonts w:hint="eastAsia"/>
          <w:color w:val="auto"/>
        </w:rPr>
        <w:t>号：</w:t>
      </w:r>
    </w:p>
    <w:p>
      <w:pPr>
        <w:widowControl w:val="0"/>
        <w:wordWrap w:val="0"/>
        <w:adjustRightInd/>
        <w:snapToGrid/>
        <w:spacing w:before="312" w:beforeLines="100" w:line="579" w:lineRule="exact"/>
        <w:ind w:firstLine="630" w:firstLineChars="300"/>
        <w:jc w:val="both"/>
        <w:rPr>
          <w:color w:val="auto"/>
          <w:lang w:val="zh-CN"/>
        </w:rPr>
      </w:pPr>
    </w:p>
    <w:p>
      <w:pPr>
        <w:widowControl w:val="0"/>
        <w:wordWrap w:val="0"/>
        <w:adjustRightInd/>
        <w:snapToGrid/>
        <w:spacing w:before="312" w:beforeLines="100" w:line="579" w:lineRule="exact"/>
        <w:ind w:firstLine="630" w:firstLineChars="300"/>
        <w:jc w:val="both"/>
        <w:rPr>
          <w:b/>
          <w:bCs/>
          <w:color w:val="auto"/>
        </w:rPr>
      </w:pPr>
      <w:bookmarkStart w:id="18" w:name="_Toc6473"/>
      <w:bookmarkStart w:id="19" w:name="_Toc71213599"/>
      <w:r>
        <w:rPr>
          <w:rFonts w:hint="eastAsia"/>
          <w:color w:val="auto"/>
          <w:lang w:val="zh-CN"/>
        </w:rPr>
        <w:t xml:space="preserve">签订日期： </w:t>
      </w:r>
      <w:r>
        <w:rPr>
          <w:rFonts w:hint="eastAsia"/>
          <w:color w:val="auto"/>
          <w:u w:val="single"/>
          <w:lang w:val="zh-CN"/>
        </w:rPr>
        <w:t xml:space="preserve">  </w:t>
      </w:r>
      <w:r>
        <w:rPr>
          <w:rFonts w:hint="eastAsia"/>
          <w:color w:val="auto"/>
          <w:u w:val="single"/>
        </w:rPr>
        <w:t xml:space="preserve">     </w:t>
      </w:r>
      <w:r>
        <w:rPr>
          <w:rFonts w:hint="eastAsia"/>
          <w:color w:val="auto"/>
          <w:lang w:val="zh-CN"/>
        </w:rPr>
        <w:t>年</w:t>
      </w:r>
      <w:r>
        <w:rPr>
          <w:rFonts w:hint="eastAsia"/>
          <w:color w:val="auto"/>
          <w:u w:val="single"/>
          <w:lang w:val="zh-CN"/>
        </w:rPr>
        <w:t xml:space="preserve">  </w:t>
      </w:r>
      <w:r>
        <w:rPr>
          <w:rFonts w:hint="eastAsia"/>
          <w:color w:val="auto"/>
          <w:u w:val="single"/>
        </w:rPr>
        <w:t xml:space="preserve">  </w:t>
      </w:r>
      <w:r>
        <w:rPr>
          <w:rFonts w:hint="eastAsia"/>
          <w:color w:val="auto"/>
          <w:u w:val="single"/>
          <w:lang w:val="zh-CN"/>
        </w:rPr>
        <w:t xml:space="preserve"> </w:t>
      </w:r>
      <w:r>
        <w:rPr>
          <w:rFonts w:hint="eastAsia"/>
          <w:color w:val="auto"/>
          <w:lang w:val="zh-CN"/>
        </w:rPr>
        <w:t>月</w:t>
      </w:r>
      <w:r>
        <w:rPr>
          <w:rFonts w:hint="eastAsia"/>
          <w:color w:val="auto"/>
          <w:u w:val="single"/>
          <w:lang w:val="zh-CN"/>
        </w:rPr>
        <w:t xml:space="preserve"> </w:t>
      </w:r>
      <w:r>
        <w:rPr>
          <w:rFonts w:hint="eastAsia"/>
          <w:color w:val="auto"/>
          <w:u w:val="single"/>
        </w:rPr>
        <w:t xml:space="preserve">  </w:t>
      </w:r>
      <w:r>
        <w:rPr>
          <w:rFonts w:hint="eastAsia"/>
          <w:color w:val="auto"/>
          <w:u w:val="single"/>
          <w:lang w:val="zh-CN"/>
        </w:rPr>
        <w:t xml:space="preserve">  </w:t>
      </w:r>
      <w:r>
        <w:rPr>
          <w:rFonts w:hint="eastAsia"/>
          <w:color w:val="auto"/>
          <w:lang w:val="zh-CN"/>
        </w:rPr>
        <w:t>日</w:t>
      </w:r>
    </w:p>
    <w:p>
      <w:pPr>
        <w:widowControl w:val="0"/>
        <w:adjustRightInd/>
        <w:snapToGrid/>
        <w:spacing w:line="440" w:lineRule="exact"/>
        <w:ind w:firstLine="0" w:firstLineChars="0"/>
        <w:jc w:val="both"/>
        <w:rPr>
          <w:rFonts w:ascii="Times New Roman" w:hAnsi="Times New Roman"/>
          <w:color w:val="auto"/>
        </w:rPr>
      </w:pPr>
    </w:p>
    <w:bookmarkEnd w:id="18"/>
    <w:bookmarkEnd w:id="19"/>
    <w:p>
      <w:pPr>
        <w:keepNext/>
        <w:keepLines/>
        <w:widowControl w:val="0"/>
        <w:wordWrap w:val="0"/>
        <w:ind w:firstLine="803"/>
        <w:jc w:val="center"/>
        <w:outlineLvl w:val="1"/>
        <w:rPr>
          <w:b/>
          <w:color w:val="auto"/>
          <w:spacing w:val="40"/>
          <w:sz w:val="32"/>
          <w:szCs w:val="32"/>
        </w:rPr>
      </w:pPr>
      <w:bookmarkStart w:id="20" w:name="_Toc18733"/>
      <w:bookmarkEnd w:id="20"/>
      <w:r>
        <w:rPr>
          <w:rFonts w:hint="eastAsia"/>
          <w:b/>
          <w:bCs/>
          <w:color w:val="auto"/>
          <w:spacing w:val="40"/>
          <w:sz w:val="32"/>
          <w:szCs w:val="32"/>
        </w:rPr>
        <w:br w:type="page"/>
      </w:r>
      <w:bookmarkStart w:id="21" w:name="_Toc28512"/>
      <w:r>
        <w:rPr>
          <w:rFonts w:hint="eastAsia"/>
          <w:b/>
          <w:bCs/>
          <w:color w:val="auto"/>
          <w:spacing w:val="40"/>
          <w:sz w:val="32"/>
          <w:szCs w:val="32"/>
        </w:rPr>
        <w:t>合 同 书</w:t>
      </w:r>
      <w:bookmarkEnd w:id="21"/>
    </w:p>
    <w:p>
      <w:pPr>
        <w:widowControl w:val="0"/>
        <w:wordWrap w:val="0"/>
        <w:jc w:val="both"/>
        <w:rPr>
          <w:color w:val="auto"/>
          <w:kern w:val="2"/>
        </w:rPr>
      </w:pPr>
      <w:r>
        <w:rPr>
          <w:rFonts w:hint="eastAsia"/>
          <w:color w:val="auto"/>
          <w:kern w:val="2"/>
        </w:rPr>
        <w:t>《中华人民共和国政府采购法》、《中华人民共和国政府采购法实施条例》、《政府采购货物和服务招标投标管理办法（财政部令第87号）》、《中华人民共和国民法典》等法律、法规和相关规定，通过</w:t>
      </w:r>
      <w:r>
        <w:rPr>
          <w:rFonts w:hint="eastAsia"/>
          <w:color w:val="auto"/>
          <w:u w:val="single"/>
        </w:rPr>
        <w:t xml:space="preserve">           </w:t>
      </w:r>
      <w:r>
        <w:rPr>
          <w:rFonts w:hint="eastAsia"/>
          <w:color w:val="auto"/>
          <w:kern w:val="2"/>
        </w:rPr>
        <w:t>项目（项目编号：</w:t>
      </w:r>
      <w:r>
        <w:rPr>
          <w:rFonts w:hint="eastAsia"/>
          <w:color w:val="auto"/>
          <w:u w:val="single"/>
        </w:rPr>
        <w:t xml:space="preserve">          </w:t>
      </w:r>
      <w:r>
        <w:rPr>
          <w:rFonts w:hint="eastAsia"/>
          <w:color w:val="auto"/>
          <w:kern w:val="2"/>
        </w:rPr>
        <w:t>）的招标并经评标委员会评定，确定</w:t>
      </w:r>
      <w:r>
        <w:rPr>
          <w:rFonts w:hint="eastAsia"/>
          <w:color w:val="auto"/>
          <w:u w:val="single"/>
        </w:rPr>
        <w:t xml:space="preserve">      </w:t>
      </w:r>
      <w:r>
        <w:rPr>
          <w:rFonts w:hint="eastAsia"/>
          <w:color w:val="auto"/>
          <w:kern w:val="2"/>
        </w:rPr>
        <w:t xml:space="preserve">为该项目中标单位。 </w:t>
      </w:r>
      <w:r>
        <w:rPr>
          <w:rFonts w:hint="eastAsia"/>
          <w:color w:val="auto"/>
          <w:kern w:val="2"/>
          <w:u w:val="single"/>
          <w:lang w:val="zh-CN"/>
        </w:rPr>
        <w:t>云南省消防救援总队</w:t>
      </w:r>
      <w:r>
        <w:rPr>
          <w:rFonts w:hint="eastAsia"/>
          <w:color w:val="auto"/>
          <w:kern w:val="2"/>
        </w:rPr>
        <w:t>（以下简称甲方）与</w:t>
      </w:r>
      <w:r>
        <w:rPr>
          <w:rFonts w:hint="eastAsia"/>
          <w:color w:val="auto"/>
          <w:u w:val="single"/>
        </w:rPr>
        <w:t xml:space="preserve">   XXX   </w:t>
      </w:r>
      <w:r>
        <w:rPr>
          <w:rFonts w:hint="eastAsia"/>
          <w:color w:val="auto"/>
          <w:kern w:val="2"/>
        </w:rPr>
        <w:t>（以下简称乙方）经友好协商，在平等自愿、诚实守信的原则下，同意按照下面条款签属本合同。</w:t>
      </w:r>
    </w:p>
    <w:p>
      <w:pPr>
        <w:widowControl w:val="0"/>
        <w:wordWrap w:val="0"/>
        <w:ind w:firstLine="0" w:firstLineChars="0"/>
        <w:jc w:val="both"/>
        <w:rPr>
          <w:b/>
          <w:color w:val="auto"/>
        </w:rPr>
      </w:pPr>
      <w:r>
        <w:rPr>
          <w:rFonts w:hint="eastAsia"/>
          <w:b/>
          <w:color w:val="auto"/>
        </w:rPr>
        <w:t>一、合同及相关文件</w:t>
      </w:r>
    </w:p>
    <w:p>
      <w:pPr>
        <w:widowControl w:val="0"/>
        <w:wordWrap w:val="0"/>
        <w:adjustRightInd/>
        <w:jc w:val="both"/>
        <w:rPr>
          <w:color w:val="auto"/>
        </w:rPr>
      </w:pPr>
      <w:r>
        <w:rPr>
          <w:rFonts w:hint="eastAsia"/>
          <w:color w:val="auto"/>
        </w:rPr>
        <w:t>下列文件构成本合同的组成部分，应该认为是一个整体，彼此相互解释，相互补充：</w:t>
      </w:r>
    </w:p>
    <w:p>
      <w:pPr>
        <w:widowControl w:val="0"/>
        <w:wordWrap w:val="0"/>
        <w:adjustRightInd/>
        <w:jc w:val="both"/>
        <w:rPr>
          <w:color w:val="auto"/>
        </w:rPr>
      </w:pPr>
      <w:r>
        <w:rPr>
          <w:rFonts w:hint="eastAsia"/>
          <w:color w:val="auto"/>
        </w:rPr>
        <w:t>1、本合同书；</w:t>
      </w:r>
    </w:p>
    <w:p>
      <w:pPr>
        <w:widowControl w:val="0"/>
        <w:wordWrap w:val="0"/>
        <w:adjustRightInd/>
        <w:jc w:val="both"/>
        <w:rPr>
          <w:color w:val="auto"/>
        </w:rPr>
      </w:pPr>
      <w:r>
        <w:rPr>
          <w:rFonts w:hint="eastAsia"/>
          <w:color w:val="auto"/>
        </w:rPr>
        <w:t>2、中标通知书；</w:t>
      </w:r>
    </w:p>
    <w:p>
      <w:pPr>
        <w:widowControl w:val="0"/>
        <w:wordWrap w:val="0"/>
        <w:adjustRightInd/>
        <w:jc w:val="both"/>
        <w:rPr>
          <w:color w:val="auto"/>
        </w:rPr>
      </w:pPr>
      <w:r>
        <w:rPr>
          <w:rFonts w:hint="eastAsia"/>
          <w:color w:val="auto"/>
        </w:rPr>
        <w:t>3、投标文件 (含澄清文件)；</w:t>
      </w:r>
    </w:p>
    <w:p>
      <w:pPr>
        <w:widowControl w:val="0"/>
        <w:wordWrap w:val="0"/>
        <w:adjustRightInd/>
        <w:jc w:val="both"/>
        <w:rPr>
          <w:color w:val="auto"/>
        </w:rPr>
      </w:pPr>
      <w:r>
        <w:rPr>
          <w:rFonts w:hint="eastAsia"/>
          <w:color w:val="auto"/>
        </w:rPr>
        <w:t>4、招标文件 (含招标文件补充通知)。</w:t>
      </w:r>
    </w:p>
    <w:p>
      <w:pPr>
        <w:widowControl w:val="0"/>
        <w:wordWrap w:val="0"/>
        <w:adjustRightInd/>
        <w:jc w:val="both"/>
        <w:rPr>
          <w:color w:val="auto"/>
        </w:rPr>
      </w:pPr>
      <w:r>
        <w:rPr>
          <w:rFonts w:hint="eastAsia"/>
          <w:color w:val="auto"/>
        </w:rPr>
        <w:t>对于同一事项在中标人投标文件中的承诺优于招标文件要求的，或招标文件中未提出明确要求的事项，均以中标人投标文件内容为准。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p>
    <w:p>
      <w:pPr>
        <w:widowControl w:val="0"/>
        <w:wordWrap w:val="0"/>
        <w:ind w:firstLine="0" w:firstLineChars="0"/>
        <w:jc w:val="both"/>
        <w:rPr>
          <w:b/>
          <w:color w:val="auto"/>
          <w:kern w:val="2"/>
        </w:rPr>
      </w:pPr>
      <w:r>
        <w:rPr>
          <w:rFonts w:hint="eastAsia"/>
          <w:b/>
          <w:color w:val="auto"/>
          <w:kern w:val="2"/>
        </w:rPr>
        <w:t>二、采购概况</w:t>
      </w:r>
    </w:p>
    <w:p>
      <w:pPr>
        <w:widowControl w:val="0"/>
        <w:wordWrap w:val="0"/>
        <w:adjustRightInd/>
        <w:ind w:firstLine="0" w:firstLineChars="0"/>
        <w:jc w:val="center"/>
        <w:rPr>
          <w:rFonts w:ascii="Times New Roman" w:hAnsi="Times New Roman"/>
          <w:b/>
          <w:bCs/>
          <w:color w:val="auto"/>
        </w:rPr>
      </w:pPr>
      <w:r>
        <w:rPr>
          <w:rFonts w:hint="eastAsia" w:ascii="Times New Roman" w:hAnsi="Times New Roman"/>
          <w:b/>
          <w:bCs/>
          <w:color w:val="auto"/>
        </w:rPr>
        <w:t>供货清单</w:t>
      </w:r>
    </w:p>
    <w:tbl>
      <w:tblPr>
        <w:tblStyle w:val="26"/>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162"/>
        <w:gridCol w:w="733"/>
        <w:gridCol w:w="1160"/>
        <w:gridCol w:w="731"/>
        <w:gridCol w:w="1137"/>
        <w:gridCol w:w="696"/>
        <w:gridCol w:w="663"/>
        <w:gridCol w:w="1319"/>
        <w:gridCol w:w="1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640" w:type="dxa"/>
            <w:shd w:val="clear" w:color="auto" w:fill="BFBFBF"/>
            <w:vAlign w:val="center"/>
          </w:tcPr>
          <w:p>
            <w:pPr>
              <w:widowControl w:val="0"/>
              <w:wordWrap w:val="0"/>
              <w:adjustRightInd/>
              <w:ind w:firstLine="0" w:firstLineChars="0"/>
              <w:jc w:val="center"/>
              <w:rPr>
                <w:color w:val="auto"/>
                <w:kern w:val="2"/>
              </w:rPr>
            </w:pPr>
            <w:r>
              <w:rPr>
                <w:rFonts w:hint="eastAsia"/>
                <w:color w:val="auto"/>
                <w:kern w:val="2"/>
              </w:rPr>
              <w:t>序号</w:t>
            </w:r>
          </w:p>
        </w:tc>
        <w:tc>
          <w:tcPr>
            <w:tcW w:w="1162" w:type="dxa"/>
            <w:shd w:val="clear" w:color="auto" w:fill="BFBFBF"/>
            <w:vAlign w:val="center"/>
          </w:tcPr>
          <w:p>
            <w:pPr>
              <w:widowControl w:val="0"/>
              <w:wordWrap w:val="0"/>
              <w:adjustRightInd/>
              <w:ind w:firstLine="0" w:firstLineChars="0"/>
              <w:jc w:val="center"/>
              <w:rPr>
                <w:b/>
                <w:bCs/>
                <w:color w:val="auto"/>
                <w:kern w:val="2"/>
              </w:rPr>
            </w:pPr>
            <w:r>
              <w:rPr>
                <w:rFonts w:hint="eastAsia"/>
                <w:color w:val="auto"/>
                <w:kern w:val="2"/>
              </w:rPr>
              <w:t>车辆名称</w:t>
            </w:r>
          </w:p>
        </w:tc>
        <w:tc>
          <w:tcPr>
            <w:tcW w:w="733" w:type="dxa"/>
            <w:shd w:val="clear" w:color="auto" w:fill="BFBFBF"/>
            <w:vAlign w:val="center"/>
          </w:tcPr>
          <w:p>
            <w:pPr>
              <w:widowControl w:val="0"/>
              <w:wordWrap w:val="0"/>
              <w:adjustRightInd/>
              <w:ind w:firstLine="0" w:firstLineChars="0"/>
              <w:jc w:val="center"/>
              <w:rPr>
                <w:b/>
                <w:bCs/>
                <w:color w:val="auto"/>
                <w:kern w:val="2"/>
              </w:rPr>
            </w:pPr>
            <w:r>
              <w:rPr>
                <w:rFonts w:hint="eastAsia"/>
                <w:color w:val="auto"/>
                <w:kern w:val="2"/>
              </w:rPr>
              <w:t>品牌</w:t>
            </w:r>
          </w:p>
        </w:tc>
        <w:tc>
          <w:tcPr>
            <w:tcW w:w="1160" w:type="dxa"/>
            <w:shd w:val="clear" w:color="auto" w:fill="BFBFBF"/>
            <w:vAlign w:val="center"/>
          </w:tcPr>
          <w:p>
            <w:pPr>
              <w:widowControl w:val="0"/>
              <w:wordWrap w:val="0"/>
              <w:adjustRightInd/>
              <w:ind w:firstLine="0" w:firstLineChars="0"/>
              <w:jc w:val="center"/>
              <w:rPr>
                <w:b/>
                <w:bCs/>
                <w:color w:val="auto"/>
                <w:kern w:val="2"/>
              </w:rPr>
            </w:pPr>
            <w:r>
              <w:rPr>
                <w:rFonts w:hint="eastAsia"/>
                <w:color w:val="auto"/>
                <w:kern w:val="2"/>
              </w:rPr>
              <w:t>型号规格</w:t>
            </w:r>
          </w:p>
        </w:tc>
        <w:tc>
          <w:tcPr>
            <w:tcW w:w="731" w:type="dxa"/>
            <w:shd w:val="clear" w:color="auto" w:fill="BFBFBF"/>
            <w:vAlign w:val="center"/>
          </w:tcPr>
          <w:p>
            <w:pPr>
              <w:widowControl w:val="0"/>
              <w:wordWrap w:val="0"/>
              <w:adjustRightInd/>
              <w:ind w:firstLine="0" w:firstLineChars="0"/>
              <w:jc w:val="center"/>
              <w:rPr>
                <w:b/>
                <w:bCs/>
                <w:color w:val="auto"/>
                <w:kern w:val="2"/>
              </w:rPr>
            </w:pPr>
            <w:r>
              <w:rPr>
                <w:rFonts w:hint="eastAsia"/>
                <w:color w:val="auto"/>
                <w:kern w:val="2"/>
              </w:rPr>
              <w:t>产地</w:t>
            </w:r>
          </w:p>
        </w:tc>
        <w:tc>
          <w:tcPr>
            <w:tcW w:w="1137" w:type="dxa"/>
            <w:shd w:val="clear" w:color="auto" w:fill="BFBFBF"/>
            <w:vAlign w:val="center"/>
          </w:tcPr>
          <w:p>
            <w:pPr>
              <w:widowControl w:val="0"/>
              <w:wordWrap w:val="0"/>
              <w:adjustRightInd/>
              <w:ind w:firstLine="0" w:firstLineChars="0"/>
              <w:jc w:val="center"/>
              <w:rPr>
                <w:b/>
                <w:bCs/>
                <w:color w:val="auto"/>
                <w:kern w:val="2"/>
              </w:rPr>
            </w:pPr>
            <w:r>
              <w:rPr>
                <w:rFonts w:hint="eastAsia"/>
                <w:color w:val="auto"/>
                <w:kern w:val="2"/>
              </w:rPr>
              <w:t>制造商</w:t>
            </w:r>
          </w:p>
        </w:tc>
        <w:tc>
          <w:tcPr>
            <w:tcW w:w="696" w:type="dxa"/>
            <w:shd w:val="clear" w:color="auto" w:fill="BFBFBF"/>
            <w:vAlign w:val="center"/>
          </w:tcPr>
          <w:p>
            <w:pPr>
              <w:widowControl w:val="0"/>
              <w:wordWrap w:val="0"/>
              <w:adjustRightInd/>
              <w:ind w:firstLine="0" w:firstLineChars="0"/>
              <w:jc w:val="center"/>
              <w:rPr>
                <w:b/>
                <w:bCs/>
                <w:color w:val="auto"/>
                <w:kern w:val="2"/>
              </w:rPr>
            </w:pPr>
            <w:r>
              <w:rPr>
                <w:rFonts w:hint="eastAsia"/>
                <w:color w:val="auto"/>
                <w:kern w:val="2"/>
              </w:rPr>
              <w:t>数量</w:t>
            </w:r>
          </w:p>
        </w:tc>
        <w:tc>
          <w:tcPr>
            <w:tcW w:w="663" w:type="dxa"/>
            <w:shd w:val="clear" w:color="auto" w:fill="BFBFBF"/>
            <w:vAlign w:val="center"/>
          </w:tcPr>
          <w:p>
            <w:pPr>
              <w:widowControl w:val="0"/>
              <w:wordWrap w:val="0"/>
              <w:adjustRightInd/>
              <w:ind w:firstLine="0" w:firstLineChars="0"/>
              <w:jc w:val="center"/>
              <w:rPr>
                <w:b/>
                <w:bCs/>
                <w:color w:val="auto"/>
                <w:kern w:val="2"/>
              </w:rPr>
            </w:pPr>
            <w:r>
              <w:rPr>
                <w:rFonts w:hint="eastAsia"/>
                <w:color w:val="auto"/>
                <w:kern w:val="2"/>
              </w:rPr>
              <w:t>单位</w:t>
            </w:r>
          </w:p>
        </w:tc>
        <w:tc>
          <w:tcPr>
            <w:tcW w:w="1319" w:type="dxa"/>
            <w:shd w:val="clear" w:color="auto" w:fill="BFBFBF"/>
            <w:vAlign w:val="center"/>
          </w:tcPr>
          <w:p>
            <w:pPr>
              <w:widowControl w:val="0"/>
              <w:wordWrap w:val="0"/>
              <w:adjustRightInd/>
              <w:ind w:firstLine="0" w:firstLineChars="0"/>
              <w:jc w:val="center"/>
              <w:rPr>
                <w:color w:val="auto"/>
                <w:kern w:val="2"/>
              </w:rPr>
            </w:pPr>
            <w:r>
              <w:rPr>
                <w:rFonts w:hint="eastAsia"/>
                <w:color w:val="auto"/>
                <w:kern w:val="2"/>
              </w:rPr>
              <w:t>单价（元）</w:t>
            </w:r>
          </w:p>
        </w:tc>
        <w:tc>
          <w:tcPr>
            <w:tcW w:w="1359" w:type="dxa"/>
            <w:shd w:val="clear" w:color="auto" w:fill="BFBFBF"/>
            <w:vAlign w:val="center"/>
          </w:tcPr>
          <w:p>
            <w:pPr>
              <w:widowControl w:val="0"/>
              <w:wordWrap w:val="0"/>
              <w:adjustRightInd/>
              <w:ind w:firstLine="0" w:firstLineChars="0"/>
              <w:jc w:val="center"/>
              <w:rPr>
                <w:color w:val="auto"/>
                <w:kern w:val="2"/>
              </w:rPr>
            </w:pPr>
            <w:r>
              <w:rPr>
                <w:rFonts w:hint="eastAsia"/>
                <w:color w:val="auto"/>
                <w:kern w:val="2"/>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640" w:type="dxa"/>
            <w:shd w:val="clear" w:color="auto" w:fill="auto"/>
            <w:vAlign w:val="center"/>
          </w:tcPr>
          <w:p>
            <w:pPr>
              <w:widowControl w:val="0"/>
              <w:wordWrap w:val="0"/>
              <w:adjustRightInd/>
              <w:ind w:firstLine="0" w:firstLineChars="0"/>
              <w:jc w:val="both"/>
              <w:rPr>
                <w:color w:val="auto"/>
                <w:kern w:val="2"/>
              </w:rPr>
            </w:pPr>
            <w:r>
              <w:rPr>
                <w:rFonts w:hint="eastAsia"/>
                <w:color w:val="auto"/>
                <w:kern w:val="2"/>
              </w:rPr>
              <w:t>1</w:t>
            </w:r>
          </w:p>
        </w:tc>
        <w:tc>
          <w:tcPr>
            <w:tcW w:w="1162" w:type="dxa"/>
            <w:shd w:val="clear" w:color="auto" w:fill="auto"/>
            <w:vAlign w:val="center"/>
          </w:tcPr>
          <w:p>
            <w:pPr>
              <w:widowControl w:val="0"/>
              <w:wordWrap w:val="0"/>
              <w:adjustRightInd/>
              <w:ind w:firstLine="0" w:firstLineChars="0"/>
              <w:jc w:val="both"/>
              <w:rPr>
                <w:color w:val="auto"/>
                <w:kern w:val="2"/>
              </w:rPr>
            </w:pPr>
          </w:p>
        </w:tc>
        <w:tc>
          <w:tcPr>
            <w:tcW w:w="733" w:type="dxa"/>
            <w:shd w:val="clear" w:color="auto" w:fill="auto"/>
            <w:vAlign w:val="center"/>
          </w:tcPr>
          <w:p>
            <w:pPr>
              <w:widowControl w:val="0"/>
              <w:wordWrap w:val="0"/>
              <w:adjustRightInd/>
              <w:ind w:firstLine="0" w:firstLineChars="0"/>
              <w:jc w:val="center"/>
              <w:rPr>
                <w:color w:val="auto"/>
                <w:kern w:val="2"/>
              </w:rPr>
            </w:pPr>
          </w:p>
        </w:tc>
        <w:tc>
          <w:tcPr>
            <w:tcW w:w="1160" w:type="dxa"/>
            <w:shd w:val="clear" w:color="auto" w:fill="auto"/>
            <w:vAlign w:val="center"/>
          </w:tcPr>
          <w:p>
            <w:pPr>
              <w:wordWrap w:val="0"/>
              <w:jc w:val="center"/>
              <w:rPr>
                <w:color w:val="auto"/>
                <w:kern w:val="2"/>
              </w:rPr>
            </w:pPr>
          </w:p>
        </w:tc>
        <w:tc>
          <w:tcPr>
            <w:tcW w:w="731" w:type="dxa"/>
            <w:shd w:val="clear" w:color="auto" w:fill="auto"/>
            <w:vAlign w:val="center"/>
          </w:tcPr>
          <w:p>
            <w:pPr>
              <w:widowControl w:val="0"/>
              <w:wordWrap w:val="0"/>
              <w:adjustRightInd/>
              <w:ind w:firstLine="0" w:firstLineChars="0"/>
              <w:jc w:val="center"/>
              <w:rPr>
                <w:color w:val="auto"/>
                <w:kern w:val="2"/>
              </w:rPr>
            </w:pPr>
          </w:p>
        </w:tc>
        <w:tc>
          <w:tcPr>
            <w:tcW w:w="1137" w:type="dxa"/>
            <w:shd w:val="clear" w:color="auto" w:fill="auto"/>
            <w:vAlign w:val="center"/>
          </w:tcPr>
          <w:p>
            <w:pPr>
              <w:widowControl w:val="0"/>
              <w:wordWrap w:val="0"/>
              <w:adjustRightInd/>
              <w:ind w:firstLine="0" w:firstLineChars="0"/>
              <w:jc w:val="center"/>
              <w:rPr>
                <w:color w:val="auto"/>
                <w:kern w:val="2"/>
              </w:rPr>
            </w:pPr>
          </w:p>
        </w:tc>
        <w:tc>
          <w:tcPr>
            <w:tcW w:w="696" w:type="dxa"/>
            <w:shd w:val="clear" w:color="auto" w:fill="auto"/>
            <w:vAlign w:val="center"/>
          </w:tcPr>
          <w:p>
            <w:pPr>
              <w:wordWrap w:val="0"/>
              <w:adjustRightInd/>
              <w:ind w:firstLine="0" w:firstLineChars="0"/>
              <w:jc w:val="center"/>
              <w:rPr>
                <w:color w:val="auto"/>
                <w:kern w:val="2"/>
              </w:rPr>
            </w:pPr>
          </w:p>
        </w:tc>
        <w:tc>
          <w:tcPr>
            <w:tcW w:w="663" w:type="dxa"/>
            <w:shd w:val="clear" w:color="auto" w:fill="auto"/>
            <w:vAlign w:val="center"/>
          </w:tcPr>
          <w:p>
            <w:pPr>
              <w:wordWrap w:val="0"/>
              <w:adjustRightInd/>
              <w:ind w:firstLine="0" w:firstLineChars="0"/>
              <w:jc w:val="center"/>
              <w:rPr>
                <w:color w:val="auto"/>
                <w:kern w:val="2"/>
              </w:rPr>
            </w:pPr>
          </w:p>
        </w:tc>
        <w:tc>
          <w:tcPr>
            <w:tcW w:w="1319" w:type="dxa"/>
            <w:shd w:val="clear" w:color="auto" w:fill="FFFFFF"/>
            <w:vAlign w:val="center"/>
          </w:tcPr>
          <w:p>
            <w:pPr>
              <w:widowControl w:val="0"/>
              <w:wordWrap w:val="0"/>
              <w:adjustRightInd/>
              <w:ind w:firstLine="0" w:firstLineChars="0"/>
              <w:jc w:val="center"/>
              <w:rPr>
                <w:color w:val="auto"/>
                <w:kern w:val="2"/>
              </w:rPr>
            </w:pPr>
          </w:p>
        </w:tc>
        <w:tc>
          <w:tcPr>
            <w:tcW w:w="1359" w:type="dxa"/>
            <w:shd w:val="clear" w:color="auto" w:fill="FFFFFF"/>
            <w:vAlign w:val="center"/>
          </w:tcPr>
          <w:p>
            <w:pPr>
              <w:widowControl w:val="0"/>
              <w:wordWrap w:val="0"/>
              <w:adjustRightInd/>
              <w:ind w:firstLine="0" w:firstLineChars="0"/>
              <w:jc w:val="center"/>
              <w:rPr>
                <w:color w:val="auto"/>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640" w:type="dxa"/>
            <w:shd w:val="clear" w:color="auto" w:fill="auto"/>
            <w:vAlign w:val="center"/>
          </w:tcPr>
          <w:p>
            <w:pPr>
              <w:widowControl w:val="0"/>
              <w:wordWrap w:val="0"/>
              <w:adjustRightInd/>
              <w:ind w:firstLine="0" w:firstLineChars="0"/>
              <w:jc w:val="both"/>
              <w:rPr>
                <w:color w:val="auto"/>
                <w:kern w:val="2"/>
              </w:rPr>
            </w:pPr>
          </w:p>
        </w:tc>
        <w:tc>
          <w:tcPr>
            <w:tcW w:w="1162" w:type="dxa"/>
            <w:shd w:val="clear" w:color="auto" w:fill="auto"/>
            <w:vAlign w:val="center"/>
          </w:tcPr>
          <w:p>
            <w:pPr>
              <w:widowControl w:val="0"/>
              <w:wordWrap w:val="0"/>
              <w:adjustRightInd/>
              <w:ind w:firstLine="0" w:firstLineChars="0"/>
              <w:jc w:val="both"/>
              <w:rPr>
                <w:color w:val="auto"/>
                <w:kern w:val="2"/>
              </w:rPr>
            </w:pPr>
          </w:p>
        </w:tc>
        <w:tc>
          <w:tcPr>
            <w:tcW w:w="733" w:type="dxa"/>
            <w:shd w:val="clear" w:color="auto" w:fill="auto"/>
            <w:vAlign w:val="center"/>
          </w:tcPr>
          <w:p>
            <w:pPr>
              <w:widowControl w:val="0"/>
              <w:wordWrap w:val="0"/>
              <w:adjustRightInd/>
              <w:ind w:firstLine="0" w:firstLineChars="0"/>
              <w:jc w:val="center"/>
              <w:rPr>
                <w:color w:val="auto"/>
                <w:kern w:val="2"/>
              </w:rPr>
            </w:pPr>
          </w:p>
        </w:tc>
        <w:tc>
          <w:tcPr>
            <w:tcW w:w="1160" w:type="dxa"/>
            <w:shd w:val="clear" w:color="auto" w:fill="auto"/>
            <w:vAlign w:val="center"/>
          </w:tcPr>
          <w:p>
            <w:pPr>
              <w:wordWrap w:val="0"/>
              <w:jc w:val="center"/>
              <w:rPr>
                <w:color w:val="auto"/>
                <w:kern w:val="2"/>
              </w:rPr>
            </w:pPr>
          </w:p>
        </w:tc>
        <w:tc>
          <w:tcPr>
            <w:tcW w:w="731" w:type="dxa"/>
            <w:shd w:val="clear" w:color="auto" w:fill="auto"/>
            <w:vAlign w:val="center"/>
          </w:tcPr>
          <w:p>
            <w:pPr>
              <w:widowControl w:val="0"/>
              <w:wordWrap w:val="0"/>
              <w:adjustRightInd/>
              <w:ind w:firstLine="0" w:firstLineChars="0"/>
              <w:jc w:val="center"/>
              <w:rPr>
                <w:color w:val="auto"/>
                <w:kern w:val="2"/>
              </w:rPr>
            </w:pPr>
          </w:p>
        </w:tc>
        <w:tc>
          <w:tcPr>
            <w:tcW w:w="1137" w:type="dxa"/>
            <w:shd w:val="clear" w:color="auto" w:fill="auto"/>
            <w:vAlign w:val="center"/>
          </w:tcPr>
          <w:p>
            <w:pPr>
              <w:widowControl w:val="0"/>
              <w:wordWrap w:val="0"/>
              <w:adjustRightInd/>
              <w:ind w:firstLine="0" w:firstLineChars="0"/>
              <w:jc w:val="center"/>
              <w:rPr>
                <w:color w:val="auto"/>
                <w:kern w:val="2"/>
              </w:rPr>
            </w:pPr>
          </w:p>
        </w:tc>
        <w:tc>
          <w:tcPr>
            <w:tcW w:w="696" w:type="dxa"/>
            <w:shd w:val="clear" w:color="auto" w:fill="auto"/>
            <w:vAlign w:val="center"/>
          </w:tcPr>
          <w:p>
            <w:pPr>
              <w:wordWrap w:val="0"/>
              <w:adjustRightInd/>
              <w:ind w:firstLine="0" w:firstLineChars="0"/>
              <w:jc w:val="center"/>
              <w:rPr>
                <w:color w:val="auto"/>
                <w:kern w:val="2"/>
              </w:rPr>
            </w:pPr>
          </w:p>
        </w:tc>
        <w:tc>
          <w:tcPr>
            <w:tcW w:w="663" w:type="dxa"/>
            <w:shd w:val="clear" w:color="auto" w:fill="auto"/>
            <w:vAlign w:val="center"/>
          </w:tcPr>
          <w:p>
            <w:pPr>
              <w:wordWrap w:val="0"/>
              <w:adjustRightInd/>
              <w:ind w:firstLine="0" w:firstLineChars="0"/>
              <w:jc w:val="center"/>
              <w:rPr>
                <w:color w:val="auto"/>
                <w:kern w:val="2"/>
              </w:rPr>
            </w:pPr>
          </w:p>
        </w:tc>
        <w:tc>
          <w:tcPr>
            <w:tcW w:w="1319" w:type="dxa"/>
            <w:shd w:val="clear" w:color="auto" w:fill="FFFFFF"/>
            <w:vAlign w:val="center"/>
          </w:tcPr>
          <w:p>
            <w:pPr>
              <w:widowControl w:val="0"/>
              <w:wordWrap w:val="0"/>
              <w:adjustRightInd/>
              <w:ind w:firstLine="0" w:firstLineChars="0"/>
              <w:jc w:val="center"/>
              <w:rPr>
                <w:color w:val="auto"/>
                <w:kern w:val="2"/>
              </w:rPr>
            </w:pPr>
          </w:p>
        </w:tc>
        <w:tc>
          <w:tcPr>
            <w:tcW w:w="1359" w:type="dxa"/>
            <w:shd w:val="clear" w:color="auto" w:fill="FFFFFF"/>
            <w:vAlign w:val="center"/>
          </w:tcPr>
          <w:p>
            <w:pPr>
              <w:widowControl w:val="0"/>
              <w:wordWrap w:val="0"/>
              <w:adjustRightInd/>
              <w:ind w:firstLine="0" w:firstLineChars="0"/>
              <w:jc w:val="center"/>
              <w:rPr>
                <w:color w:val="auto"/>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640" w:type="dxa"/>
            <w:vAlign w:val="center"/>
          </w:tcPr>
          <w:p>
            <w:pPr>
              <w:widowControl w:val="0"/>
              <w:wordWrap w:val="0"/>
              <w:adjustRightInd/>
              <w:ind w:firstLine="0" w:firstLineChars="0"/>
              <w:jc w:val="center"/>
              <w:rPr>
                <w:color w:val="auto"/>
                <w:kern w:val="2"/>
              </w:rPr>
            </w:pPr>
          </w:p>
        </w:tc>
        <w:tc>
          <w:tcPr>
            <w:tcW w:w="8960" w:type="dxa"/>
            <w:gridSpan w:val="9"/>
            <w:vAlign w:val="center"/>
          </w:tcPr>
          <w:p>
            <w:pPr>
              <w:widowControl w:val="0"/>
              <w:wordWrap w:val="0"/>
              <w:adjustRightInd/>
              <w:ind w:firstLine="0" w:firstLineChars="0"/>
              <w:jc w:val="center"/>
              <w:rPr>
                <w:color w:val="auto"/>
                <w:kern w:val="2"/>
              </w:rPr>
            </w:pPr>
            <w:r>
              <w:rPr>
                <w:rFonts w:hint="eastAsia"/>
                <w:color w:val="auto"/>
                <w:kern w:val="2"/>
              </w:rPr>
              <w:t>总价：人民币大写：XXX元整，小写：XXX元</w:t>
            </w:r>
          </w:p>
        </w:tc>
      </w:tr>
    </w:tbl>
    <w:p>
      <w:pPr>
        <w:widowControl w:val="0"/>
        <w:wordWrap w:val="0"/>
        <w:ind w:firstLine="0" w:firstLineChars="0"/>
        <w:jc w:val="both"/>
        <w:rPr>
          <w:color w:val="auto"/>
          <w:kern w:val="2"/>
        </w:rPr>
      </w:pPr>
    </w:p>
    <w:p>
      <w:pPr>
        <w:widowControl w:val="0"/>
        <w:wordWrap w:val="0"/>
        <w:ind w:firstLine="0" w:firstLineChars="0"/>
        <w:jc w:val="both"/>
        <w:rPr>
          <w:color w:val="auto"/>
          <w:kern w:val="2"/>
        </w:rPr>
      </w:pPr>
      <w:r>
        <w:rPr>
          <w:rFonts w:hint="eastAsia"/>
          <w:color w:val="auto"/>
          <w:kern w:val="2"/>
        </w:rPr>
        <w:t>交 货 期：合同签订后</w:t>
      </w:r>
      <w:r>
        <w:rPr>
          <w:rFonts w:hint="eastAsia"/>
          <w:color w:val="auto"/>
          <w:kern w:val="2"/>
          <w:u w:val="single"/>
        </w:rPr>
        <w:t xml:space="preserve"> XXX </w:t>
      </w:r>
      <w:r>
        <w:rPr>
          <w:rFonts w:hint="eastAsia"/>
          <w:color w:val="auto"/>
          <w:kern w:val="2"/>
        </w:rPr>
        <w:t>个日历天内完成供货。</w:t>
      </w:r>
    </w:p>
    <w:p>
      <w:pPr>
        <w:widowControl w:val="0"/>
        <w:wordWrap w:val="0"/>
        <w:ind w:firstLine="0" w:firstLineChars="0"/>
        <w:jc w:val="both"/>
        <w:rPr>
          <w:color w:val="auto"/>
          <w:kern w:val="2"/>
        </w:rPr>
      </w:pPr>
      <w:r>
        <w:rPr>
          <w:rFonts w:hint="eastAsia"/>
          <w:color w:val="auto"/>
          <w:kern w:val="2"/>
        </w:rPr>
        <w:t>交货地点：云南省消防救援总队指定地点。</w:t>
      </w:r>
    </w:p>
    <w:p>
      <w:pPr>
        <w:widowControl w:val="0"/>
        <w:wordWrap w:val="0"/>
        <w:ind w:firstLine="0" w:firstLineChars="0"/>
        <w:jc w:val="both"/>
        <w:rPr>
          <w:color w:val="auto"/>
          <w:kern w:val="2"/>
        </w:rPr>
      </w:pPr>
      <w:r>
        <w:rPr>
          <w:rFonts w:hint="eastAsia"/>
          <w:color w:val="auto"/>
          <w:kern w:val="2"/>
        </w:rPr>
        <w:t>质 保 期：验收合格之日起</w:t>
      </w:r>
      <w:r>
        <w:rPr>
          <w:rFonts w:hint="eastAsia"/>
          <w:color w:val="auto"/>
          <w:kern w:val="2"/>
          <w:u w:val="single"/>
        </w:rPr>
        <w:t xml:space="preserve">   </w:t>
      </w:r>
      <w:r>
        <w:rPr>
          <w:rFonts w:hint="eastAsia"/>
          <w:color w:val="auto"/>
          <w:kern w:val="2"/>
        </w:rPr>
        <w:t>年。</w:t>
      </w:r>
    </w:p>
    <w:p>
      <w:pPr>
        <w:widowControl w:val="0"/>
        <w:wordWrap w:val="0"/>
        <w:ind w:firstLine="0" w:firstLineChars="0"/>
        <w:jc w:val="both"/>
        <w:rPr>
          <w:color w:val="auto"/>
          <w:kern w:val="2"/>
        </w:rPr>
      </w:pPr>
      <w:r>
        <w:rPr>
          <w:rFonts w:hint="eastAsia"/>
          <w:color w:val="auto"/>
          <w:kern w:val="2"/>
        </w:rPr>
        <w:t>乙方应在本合同约定的交货期前10个日历天内以电话或传真形式将合同号、货物名称、数量、包装箱件数、总毛重、总体积(立方米)和备妥交货日期通知甲方。</w:t>
      </w:r>
    </w:p>
    <w:p>
      <w:pPr>
        <w:widowControl w:val="0"/>
        <w:wordWrap w:val="0"/>
        <w:ind w:firstLine="0" w:firstLineChars="0"/>
        <w:jc w:val="both"/>
        <w:rPr>
          <w:b/>
          <w:color w:val="auto"/>
        </w:rPr>
      </w:pPr>
      <w:r>
        <w:rPr>
          <w:rFonts w:hint="eastAsia"/>
          <w:b/>
          <w:color w:val="auto"/>
        </w:rPr>
        <w:t>三、履约保证金</w:t>
      </w:r>
    </w:p>
    <w:p>
      <w:pPr>
        <w:widowControl w:val="0"/>
        <w:wordWrap w:val="0"/>
        <w:adjustRightInd/>
        <w:jc w:val="both"/>
        <w:rPr>
          <w:color w:val="auto"/>
          <w:kern w:val="2"/>
        </w:rPr>
      </w:pPr>
      <w:r>
        <w:rPr>
          <w:rFonts w:hint="eastAsia"/>
          <w:color w:val="auto"/>
          <w:kern w:val="2"/>
        </w:rPr>
        <w:t>乙方于合同签订前向甲方提交合同总价的5%（金额：XXX元，大写：人民币 XXX元整）作为履约保证金。</w:t>
      </w:r>
    </w:p>
    <w:p>
      <w:pPr>
        <w:widowControl w:val="0"/>
        <w:wordWrap w:val="0"/>
        <w:adjustRightInd/>
        <w:jc w:val="both"/>
        <w:rPr>
          <w:color w:val="auto"/>
          <w:kern w:val="2"/>
        </w:rPr>
      </w:pPr>
      <w:r>
        <w:rPr>
          <w:rFonts w:hint="eastAsia"/>
          <w:color w:val="auto"/>
          <w:kern w:val="2"/>
        </w:rPr>
        <w:t>甲方账户名：云南省消防救援总队</w:t>
      </w:r>
    </w:p>
    <w:p>
      <w:pPr>
        <w:widowControl w:val="0"/>
        <w:wordWrap w:val="0"/>
        <w:adjustRightInd/>
        <w:jc w:val="both"/>
        <w:rPr>
          <w:color w:val="auto"/>
          <w:kern w:val="2"/>
        </w:rPr>
      </w:pPr>
      <w:r>
        <w:rPr>
          <w:rFonts w:hint="eastAsia"/>
          <w:color w:val="auto"/>
          <w:kern w:val="2"/>
        </w:rPr>
        <w:t>甲方开户行：工行昆明南市区支行</w:t>
      </w:r>
    </w:p>
    <w:p>
      <w:pPr>
        <w:widowControl w:val="0"/>
        <w:wordWrap w:val="0"/>
        <w:adjustRightInd/>
        <w:jc w:val="both"/>
        <w:rPr>
          <w:color w:val="auto"/>
          <w:kern w:val="2"/>
        </w:rPr>
      </w:pPr>
      <w:r>
        <w:rPr>
          <w:rFonts w:hint="eastAsia"/>
          <w:color w:val="auto"/>
          <w:kern w:val="2"/>
        </w:rPr>
        <w:t>账      号：2502 0250 0902 6701 338</w:t>
      </w:r>
    </w:p>
    <w:p>
      <w:pPr>
        <w:widowControl w:val="0"/>
        <w:wordWrap w:val="0"/>
        <w:adjustRightInd/>
        <w:jc w:val="both"/>
        <w:rPr>
          <w:color w:val="auto"/>
          <w:kern w:val="2"/>
        </w:rPr>
      </w:pPr>
      <w:r>
        <w:rPr>
          <w:rFonts w:hint="eastAsia"/>
          <w:color w:val="auto"/>
          <w:kern w:val="2"/>
        </w:rPr>
        <w:t>履约保证金收取方式：银行汇款</w:t>
      </w:r>
    </w:p>
    <w:p>
      <w:pPr>
        <w:widowControl w:val="0"/>
        <w:wordWrap w:val="0"/>
        <w:adjustRightInd/>
        <w:jc w:val="both"/>
        <w:rPr>
          <w:color w:val="auto"/>
          <w:kern w:val="2"/>
        </w:rPr>
      </w:pPr>
      <w:r>
        <w:rPr>
          <w:rFonts w:hint="eastAsia"/>
          <w:color w:val="auto"/>
          <w:kern w:val="2"/>
        </w:rPr>
        <w:t>履约保证金退还：自验收合格之日起</w:t>
      </w:r>
      <w:r>
        <w:rPr>
          <w:rFonts w:hint="eastAsia"/>
          <w:color w:val="auto"/>
          <w:kern w:val="2"/>
          <w:u w:val="single"/>
        </w:rPr>
        <w:t xml:space="preserve"> 1 </w:t>
      </w:r>
      <w:r>
        <w:rPr>
          <w:rFonts w:hint="eastAsia"/>
          <w:color w:val="auto"/>
          <w:kern w:val="2"/>
        </w:rPr>
        <w:t>年期满后，无质量问题，甲方在30个日历天内一次性无息退还。</w:t>
      </w:r>
    </w:p>
    <w:p>
      <w:pPr>
        <w:widowControl w:val="0"/>
        <w:wordWrap w:val="0"/>
        <w:adjustRightInd/>
        <w:jc w:val="both"/>
        <w:rPr>
          <w:color w:val="auto"/>
          <w:kern w:val="2"/>
          <w:u w:val="single"/>
        </w:rPr>
      </w:pPr>
      <w:r>
        <w:rPr>
          <w:rFonts w:hint="eastAsia"/>
          <w:color w:val="auto"/>
          <w:kern w:val="2"/>
        </w:rPr>
        <w:t>乙方账户名：</w:t>
      </w:r>
      <w:r>
        <w:rPr>
          <w:rFonts w:hint="eastAsia"/>
          <w:color w:val="auto"/>
          <w:kern w:val="2"/>
          <w:u w:val="single"/>
        </w:rPr>
        <w:t xml:space="preserve">                     </w:t>
      </w:r>
    </w:p>
    <w:p>
      <w:pPr>
        <w:widowControl w:val="0"/>
        <w:wordWrap w:val="0"/>
        <w:adjustRightInd/>
        <w:jc w:val="both"/>
        <w:rPr>
          <w:color w:val="auto"/>
          <w:kern w:val="2"/>
          <w:u w:val="single"/>
        </w:rPr>
      </w:pPr>
      <w:r>
        <w:rPr>
          <w:rFonts w:hint="eastAsia"/>
          <w:color w:val="auto"/>
          <w:kern w:val="2"/>
        </w:rPr>
        <w:t xml:space="preserve">乙方开户行： </w:t>
      </w:r>
      <w:r>
        <w:rPr>
          <w:rFonts w:hint="eastAsia"/>
          <w:color w:val="auto"/>
          <w:kern w:val="2"/>
          <w:u w:val="single"/>
        </w:rPr>
        <w:t xml:space="preserve">                    </w:t>
      </w:r>
    </w:p>
    <w:p>
      <w:pPr>
        <w:widowControl w:val="0"/>
        <w:wordWrap w:val="0"/>
        <w:adjustRightInd/>
        <w:jc w:val="both"/>
        <w:rPr>
          <w:color w:val="auto"/>
          <w:kern w:val="2"/>
        </w:rPr>
      </w:pPr>
      <w:r>
        <w:rPr>
          <w:rFonts w:hint="eastAsia"/>
          <w:color w:val="auto"/>
          <w:kern w:val="2"/>
        </w:rPr>
        <w:t>账      号：</w:t>
      </w:r>
      <w:r>
        <w:rPr>
          <w:rFonts w:hint="eastAsia"/>
          <w:color w:val="auto"/>
          <w:kern w:val="2"/>
          <w:u w:val="single"/>
        </w:rPr>
        <w:t xml:space="preserve">                     </w:t>
      </w:r>
    </w:p>
    <w:p>
      <w:pPr>
        <w:widowControl w:val="0"/>
        <w:wordWrap w:val="0"/>
        <w:ind w:firstLine="0" w:firstLineChars="0"/>
        <w:jc w:val="both"/>
        <w:rPr>
          <w:b/>
          <w:color w:val="auto"/>
        </w:rPr>
      </w:pPr>
      <w:r>
        <w:rPr>
          <w:rFonts w:hint="eastAsia"/>
          <w:b/>
          <w:color w:val="auto"/>
        </w:rPr>
        <w:t>四、合同价款及支付</w:t>
      </w:r>
    </w:p>
    <w:p>
      <w:pPr>
        <w:widowControl w:val="0"/>
        <w:wordWrap w:val="0"/>
        <w:adjustRightInd/>
        <w:jc w:val="both"/>
        <w:rPr>
          <w:color w:val="auto"/>
          <w:kern w:val="2"/>
        </w:rPr>
      </w:pPr>
      <w:r>
        <w:rPr>
          <w:rFonts w:hint="eastAsia"/>
          <w:color w:val="auto"/>
          <w:kern w:val="2"/>
        </w:rPr>
        <w:t>合同总价为暂定价：人民币</w:t>
      </w:r>
      <w:r>
        <w:rPr>
          <w:rFonts w:hint="eastAsia"/>
          <w:color w:val="auto"/>
          <w:kern w:val="2"/>
          <w:u w:val="single"/>
        </w:rPr>
        <w:t xml:space="preserve">       </w:t>
      </w:r>
      <w:r>
        <w:rPr>
          <w:rFonts w:hint="eastAsia"/>
          <w:color w:val="auto"/>
          <w:kern w:val="2"/>
        </w:rPr>
        <w:t>元（大写：人民币</w:t>
      </w:r>
      <w:r>
        <w:rPr>
          <w:rFonts w:hint="eastAsia"/>
          <w:color w:val="auto"/>
          <w:kern w:val="2"/>
          <w:u w:val="single"/>
        </w:rPr>
        <w:t xml:space="preserve">        </w:t>
      </w:r>
      <w:r>
        <w:rPr>
          <w:rFonts w:hint="eastAsia"/>
          <w:color w:val="auto"/>
          <w:kern w:val="2"/>
        </w:rPr>
        <w:t>元整）。</w:t>
      </w:r>
    </w:p>
    <w:p>
      <w:pPr>
        <w:widowControl w:val="0"/>
        <w:wordWrap w:val="0"/>
        <w:adjustRightInd/>
        <w:jc w:val="both"/>
        <w:rPr>
          <w:color w:val="auto"/>
          <w:kern w:val="2"/>
        </w:rPr>
      </w:pPr>
      <w:r>
        <w:rPr>
          <w:rFonts w:hint="eastAsia"/>
          <w:color w:val="auto"/>
          <w:kern w:val="2"/>
        </w:rPr>
        <w:t>付款方式：在合同签订后向中标企业支付合同总价的30%，到货验收合格后支付到合同总价的80%，结算审计后支付到审计金额。</w:t>
      </w:r>
    </w:p>
    <w:p>
      <w:pPr>
        <w:widowControl w:val="0"/>
        <w:wordWrap w:val="0"/>
        <w:adjustRightInd/>
        <w:ind w:firstLine="422"/>
        <w:jc w:val="both"/>
        <w:rPr>
          <w:b/>
          <w:color w:val="auto"/>
        </w:rPr>
      </w:pPr>
      <w:r>
        <w:rPr>
          <w:rFonts w:hint="eastAsia"/>
          <w:b/>
          <w:color w:val="auto"/>
          <w:kern w:val="2"/>
        </w:rPr>
        <w:t>鉴于本项目甲方资金来源于发改委、财政部门或其他政府相关部门的拨款，乙方理解并同意甲方按照本合同约定向乙方支付货款的前提条件为：甲方已收到相关政府部门支付的本合同项下的全部或相应资金或款项。如因政府部门未及时向甲方支付相关款项，导致甲方不能向乙方支付货款等相关费用的，不视为甲方违约，且甲方有权顺延向乙方支付费用的时间。</w:t>
      </w:r>
    </w:p>
    <w:p>
      <w:pPr>
        <w:widowControl w:val="0"/>
        <w:wordWrap w:val="0"/>
        <w:adjustRightInd/>
        <w:ind w:firstLine="422"/>
        <w:jc w:val="both"/>
        <w:rPr>
          <w:b/>
          <w:color w:val="auto"/>
          <w:kern w:val="2"/>
        </w:rPr>
      </w:pPr>
      <w:r>
        <w:rPr>
          <w:rFonts w:hint="eastAsia"/>
          <w:b/>
          <w:color w:val="auto"/>
          <w:kern w:val="2"/>
        </w:rPr>
        <w:t>五、验收及验收标准</w:t>
      </w:r>
    </w:p>
    <w:p>
      <w:pPr>
        <w:widowControl w:val="0"/>
        <w:wordWrap w:val="0"/>
        <w:adjustRightInd/>
        <w:jc w:val="both"/>
        <w:rPr>
          <w:color w:val="auto"/>
          <w:kern w:val="2"/>
        </w:rPr>
      </w:pPr>
      <w:r>
        <w:rPr>
          <w:rFonts w:hint="eastAsia"/>
          <w:color w:val="auto"/>
          <w:kern w:val="2"/>
        </w:rPr>
        <w:t>（一）乙方提供的货物应符合国家规定的标准、行业标准、投标文件及本合同约定，乙方提供的货物，应当是符合甲方要求的全新的、经出厂检验合格的、获得国家销售许可的合格产品。</w:t>
      </w:r>
    </w:p>
    <w:p>
      <w:pPr>
        <w:widowControl w:val="0"/>
        <w:wordWrap w:val="0"/>
        <w:adjustRightInd/>
        <w:jc w:val="both"/>
        <w:rPr>
          <w:color w:val="auto"/>
          <w:kern w:val="2"/>
        </w:rPr>
      </w:pPr>
      <w:r>
        <w:rPr>
          <w:rFonts w:hint="eastAsia"/>
          <w:color w:val="auto"/>
          <w:kern w:val="2"/>
        </w:rPr>
        <w:t>（二）全部货物运抵现场后，乙方应当于3个日历天内通知甲方验收，甲方应在接到乙方通知后</w:t>
      </w:r>
      <w:r>
        <w:rPr>
          <w:rFonts w:hint="eastAsia" w:ascii="Times New Roman" w:hAnsi="Times New Roman"/>
          <w:color w:val="auto"/>
          <w:kern w:val="2"/>
        </w:rPr>
        <w:t>及时</w:t>
      </w:r>
      <w:r>
        <w:rPr>
          <w:rFonts w:hint="eastAsia"/>
          <w:color w:val="auto"/>
          <w:kern w:val="2"/>
        </w:rPr>
        <w:t>对货物进行验收，即为到货验收。本项目全部货物质量保证期届满后30个日历天内，由甲方对货物及乙方服务、履行本合同情况（有无违约、有无侵害甲方权益等事项）进行最终验收检验。验收或检验不合格的，甲方有权要求乙方限期履行合同义务、无偿给予更换、维修、退货、解除本合同及采取其他有效补救措施，乙方同意服从。</w:t>
      </w:r>
    </w:p>
    <w:p>
      <w:pPr>
        <w:widowControl w:val="0"/>
        <w:wordWrap w:val="0"/>
        <w:adjustRightInd/>
        <w:jc w:val="both"/>
        <w:rPr>
          <w:color w:val="auto"/>
        </w:rPr>
      </w:pPr>
      <w:r>
        <w:rPr>
          <w:rFonts w:hint="eastAsia"/>
          <w:color w:val="auto"/>
          <w:kern w:val="2"/>
        </w:rPr>
        <w:t>（三）验收和检验应当按照甲方要求及安排进行，乙方配合甲方做好验收工作，本合同货物应当符合国家规定的标准以及行业标准。若发现交付货物不符合要求或存在质量问题，乙方应当按照甲方要求采取有效补救措施，如果超过45个日历天仍未有效解决的，视为验收不合格，一律终止履行合同，所供产品由乙方自行带回，根据合同违约条款，没收乙方履约保证金，</w:t>
      </w:r>
      <w:r>
        <w:rPr>
          <w:rFonts w:hint="eastAsia" w:ascii="Times New Roman" w:hAnsi="Times New Roman"/>
          <w:color w:val="auto"/>
          <w:kern w:val="2"/>
        </w:rPr>
        <w:t>并由乙方向甲方</w:t>
      </w:r>
      <w:r>
        <w:rPr>
          <w:rFonts w:hint="eastAsia"/>
          <w:color w:val="auto"/>
          <w:kern w:val="2"/>
        </w:rPr>
        <w:t>支付</w:t>
      </w:r>
      <w:r>
        <w:rPr>
          <w:rFonts w:hint="eastAsia" w:ascii="Times New Roman" w:hAnsi="Times New Roman"/>
          <w:color w:val="auto"/>
          <w:kern w:val="2"/>
        </w:rPr>
        <w:t>不低于</w:t>
      </w:r>
      <w:r>
        <w:rPr>
          <w:rFonts w:hint="eastAsia"/>
          <w:color w:val="auto"/>
          <w:kern w:val="2"/>
        </w:rPr>
        <w:t>合同总价5%的违约金，纳入甲方采购黑名单,在全国消防装备信息网上公示其违约事实；验收通过不免除产品隐藏的质量问题担保责任，如验收后发现产品存在隐藏的质量问题，乙方仍承担相应的产品质量责任，甲方有权要求乙方支付</w:t>
      </w:r>
      <w:r>
        <w:rPr>
          <w:rFonts w:hint="eastAsia" w:ascii="Times New Roman" w:hAnsi="Times New Roman"/>
          <w:color w:val="auto"/>
          <w:kern w:val="2"/>
        </w:rPr>
        <w:t>不低于</w:t>
      </w:r>
      <w:r>
        <w:rPr>
          <w:rFonts w:hint="eastAsia"/>
          <w:color w:val="auto"/>
          <w:kern w:val="2"/>
        </w:rPr>
        <w:t>合同总价5%的违约金。</w:t>
      </w:r>
    </w:p>
    <w:p>
      <w:pPr>
        <w:widowControl w:val="0"/>
        <w:wordWrap w:val="0"/>
        <w:adjustRightInd/>
        <w:jc w:val="both"/>
        <w:rPr>
          <w:rFonts w:ascii="Times New Roman" w:hAnsi="Times New Roman"/>
          <w:color w:val="auto"/>
          <w:kern w:val="2"/>
        </w:rPr>
      </w:pPr>
      <w:r>
        <w:rPr>
          <w:rFonts w:hint="eastAsia"/>
          <w:color w:val="auto"/>
          <w:kern w:val="2"/>
        </w:rPr>
        <w:t>（</w:t>
      </w:r>
      <w:r>
        <w:rPr>
          <w:rFonts w:hint="eastAsia" w:ascii="Times New Roman" w:hAnsi="Times New Roman"/>
          <w:color w:val="auto"/>
          <w:kern w:val="2"/>
        </w:rPr>
        <w:t>四</w:t>
      </w:r>
      <w:r>
        <w:rPr>
          <w:rFonts w:hint="eastAsia"/>
          <w:color w:val="auto"/>
          <w:kern w:val="2"/>
        </w:rPr>
        <w:t>）</w:t>
      </w:r>
      <w:r>
        <w:rPr>
          <w:rFonts w:hint="eastAsia" w:ascii="Times New Roman" w:hAnsi="Times New Roman"/>
          <w:color w:val="auto"/>
          <w:kern w:val="2"/>
        </w:rPr>
        <w:t>甲方有权对所采购产品自行或委托国家权威机构开展二次检测，若检测结果不合格或检测指标与乙方投标文件指标不一致的，</w:t>
      </w:r>
      <w:r>
        <w:rPr>
          <w:rFonts w:hint="eastAsia"/>
          <w:color w:val="auto"/>
          <w:kern w:val="2"/>
        </w:rPr>
        <w:t>视为验收不合格</w:t>
      </w:r>
      <w:r>
        <w:rPr>
          <w:rFonts w:hint="eastAsia" w:ascii="Times New Roman" w:hAnsi="Times New Roman"/>
          <w:color w:val="auto"/>
          <w:kern w:val="2"/>
        </w:rPr>
        <w:t>，检测产生的一切费用由乙方支付。</w:t>
      </w:r>
    </w:p>
    <w:p>
      <w:pPr>
        <w:widowControl w:val="0"/>
        <w:wordWrap w:val="0"/>
        <w:adjustRightInd/>
        <w:jc w:val="both"/>
        <w:rPr>
          <w:color w:val="auto"/>
          <w:kern w:val="2"/>
        </w:rPr>
      </w:pPr>
      <w:r>
        <w:rPr>
          <w:rFonts w:hint="eastAsia" w:ascii="Times New Roman" w:hAnsi="Times New Roman"/>
          <w:color w:val="auto"/>
          <w:kern w:val="2"/>
        </w:rPr>
        <w:t>（五）</w:t>
      </w:r>
      <w:r>
        <w:rPr>
          <w:rFonts w:hint="eastAsia"/>
          <w:color w:val="auto"/>
          <w:kern w:val="2"/>
        </w:rPr>
        <w:t>在供货验收环节，乙方需提供相应的产品资讯及维护保养手册（包含维保教学视频及相关课件资料），需提供规范的维护保养文档及其他相关特别指引供基层使用，需选派过硬技术团队组织装备投入执勤战备前统一培训。培训方式为现场实地教学及理论授课，培训范围为支队战训科长、装备科长，特勤站站长、装备技师。培训要讲清功能用途、讲清操作使用程序及注意事项，要开展产品使用实操教学、产品常规及特定情况维护保养技能实地教学，必须完成“基层会维护保养”的关键指标。乙方在培训过程中应当做好培训记录（如签到册、影像资料等）。并向基层预留本地化服务联系方式，明确本地化服务方式及时限，遇到重大灾害事故需应基层需求，选派专业服务团队到灾害现场对相应产品做好装备维护遂行保障工作。</w:t>
      </w:r>
    </w:p>
    <w:p>
      <w:pPr>
        <w:widowControl w:val="0"/>
        <w:wordWrap w:val="0"/>
        <w:jc w:val="both"/>
        <w:rPr>
          <w:rFonts w:hAnsi="Times New Roman"/>
          <w:color w:val="auto"/>
          <w:kern w:val="2"/>
        </w:rPr>
      </w:pPr>
      <w:r>
        <w:rPr>
          <w:rFonts w:hint="eastAsia" w:hAnsi="Times New Roman"/>
          <w:color w:val="auto"/>
          <w:kern w:val="2"/>
        </w:rPr>
        <w:t>（六）若项目存在变更情况的（如合同范围之外的改装、改造，货物的数量、种类、参数等调整，交货期延长等），必须经甲方审批同意后方可实施。</w:t>
      </w:r>
    </w:p>
    <w:p>
      <w:pPr>
        <w:widowControl w:val="0"/>
        <w:wordWrap w:val="0"/>
        <w:adjustRightInd/>
        <w:ind w:firstLine="422"/>
        <w:jc w:val="both"/>
        <w:rPr>
          <w:b/>
          <w:color w:val="auto"/>
          <w:kern w:val="2"/>
        </w:rPr>
      </w:pPr>
      <w:r>
        <w:rPr>
          <w:rFonts w:hint="eastAsia"/>
          <w:b/>
          <w:color w:val="auto"/>
          <w:kern w:val="2"/>
        </w:rPr>
        <w:t>六、售后及技术服务</w:t>
      </w:r>
    </w:p>
    <w:p>
      <w:pPr>
        <w:widowControl w:val="0"/>
        <w:wordWrap w:val="0"/>
        <w:adjustRightInd/>
        <w:jc w:val="both"/>
        <w:rPr>
          <w:color w:val="auto"/>
          <w:kern w:val="2"/>
        </w:rPr>
      </w:pPr>
      <w:r>
        <w:rPr>
          <w:rFonts w:hint="eastAsia"/>
          <w:color w:val="auto"/>
          <w:kern w:val="2"/>
        </w:rPr>
        <w:t>售后服务内容：</w:t>
      </w:r>
      <w:r>
        <w:rPr>
          <w:rFonts w:hint="eastAsia" w:ascii="Times New Roman" w:hAnsi="Times New Roman"/>
          <w:color w:val="auto"/>
          <w:kern w:val="2"/>
        </w:rPr>
        <w:t>7x24</w:t>
      </w:r>
      <w:r>
        <w:rPr>
          <w:rFonts w:hint="eastAsia"/>
          <w:color w:val="auto"/>
          <w:kern w:val="2"/>
        </w:rPr>
        <w:t>小时服务，</w:t>
      </w:r>
      <w:r>
        <w:rPr>
          <w:rFonts w:hint="eastAsia" w:ascii="Times New Roman" w:hAnsi="Times New Roman"/>
          <w:color w:val="auto"/>
          <w:kern w:val="2"/>
        </w:rPr>
        <w:t>XX</w:t>
      </w:r>
      <w:r>
        <w:rPr>
          <w:rFonts w:hint="eastAsia"/>
          <w:color w:val="auto"/>
          <w:kern w:val="2"/>
        </w:rPr>
        <w:t>分钟响应，</w:t>
      </w:r>
      <w:r>
        <w:rPr>
          <w:rFonts w:hint="eastAsia" w:ascii="Times New Roman" w:hAnsi="Times New Roman"/>
          <w:color w:val="auto"/>
          <w:kern w:val="2"/>
        </w:rPr>
        <w:t>XX</w:t>
      </w:r>
      <w:r>
        <w:rPr>
          <w:rFonts w:hint="eastAsia"/>
          <w:color w:val="auto"/>
          <w:kern w:val="2"/>
        </w:rPr>
        <w:t>小时到达现场</w:t>
      </w:r>
      <w:r>
        <w:rPr>
          <w:rFonts w:hint="eastAsia" w:ascii="Times New Roman" w:hAnsi="Times New Roman"/>
          <w:color w:val="auto"/>
          <w:kern w:val="2"/>
        </w:rPr>
        <w:t>维修</w:t>
      </w:r>
      <w:r>
        <w:rPr>
          <w:rFonts w:hint="eastAsia"/>
          <w:color w:val="auto"/>
          <w:kern w:val="2"/>
        </w:rPr>
        <w:t>。质保期内，免费上门保修或免费更换，同一货物、同一质量问题连续三次维修仍无法正常使用，乙方必须予以更换同品牌或不低于投标配置的其它产品；质保期外，收取成本费维修（人为故意损坏除外）；每XX不低于XX次主动上门走访（或维护、巡检）消防器材（装备）的使用情况，并做好记录，</w:t>
      </w:r>
      <w:r>
        <w:rPr>
          <w:rFonts w:hint="eastAsia" w:ascii="Times New Roman" w:hAnsi="Times New Roman"/>
          <w:color w:val="auto"/>
          <w:kern w:val="2"/>
        </w:rPr>
        <w:t>确保器材处于正常工作状态</w:t>
      </w:r>
      <w:r>
        <w:rPr>
          <w:rFonts w:hint="eastAsia"/>
          <w:color w:val="auto"/>
          <w:kern w:val="2"/>
        </w:rPr>
        <w:t>。</w:t>
      </w:r>
      <w:r>
        <w:rPr>
          <w:rFonts w:hint="eastAsia" w:ascii="Times New Roman" w:hAnsi="Times New Roman"/>
          <w:color w:val="auto"/>
          <w:kern w:val="2"/>
        </w:rPr>
        <w:t>严格执行售后服务响应时间进行维修，如维修过程中出现怠工、推诿等现象，向甲方支付违约金XXX元/次，并扣除履约保证金，如果情节严重给甲方带来经济损失的，承担法律责任。</w:t>
      </w:r>
    </w:p>
    <w:p>
      <w:pPr>
        <w:widowControl w:val="0"/>
        <w:wordWrap w:val="0"/>
        <w:adjustRightInd/>
        <w:jc w:val="both"/>
        <w:rPr>
          <w:color w:val="auto"/>
          <w:kern w:val="2"/>
        </w:rPr>
      </w:pPr>
      <w:r>
        <w:rPr>
          <w:rFonts w:hint="eastAsia"/>
          <w:color w:val="auto"/>
          <w:kern w:val="2"/>
        </w:rPr>
        <w:t>技术服务内容：甲方在设备使用过程中发生技术质量问题，乙方应提供及时有效的技术支持。乙方应向甲方提供售后服务联系人、联系电话。</w:t>
      </w:r>
    </w:p>
    <w:p>
      <w:pPr>
        <w:widowControl w:val="0"/>
        <w:wordWrap w:val="0"/>
        <w:adjustRightInd/>
        <w:jc w:val="both"/>
        <w:rPr>
          <w:b/>
          <w:color w:val="auto"/>
          <w:kern w:val="2"/>
        </w:rPr>
      </w:pPr>
      <w:r>
        <w:rPr>
          <w:rFonts w:hint="eastAsia"/>
          <w:color w:val="auto"/>
          <w:kern w:val="2"/>
        </w:rPr>
        <w:t xml:space="preserve">联系人：XXX    电话：XXX  </w:t>
      </w:r>
      <w:r>
        <w:rPr>
          <w:rFonts w:hint="eastAsia"/>
          <w:b/>
          <w:color w:val="auto"/>
          <w:kern w:val="2"/>
        </w:rPr>
        <w:t>（售后服务内容根据乙方投标文件承诺内容修订）</w:t>
      </w:r>
    </w:p>
    <w:p>
      <w:pPr>
        <w:widowControl w:val="0"/>
        <w:wordWrap w:val="0"/>
        <w:adjustRightInd/>
        <w:ind w:firstLine="422"/>
        <w:jc w:val="both"/>
        <w:rPr>
          <w:b/>
          <w:color w:val="auto"/>
          <w:kern w:val="2"/>
        </w:rPr>
      </w:pPr>
      <w:r>
        <w:rPr>
          <w:rFonts w:hint="eastAsia"/>
          <w:b/>
          <w:color w:val="auto"/>
          <w:kern w:val="2"/>
        </w:rPr>
        <w:t>七、送货、性能测试等要求</w:t>
      </w:r>
    </w:p>
    <w:p>
      <w:pPr>
        <w:widowControl w:val="0"/>
        <w:wordWrap w:val="0"/>
        <w:adjustRightInd/>
        <w:jc w:val="both"/>
        <w:rPr>
          <w:color w:val="auto"/>
          <w:kern w:val="2"/>
        </w:rPr>
      </w:pPr>
      <w:r>
        <w:rPr>
          <w:rFonts w:hint="eastAsia"/>
          <w:color w:val="auto"/>
          <w:kern w:val="2"/>
        </w:rPr>
        <w:t>（一）合同总价格为甲方指定地点交货价并包含运输费、性能测试培训等全部费用。</w:t>
      </w:r>
    </w:p>
    <w:p>
      <w:pPr>
        <w:widowControl w:val="0"/>
        <w:wordWrap w:val="0"/>
        <w:adjustRightInd/>
        <w:jc w:val="both"/>
        <w:rPr>
          <w:color w:val="auto"/>
          <w:kern w:val="2"/>
        </w:rPr>
      </w:pPr>
      <w:r>
        <w:rPr>
          <w:rFonts w:hint="eastAsia"/>
          <w:color w:val="auto"/>
          <w:kern w:val="2"/>
        </w:rPr>
        <w:t>（二）本合同的供货范围，除包括上述货物外，还包括随机的备品备件，相应的技术服务与质量保证文件。</w:t>
      </w:r>
    </w:p>
    <w:p>
      <w:pPr>
        <w:widowControl w:val="0"/>
        <w:wordWrap w:val="0"/>
        <w:adjustRightInd/>
        <w:jc w:val="both"/>
        <w:rPr>
          <w:color w:val="auto"/>
          <w:kern w:val="2"/>
        </w:rPr>
      </w:pPr>
      <w:r>
        <w:rPr>
          <w:rFonts w:hint="eastAsia"/>
          <w:color w:val="auto"/>
          <w:kern w:val="2"/>
        </w:rPr>
        <w:t>（三）产品性能测试符合国家行业标准，并满足甲方技术要求，乙方负责配合甲方进行产品性能测试等工作。</w:t>
      </w:r>
    </w:p>
    <w:p>
      <w:pPr>
        <w:widowControl w:val="0"/>
        <w:wordWrap w:val="0"/>
        <w:adjustRightInd/>
        <w:jc w:val="both"/>
        <w:rPr>
          <w:color w:val="auto"/>
          <w:kern w:val="2"/>
        </w:rPr>
      </w:pPr>
      <w:r>
        <w:rPr>
          <w:rFonts w:hint="eastAsia"/>
          <w:color w:val="auto"/>
          <w:kern w:val="2"/>
        </w:rPr>
        <w:t>（四）乙方应与收货单位共同完成货物数量当面清点、品牌型号核对、签收、验收、培训。双方当事人签字、盖章、留存（3份，收货单位1份，乙方1份，甲方1份）。</w:t>
      </w:r>
    </w:p>
    <w:p>
      <w:pPr>
        <w:widowControl w:val="0"/>
        <w:wordWrap w:val="0"/>
        <w:adjustRightInd/>
        <w:ind w:firstLine="422"/>
        <w:jc w:val="both"/>
        <w:rPr>
          <w:color w:val="auto"/>
        </w:rPr>
      </w:pPr>
      <w:r>
        <w:rPr>
          <w:rFonts w:hint="eastAsia"/>
          <w:b/>
          <w:color w:val="auto"/>
          <w:kern w:val="2"/>
        </w:rPr>
        <w:t>（送货等内容根据乙方投标文件承诺内容修订）</w:t>
      </w:r>
    </w:p>
    <w:p>
      <w:pPr>
        <w:widowControl w:val="0"/>
        <w:wordWrap w:val="0"/>
        <w:adjustRightInd/>
        <w:ind w:firstLine="422"/>
        <w:jc w:val="both"/>
        <w:rPr>
          <w:b/>
          <w:color w:val="auto"/>
          <w:kern w:val="2"/>
        </w:rPr>
      </w:pPr>
      <w:r>
        <w:rPr>
          <w:rFonts w:hint="eastAsia"/>
          <w:b/>
          <w:color w:val="auto"/>
          <w:kern w:val="2"/>
        </w:rPr>
        <w:t>八、甲乙双方的权利和义务</w:t>
      </w:r>
    </w:p>
    <w:p>
      <w:pPr>
        <w:widowControl w:val="0"/>
        <w:wordWrap w:val="0"/>
        <w:adjustRightInd/>
        <w:jc w:val="both"/>
        <w:rPr>
          <w:color w:val="auto"/>
          <w:kern w:val="2"/>
        </w:rPr>
      </w:pPr>
      <w:r>
        <w:rPr>
          <w:rFonts w:hint="eastAsia"/>
          <w:color w:val="auto"/>
          <w:kern w:val="2"/>
        </w:rPr>
        <w:t>（一）甲方的权利和义务</w:t>
      </w:r>
    </w:p>
    <w:p>
      <w:pPr>
        <w:widowControl w:val="0"/>
        <w:wordWrap w:val="0"/>
        <w:adjustRightInd/>
        <w:jc w:val="both"/>
        <w:rPr>
          <w:color w:val="auto"/>
          <w:kern w:val="2"/>
        </w:rPr>
      </w:pPr>
      <w:r>
        <w:rPr>
          <w:rFonts w:hint="eastAsia"/>
          <w:color w:val="auto"/>
          <w:kern w:val="2"/>
        </w:rPr>
        <w:t>1、负责合同签订后项目协调的工作（如与乙方的具体联系和衔接等）；</w:t>
      </w:r>
    </w:p>
    <w:p>
      <w:pPr>
        <w:widowControl w:val="0"/>
        <w:wordWrap w:val="0"/>
        <w:adjustRightInd/>
        <w:jc w:val="both"/>
        <w:rPr>
          <w:color w:val="auto"/>
          <w:kern w:val="2"/>
        </w:rPr>
      </w:pPr>
      <w:r>
        <w:rPr>
          <w:rFonts w:hint="eastAsia"/>
          <w:color w:val="auto"/>
          <w:kern w:val="2"/>
        </w:rPr>
        <w:t>2、负责提供产品性能测试所需的场地和环境；</w:t>
      </w:r>
    </w:p>
    <w:p>
      <w:pPr>
        <w:widowControl w:val="0"/>
        <w:wordWrap w:val="0"/>
        <w:adjustRightInd/>
        <w:jc w:val="both"/>
        <w:rPr>
          <w:color w:val="auto"/>
          <w:kern w:val="2"/>
        </w:rPr>
      </w:pPr>
      <w:r>
        <w:rPr>
          <w:rFonts w:hint="eastAsia"/>
          <w:color w:val="auto"/>
          <w:kern w:val="2"/>
        </w:rPr>
        <w:t>3、负责组织成立验收小组对产品进行验收并签署验收报告；</w:t>
      </w:r>
    </w:p>
    <w:p>
      <w:pPr>
        <w:widowControl w:val="0"/>
        <w:wordWrap w:val="0"/>
        <w:adjustRightInd/>
        <w:jc w:val="both"/>
        <w:rPr>
          <w:color w:val="auto"/>
          <w:kern w:val="2"/>
        </w:rPr>
      </w:pPr>
      <w:r>
        <w:rPr>
          <w:rFonts w:hint="eastAsia"/>
          <w:color w:val="auto"/>
          <w:kern w:val="2"/>
        </w:rPr>
        <w:t>4、按合同规定享有乙方提供的产品。</w:t>
      </w:r>
    </w:p>
    <w:p>
      <w:pPr>
        <w:widowControl w:val="0"/>
        <w:wordWrap w:val="0"/>
        <w:adjustRightInd/>
        <w:jc w:val="both"/>
        <w:rPr>
          <w:color w:val="auto"/>
          <w:kern w:val="2"/>
        </w:rPr>
      </w:pPr>
      <w:r>
        <w:rPr>
          <w:rFonts w:hint="eastAsia"/>
          <w:color w:val="auto"/>
          <w:kern w:val="2"/>
        </w:rPr>
        <w:t>（二）乙方的权利和义务</w:t>
      </w:r>
    </w:p>
    <w:p>
      <w:pPr>
        <w:widowControl w:val="0"/>
        <w:wordWrap w:val="0"/>
        <w:adjustRightInd/>
        <w:jc w:val="both"/>
        <w:rPr>
          <w:color w:val="auto"/>
          <w:kern w:val="2"/>
        </w:rPr>
      </w:pPr>
      <w:r>
        <w:rPr>
          <w:rFonts w:hint="eastAsia"/>
          <w:color w:val="auto"/>
          <w:kern w:val="2"/>
        </w:rPr>
        <w:t>1、乙方保证按本合同条款负责完成甲方项目，并保证提供的设备是全新（包括零部件）、符合竞招标文件规定、具有国家有关部门注册并符合国家质量检测标准、行业标准和产品出厂标准的设备；按合同质保条款提供售后服务，终身负责保修。</w:t>
      </w:r>
    </w:p>
    <w:p>
      <w:pPr>
        <w:widowControl w:val="0"/>
        <w:wordWrap w:val="0"/>
        <w:adjustRightInd/>
        <w:jc w:val="both"/>
        <w:rPr>
          <w:color w:val="auto"/>
          <w:kern w:val="2"/>
        </w:rPr>
      </w:pPr>
      <w:r>
        <w:rPr>
          <w:rFonts w:hint="eastAsia"/>
          <w:color w:val="auto"/>
          <w:kern w:val="2"/>
        </w:rPr>
        <w:t>2、保证甲方在合同产品（有配套软件的还包括软件产品）使用期间不受第三方提出侵犯其专利权、商标权和工业设计权的起诉，否则乙方予以处理并承担全部费用。</w:t>
      </w:r>
    </w:p>
    <w:p>
      <w:pPr>
        <w:widowControl w:val="0"/>
        <w:wordWrap w:val="0"/>
        <w:adjustRightInd/>
        <w:jc w:val="both"/>
        <w:rPr>
          <w:color w:val="auto"/>
          <w:kern w:val="2"/>
        </w:rPr>
      </w:pPr>
      <w:r>
        <w:rPr>
          <w:rFonts w:hint="eastAsia"/>
          <w:color w:val="auto"/>
          <w:kern w:val="2"/>
        </w:rPr>
        <w:t>3、严格遵守投标、技术澄清、商务谈判、中标所承诺的一切规定和条款；</w:t>
      </w:r>
    </w:p>
    <w:p>
      <w:pPr>
        <w:widowControl w:val="0"/>
        <w:wordWrap w:val="0"/>
        <w:adjustRightInd/>
        <w:jc w:val="both"/>
        <w:rPr>
          <w:color w:val="auto"/>
          <w:kern w:val="2"/>
        </w:rPr>
      </w:pPr>
      <w:r>
        <w:rPr>
          <w:rFonts w:hint="eastAsia"/>
          <w:color w:val="auto"/>
          <w:kern w:val="2"/>
        </w:rPr>
        <w:t>4、参与甲方共同进行产品的验收。</w:t>
      </w:r>
    </w:p>
    <w:p>
      <w:pPr>
        <w:widowControl w:val="0"/>
        <w:wordWrap w:val="0"/>
        <w:adjustRightInd/>
        <w:ind w:firstLine="422"/>
        <w:jc w:val="both"/>
        <w:rPr>
          <w:b/>
          <w:color w:val="auto"/>
          <w:kern w:val="2"/>
        </w:rPr>
      </w:pPr>
      <w:r>
        <w:rPr>
          <w:rFonts w:hint="eastAsia"/>
          <w:b/>
          <w:color w:val="auto"/>
          <w:kern w:val="2"/>
        </w:rPr>
        <w:t>九、违约责任</w:t>
      </w:r>
    </w:p>
    <w:p>
      <w:pPr>
        <w:widowControl w:val="0"/>
        <w:wordWrap w:val="0"/>
        <w:adjustRightInd/>
        <w:jc w:val="both"/>
        <w:rPr>
          <w:color w:val="auto"/>
          <w:kern w:val="2"/>
        </w:rPr>
      </w:pPr>
      <w:r>
        <w:rPr>
          <w:rFonts w:hint="eastAsia"/>
          <w:color w:val="auto"/>
          <w:kern w:val="2"/>
        </w:rPr>
        <w:t>（一）乙方逾期履行本合同供货约定义务时，每逾期一日，应当向甲方支付合同总价款5‰履约逾期违约金；逾期超过15个工作日的，甲方有权单方解除本合同，扣除全部履约保证金并要求乙方退还全部或部分已收合同款，如给甲方造成的经济损失的，乙方应当承担全部违约责任并按实际损失额向甲方全额赔偿。</w:t>
      </w:r>
    </w:p>
    <w:p>
      <w:pPr>
        <w:widowControl w:val="0"/>
        <w:wordWrap w:val="0"/>
        <w:adjustRightInd/>
        <w:jc w:val="both"/>
        <w:rPr>
          <w:color w:val="auto"/>
          <w:kern w:val="2"/>
        </w:rPr>
      </w:pPr>
      <w:r>
        <w:rPr>
          <w:rFonts w:hint="eastAsia"/>
          <w:color w:val="auto"/>
          <w:kern w:val="2"/>
        </w:rPr>
        <w:t>（二）除本合同另有约定，乙方违约的，甲方有权扣除履约保证金并限期催告乙方停止违约行为、采取有效补救措施（包括但不限于继续履行合同、扣除履约保证金、赔偿甲方经济损失等）。如乙方未在甲方指定期限内采取相关措施并经甲方验收合格的，甲方有权单方解除本合同，并要求乙方退还全部或部分已收合同款，如给甲方造成经济损失的，乙方应当承担全部违约责任并按实际损失额向甲方全额赔偿。</w:t>
      </w:r>
    </w:p>
    <w:p>
      <w:pPr>
        <w:widowControl w:val="0"/>
        <w:wordWrap w:val="0"/>
        <w:adjustRightInd/>
        <w:jc w:val="both"/>
        <w:rPr>
          <w:color w:val="auto"/>
          <w:kern w:val="2"/>
        </w:rPr>
      </w:pPr>
      <w:r>
        <w:rPr>
          <w:rFonts w:hint="eastAsia"/>
          <w:color w:val="auto"/>
          <w:kern w:val="2"/>
        </w:rPr>
        <w:t>（三）甲方有权随时将履约保证金等额抵扣乙方应支付的违约金或经济损失，剩余违约金或经济损失由乙方另行支付。乙方应当自履约保证金抵扣发生之日起二日内向甲方补足违约金。</w:t>
      </w:r>
    </w:p>
    <w:p>
      <w:pPr>
        <w:widowControl w:val="0"/>
        <w:wordWrap w:val="0"/>
        <w:adjustRightInd/>
        <w:jc w:val="both"/>
        <w:rPr>
          <w:color w:val="auto"/>
          <w:kern w:val="2"/>
        </w:rPr>
      </w:pPr>
      <w:r>
        <w:rPr>
          <w:rFonts w:hint="eastAsia"/>
          <w:color w:val="auto"/>
          <w:kern w:val="2"/>
        </w:rPr>
        <w:t>（四）乙方必须向甲方提供全新的、经出厂检验合格的、获得国家销售许可的合格产品。若乙方所供货物是假货或走私等非法来源货物的，甲方有权扣除履约保证金并无条件解除本合同，乙方必须无条件向甲方支付合同总价3倍的违约赔偿金。</w:t>
      </w:r>
    </w:p>
    <w:p>
      <w:pPr>
        <w:widowControl w:val="0"/>
        <w:wordWrap w:val="0"/>
        <w:adjustRightInd/>
        <w:jc w:val="both"/>
        <w:rPr>
          <w:color w:val="auto"/>
          <w:kern w:val="2"/>
        </w:rPr>
      </w:pPr>
      <w:r>
        <w:rPr>
          <w:rFonts w:hint="eastAsia"/>
          <w:color w:val="auto"/>
          <w:kern w:val="2"/>
        </w:rPr>
        <w:t>（五）乙方向甲方开具等额、真实、合法的有效发票，若乙方提供的发票存在虚假、过期、失效或违法等情形的，甲方将按照《中华人民共和国发票管理办法》第三十七条和第三十八条的规定移交税务机关对乙方进行相关的处罚。</w:t>
      </w:r>
    </w:p>
    <w:p>
      <w:pPr>
        <w:widowControl w:val="0"/>
        <w:wordWrap w:val="0"/>
        <w:adjustRightInd/>
        <w:ind w:firstLine="422"/>
        <w:jc w:val="both"/>
        <w:rPr>
          <w:b/>
          <w:color w:val="auto"/>
          <w:kern w:val="2"/>
        </w:rPr>
      </w:pPr>
      <w:r>
        <w:rPr>
          <w:rFonts w:hint="eastAsia"/>
          <w:b/>
          <w:color w:val="auto"/>
          <w:kern w:val="2"/>
        </w:rPr>
        <w:t>十、合同纠纷</w:t>
      </w:r>
    </w:p>
    <w:p>
      <w:pPr>
        <w:widowControl w:val="0"/>
        <w:wordWrap w:val="0"/>
        <w:adjustRightInd/>
        <w:jc w:val="both"/>
        <w:rPr>
          <w:color w:val="auto"/>
          <w:kern w:val="2"/>
        </w:rPr>
      </w:pPr>
      <w:r>
        <w:rPr>
          <w:rFonts w:hint="eastAsia"/>
          <w:color w:val="auto"/>
          <w:kern w:val="2"/>
        </w:rPr>
        <w:t>甲乙双方在履行合同过程中发生纠纷，应及时向有关监督管理部门反映，以便相关部门进行协调或处理；或按以下方式处理：（请在□内打√，其余打×）</w:t>
      </w:r>
    </w:p>
    <w:p>
      <w:pPr>
        <w:widowControl w:val="0"/>
        <w:wordWrap w:val="0"/>
        <w:adjustRightInd/>
        <w:jc w:val="both"/>
        <w:rPr>
          <w:color w:val="auto"/>
          <w:kern w:val="2"/>
        </w:rPr>
      </w:pPr>
      <w:r>
        <w:rPr>
          <w:rFonts w:hint="eastAsia"/>
          <w:color w:val="auto"/>
          <w:kern w:val="2"/>
        </w:rPr>
        <w:sym w:font="Wingdings 2" w:char="0053"/>
      </w:r>
      <w:r>
        <w:rPr>
          <w:rFonts w:hint="eastAsia"/>
          <w:color w:val="auto"/>
          <w:kern w:val="2"/>
        </w:rPr>
        <w:t>向合同签订地仲裁部门申请仲裁；</w:t>
      </w:r>
    </w:p>
    <w:p>
      <w:pPr>
        <w:widowControl w:val="0"/>
        <w:wordWrap w:val="0"/>
        <w:adjustRightInd/>
        <w:jc w:val="both"/>
        <w:rPr>
          <w:color w:val="auto"/>
          <w:kern w:val="2"/>
        </w:rPr>
      </w:pPr>
      <w:r>
        <w:rPr>
          <w:rFonts w:hint="eastAsia"/>
          <w:color w:val="auto"/>
          <w:kern w:val="2"/>
        </w:rPr>
        <w:fldChar w:fldCharType="begin"/>
      </w:r>
      <w:r>
        <w:rPr>
          <w:rFonts w:hint="eastAsia"/>
          <w:color w:val="auto"/>
          <w:kern w:val="2"/>
        </w:rPr>
        <w:instrText xml:space="preserve"> EQ \o\ac(</w:instrText>
      </w:r>
      <w:r>
        <w:rPr>
          <w:rFonts w:hint="eastAsia"/>
          <w:color w:val="auto"/>
          <w:kern w:val="2"/>
          <w:position w:val="-4"/>
          <w:sz w:val="31"/>
        </w:rPr>
        <w:instrText xml:space="preserve">□</w:instrText>
      </w:r>
      <w:r>
        <w:rPr>
          <w:rFonts w:hint="eastAsia"/>
          <w:color w:val="auto"/>
          <w:kern w:val="2"/>
        </w:rPr>
        <w:instrText xml:space="preserve">,√)</w:instrText>
      </w:r>
      <w:r>
        <w:rPr>
          <w:rFonts w:hint="eastAsia"/>
          <w:color w:val="auto"/>
          <w:kern w:val="2"/>
        </w:rPr>
        <w:fldChar w:fldCharType="end"/>
      </w:r>
      <w:r>
        <w:rPr>
          <w:rFonts w:hint="eastAsia"/>
          <w:color w:val="auto"/>
          <w:kern w:val="2"/>
        </w:rPr>
        <w:t>向甲方所在地人民法院提起诉讼。</w:t>
      </w:r>
    </w:p>
    <w:p>
      <w:pPr>
        <w:widowControl w:val="0"/>
        <w:wordWrap w:val="0"/>
        <w:adjustRightInd/>
        <w:ind w:firstLine="422"/>
        <w:jc w:val="both"/>
        <w:rPr>
          <w:b/>
          <w:color w:val="auto"/>
          <w:kern w:val="2"/>
        </w:rPr>
      </w:pPr>
      <w:r>
        <w:rPr>
          <w:rFonts w:hint="eastAsia"/>
          <w:b/>
          <w:color w:val="auto"/>
          <w:kern w:val="2"/>
        </w:rPr>
        <w:t>十一、本合同其他未尽事宜</w:t>
      </w:r>
    </w:p>
    <w:p>
      <w:pPr>
        <w:widowControl w:val="0"/>
        <w:wordWrap w:val="0"/>
        <w:adjustRightInd/>
        <w:jc w:val="both"/>
        <w:rPr>
          <w:color w:val="auto"/>
        </w:rPr>
      </w:pPr>
      <w:r>
        <w:rPr>
          <w:rFonts w:hint="eastAsia"/>
          <w:color w:val="auto"/>
          <w:kern w:val="2"/>
        </w:rPr>
        <w:t>若为进口货物按国家政策办理免税，则进口货物部分发票由进出口代理公司开具，国内改装部分由乙方开具。本合同其他未尽事宜，按国家《中华人民共和国民法典》有关规定处理。</w:t>
      </w:r>
    </w:p>
    <w:p>
      <w:pPr>
        <w:widowControl w:val="0"/>
        <w:wordWrap w:val="0"/>
        <w:adjustRightInd/>
        <w:ind w:firstLine="422"/>
        <w:jc w:val="both"/>
        <w:rPr>
          <w:b/>
          <w:color w:val="auto"/>
          <w:kern w:val="2"/>
        </w:rPr>
      </w:pPr>
      <w:r>
        <w:rPr>
          <w:rFonts w:hint="eastAsia"/>
          <w:b/>
          <w:color w:val="auto"/>
          <w:kern w:val="2"/>
        </w:rPr>
        <w:t>十二、保密责任</w:t>
      </w:r>
    </w:p>
    <w:p>
      <w:pPr>
        <w:widowControl w:val="0"/>
        <w:tabs>
          <w:tab w:val="left" w:pos="5387"/>
        </w:tabs>
        <w:wordWrap w:val="0"/>
        <w:adjustRightInd/>
        <w:jc w:val="both"/>
        <w:rPr>
          <w:color w:val="auto"/>
          <w:kern w:val="2"/>
        </w:rPr>
      </w:pPr>
      <w:r>
        <w:rPr>
          <w:rFonts w:hint="eastAsia"/>
          <w:color w:val="auto"/>
          <w:kern w:val="2"/>
        </w:rPr>
        <w:t>（一）本合同内容以及乙方因签订、履行本合同所获悉的甲方、甲方下属单位、关联单位及合作单位的相关信息、资料（包括但不限于图纸、数据、文件、视频、图片等）均属于保密范围，未经甲方书面同意，乙方不得将保密内容泄露给任何第三方或用于本合同以外的用途；否则，乙方须承担因泄密而引发的全部责任。</w:t>
      </w:r>
    </w:p>
    <w:p>
      <w:pPr>
        <w:widowControl w:val="0"/>
        <w:tabs>
          <w:tab w:val="left" w:pos="5387"/>
        </w:tabs>
        <w:wordWrap w:val="0"/>
        <w:adjustRightInd/>
        <w:jc w:val="both"/>
        <w:rPr>
          <w:color w:val="auto"/>
          <w:kern w:val="2"/>
        </w:rPr>
      </w:pPr>
      <w:r>
        <w:rPr>
          <w:rFonts w:hint="eastAsia"/>
          <w:color w:val="auto"/>
          <w:kern w:val="2"/>
        </w:rPr>
        <w:t xml:space="preserve"> (二)乙方在本合同签订、履行期间及终止后，无条件负有本合同约定的保密义务。</w:t>
      </w:r>
    </w:p>
    <w:p>
      <w:pPr>
        <w:widowControl w:val="0"/>
        <w:tabs>
          <w:tab w:val="left" w:pos="5387"/>
        </w:tabs>
        <w:wordWrap w:val="0"/>
        <w:adjustRightInd/>
        <w:jc w:val="both"/>
        <w:rPr>
          <w:b/>
          <w:color w:val="auto"/>
          <w:kern w:val="2"/>
        </w:rPr>
      </w:pPr>
      <w:r>
        <w:rPr>
          <w:rFonts w:hint="eastAsia"/>
          <w:color w:val="auto"/>
          <w:kern w:val="2"/>
        </w:rPr>
        <w:t xml:space="preserve"> </w:t>
      </w:r>
      <w:r>
        <w:rPr>
          <w:rFonts w:hint="eastAsia"/>
          <w:b/>
          <w:color w:val="auto"/>
          <w:kern w:val="2"/>
        </w:rPr>
        <w:t>十三、特别约定</w:t>
      </w:r>
    </w:p>
    <w:p>
      <w:pPr>
        <w:widowControl w:val="0"/>
        <w:tabs>
          <w:tab w:val="left" w:pos="5387"/>
        </w:tabs>
        <w:wordWrap w:val="0"/>
        <w:adjustRightInd/>
        <w:jc w:val="both"/>
        <w:rPr>
          <w:color w:val="auto"/>
          <w:kern w:val="2"/>
        </w:rPr>
      </w:pPr>
      <w:r>
        <w:rPr>
          <w:rFonts w:hint="eastAsia"/>
          <w:color w:val="auto"/>
          <w:kern w:val="2"/>
        </w:rPr>
        <w:t>（一）交货时提交与合同规格型号一致的车辆公告、合格证、发票等相关材料等，且所有资料提供复印件一份。</w:t>
      </w:r>
    </w:p>
    <w:p>
      <w:pPr>
        <w:widowControl w:val="0"/>
        <w:tabs>
          <w:tab w:val="left" w:pos="5387"/>
        </w:tabs>
        <w:wordWrap w:val="0"/>
        <w:adjustRightInd/>
        <w:jc w:val="both"/>
        <w:rPr>
          <w:color w:val="auto"/>
          <w:kern w:val="2"/>
        </w:rPr>
      </w:pPr>
      <w:r>
        <w:rPr>
          <w:rFonts w:hint="eastAsia"/>
          <w:color w:val="auto"/>
          <w:kern w:val="2"/>
        </w:rPr>
        <w:t>（二）使用说明书等技术资料，随设备提供；剩余招标文件中要求的技术资料单独整理归档，交货时一同提供。</w:t>
      </w:r>
    </w:p>
    <w:p>
      <w:pPr>
        <w:widowControl w:val="0"/>
        <w:tabs>
          <w:tab w:val="left" w:pos="5387"/>
        </w:tabs>
        <w:wordWrap w:val="0"/>
        <w:adjustRightInd/>
        <w:jc w:val="both"/>
        <w:rPr>
          <w:color w:val="auto"/>
          <w:kern w:val="2"/>
        </w:rPr>
      </w:pPr>
      <w:r>
        <w:rPr>
          <w:rFonts w:hint="eastAsia"/>
          <w:color w:val="auto"/>
          <w:kern w:val="2"/>
        </w:rPr>
        <w:t>（三）合同签订后7日内，按照投标文件要求，及时与甲方联系，确定产品种类及数量。</w:t>
      </w:r>
    </w:p>
    <w:p>
      <w:pPr>
        <w:widowControl w:val="0"/>
        <w:tabs>
          <w:tab w:val="left" w:pos="5387"/>
        </w:tabs>
        <w:wordWrap w:val="0"/>
        <w:adjustRightInd/>
        <w:jc w:val="both"/>
        <w:rPr>
          <w:color w:val="auto"/>
          <w:kern w:val="2"/>
        </w:rPr>
      </w:pPr>
      <w:r>
        <w:rPr>
          <w:rFonts w:hint="eastAsia"/>
          <w:color w:val="auto"/>
          <w:kern w:val="2"/>
        </w:rPr>
        <w:t>（四）其他要求：按照国家综合性消防救援队伍要求，车辆器材装备交付时需附着二维码（或RFID），个人防护装备需根据最新要求制作标志标识，印制单位名称等。</w:t>
      </w:r>
    </w:p>
    <w:p>
      <w:pPr>
        <w:widowControl w:val="0"/>
        <w:tabs>
          <w:tab w:val="left" w:pos="5387"/>
        </w:tabs>
        <w:wordWrap w:val="0"/>
        <w:adjustRightInd/>
        <w:jc w:val="both"/>
        <w:rPr>
          <w:color w:val="auto"/>
          <w:kern w:val="2"/>
        </w:rPr>
      </w:pPr>
    </w:p>
    <w:p>
      <w:pPr>
        <w:widowControl w:val="0"/>
        <w:tabs>
          <w:tab w:val="left" w:pos="5387"/>
        </w:tabs>
        <w:wordWrap w:val="0"/>
        <w:adjustRightInd/>
        <w:ind w:firstLine="422"/>
        <w:jc w:val="both"/>
        <w:rPr>
          <w:b/>
          <w:color w:val="auto"/>
          <w:kern w:val="2"/>
        </w:rPr>
      </w:pPr>
      <w:r>
        <w:rPr>
          <w:rFonts w:hint="eastAsia"/>
          <w:b/>
          <w:color w:val="auto"/>
          <w:kern w:val="2"/>
        </w:rPr>
        <w:t>十四、不可抗力</w:t>
      </w:r>
    </w:p>
    <w:p>
      <w:pPr>
        <w:widowControl w:val="0"/>
        <w:tabs>
          <w:tab w:val="left" w:pos="5387"/>
        </w:tabs>
        <w:wordWrap w:val="0"/>
        <w:adjustRightInd/>
        <w:jc w:val="both"/>
        <w:rPr>
          <w:color w:val="auto"/>
          <w:kern w:val="2"/>
        </w:rPr>
      </w:pPr>
      <w:r>
        <w:rPr>
          <w:rFonts w:hint="eastAsia"/>
          <w:color w:val="auto"/>
          <w:kern w:val="2"/>
        </w:rPr>
        <w:t>（一）如果甲乙双方中任何一方遭遇战争、自然灾害（火灾、水灾、台风、地震、重大疫情等）、动乱等不可抗力的因素，致使本合同履行受阻时，履行本合同的期限应予延长，延长的期限应相当于不可抗力所影响的时间。</w:t>
      </w:r>
    </w:p>
    <w:p>
      <w:pPr>
        <w:widowControl w:val="0"/>
        <w:tabs>
          <w:tab w:val="left" w:pos="5387"/>
        </w:tabs>
        <w:wordWrap w:val="0"/>
        <w:adjustRightInd/>
        <w:jc w:val="both"/>
        <w:rPr>
          <w:color w:val="auto"/>
          <w:kern w:val="2"/>
        </w:rPr>
      </w:pPr>
      <w:r>
        <w:rPr>
          <w:rFonts w:hint="eastAsia"/>
          <w:color w:val="auto"/>
          <w:kern w:val="2"/>
        </w:rPr>
        <w:t>（二）受不可抗力影响的一方应在不可抗力发生后，以最快的方式在最短的时间内通知另一方，并在不可抗力发生后10日内，将有关部门出具的证明文件直接送达另一方。</w:t>
      </w:r>
    </w:p>
    <w:p>
      <w:pPr>
        <w:widowControl w:val="0"/>
        <w:tabs>
          <w:tab w:val="left" w:pos="5387"/>
        </w:tabs>
        <w:wordWrap w:val="0"/>
        <w:adjustRightInd/>
        <w:jc w:val="both"/>
        <w:rPr>
          <w:color w:val="auto"/>
          <w:kern w:val="2"/>
        </w:rPr>
      </w:pPr>
      <w:r>
        <w:rPr>
          <w:rFonts w:hint="eastAsia"/>
          <w:color w:val="auto"/>
          <w:kern w:val="2"/>
        </w:rPr>
        <w:t>（三）如果不可抗力影响导致合同迟延履行30日以上的，甲乙双方应友好协商解决，协商不成的，按照甲方要求执行。</w:t>
      </w:r>
    </w:p>
    <w:p>
      <w:pPr>
        <w:widowControl w:val="0"/>
        <w:wordWrap w:val="0"/>
        <w:adjustRightInd/>
        <w:ind w:firstLine="422"/>
        <w:jc w:val="both"/>
        <w:rPr>
          <w:b/>
          <w:color w:val="auto"/>
          <w:kern w:val="2"/>
        </w:rPr>
      </w:pPr>
      <w:r>
        <w:rPr>
          <w:rFonts w:hint="eastAsia"/>
          <w:b/>
          <w:color w:val="auto"/>
          <w:kern w:val="2"/>
        </w:rPr>
        <w:t>十五、合同的生效</w:t>
      </w:r>
    </w:p>
    <w:p>
      <w:pPr>
        <w:widowControl w:val="0"/>
        <w:wordWrap w:val="0"/>
        <w:adjustRightInd/>
        <w:jc w:val="both"/>
        <w:rPr>
          <w:color w:val="auto"/>
          <w:kern w:val="2"/>
        </w:rPr>
      </w:pPr>
      <w:r>
        <w:rPr>
          <w:rFonts w:hint="eastAsia"/>
          <w:color w:val="auto"/>
          <w:kern w:val="2"/>
        </w:rPr>
        <w:t>本合同经双方签字并盖章后生效。本合同一式4份，甲方持3份，乙方持1份，具有同等法律效力。</w:t>
      </w:r>
    </w:p>
    <w:p>
      <w:pPr>
        <w:widowControl w:val="0"/>
        <w:wordWrap w:val="0"/>
        <w:adjustRightInd/>
        <w:ind w:firstLine="422"/>
        <w:jc w:val="both"/>
        <w:rPr>
          <w:b/>
          <w:color w:val="auto"/>
          <w:kern w:val="2"/>
        </w:rPr>
      </w:pPr>
      <w:r>
        <w:rPr>
          <w:rFonts w:hint="eastAsia"/>
          <w:b/>
          <w:color w:val="auto"/>
          <w:kern w:val="2"/>
        </w:rPr>
        <w:t>十六、货物质保期</w:t>
      </w:r>
    </w:p>
    <w:p>
      <w:pPr>
        <w:widowControl w:val="0"/>
        <w:wordWrap w:val="0"/>
        <w:adjustRightInd/>
        <w:jc w:val="both"/>
        <w:rPr>
          <w:color w:val="auto"/>
          <w:kern w:val="2"/>
        </w:rPr>
      </w:pPr>
      <w:r>
        <w:rPr>
          <w:rFonts w:hint="eastAsia"/>
          <w:color w:val="auto"/>
          <w:kern w:val="2"/>
        </w:rPr>
        <w:t>货物的质量保证期：自全部货物通过甲方到货验收合格之日起（需要安装调试的项目，应以全部货物完成安装调试且正常运行之日起）</w:t>
      </w:r>
      <w:r>
        <w:rPr>
          <w:rFonts w:hint="eastAsia"/>
          <w:color w:val="auto"/>
          <w:kern w:val="2"/>
          <w:u w:val="single"/>
        </w:rPr>
        <w:t>XX</w:t>
      </w:r>
      <w:r>
        <w:rPr>
          <w:rFonts w:hint="eastAsia"/>
          <w:color w:val="auto"/>
          <w:kern w:val="2"/>
        </w:rPr>
        <w:t>个月。</w:t>
      </w:r>
    </w:p>
    <w:p>
      <w:pPr>
        <w:widowControl w:val="0"/>
        <w:wordWrap w:val="0"/>
        <w:adjustRightInd/>
        <w:ind w:firstLine="422"/>
        <w:jc w:val="both"/>
        <w:rPr>
          <w:b/>
          <w:color w:val="auto"/>
          <w:kern w:val="2"/>
        </w:rPr>
      </w:pPr>
      <w:r>
        <w:rPr>
          <w:rFonts w:hint="eastAsia"/>
          <w:b/>
          <w:color w:val="auto"/>
          <w:kern w:val="2"/>
        </w:rPr>
        <w:t>十七、其它</w:t>
      </w:r>
    </w:p>
    <w:p>
      <w:pPr>
        <w:widowControl w:val="0"/>
        <w:wordWrap w:val="0"/>
        <w:adjustRightInd/>
        <w:jc w:val="both"/>
        <w:rPr>
          <w:color w:val="auto"/>
          <w:kern w:val="2"/>
        </w:rPr>
      </w:pPr>
      <w:r>
        <w:rPr>
          <w:rFonts w:hint="eastAsia"/>
          <w:color w:val="auto"/>
          <w:kern w:val="2"/>
        </w:rPr>
        <w:t>本合同未尽事宜可签署补充协议，补充协议是本合同的重要组成，与本合同具有同等法律效力。</w:t>
      </w:r>
    </w:p>
    <w:p>
      <w:pPr>
        <w:widowControl w:val="0"/>
        <w:tabs>
          <w:tab w:val="left" w:pos="6930"/>
        </w:tabs>
        <w:wordWrap w:val="0"/>
        <w:adjustRightInd/>
        <w:ind w:firstLine="422"/>
        <w:jc w:val="both"/>
        <w:rPr>
          <w:b/>
          <w:bCs/>
          <w:color w:val="auto"/>
        </w:rPr>
      </w:pPr>
      <w:r>
        <w:rPr>
          <w:rFonts w:hint="eastAsia"/>
          <w:b/>
          <w:color w:val="auto"/>
          <w:kern w:val="2"/>
        </w:rPr>
        <w:t>十八、本合同不可分割之部分包括以下所列文件之内容：</w:t>
      </w:r>
    </w:p>
    <w:p>
      <w:pPr>
        <w:widowControl w:val="0"/>
        <w:tabs>
          <w:tab w:val="left" w:pos="5387"/>
        </w:tabs>
        <w:wordWrap w:val="0"/>
        <w:adjustRightInd/>
        <w:jc w:val="both"/>
        <w:rPr>
          <w:color w:val="auto"/>
        </w:rPr>
      </w:pPr>
      <w:r>
        <w:rPr>
          <w:rFonts w:hint="eastAsia"/>
          <w:color w:val="auto"/>
          <w:kern w:val="2"/>
        </w:rPr>
        <w:t>1、合同书附件；2、招标文件；3、中标通知书；4、乙方投标文件；5、甲乙双方签订合同过程中形成的其他文件。</w:t>
      </w:r>
    </w:p>
    <w:p>
      <w:pPr>
        <w:widowControl w:val="0"/>
        <w:tabs>
          <w:tab w:val="left" w:pos="5387"/>
        </w:tabs>
        <w:wordWrap w:val="0"/>
        <w:adjustRightInd/>
        <w:jc w:val="both"/>
        <w:rPr>
          <w:color w:val="auto"/>
          <w:kern w:val="2"/>
        </w:rPr>
      </w:pPr>
      <w:bookmarkStart w:id="22" w:name="_Toc21831"/>
      <w:r>
        <w:rPr>
          <w:rFonts w:hint="eastAsia"/>
          <w:color w:val="auto"/>
          <w:kern w:val="2"/>
        </w:rPr>
        <w:t>附件一：产品技术参数</w:t>
      </w:r>
    </w:p>
    <w:bookmarkEnd w:id="22"/>
    <w:p>
      <w:pPr>
        <w:widowControl w:val="0"/>
        <w:tabs>
          <w:tab w:val="left" w:pos="5387"/>
        </w:tabs>
        <w:wordWrap w:val="0"/>
        <w:adjustRightInd/>
        <w:jc w:val="both"/>
        <w:rPr>
          <w:color w:val="auto"/>
          <w:kern w:val="2"/>
        </w:rPr>
      </w:pPr>
      <w:r>
        <w:rPr>
          <w:rFonts w:hint="eastAsia"/>
          <w:color w:val="auto"/>
          <w:kern w:val="2"/>
        </w:rPr>
        <w:t>附件二：售后服务承诺书</w:t>
      </w:r>
    </w:p>
    <w:p>
      <w:pPr>
        <w:widowControl w:val="0"/>
        <w:tabs>
          <w:tab w:val="left" w:pos="5387"/>
        </w:tabs>
        <w:wordWrap w:val="0"/>
        <w:adjustRightInd/>
        <w:jc w:val="both"/>
        <w:rPr>
          <w:color w:val="auto"/>
          <w:kern w:val="2"/>
        </w:rPr>
      </w:pPr>
      <w:r>
        <w:rPr>
          <w:rFonts w:hint="eastAsia"/>
          <w:color w:val="auto"/>
          <w:kern w:val="2"/>
        </w:rPr>
        <w:t>附件三：产品检验报告</w:t>
      </w:r>
    </w:p>
    <w:p>
      <w:pPr>
        <w:widowControl w:val="0"/>
        <w:tabs>
          <w:tab w:val="left" w:pos="5387"/>
        </w:tabs>
        <w:wordWrap w:val="0"/>
        <w:adjustRightInd/>
        <w:jc w:val="both"/>
        <w:rPr>
          <w:color w:val="auto"/>
          <w:kern w:val="2"/>
        </w:rPr>
      </w:pPr>
      <w:r>
        <w:rPr>
          <w:rFonts w:hint="eastAsia"/>
          <w:color w:val="auto"/>
          <w:kern w:val="2"/>
        </w:rPr>
        <w:t>附件四：中标通知书</w:t>
      </w:r>
    </w:p>
    <w:p>
      <w:pPr>
        <w:widowControl w:val="0"/>
        <w:wordWrap w:val="0"/>
        <w:jc w:val="both"/>
        <w:rPr>
          <w:color w:val="auto"/>
          <w:kern w:val="2"/>
        </w:rPr>
      </w:pPr>
      <w:r>
        <w:rPr>
          <w:rFonts w:hint="eastAsia"/>
          <w:color w:val="auto"/>
          <w:kern w:val="2"/>
        </w:rPr>
        <w:t>附件五：云南省消防救援总队政府采购供应商廉洁守法承诺书</w:t>
      </w:r>
    </w:p>
    <w:p>
      <w:pPr>
        <w:widowControl w:val="0"/>
        <w:wordWrap w:val="0"/>
        <w:jc w:val="both"/>
        <w:rPr>
          <w:color w:val="auto"/>
          <w:kern w:val="2"/>
        </w:rPr>
      </w:pPr>
      <w:r>
        <w:rPr>
          <w:rFonts w:hint="eastAsia"/>
          <w:color w:val="auto"/>
          <w:kern w:val="2"/>
        </w:rPr>
        <w:t>注：本项目的合同由乙方拟定后交甲方审核，甲方确认后方可签订采购合同，甲方有修改拟定合同中任一条款的权力，合同书样式及主要条款仅供参考，最终以甲方与乙方签订的合同为准。</w:t>
      </w:r>
    </w:p>
    <w:p>
      <w:pPr>
        <w:rPr>
          <w:color w:val="auto"/>
          <w:kern w:val="2"/>
        </w:rPr>
      </w:pPr>
      <w:r>
        <w:rPr>
          <w:rFonts w:hint="eastAsia"/>
          <w:color w:val="auto"/>
          <w:kern w:val="2"/>
        </w:rPr>
        <w:br w:type="page"/>
      </w:r>
    </w:p>
    <w:p>
      <w:pPr>
        <w:widowControl w:val="0"/>
        <w:wordWrap w:val="0"/>
        <w:jc w:val="both"/>
        <w:rPr>
          <w:color w:val="auto"/>
          <w:kern w:val="2"/>
        </w:rPr>
      </w:pPr>
    </w:p>
    <w:p>
      <w:pPr>
        <w:adjustRightInd/>
        <w:snapToGrid/>
        <w:ind w:firstLine="422"/>
        <w:jc w:val="center"/>
        <w:rPr>
          <w:b/>
          <w:bCs/>
          <w:color w:val="auto"/>
        </w:rPr>
      </w:pPr>
    </w:p>
    <w:p>
      <w:pPr>
        <w:pStyle w:val="2"/>
        <w:rPr>
          <w:color w:val="auto"/>
          <w:sz w:val="32"/>
          <w:szCs w:val="32"/>
        </w:rPr>
      </w:pPr>
      <w:bookmarkStart w:id="23" w:name="_Toc20169"/>
      <w:r>
        <w:rPr>
          <w:rFonts w:hint="eastAsia"/>
          <w:color w:val="auto"/>
          <w:sz w:val="32"/>
          <w:szCs w:val="32"/>
        </w:rPr>
        <w:t>第四章 投标文件格式</w:t>
      </w:r>
      <w:bookmarkEnd w:id="23"/>
    </w:p>
    <w:p>
      <w:pPr>
        <w:adjustRightInd/>
        <w:snapToGrid/>
        <w:ind w:firstLine="452"/>
        <w:jc w:val="center"/>
        <w:rPr>
          <w:color w:val="auto"/>
        </w:rPr>
      </w:pPr>
      <w:r>
        <w:rPr>
          <w:rFonts w:hint="eastAsia"/>
          <w:color w:val="auto"/>
          <w:spacing w:val="8"/>
        </w:rPr>
        <w:t>(未提</w:t>
      </w:r>
      <w:r>
        <w:rPr>
          <w:rFonts w:hint="eastAsia"/>
          <w:color w:val="auto"/>
          <w:spacing w:val="6"/>
        </w:rPr>
        <w:t>供</w:t>
      </w:r>
      <w:r>
        <w:rPr>
          <w:rFonts w:hint="eastAsia"/>
          <w:color w:val="auto"/>
          <w:spacing w:val="4"/>
        </w:rPr>
        <w:t>格式的部分由投标人自行编制)</w:t>
      </w:r>
    </w:p>
    <w:p>
      <w:pPr>
        <w:adjustRightInd/>
        <w:snapToGrid/>
        <w:rPr>
          <w:color w:val="auto"/>
        </w:rPr>
      </w:pPr>
    </w:p>
    <w:p>
      <w:pPr>
        <w:adjustRightInd/>
        <w:snapToGrid/>
        <w:jc w:val="center"/>
        <w:rPr>
          <w:color w:val="auto"/>
        </w:rPr>
      </w:pPr>
    </w:p>
    <w:p>
      <w:pPr>
        <w:adjustRightInd/>
        <w:snapToGrid/>
        <w:ind w:firstLine="0" w:firstLineChars="0"/>
        <w:jc w:val="center"/>
        <w:outlineLvl w:val="1"/>
        <w:rPr>
          <w:color w:val="auto"/>
          <w:sz w:val="31"/>
          <w:szCs w:val="31"/>
        </w:rPr>
      </w:pPr>
      <w:bookmarkStart w:id="24" w:name="_Toc1541"/>
      <w:r>
        <w:rPr>
          <w:rFonts w:hint="eastAsia"/>
          <w:color w:val="auto"/>
          <w:spacing w:val="8"/>
          <w:sz w:val="31"/>
          <w:szCs w:val="31"/>
          <w14:textOutline w14:w="5791" w14:cap="flat" w14:cmpd="sng" w14:algn="ctr">
            <w14:solidFill>
              <w14:srgbClr w14:val="000000"/>
            </w14:solidFill>
            <w14:prstDash w14:val="solid"/>
            <w14:miter w14:val="0"/>
          </w14:textOutline>
        </w:rPr>
        <w:t>投标</w:t>
      </w:r>
      <w:r>
        <w:rPr>
          <w:rFonts w:hint="eastAsia"/>
          <w:color w:val="auto"/>
          <w:spacing w:val="6"/>
          <w:sz w:val="31"/>
          <w:szCs w:val="31"/>
          <w14:textOutline w14:w="5791" w14:cap="flat" w14:cmpd="sng" w14:algn="ctr">
            <w14:solidFill>
              <w14:srgbClr w14:val="000000"/>
            </w14:solidFill>
            <w14:prstDash w14:val="solid"/>
            <w14:miter w14:val="0"/>
          </w14:textOutline>
        </w:rPr>
        <w:t>文件封面</w:t>
      </w:r>
      <w:bookmarkEnd w:id="24"/>
    </w:p>
    <w:p>
      <w:pPr>
        <w:adjustRightInd/>
        <w:snapToGrid/>
        <w:jc w:val="center"/>
        <w:rPr>
          <w:color w:val="auto"/>
        </w:rPr>
      </w:pPr>
    </w:p>
    <w:p>
      <w:pPr>
        <w:adjustRightInd/>
        <w:snapToGrid/>
        <w:ind w:firstLine="0" w:firstLineChars="0"/>
        <w:jc w:val="center"/>
        <w:rPr>
          <w:rFonts w:ascii="黑体" w:hAnsi="黑体" w:eastAsia="黑体" w:cs="黑体"/>
          <w:color w:val="auto"/>
          <w:sz w:val="52"/>
          <w:szCs w:val="52"/>
        </w:rPr>
      </w:pPr>
      <w:r>
        <w:rPr>
          <w:rFonts w:hint="eastAsia" w:ascii="黑体" w:hAnsi="黑体" w:eastAsia="黑体" w:cs="黑体"/>
          <w:color w:val="auto"/>
          <w:spacing w:val="36"/>
          <w:sz w:val="52"/>
          <w:szCs w:val="52"/>
          <w14:textOutline w14:w="7962" w14:cap="flat" w14:cmpd="sng" w14:algn="ctr">
            <w14:solidFill>
              <w14:srgbClr w14:val="000000"/>
            </w14:solidFill>
            <w14:prstDash w14:val="solid"/>
            <w14:miter w14:val="0"/>
          </w14:textOutline>
        </w:rPr>
        <w:t>(项目名称</w:t>
      </w:r>
      <w:r>
        <w:rPr>
          <w:rFonts w:hint="eastAsia" w:ascii="黑体" w:hAnsi="黑体" w:eastAsia="黑体" w:cs="黑体"/>
          <w:color w:val="auto"/>
          <w:spacing w:val="35"/>
          <w:sz w:val="52"/>
          <w:szCs w:val="52"/>
          <w14:textOutline w14:w="7962" w14:cap="flat" w14:cmpd="sng" w14:algn="ctr">
            <w14:solidFill>
              <w14:srgbClr w14:val="000000"/>
            </w14:solidFill>
            <w14:prstDash w14:val="solid"/>
            <w14:miter w14:val="0"/>
          </w14:textOutline>
        </w:rPr>
        <w:t>)</w:t>
      </w:r>
    </w:p>
    <w:p>
      <w:pPr>
        <w:adjustRightInd/>
        <w:snapToGrid/>
        <w:jc w:val="center"/>
        <w:rPr>
          <w:color w:val="auto"/>
        </w:rPr>
      </w:pPr>
    </w:p>
    <w:p>
      <w:pPr>
        <w:adjustRightInd/>
        <w:snapToGrid/>
        <w:jc w:val="center"/>
        <w:rPr>
          <w:color w:val="auto"/>
        </w:rPr>
      </w:pPr>
    </w:p>
    <w:p>
      <w:pPr>
        <w:adjustRightInd/>
        <w:snapToGrid/>
        <w:jc w:val="center"/>
        <w:rPr>
          <w:color w:val="auto"/>
        </w:rPr>
      </w:pPr>
    </w:p>
    <w:p>
      <w:pPr>
        <w:adjustRightInd/>
        <w:snapToGrid/>
        <w:jc w:val="center"/>
        <w:rPr>
          <w:color w:val="auto"/>
        </w:rPr>
      </w:pPr>
    </w:p>
    <w:p>
      <w:pPr>
        <w:adjustRightInd/>
        <w:snapToGrid/>
        <w:jc w:val="center"/>
        <w:rPr>
          <w:color w:val="auto"/>
        </w:rPr>
      </w:pPr>
    </w:p>
    <w:p>
      <w:pPr>
        <w:adjustRightInd/>
        <w:snapToGrid/>
        <w:jc w:val="center"/>
        <w:rPr>
          <w:color w:val="auto"/>
        </w:rPr>
      </w:pPr>
    </w:p>
    <w:p>
      <w:pPr>
        <w:adjustRightInd/>
        <w:snapToGrid/>
        <w:ind w:firstLine="0" w:firstLineChars="0"/>
        <w:jc w:val="center"/>
        <w:rPr>
          <w:color w:val="auto"/>
          <w:spacing w:val="-14"/>
          <w:sz w:val="84"/>
          <w:szCs w:val="84"/>
          <w14:textOutline w14:w="13068" w14:cap="flat" w14:cmpd="sng" w14:algn="ctr">
            <w14:solidFill>
              <w14:srgbClr w14:val="000000"/>
            </w14:solidFill>
            <w14:prstDash w14:val="solid"/>
            <w14:miter w14:val="0"/>
          </w14:textOutline>
        </w:rPr>
      </w:pPr>
      <w:r>
        <w:rPr>
          <w:rFonts w:hint="eastAsia"/>
          <w:color w:val="auto"/>
          <w:spacing w:val="-16"/>
          <w:sz w:val="84"/>
          <w:szCs w:val="84"/>
          <w14:textOutline w14:w="13068" w14:cap="flat" w14:cmpd="sng" w14:algn="ctr">
            <w14:solidFill>
              <w14:srgbClr w14:val="000000"/>
            </w14:solidFill>
            <w14:prstDash w14:val="solid"/>
            <w14:miter w14:val="0"/>
          </w14:textOutline>
        </w:rPr>
        <w:t>投标</w:t>
      </w:r>
      <w:r>
        <w:rPr>
          <w:rFonts w:hint="eastAsia"/>
          <w:color w:val="auto"/>
          <w:spacing w:val="-14"/>
          <w:sz w:val="84"/>
          <w:szCs w:val="84"/>
          <w14:textOutline w14:w="13068" w14:cap="flat" w14:cmpd="sng" w14:algn="ctr">
            <w14:solidFill>
              <w14:srgbClr w14:val="000000"/>
            </w14:solidFill>
            <w14:prstDash w14:val="solid"/>
            <w14:miter w14:val="0"/>
          </w14:textOutline>
        </w:rPr>
        <w:t>文件</w:t>
      </w:r>
    </w:p>
    <w:p>
      <w:pPr>
        <w:adjustRightInd/>
        <w:snapToGrid/>
        <w:ind w:firstLine="0" w:firstLineChars="0"/>
        <w:jc w:val="center"/>
        <w:rPr>
          <w:color w:val="auto"/>
          <w:sz w:val="32"/>
          <w:szCs w:val="32"/>
        </w:rPr>
      </w:pPr>
      <w:r>
        <w:rPr>
          <w:rFonts w:hint="eastAsia"/>
          <w:color w:val="auto"/>
          <w:spacing w:val="-8"/>
          <w:sz w:val="32"/>
          <w:szCs w:val="32"/>
          <w14:textOutline w14:w="5791" w14:cap="flat" w14:cmpd="sng" w14:algn="ctr">
            <w14:solidFill>
              <w14:srgbClr w14:val="000000"/>
            </w14:solidFill>
            <w14:prstDash w14:val="solid"/>
            <w14:miter w14:val="0"/>
          </w14:textOutline>
        </w:rPr>
        <w:t>项</w:t>
      </w:r>
      <w:r>
        <w:rPr>
          <w:rFonts w:hint="eastAsia"/>
          <w:color w:val="auto"/>
          <w:spacing w:val="-6"/>
          <w:sz w:val="32"/>
          <w:szCs w:val="32"/>
          <w14:textOutline w14:w="5791" w14:cap="flat" w14:cmpd="sng" w14:algn="ctr">
            <w14:solidFill>
              <w14:srgbClr w14:val="000000"/>
            </w14:solidFill>
            <w14:prstDash w14:val="solid"/>
            <w14:miter w14:val="0"/>
          </w14:textOutline>
        </w:rPr>
        <w:t>目编号：</w:t>
      </w:r>
    </w:p>
    <w:p>
      <w:pPr>
        <w:adjustRightInd/>
        <w:snapToGrid/>
        <w:jc w:val="center"/>
        <w:rPr>
          <w:color w:val="auto"/>
        </w:rPr>
      </w:pPr>
    </w:p>
    <w:p>
      <w:pPr>
        <w:adjustRightInd/>
        <w:snapToGrid/>
        <w:ind w:firstLine="0" w:firstLineChars="0"/>
        <w:jc w:val="center"/>
        <w:rPr>
          <w:color w:val="auto"/>
          <w:spacing w:val="-8"/>
          <w:sz w:val="32"/>
          <w:szCs w:val="32"/>
          <w14:textOutline w14:w="5791" w14:cap="flat" w14:cmpd="sng" w14:algn="ctr">
            <w14:solidFill>
              <w14:srgbClr w14:val="000000"/>
            </w14:solidFill>
            <w14:prstDash w14:val="solid"/>
            <w14:miter w14:val="0"/>
          </w14:textOutline>
        </w:rPr>
      </w:pPr>
      <w:r>
        <w:rPr>
          <w:rFonts w:hint="eastAsia"/>
          <w:color w:val="auto"/>
          <w:spacing w:val="-8"/>
          <w:sz w:val="32"/>
          <w:szCs w:val="32"/>
          <w14:textOutline w14:w="5791" w14:cap="flat" w14:cmpd="sng" w14:algn="ctr">
            <w14:solidFill>
              <w14:srgbClr w14:val="000000"/>
            </w14:solidFill>
            <w14:prstDash w14:val="solid"/>
            <w14:miter w14:val="0"/>
          </w14:textOutline>
        </w:rPr>
        <w:t>标包</w:t>
      </w:r>
      <w:r>
        <w:rPr>
          <w:color w:val="auto"/>
          <w:spacing w:val="-8"/>
          <w:sz w:val="32"/>
          <w:szCs w:val="32"/>
          <w14:textOutline w14:w="5791" w14:cap="flat" w14:cmpd="sng" w14:algn="ctr">
            <w14:solidFill>
              <w14:srgbClr w14:val="000000"/>
            </w14:solidFill>
            <w14:prstDash w14:val="solid"/>
            <w14:miter w14:val="0"/>
          </w14:textOutline>
        </w:rPr>
        <w:t>号：</w:t>
      </w:r>
    </w:p>
    <w:p>
      <w:pPr>
        <w:adjustRightInd/>
        <w:snapToGrid/>
        <w:jc w:val="center"/>
        <w:rPr>
          <w:color w:val="auto"/>
        </w:rPr>
      </w:pPr>
    </w:p>
    <w:p>
      <w:pPr>
        <w:adjustRightInd/>
        <w:snapToGrid/>
        <w:jc w:val="center"/>
        <w:rPr>
          <w:color w:val="auto"/>
        </w:rPr>
      </w:pPr>
    </w:p>
    <w:p>
      <w:pPr>
        <w:adjustRightInd/>
        <w:snapToGrid/>
        <w:jc w:val="center"/>
        <w:rPr>
          <w:color w:val="auto"/>
        </w:rPr>
      </w:pPr>
    </w:p>
    <w:p>
      <w:pPr>
        <w:adjustRightInd/>
        <w:snapToGrid/>
        <w:jc w:val="center"/>
        <w:rPr>
          <w:color w:val="auto"/>
        </w:rPr>
      </w:pPr>
    </w:p>
    <w:p>
      <w:pPr>
        <w:pStyle w:val="21"/>
        <w:kinsoku w:val="0"/>
        <w:autoSpaceDE w:val="0"/>
        <w:autoSpaceDN w:val="0"/>
        <w:adjustRightInd/>
        <w:snapToGrid/>
        <w:spacing w:before="0" w:beforeAutospacing="0" w:after="0" w:afterAutospacing="0" w:line="480" w:lineRule="auto"/>
        <w:ind w:firstLine="643"/>
        <w:jc w:val="both"/>
        <w:rPr>
          <w:b/>
          <w:bCs/>
          <w:color w:val="auto"/>
          <w:sz w:val="32"/>
          <w:szCs w:val="32"/>
        </w:rPr>
      </w:pPr>
      <w:r>
        <w:rPr>
          <w:rFonts w:hint="eastAsia"/>
          <w:b/>
          <w:bCs/>
          <w:color w:val="auto"/>
          <w:sz w:val="32"/>
          <w:szCs w:val="32"/>
        </w:rPr>
        <w:t>投标人名称（盖公章）：________________________</w:t>
      </w:r>
    </w:p>
    <w:p>
      <w:pPr>
        <w:kinsoku w:val="0"/>
        <w:autoSpaceDE w:val="0"/>
        <w:autoSpaceDN w:val="0"/>
        <w:adjustRightInd/>
        <w:snapToGrid/>
        <w:spacing w:line="480" w:lineRule="auto"/>
        <w:ind w:firstLine="643"/>
        <w:jc w:val="both"/>
        <w:rPr>
          <w:b/>
          <w:bCs/>
          <w:color w:val="auto"/>
          <w:sz w:val="32"/>
          <w:szCs w:val="32"/>
        </w:rPr>
      </w:pPr>
      <w:r>
        <w:rPr>
          <w:rFonts w:hint="eastAsia"/>
          <w:b/>
          <w:bCs/>
          <w:color w:val="auto"/>
          <w:sz w:val="32"/>
          <w:szCs w:val="32"/>
        </w:rPr>
        <w:t>法定代表人或其授权代理人（签字或盖章）：__________</w:t>
      </w:r>
    </w:p>
    <w:p>
      <w:pPr>
        <w:kinsoku w:val="0"/>
        <w:autoSpaceDE w:val="0"/>
        <w:autoSpaceDN w:val="0"/>
        <w:adjustRightInd/>
        <w:snapToGrid/>
        <w:spacing w:line="480" w:lineRule="auto"/>
        <w:ind w:firstLine="643"/>
        <w:jc w:val="both"/>
        <w:rPr>
          <w:b/>
          <w:bCs/>
          <w:color w:val="auto"/>
          <w:sz w:val="32"/>
          <w:szCs w:val="32"/>
        </w:rPr>
      </w:pPr>
      <w:r>
        <w:rPr>
          <w:rFonts w:hint="eastAsia"/>
          <w:b/>
          <w:bCs/>
          <w:color w:val="auto"/>
          <w:sz w:val="32"/>
          <w:szCs w:val="32"/>
        </w:rPr>
        <w:t>日期：_______年____月_____日</w:t>
      </w:r>
    </w:p>
    <w:tbl>
      <w:tblPr>
        <w:tblStyle w:val="26"/>
        <w:tblW w:w="2941" w:type="dxa"/>
        <w:jc w:val="center"/>
        <w:tblLayout w:type="fixed"/>
        <w:tblCellMar>
          <w:top w:w="0" w:type="dxa"/>
          <w:left w:w="108" w:type="dxa"/>
          <w:bottom w:w="0" w:type="dxa"/>
          <w:right w:w="108" w:type="dxa"/>
        </w:tblCellMar>
      </w:tblPr>
      <w:tblGrid>
        <w:gridCol w:w="2941"/>
      </w:tblGrid>
      <w:tr>
        <w:tblPrEx>
          <w:tblCellMar>
            <w:top w:w="0" w:type="dxa"/>
            <w:left w:w="108" w:type="dxa"/>
            <w:bottom w:w="0" w:type="dxa"/>
            <w:right w:w="108" w:type="dxa"/>
          </w:tblCellMar>
        </w:tblPrEx>
        <w:trPr>
          <w:trHeight w:val="3320" w:hRule="atLeast"/>
          <w:jc w:val="center"/>
        </w:trPr>
        <w:tc>
          <w:tcPr>
            <w:tcW w:w="2941" w:type="dxa"/>
            <w:tcBorders>
              <w:top w:val="single" w:color="auto" w:sz="6" w:space="0"/>
              <w:left w:val="single" w:color="auto" w:sz="6" w:space="0"/>
              <w:bottom w:val="single" w:color="auto" w:sz="4" w:space="0"/>
              <w:right w:val="single" w:color="auto" w:sz="6" w:space="0"/>
            </w:tcBorders>
            <w:vAlign w:val="center"/>
          </w:tcPr>
          <w:p>
            <w:pPr>
              <w:adjustRightInd/>
              <w:snapToGrid/>
              <w:spacing w:line="400" w:lineRule="exact"/>
              <w:ind w:firstLine="0" w:firstLineChars="0"/>
              <w:jc w:val="center"/>
              <w:outlineLvl w:val="1"/>
              <w:rPr>
                <w:color w:val="auto"/>
                <w:spacing w:val="8"/>
                <w:sz w:val="31"/>
                <w:szCs w:val="31"/>
                <w14:textOutline w14:w="5791" w14:cap="flat" w14:cmpd="sng" w14:algn="ctr">
                  <w14:solidFill>
                    <w14:srgbClr w14:val="000000"/>
                  </w14:solidFill>
                  <w14:prstDash w14:val="solid"/>
                  <w14:miter w14:val="0"/>
                </w14:textOutline>
              </w:rPr>
            </w:pPr>
            <w:bookmarkStart w:id="25" w:name="_Toc25049"/>
            <w:r>
              <w:rPr>
                <w:rFonts w:hint="eastAsia"/>
                <w:color w:val="auto"/>
                <w:spacing w:val="8"/>
                <w:sz w:val="31"/>
                <w:szCs w:val="31"/>
                <w14:textOutline w14:w="5791" w14:cap="flat" w14:cmpd="sng" w14:algn="ctr">
                  <w14:solidFill>
                    <w14:srgbClr w14:val="000000"/>
                  </w14:solidFill>
                  <w14:prstDash w14:val="solid"/>
                  <w14:miter w14:val="0"/>
                </w14:textOutline>
              </w:rPr>
              <w:t>云南省消防救援总队XX采购项目</w:t>
            </w:r>
            <w:bookmarkEnd w:id="25"/>
          </w:p>
          <w:p>
            <w:pPr>
              <w:adjustRightInd/>
              <w:snapToGrid/>
              <w:spacing w:line="400" w:lineRule="exact"/>
              <w:ind w:firstLine="0" w:firstLineChars="0"/>
              <w:jc w:val="center"/>
              <w:outlineLvl w:val="1"/>
              <w:rPr>
                <w:rFonts w:ascii="仿宋" w:hAnsi="仿宋" w:eastAsia="仿宋" w:cs="仿宋"/>
                <w:color w:val="auto"/>
                <w:sz w:val="28"/>
                <w:szCs w:val="28"/>
              </w:rPr>
            </w:pPr>
            <w:bookmarkStart w:id="26" w:name="_Toc1011"/>
            <w:r>
              <w:rPr>
                <w:rFonts w:hint="eastAsia"/>
                <w:color w:val="auto"/>
                <w:spacing w:val="8"/>
                <w:sz w:val="31"/>
                <w:szCs w:val="31"/>
                <w14:textOutline w14:w="5791" w14:cap="flat" w14:cmpd="sng" w14:algn="ctr">
                  <w14:solidFill>
                    <w14:srgbClr w14:val="000000"/>
                  </w14:solidFill>
                  <w14:prstDash w14:val="solid"/>
                  <w14:miter w14:val="0"/>
                </w14:textOutline>
              </w:rPr>
              <w:t>（车辆部分）</w:t>
            </w:r>
            <w:bookmarkEnd w:id="26"/>
          </w:p>
        </w:tc>
      </w:tr>
      <w:tr>
        <w:tblPrEx>
          <w:tblCellMar>
            <w:top w:w="0" w:type="dxa"/>
            <w:left w:w="108" w:type="dxa"/>
            <w:bottom w:w="0" w:type="dxa"/>
            <w:right w:w="108" w:type="dxa"/>
          </w:tblCellMar>
        </w:tblPrEx>
        <w:trPr>
          <w:trHeight w:val="1385" w:hRule="atLeast"/>
          <w:jc w:val="center"/>
        </w:trPr>
        <w:tc>
          <w:tcPr>
            <w:tcW w:w="2941" w:type="dxa"/>
            <w:tcBorders>
              <w:top w:val="single" w:color="auto" w:sz="6" w:space="0"/>
              <w:left w:val="single" w:color="auto" w:sz="6" w:space="0"/>
              <w:bottom w:val="single" w:color="auto" w:sz="4" w:space="0"/>
              <w:right w:val="single" w:color="auto" w:sz="6" w:space="0"/>
            </w:tcBorders>
          </w:tcPr>
          <w:p>
            <w:pPr>
              <w:autoSpaceDE w:val="0"/>
              <w:autoSpaceDN w:val="0"/>
              <w:ind w:firstLine="640"/>
              <w:rPr>
                <w:rFonts w:ascii="仿宋" w:hAnsi="仿宋" w:eastAsia="仿宋" w:cs="仿宋"/>
                <w:color w:val="auto"/>
                <w:sz w:val="28"/>
                <w:szCs w:val="28"/>
                <w:lang w:val="zh-CN"/>
              </w:rPr>
            </w:pPr>
            <w:r>
              <w:rPr>
                <w:rFonts w:hint="eastAsia" w:ascii="仿宋" w:hAnsi="仿宋" w:eastAsia="仿宋" w:cs="仿宋"/>
                <w:color w:val="auto"/>
                <w:sz w:val="32"/>
                <w:szCs w:val="32"/>
                <w:lang w:val="zh-CN"/>
              </w:rPr>
              <w:t>标包号：第</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标包：（标包名称）</w:t>
            </w:r>
          </w:p>
        </w:tc>
      </w:tr>
      <w:tr>
        <w:tblPrEx>
          <w:tblCellMar>
            <w:top w:w="0" w:type="dxa"/>
            <w:left w:w="108" w:type="dxa"/>
            <w:bottom w:w="0" w:type="dxa"/>
            <w:right w:w="108" w:type="dxa"/>
          </w:tblCellMar>
        </w:tblPrEx>
        <w:trPr>
          <w:trHeight w:val="7297" w:hRule="atLeast"/>
          <w:jc w:val="center"/>
        </w:trPr>
        <w:tc>
          <w:tcPr>
            <w:tcW w:w="2941" w:type="dxa"/>
            <w:tcBorders>
              <w:top w:val="single" w:color="auto" w:sz="6" w:space="0"/>
              <w:left w:val="single" w:color="auto" w:sz="6" w:space="0"/>
              <w:bottom w:val="single" w:color="auto" w:sz="6" w:space="0"/>
              <w:right w:val="single" w:color="auto" w:sz="6" w:space="0"/>
            </w:tcBorders>
            <w:textDirection w:val="tbRlV"/>
            <w:vAlign w:val="center"/>
          </w:tcPr>
          <w:p>
            <w:pPr>
              <w:ind w:firstLine="880"/>
              <w:jc w:val="center"/>
              <w:rPr>
                <w:rStyle w:val="43"/>
                <w:rFonts w:ascii="仿宋" w:hAnsi="仿宋" w:eastAsia="仿宋" w:cs="仿宋"/>
                <w:color w:val="auto"/>
                <w:sz w:val="44"/>
                <w:szCs w:val="44"/>
              </w:rPr>
            </w:pPr>
            <w:r>
              <w:rPr>
                <w:rStyle w:val="43"/>
                <w:rFonts w:hint="eastAsia" w:ascii="仿宋" w:hAnsi="仿宋" w:eastAsia="仿宋" w:cs="仿宋"/>
                <w:color w:val="auto"/>
                <w:sz w:val="44"/>
                <w:szCs w:val="44"/>
              </w:rPr>
              <w:t>(填入投标人名称)</w:t>
            </w:r>
          </w:p>
          <w:p>
            <w:pPr>
              <w:ind w:firstLine="880"/>
              <w:jc w:val="center"/>
              <w:rPr>
                <w:rStyle w:val="43"/>
                <w:rFonts w:ascii="仿宋" w:hAnsi="仿宋" w:eastAsia="仿宋" w:cs="仿宋"/>
                <w:color w:val="auto"/>
              </w:rPr>
            </w:pPr>
            <w:r>
              <w:rPr>
                <w:rStyle w:val="43"/>
                <w:rFonts w:hint="eastAsia" w:ascii="仿宋" w:hAnsi="仿宋" w:eastAsia="仿宋" w:cs="仿宋"/>
                <w:color w:val="auto"/>
                <w:sz w:val="44"/>
                <w:szCs w:val="44"/>
              </w:rPr>
              <w:t>投标文件</w:t>
            </w:r>
          </w:p>
          <w:p>
            <w:pPr>
              <w:autoSpaceDE w:val="0"/>
              <w:autoSpaceDN w:val="0"/>
              <w:ind w:right="113"/>
              <w:jc w:val="center"/>
              <w:rPr>
                <w:rFonts w:ascii="仿宋" w:hAnsi="仿宋" w:eastAsia="仿宋" w:cs="仿宋"/>
                <w:color w:val="auto"/>
                <w:lang w:val="zh-CN"/>
              </w:rPr>
            </w:pPr>
          </w:p>
        </w:tc>
      </w:tr>
    </w:tbl>
    <w:p>
      <w:pPr>
        <w:rPr>
          <w:color w:val="auto"/>
        </w:rPr>
      </w:pPr>
      <w:r>
        <w:rPr>
          <w:rFonts w:hint="eastAsia"/>
          <w:color w:val="auto"/>
        </w:rPr>
        <w:t>注：以上投标文件侧面（书脊）字体大小、间距，可根据投标文件厚度灵活调整。</w:t>
      </w:r>
    </w:p>
    <w:p>
      <w:pPr>
        <w:rPr>
          <w:color w:val="auto"/>
        </w:rPr>
      </w:pPr>
    </w:p>
    <w:p>
      <w:pPr>
        <w:rPr>
          <w:color w:val="auto"/>
        </w:rPr>
      </w:pPr>
    </w:p>
    <w:p>
      <w:pPr>
        <w:widowControl w:val="0"/>
        <w:adjustRightInd/>
        <w:snapToGrid/>
        <w:ind w:firstLine="0" w:firstLineChars="0"/>
        <w:jc w:val="center"/>
        <w:outlineLvl w:val="1"/>
        <w:rPr>
          <w:b/>
          <w:bCs/>
          <w:color w:val="auto"/>
          <w:kern w:val="2"/>
          <w:sz w:val="32"/>
          <w:szCs w:val="32"/>
        </w:rPr>
      </w:pPr>
    </w:p>
    <w:p>
      <w:pPr>
        <w:widowControl w:val="0"/>
        <w:adjustRightInd/>
        <w:snapToGrid/>
        <w:ind w:firstLine="0" w:firstLineChars="0"/>
        <w:jc w:val="center"/>
        <w:outlineLvl w:val="1"/>
        <w:rPr>
          <w:b/>
          <w:bCs/>
          <w:color w:val="auto"/>
          <w:kern w:val="2"/>
          <w:sz w:val="32"/>
          <w:szCs w:val="32"/>
        </w:rPr>
      </w:pPr>
      <w:bookmarkStart w:id="27" w:name="_Toc3668"/>
      <w:r>
        <w:rPr>
          <w:rFonts w:hint="eastAsia"/>
          <w:b/>
          <w:bCs/>
          <w:color w:val="auto"/>
          <w:kern w:val="2"/>
          <w:sz w:val="32"/>
          <w:szCs w:val="32"/>
        </w:rPr>
        <w:t>目  录</w:t>
      </w:r>
      <w:bookmarkEnd w:id="27"/>
    </w:p>
    <w:p>
      <w:pPr>
        <w:adjustRightInd/>
        <w:snapToGrid/>
        <w:ind w:firstLine="0" w:firstLineChars="0"/>
        <w:jc w:val="center"/>
        <w:rPr>
          <w:b/>
          <w:bCs/>
          <w:color w:val="auto"/>
          <w:sz w:val="28"/>
          <w:szCs w:val="28"/>
        </w:rPr>
      </w:pPr>
      <w:r>
        <w:rPr>
          <w:rFonts w:hint="eastAsia"/>
          <w:color w:val="auto"/>
          <w:kern w:val="2"/>
          <w:sz w:val="28"/>
          <w:szCs w:val="28"/>
        </w:rPr>
        <w:t>（格式自拟）</w:t>
      </w:r>
      <w:r>
        <w:rPr>
          <w:rFonts w:hint="eastAsia"/>
          <w:b/>
          <w:bCs/>
          <w:color w:val="auto"/>
          <w:sz w:val="28"/>
          <w:szCs w:val="28"/>
        </w:rPr>
        <w:br w:type="page"/>
      </w:r>
    </w:p>
    <w:p>
      <w:pPr>
        <w:pStyle w:val="3"/>
        <w:numPr>
          <w:ilvl w:val="0"/>
          <w:numId w:val="4"/>
        </w:numPr>
        <w:ind w:firstLine="643"/>
        <w:jc w:val="center"/>
        <w:rPr>
          <w:color w:val="auto"/>
          <w:sz w:val="32"/>
          <w:szCs w:val="32"/>
        </w:rPr>
      </w:pPr>
      <w:bookmarkStart w:id="28" w:name="_Toc10452"/>
      <w:r>
        <w:rPr>
          <w:rFonts w:hint="eastAsia"/>
          <w:color w:val="auto"/>
          <w:sz w:val="32"/>
          <w:szCs w:val="32"/>
        </w:rPr>
        <w:t>开标一览表</w:t>
      </w:r>
      <w:bookmarkEnd w:id="28"/>
    </w:p>
    <w:tbl>
      <w:tblPr>
        <w:tblStyle w:val="26"/>
        <w:tblW w:w="9011" w:type="dxa"/>
        <w:jc w:val="center"/>
        <w:tblLayout w:type="fixed"/>
        <w:tblCellMar>
          <w:top w:w="0" w:type="dxa"/>
          <w:left w:w="108" w:type="dxa"/>
          <w:bottom w:w="0" w:type="dxa"/>
          <w:right w:w="108" w:type="dxa"/>
        </w:tblCellMar>
      </w:tblPr>
      <w:tblGrid>
        <w:gridCol w:w="1316"/>
        <w:gridCol w:w="2055"/>
        <w:gridCol w:w="5640"/>
      </w:tblGrid>
      <w:tr>
        <w:tblPrEx>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widowControl w:val="0"/>
              <w:adjustRightInd/>
              <w:snapToGrid/>
              <w:ind w:firstLine="0" w:firstLineChars="0"/>
              <w:jc w:val="center"/>
              <w:rPr>
                <w:b/>
                <w:bCs/>
                <w:color w:val="auto"/>
                <w:kern w:val="2"/>
              </w:rPr>
            </w:pPr>
            <w:r>
              <w:rPr>
                <w:rFonts w:hint="eastAsia"/>
                <w:b/>
                <w:bCs/>
                <w:color w:val="auto"/>
                <w:kern w:val="2"/>
              </w:rPr>
              <w:t>序号</w:t>
            </w:r>
          </w:p>
        </w:tc>
        <w:tc>
          <w:tcPr>
            <w:tcW w:w="2055"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widowControl w:val="0"/>
              <w:adjustRightInd/>
              <w:snapToGrid/>
              <w:ind w:firstLine="0" w:firstLineChars="0"/>
              <w:jc w:val="center"/>
              <w:rPr>
                <w:b/>
                <w:bCs/>
                <w:color w:val="auto"/>
                <w:kern w:val="2"/>
              </w:rPr>
            </w:pPr>
            <w:r>
              <w:rPr>
                <w:rFonts w:hint="eastAsia"/>
                <w:b/>
                <w:bCs/>
                <w:color w:val="auto"/>
                <w:kern w:val="2"/>
              </w:rPr>
              <w:t>项目</w:t>
            </w:r>
          </w:p>
        </w:tc>
        <w:tc>
          <w:tcPr>
            <w:tcW w:w="564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pPr>
              <w:widowControl w:val="0"/>
              <w:adjustRightInd/>
              <w:snapToGrid/>
              <w:ind w:firstLine="0" w:firstLineChars="0"/>
              <w:jc w:val="center"/>
              <w:rPr>
                <w:color w:val="auto"/>
                <w:kern w:val="2"/>
              </w:rPr>
            </w:pPr>
            <w:r>
              <w:rPr>
                <w:rFonts w:hint="eastAsia"/>
                <w:b/>
                <w:bCs/>
                <w:color w:val="auto"/>
                <w:kern w:val="2"/>
              </w:rPr>
              <w:t>报价及承诺</w:t>
            </w:r>
          </w:p>
        </w:tc>
      </w:tr>
      <w:tr>
        <w:tblPrEx>
          <w:tblCellMar>
            <w:top w:w="0" w:type="dxa"/>
            <w:left w:w="108" w:type="dxa"/>
            <w:bottom w:w="0" w:type="dxa"/>
            <w:right w:w="108" w:type="dxa"/>
          </w:tblCellMar>
        </w:tblPrEx>
        <w:trPr>
          <w:trHeight w:val="748" w:hRule="atLeast"/>
          <w:jc w:val="center"/>
        </w:trPr>
        <w:tc>
          <w:tcPr>
            <w:tcW w:w="1316" w:type="dxa"/>
            <w:tcBorders>
              <w:top w:val="nil"/>
              <w:left w:val="single" w:color="auto" w:sz="4" w:space="0"/>
              <w:bottom w:val="single" w:color="auto" w:sz="4" w:space="0"/>
              <w:right w:val="single" w:color="auto" w:sz="4" w:space="0"/>
            </w:tcBorders>
            <w:tcMar>
              <w:top w:w="57" w:type="dxa"/>
              <w:left w:w="57" w:type="dxa"/>
              <w:bottom w:w="57" w:type="dxa"/>
              <w:right w:w="57" w:type="dxa"/>
            </w:tcMar>
            <w:vAlign w:val="center"/>
          </w:tcPr>
          <w:p>
            <w:pPr>
              <w:widowControl w:val="0"/>
              <w:adjustRightInd/>
              <w:snapToGrid/>
              <w:spacing w:before="312" w:beforeLines="100"/>
              <w:ind w:firstLine="0" w:firstLineChars="0"/>
              <w:jc w:val="center"/>
              <w:rPr>
                <w:color w:val="auto"/>
                <w:kern w:val="2"/>
              </w:rPr>
            </w:pPr>
            <w:r>
              <w:rPr>
                <w:rFonts w:hint="eastAsia"/>
                <w:color w:val="auto"/>
                <w:kern w:val="2"/>
              </w:rPr>
              <w:t>1</w:t>
            </w:r>
          </w:p>
        </w:tc>
        <w:tc>
          <w:tcPr>
            <w:tcW w:w="2055"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pPr>
              <w:widowControl w:val="0"/>
              <w:adjustRightInd/>
              <w:snapToGrid/>
              <w:spacing w:before="312" w:beforeLines="100"/>
              <w:ind w:firstLine="0" w:firstLineChars="0"/>
              <w:jc w:val="center"/>
              <w:rPr>
                <w:bCs/>
                <w:color w:val="auto"/>
                <w:kern w:val="2"/>
              </w:rPr>
            </w:pPr>
            <w:r>
              <w:rPr>
                <w:rFonts w:hint="eastAsia"/>
                <w:b/>
                <w:color w:val="auto"/>
                <w:kern w:val="2"/>
              </w:rPr>
              <w:t>投标总价（元）</w:t>
            </w:r>
          </w:p>
        </w:tc>
        <w:tc>
          <w:tcPr>
            <w:tcW w:w="564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pPr>
              <w:widowControl w:val="0"/>
              <w:adjustRightInd/>
              <w:snapToGrid/>
              <w:spacing w:before="312" w:beforeLines="100" w:line="240" w:lineRule="auto"/>
              <w:ind w:firstLine="0" w:firstLineChars="0"/>
              <w:jc w:val="center"/>
              <w:rPr>
                <w:color w:val="auto"/>
              </w:rPr>
            </w:pPr>
            <w:r>
              <w:rPr>
                <w:rFonts w:hint="eastAsia"/>
                <w:color w:val="auto"/>
              </w:rPr>
              <w:t>标包号：      报价：</w:t>
            </w:r>
          </w:p>
        </w:tc>
      </w:tr>
      <w:tr>
        <w:tblPrEx>
          <w:tblCellMar>
            <w:top w:w="0" w:type="dxa"/>
            <w:left w:w="108" w:type="dxa"/>
            <w:bottom w:w="0" w:type="dxa"/>
            <w:right w:w="108" w:type="dxa"/>
          </w:tblCellMar>
        </w:tblPrEx>
        <w:trPr>
          <w:trHeight w:val="748" w:hRule="atLeast"/>
          <w:jc w:val="center"/>
        </w:trPr>
        <w:tc>
          <w:tcPr>
            <w:tcW w:w="1316" w:type="dxa"/>
            <w:tcBorders>
              <w:top w:val="nil"/>
              <w:left w:val="single" w:color="auto" w:sz="4" w:space="0"/>
              <w:bottom w:val="single" w:color="auto" w:sz="4" w:space="0"/>
              <w:right w:val="single" w:color="auto" w:sz="4" w:space="0"/>
            </w:tcBorders>
            <w:tcMar>
              <w:top w:w="57" w:type="dxa"/>
              <w:left w:w="57" w:type="dxa"/>
              <w:bottom w:w="57" w:type="dxa"/>
              <w:right w:w="57" w:type="dxa"/>
            </w:tcMar>
            <w:vAlign w:val="center"/>
          </w:tcPr>
          <w:p>
            <w:pPr>
              <w:widowControl w:val="0"/>
              <w:adjustRightInd/>
              <w:snapToGrid/>
              <w:spacing w:before="312" w:beforeLines="100"/>
              <w:ind w:firstLine="0" w:firstLineChars="0"/>
              <w:jc w:val="center"/>
              <w:rPr>
                <w:color w:val="auto"/>
                <w:kern w:val="2"/>
              </w:rPr>
            </w:pPr>
            <w:r>
              <w:rPr>
                <w:rFonts w:hint="eastAsia"/>
                <w:color w:val="auto"/>
                <w:kern w:val="2"/>
              </w:rPr>
              <w:t>2</w:t>
            </w:r>
          </w:p>
        </w:tc>
        <w:tc>
          <w:tcPr>
            <w:tcW w:w="2055"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pPr>
              <w:widowControl w:val="0"/>
              <w:adjustRightInd/>
              <w:snapToGrid/>
              <w:spacing w:before="312" w:beforeLines="100"/>
              <w:ind w:firstLine="0" w:firstLineChars="0"/>
              <w:jc w:val="center"/>
              <w:rPr>
                <w:color w:val="auto"/>
                <w:kern w:val="2"/>
              </w:rPr>
            </w:pPr>
            <w:r>
              <w:rPr>
                <w:rFonts w:hint="eastAsia"/>
                <w:color w:val="auto"/>
                <w:kern w:val="2"/>
              </w:rPr>
              <w:t>质保期</w:t>
            </w:r>
          </w:p>
        </w:tc>
        <w:tc>
          <w:tcPr>
            <w:tcW w:w="564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pPr>
              <w:pStyle w:val="5"/>
              <w:ind w:firstLine="562"/>
              <w:jc w:val="center"/>
              <w:rPr>
                <w:color w:val="auto"/>
              </w:rPr>
            </w:pPr>
          </w:p>
        </w:tc>
      </w:tr>
      <w:tr>
        <w:tblPrEx>
          <w:tblCellMar>
            <w:top w:w="0" w:type="dxa"/>
            <w:left w:w="108" w:type="dxa"/>
            <w:bottom w:w="0" w:type="dxa"/>
            <w:right w:w="108" w:type="dxa"/>
          </w:tblCellMar>
        </w:tblPrEx>
        <w:trPr>
          <w:trHeight w:val="702" w:hRule="atLeast"/>
          <w:jc w:val="center"/>
        </w:trPr>
        <w:tc>
          <w:tcPr>
            <w:tcW w:w="1316" w:type="dxa"/>
            <w:tcBorders>
              <w:top w:val="nil"/>
              <w:left w:val="single" w:color="auto" w:sz="4" w:space="0"/>
              <w:bottom w:val="single" w:color="auto" w:sz="4" w:space="0"/>
              <w:right w:val="single" w:color="auto" w:sz="4" w:space="0"/>
            </w:tcBorders>
            <w:tcMar>
              <w:top w:w="57" w:type="dxa"/>
              <w:left w:w="57" w:type="dxa"/>
              <w:bottom w:w="57" w:type="dxa"/>
              <w:right w:w="57" w:type="dxa"/>
            </w:tcMar>
            <w:vAlign w:val="center"/>
          </w:tcPr>
          <w:p>
            <w:pPr>
              <w:widowControl w:val="0"/>
              <w:adjustRightInd/>
              <w:snapToGrid/>
              <w:spacing w:before="312" w:beforeLines="100"/>
              <w:ind w:firstLine="0" w:firstLineChars="0"/>
              <w:jc w:val="center"/>
              <w:rPr>
                <w:color w:val="auto"/>
                <w:kern w:val="2"/>
              </w:rPr>
            </w:pPr>
            <w:r>
              <w:rPr>
                <w:rFonts w:hint="eastAsia"/>
                <w:color w:val="auto"/>
                <w:kern w:val="2"/>
              </w:rPr>
              <w:t>3</w:t>
            </w:r>
          </w:p>
        </w:tc>
        <w:tc>
          <w:tcPr>
            <w:tcW w:w="2055" w:type="dxa"/>
            <w:tcBorders>
              <w:top w:val="nil"/>
              <w:left w:val="nil"/>
              <w:bottom w:val="single" w:color="auto" w:sz="4" w:space="0"/>
              <w:right w:val="single" w:color="auto" w:sz="4" w:space="0"/>
            </w:tcBorders>
            <w:tcMar>
              <w:top w:w="57" w:type="dxa"/>
              <w:left w:w="57" w:type="dxa"/>
              <w:bottom w:w="57" w:type="dxa"/>
              <w:right w:w="57" w:type="dxa"/>
            </w:tcMar>
            <w:vAlign w:val="center"/>
          </w:tcPr>
          <w:p>
            <w:pPr>
              <w:widowControl w:val="0"/>
              <w:adjustRightInd/>
              <w:snapToGrid/>
              <w:spacing w:before="312" w:beforeLines="100"/>
              <w:ind w:firstLine="0" w:firstLineChars="0"/>
              <w:jc w:val="center"/>
              <w:rPr>
                <w:color w:val="auto"/>
                <w:kern w:val="2"/>
              </w:rPr>
            </w:pPr>
            <w:r>
              <w:rPr>
                <w:rFonts w:hint="eastAsia"/>
                <w:color w:val="auto"/>
                <w:kern w:val="2"/>
              </w:rPr>
              <w:t>交货期</w:t>
            </w:r>
          </w:p>
        </w:tc>
        <w:tc>
          <w:tcPr>
            <w:tcW w:w="5640" w:type="dxa"/>
            <w:tcBorders>
              <w:top w:val="single" w:color="auto" w:sz="4" w:space="0"/>
              <w:left w:val="nil"/>
              <w:bottom w:val="single" w:color="auto" w:sz="4" w:space="0"/>
              <w:right w:val="single" w:color="000000" w:sz="4" w:space="0"/>
            </w:tcBorders>
            <w:tcMar>
              <w:top w:w="57" w:type="dxa"/>
              <w:left w:w="57" w:type="dxa"/>
              <w:bottom w:w="57" w:type="dxa"/>
              <w:right w:w="57" w:type="dxa"/>
            </w:tcMar>
            <w:vAlign w:val="center"/>
          </w:tcPr>
          <w:p>
            <w:pPr>
              <w:widowControl w:val="0"/>
              <w:tabs>
                <w:tab w:val="left" w:pos="540"/>
              </w:tabs>
              <w:adjustRightInd/>
              <w:snapToGrid/>
              <w:spacing w:before="312" w:beforeLines="100"/>
              <w:ind w:firstLine="0" w:firstLineChars="0"/>
              <w:jc w:val="center"/>
              <w:rPr>
                <w:color w:val="auto"/>
                <w:kern w:val="2"/>
              </w:rPr>
            </w:pPr>
          </w:p>
        </w:tc>
      </w:tr>
      <w:tr>
        <w:tblPrEx>
          <w:tblCellMar>
            <w:top w:w="0" w:type="dxa"/>
            <w:left w:w="108" w:type="dxa"/>
            <w:bottom w:w="0" w:type="dxa"/>
            <w:right w:w="108" w:type="dxa"/>
          </w:tblCellMar>
        </w:tblPrEx>
        <w:trPr>
          <w:trHeight w:val="567" w:hRule="atLeast"/>
          <w:jc w:val="center"/>
        </w:trPr>
        <w:tc>
          <w:tcPr>
            <w:tcW w:w="1316" w:type="dxa"/>
            <w:tcBorders>
              <w:top w:val="nil"/>
              <w:left w:val="single" w:color="auto" w:sz="4" w:space="0"/>
              <w:bottom w:val="single" w:color="auto" w:sz="4" w:space="0"/>
              <w:right w:val="single" w:color="auto" w:sz="4" w:space="0"/>
            </w:tcBorders>
            <w:tcMar>
              <w:top w:w="57" w:type="dxa"/>
              <w:left w:w="57" w:type="dxa"/>
              <w:bottom w:w="57" w:type="dxa"/>
              <w:right w:w="57" w:type="dxa"/>
            </w:tcMar>
            <w:vAlign w:val="center"/>
          </w:tcPr>
          <w:p>
            <w:pPr>
              <w:widowControl w:val="0"/>
              <w:adjustRightInd/>
              <w:snapToGrid/>
              <w:spacing w:before="312" w:beforeLines="100"/>
              <w:ind w:firstLine="0" w:firstLineChars="0"/>
              <w:jc w:val="center"/>
              <w:rPr>
                <w:color w:val="auto"/>
                <w:kern w:val="2"/>
              </w:rPr>
            </w:pPr>
            <w:r>
              <w:rPr>
                <w:rFonts w:hint="eastAsia"/>
                <w:color w:val="auto"/>
                <w:kern w:val="2"/>
              </w:rPr>
              <w:t>4</w:t>
            </w:r>
          </w:p>
        </w:tc>
        <w:tc>
          <w:tcPr>
            <w:tcW w:w="2055" w:type="dxa"/>
            <w:tcBorders>
              <w:top w:val="nil"/>
              <w:left w:val="nil"/>
              <w:bottom w:val="single" w:color="auto" w:sz="4" w:space="0"/>
              <w:right w:val="single" w:color="auto" w:sz="4" w:space="0"/>
            </w:tcBorders>
            <w:tcMar>
              <w:top w:w="57" w:type="dxa"/>
              <w:left w:w="57" w:type="dxa"/>
              <w:bottom w:w="57" w:type="dxa"/>
              <w:right w:w="57" w:type="dxa"/>
            </w:tcMar>
            <w:vAlign w:val="center"/>
          </w:tcPr>
          <w:p>
            <w:pPr>
              <w:widowControl w:val="0"/>
              <w:adjustRightInd/>
              <w:snapToGrid/>
              <w:spacing w:before="312" w:beforeLines="100"/>
              <w:ind w:firstLine="0" w:firstLineChars="0"/>
              <w:jc w:val="center"/>
              <w:rPr>
                <w:color w:val="auto"/>
                <w:kern w:val="2"/>
              </w:rPr>
            </w:pPr>
            <w:r>
              <w:rPr>
                <w:rFonts w:hint="eastAsia"/>
                <w:color w:val="auto"/>
                <w:kern w:val="2"/>
              </w:rPr>
              <w:t>质量承诺</w:t>
            </w:r>
          </w:p>
        </w:tc>
        <w:tc>
          <w:tcPr>
            <w:tcW w:w="5640" w:type="dxa"/>
            <w:tcBorders>
              <w:top w:val="single" w:color="auto" w:sz="4" w:space="0"/>
              <w:left w:val="nil"/>
              <w:bottom w:val="single" w:color="auto" w:sz="4" w:space="0"/>
              <w:right w:val="single" w:color="000000" w:sz="4" w:space="0"/>
            </w:tcBorders>
            <w:tcMar>
              <w:top w:w="57" w:type="dxa"/>
              <w:left w:w="57" w:type="dxa"/>
              <w:bottom w:w="57" w:type="dxa"/>
              <w:right w:w="57" w:type="dxa"/>
            </w:tcMar>
            <w:vAlign w:val="center"/>
          </w:tcPr>
          <w:p>
            <w:pPr>
              <w:widowControl w:val="0"/>
              <w:adjustRightInd/>
              <w:snapToGrid/>
              <w:spacing w:before="312" w:beforeLines="100"/>
              <w:ind w:firstLine="0" w:firstLineChars="0"/>
              <w:jc w:val="center"/>
              <w:rPr>
                <w:color w:val="auto"/>
                <w:kern w:val="2"/>
              </w:rPr>
            </w:pPr>
          </w:p>
        </w:tc>
      </w:tr>
      <w:tr>
        <w:tblPrEx>
          <w:tblCellMar>
            <w:top w:w="0" w:type="dxa"/>
            <w:left w:w="108" w:type="dxa"/>
            <w:bottom w:w="0" w:type="dxa"/>
            <w:right w:w="108" w:type="dxa"/>
          </w:tblCellMar>
        </w:tblPrEx>
        <w:trPr>
          <w:trHeight w:val="339" w:hRule="atLeast"/>
          <w:jc w:val="center"/>
        </w:trPr>
        <w:tc>
          <w:tcPr>
            <w:tcW w:w="1316"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widowControl w:val="0"/>
              <w:adjustRightInd/>
              <w:snapToGrid/>
              <w:spacing w:before="312" w:beforeLines="100"/>
              <w:ind w:firstLine="0" w:firstLineChars="0"/>
              <w:jc w:val="center"/>
              <w:rPr>
                <w:color w:val="auto"/>
                <w:kern w:val="2"/>
              </w:rPr>
            </w:pPr>
            <w:r>
              <w:rPr>
                <w:rFonts w:hint="eastAsia"/>
                <w:color w:val="auto"/>
                <w:kern w:val="2"/>
              </w:rPr>
              <w:t>5</w:t>
            </w:r>
          </w:p>
        </w:tc>
        <w:tc>
          <w:tcPr>
            <w:tcW w:w="2055"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pPr>
              <w:widowControl w:val="0"/>
              <w:adjustRightInd/>
              <w:snapToGrid/>
              <w:spacing w:before="312" w:beforeLines="100"/>
              <w:ind w:firstLine="0" w:firstLineChars="0"/>
              <w:jc w:val="center"/>
              <w:rPr>
                <w:bCs/>
                <w:color w:val="auto"/>
                <w:kern w:val="2"/>
              </w:rPr>
            </w:pPr>
            <w:r>
              <w:rPr>
                <w:rFonts w:hint="eastAsia"/>
                <w:bCs/>
                <w:color w:val="auto"/>
                <w:kern w:val="2"/>
              </w:rPr>
              <w:t>备注</w:t>
            </w:r>
          </w:p>
        </w:tc>
        <w:tc>
          <w:tcPr>
            <w:tcW w:w="5640" w:type="dxa"/>
            <w:tcBorders>
              <w:top w:val="single" w:color="auto" w:sz="4" w:space="0"/>
              <w:left w:val="nil"/>
              <w:bottom w:val="single" w:color="auto" w:sz="4" w:space="0"/>
              <w:right w:val="single" w:color="000000" w:sz="4" w:space="0"/>
            </w:tcBorders>
            <w:tcMar>
              <w:top w:w="57" w:type="dxa"/>
              <w:left w:w="57" w:type="dxa"/>
              <w:bottom w:w="57" w:type="dxa"/>
              <w:right w:w="57" w:type="dxa"/>
            </w:tcMar>
            <w:vAlign w:val="center"/>
          </w:tcPr>
          <w:p>
            <w:pPr>
              <w:widowControl w:val="0"/>
              <w:adjustRightInd/>
              <w:snapToGrid/>
              <w:spacing w:before="312" w:beforeLines="100"/>
              <w:ind w:firstLine="0" w:firstLineChars="0"/>
              <w:jc w:val="center"/>
              <w:rPr>
                <w:color w:val="auto"/>
                <w:kern w:val="2"/>
              </w:rPr>
            </w:pPr>
          </w:p>
        </w:tc>
      </w:tr>
    </w:tbl>
    <w:p>
      <w:pPr>
        <w:widowControl w:val="0"/>
        <w:adjustRightInd/>
        <w:snapToGrid/>
        <w:ind w:firstLine="105" w:firstLineChars="50"/>
        <w:jc w:val="both"/>
        <w:rPr>
          <w:bCs/>
          <w:color w:val="auto"/>
          <w:kern w:val="2"/>
        </w:rPr>
      </w:pPr>
      <w:r>
        <w:rPr>
          <w:rFonts w:hint="eastAsia"/>
          <w:bCs/>
          <w:color w:val="auto"/>
          <w:kern w:val="2"/>
        </w:rPr>
        <w:t>注：1、此表应放在《投标文件》目录后第一页，以方便查找；</w:t>
      </w:r>
    </w:p>
    <w:p>
      <w:pPr>
        <w:widowControl w:val="0"/>
        <w:numPr>
          <w:ilvl w:val="255"/>
          <w:numId w:val="0"/>
        </w:numPr>
        <w:adjustRightInd/>
        <w:snapToGrid/>
        <w:ind w:firstLine="105" w:firstLineChars="50"/>
        <w:jc w:val="both"/>
        <w:rPr>
          <w:bCs/>
          <w:color w:val="auto"/>
          <w:kern w:val="2"/>
        </w:rPr>
      </w:pPr>
      <w:r>
        <w:rPr>
          <w:rFonts w:hint="eastAsia"/>
          <w:bCs/>
          <w:color w:val="auto"/>
          <w:kern w:val="2"/>
        </w:rPr>
        <w:t>2、报价结果以人民币元为单位，保留到小数点后两位。</w:t>
      </w:r>
    </w:p>
    <w:p>
      <w:pPr>
        <w:widowControl w:val="0"/>
        <w:adjustRightInd/>
        <w:snapToGrid/>
        <w:ind w:firstLine="105" w:firstLineChars="50"/>
        <w:jc w:val="both"/>
        <w:rPr>
          <w:bCs/>
          <w:color w:val="auto"/>
          <w:kern w:val="2"/>
        </w:rPr>
      </w:pPr>
      <w:r>
        <w:rPr>
          <w:rFonts w:hint="eastAsia"/>
          <w:bCs/>
          <w:color w:val="auto"/>
          <w:kern w:val="2"/>
        </w:rPr>
        <w:t>3、如投多个标包，在投标总价中将所投各标包价格均需填写。如未填写清楚或漏写某个标包等，否决其投标。</w:t>
      </w:r>
    </w:p>
    <w:p>
      <w:pPr>
        <w:widowControl w:val="0"/>
        <w:adjustRightInd/>
        <w:snapToGrid/>
        <w:ind w:left="779" w:leftChars="371" w:right="-153" w:rightChars="-73" w:firstLine="210" w:firstLineChars="100"/>
        <w:jc w:val="right"/>
        <w:rPr>
          <w:color w:val="auto"/>
          <w:kern w:val="2"/>
        </w:rPr>
      </w:pPr>
    </w:p>
    <w:p>
      <w:pPr>
        <w:adjustRightInd/>
        <w:snapToGrid/>
        <w:ind w:firstLine="396"/>
        <w:jc w:val="center"/>
        <w:rPr>
          <w:color w:val="auto"/>
        </w:rPr>
      </w:pPr>
      <w:r>
        <w:rPr>
          <w:rFonts w:hint="eastAsia"/>
          <w:color w:val="auto"/>
          <w:spacing w:val="-6"/>
        </w:rPr>
        <w:t>投标人名称</w:t>
      </w:r>
      <w:r>
        <w:rPr>
          <w:rFonts w:hint="eastAsia"/>
          <w:color w:val="auto"/>
          <w:spacing w:val="-4"/>
        </w:rPr>
        <w:t>（盖公章）：</w:t>
      </w:r>
      <w:r>
        <w:rPr>
          <w:rFonts w:hint="eastAsia"/>
          <w:color w:val="auto"/>
          <w:spacing w:val="-4"/>
          <w:u w:val="single"/>
        </w:rPr>
        <w:t xml:space="preserve">     </w:t>
      </w:r>
      <w:r>
        <w:rPr>
          <w:rFonts w:hint="eastAsia"/>
          <w:color w:val="auto"/>
          <w:spacing w:val="-3"/>
          <w:u w:val="single"/>
        </w:rPr>
        <w:t xml:space="preserve"> </w:t>
      </w:r>
      <w:r>
        <w:rPr>
          <w:rFonts w:hint="eastAsia"/>
          <w:color w:val="auto"/>
          <w:spacing w:val="-2"/>
          <w:u w:val="single"/>
        </w:rPr>
        <w:t xml:space="preserve">                             </w:t>
      </w:r>
    </w:p>
    <w:p>
      <w:pPr>
        <w:adjustRightInd/>
        <w:snapToGrid/>
        <w:ind w:firstLine="396"/>
        <w:jc w:val="center"/>
        <w:rPr>
          <w:color w:val="auto"/>
        </w:rPr>
      </w:pPr>
      <w:r>
        <w:rPr>
          <w:rFonts w:hint="eastAsia"/>
          <w:color w:val="auto"/>
          <w:spacing w:val="-6"/>
        </w:rPr>
        <w:t xml:space="preserve">                法定代表人或其授权代理人</w:t>
      </w:r>
      <w:r>
        <w:rPr>
          <w:rFonts w:hint="eastAsia"/>
          <w:color w:val="auto"/>
          <w:spacing w:val="-3"/>
        </w:rPr>
        <w:t>(签字或盖章)：</w:t>
      </w:r>
      <w:r>
        <w:rPr>
          <w:rFonts w:hint="eastAsia"/>
          <w:color w:val="auto"/>
          <w:spacing w:val="-3"/>
          <w:u w:val="single"/>
        </w:rPr>
        <w:t xml:space="preserve">                 </w:t>
      </w:r>
    </w:p>
    <w:p>
      <w:pPr>
        <w:tabs>
          <w:tab w:val="left" w:pos="863"/>
        </w:tabs>
        <w:adjustRightInd/>
        <w:snapToGrid/>
        <w:jc w:val="right"/>
        <w:rPr>
          <w:color w:val="auto"/>
        </w:rPr>
      </w:pPr>
      <w:r>
        <w:rPr>
          <w:rFonts w:hint="eastAsia"/>
          <w:color w:val="auto"/>
          <w:u w:val="single"/>
        </w:rPr>
        <w:tab/>
      </w:r>
      <w:r>
        <w:rPr>
          <w:rFonts w:hint="eastAsia"/>
          <w:color w:val="auto"/>
          <w:spacing w:val="4"/>
        </w:rPr>
        <w:t>年</w:t>
      </w:r>
      <w:r>
        <w:rPr>
          <w:rFonts w:hint="eastAsia"/>
          <w:color w:val="auto"/>
          <w:spacing w:val="4"/>
          <w:u w:val="single"/>
        </w:rPr>
        <w:t xml:space="preserve">   </w:t>
      </w:r>
      <w:r>
        <w:rPr>
          <w:rFonts w:hint="eastAsia"/>
          <w:color w:val="auto"/>
          <w:spacing w:val="4"/>
        </w:rPr>
        <w:t>月</w:t>
      </w:r>
      <w:r>
        <w:rPr>
          <w:rFonts w:hint="eastAsia"/>
          <w:color w:val="auto"/>
          <w:spacing w:val="4"/>
          <w:u w:val="single"/>
        </w:rPr>
        <w:t xml:space="preserve">  </w:t>
      </w:r>
      <w:r>
        <w:rPr>
          <w:rFonts w:hint="eastAsia"/>
          <w:color w:val="auto"/>
          <w:spacing w:val="4"/>
        </w:rPr>
        <w:t xml:space="preserve"> </w:t>
      </w:r>
      <w:r>
        <w:rPr>
          <w:rFonts w:hint="eastAsia"/>
          <w:color w:val="auto"/>
          <w:spacing w:val="2"/>
        </w:rPr>
        <w:t>日</w:t>
      </w:r>
    </w:p>
    <w:p>
      <w:pPr>
        <w:pStyle w:val="3"/>
        <w:numPr>
          <w:ilvl w:val="0"/>
          <w:numId w:val="5"/>
        </w:numPr>
        <w:ind w:firstLine="560"/>
        <w:rPr>
          <w:color w:val="auto"/>
          <w:sz w:val="28"/>
          <w:szCs w:val="28"/>
        </w:rPr>
      </w:pPr>
      <w:bookmarkStart w:id="29" w:name="_Toc32533"/>
      <w:bookmarkEnd w:id="29"/>
      <w:bookmarkStart w:id="30" w:name="_Toc53"/>
      <w:bookmarkEnd w:id="30"/>
      <w:r>
        <w:rPr>
          <w:rFonts w:hint="eastAsia"/>
          <w:b w:val="0"/>
          <w:color w:val="auto"/>
          <w:sz w:val="28"/>
          <w:szCs w:val="28"/>
        </w:rPr>
        <w:br w:type="page"/>
      </w:r>
      <w:bookmarkStart w:id="31" w:name="_Toc18779"/>
      <w:r>
        <w:rPr>
          <w:rFonts w:hint="eastAsia"/>
          <w:color w:val="auto"/>
          <w:sz w:val="28"/>
          <w:szCs w:val="28"/>
        </w:rPr>
        <w:t>资格证明文件</w:t>
      </w:r>
      <w:bookmarkEnd w:id="31"/>
    </w:p>
    <w:p>
      <w:pPr>
        <w:pStyle w:val="3"/>
        <w:ind w:firstLine="562"/>
        <w:jc w:val="center"/>
        <w:rPr>
          <w:color w:val="auto"/>
          <w:sz w:val="28"/>
          <w:szCs w:val="28"/>
        </w:rPr>
      </w:pPr>
      <w:bookmarkStart w:id="32" w:name="_Toc220"/>
      <w:r>
        <w:rPr>
          <w:rFonts w:hint="eastAsia"/>
          <w:color w:val="auto"/>
          <w:sz w:val="28"/>
          <w:szCs w:val="28"/>
        </w:rPr>
        <w:t>2.1投 标 函</w:t>
      </w:r>
      <w:bookmarkEnd w:id="32"/>
    </w:p>
    <w:p>
      <w:pPr>
        <w:adjustRightInd/>
        <w:snapToGrid/>
        <w:ind w:firstLine="422"/>
        <w:rPr>
          <w:color w:val="auto"/>
        </w:rPr>
      </w:pPr>
      <w:r>
        <w:rPr>
          <w:rFonts w:hint="eastAsia"/>
          <w:b/>
          <w:color w:val="auto"/>
        </w:rPr>
        <w:t>致</w:t>
      </w:r>
      <w:r>
        <w:rPr>
          <w:rFonts w:hint="eastAsia"/>
          <w:b/>
          <w:bCs/>
          <w:color w:val="auto"/>
        </w:rPr>
        <w:t>云南省消防救援总队</w:t>
      </w:r>
      <w:r>
        <w:rPr>
          <w:rFonts w:hint="eastAsia"/>
          <w:b/>
          <w:color w:val="auto"/>
        </w:rPr>
        <w:t>：</w:t>
      </w:r>
    </w:p>
    <w:p>
      <w:pPr>
        <w:rPr>
          <w:color w:val="auto"/>
        </w:rPr>
      </w:pPr>
      <w:r>
        <w:rPr>
          <w:rFonts w:hint="eastAsia"/>
          <w:color w:val="auto"/>
        </w:rPr>
        <w:t>根据贵单位“云南省消防救援总队2023年“自然灾害应急能力提升工程”装备配备项目（车辆部分）第一批次”的招标文件。我单位（公司）决定参加投标，现根据贵公司招标文件要求；提交投标文件一套（正本壹份，副本贰份及电子文档贰份）；我单位（或公司）同意以下事项：</w:t>
      </w:r>
    </w:p>
    <w:p>
      <w:pPr>
        <w:rPr>
          <w:color w:val="auto"/>
        </w:rPr>
      </w:pPr>
      <w:r>
        <w:rPr>
          <w:rFonts w:hint="eastAsia"/>
          <w:color w:val="auto"/>
        </w:rPr>
        <w:t>1、我单位愿意以开标一览表中的投标报价承担招标文件规定的全部内容并按合同约定承担相关义务。</w:t>
      </w:r>
    </w:p>
    <w:p>
      <w:pPr>
        <w:ind w:firstLine="422"/>
        <w:rPr>
          <w:b/>
          <w:bCs/>
          <w:color w:val="auto"/>
        </w:rPr>
      </w:pPr>
      <w:r>
        <w:rPr>
          <w:rFonts w:hint="eastAsia"/>
          <w:b/>
          <w:bCs/>
          <w:color w:val="auto"/>
        </w:rPr>
        <w:t>2、交货期承诺：</w:t>
      </w:r>
      <w:r>
        <w:rPr>
          <w:rFonts w:hint="eastAsia"/>
          <w:color w:val="auto"/>
        </w:rPr>
        <w:t>自合同签订之日起</w:t>
      </w:r>
      <w:r>
        <w:rPr>
          <w:rFonts w:hint="eastAsia"/>
          <w:color w:val="auto"/>
          <w:u w:val="single"/>
        </w:rPr>
        <w:t xml:space="preserve">    </w:t>
      </w:r>
      <w:r>
        <w:rPr>
          <w:rFonts w:hint="eastAsia"/>
          <w:color w:val="auto"/>
        </w:rPr>
        <w:t>日历天内交付，根据实际情况进行验收。</w:t>
      </w:r>
    </w:p>
    <w:p>
      <w:pPr>
        <w:ind w:firstLine="422"/>
        <w:rPr>
          <w:b/>
          <w:bCs/>
          <w:color w:val="auto"/>
        </w:rPr>
      </w:pPr>
      <w:r>
        <w:rPr>
          <w:rFonts w:hint="eastAsia"/>
          <w:b/>
          <w:bCs/>
          <w:color w:val="auto"/>
        </w:rPr>
        <w:t>3、质量承诺：</w:t>
      </w:r>
      <w:r>
        <w:rPr>
          <w:rFonts w:hint="eastAsia"/>
          <w:color w:val="auto"/>
        </w:rPr>
        <w:t>符合国家行业相关标准和合同约定的相关要求，满足招标文件及招标人技术需求</w:t>
      </w:r>
    </w:p>
    <w:p>
      <w:pPr>
        <w:rPr>
          <w:color w:val="auto"/>
        </w:rPr>
      </w:pPr>
      <w:r>
        <w:rPr>
          <w:rFonts w:hint="eastAsia"/>
          <w:color w:val="auto"/>
        </w:rPr>
        <w:t>4、遵守招标文件的各项条款及一切有关规定。</w:t>
      </w:r>
    </w:p>
    <w:p>
      <w:pPr>
        <w:rPr>
          <w:color w:val="auto"/>
        </w:rPr>
      </w:pPr>
      <w:r>
        <w:rPr>
          <w:rFonts w:hint="eastAsia"/>
          <w:color w:val="auto"/>
        </w:rPr>
        <w:t>5、向贵方提供的所有数据、情况和技术资料真实有效。</w:t>
      </w:r>
    </w:p>
    <w:p>
      <w:pPr>
        <w:rPr>
          <w:color w:val="auto"/>
        </w:rPr>
      </w:pPr>
      <w:r>
        <w:rPr>
          <w:rFonts w:hint="eastAsia"/>
          <w:color w:val="auto"/>
        </w:rPr>
        <w:t>6、如我方被接受，我方将按招标文件的规定履行合同责任和义务，保证按合同要求完成工作。</w:t>
      </w:r>
    </w:p>
    <w:p>
      <w:pPr>
        <w:rPr>
          <w:color w:val="auto"/>
        </w:rPr>
      </w:pPr>
      <w:r>
        <w:rPr>
          <w:rFonts w:hint="eastAsia"/>
          <w:color w:val="auto"/>
        </w:rPr>
        <w:t>7、本投标文件自贵方收到之日起生效，有效期至截止递交投标文件后90个日历天，在此期间本投标文件之规定对我方具有约束力。</w:t>
      </w:r>
    </w:p>
    <w:p>
      <w:pPr>
        <w:rPr>
          <w:color w:val="auto"/>
        </w:rPr>
      </w:pPr>
      <w:r>
        <w:rPr>
          <w:rFonts w:hint="eastAsia"/>
          <w:color w:val="auto"/>
        </w:rPr>
        <w:t>8、如果我方被接受，则至合同履行完成为止，本投标文件保持有效。</w:t>
      </w:r>
    </w:p>
    <w:p>
      <w:pPr>
        <w:adjustRightInd/>
        <w:snapToGrid/>
        <w:ind w:firstLine="480"/>
        <w:rPr>
          <w:color w:val="auto"/>
          <w:sz w:val="24"/>
        </w:rPr>
      </w:pPr>
    </w:p>
    <w:p>
      <w:pPr>
        <w:rPr>
          <w:color w:val="auto"/>
        </w:rPr>
      </w:pPr>
      <w:r>
        <w:rPr>
          <w:rFonts w:hint="eastAsia"/>
          <w:color w:val="auto"/>
        </w:rPr>
        <w:t>投标人名称（盖公章）：</w:t>
      </w:r>
    </w:p>
    <w:p>
      <w:pPr>
        <w:rPr>
          <w:color w:val="auto"/>
        </w:rPr>
      </w:pPr>
      <w:r>
        <w:rPr>
          <w:rFonts w:hint="eastAsia"/>
          <w:color w:val="auto"/>
        </w:rPr>
        <w:t>地  址</w:t>
      </w:r>
      <w:r>
        <w:rPr>
          <w:rFonts w:hint="eastAsia"/>
          <w:color w:val="auto"/>
        </w:rPr>
        <w:tab/>
      </w:r>
      <w:r>
        <w:rPr>
          <w:rFonts w:hint="eastAsia"/>
          <w:color w:val="auto"/>
        </w:rPr>
        <w:t>：</w:t>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电  话：</w:t>
      </w:r>
    </w:p>
    <w:p>
      <w:pPr>
        <w:rPr>
          <w:color w:val="auto"/>
        </w:rPr>
      </w:pPr>
      <w:r>
        <w:rPr>
          <w:rFonts w:hint="eastAsia"/>
          <w:color w:val="auto"/>
        </w:rPr>
        <w:t>邮  编：</w:t>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传  真：</w:t>
      </w:r>
    </w:p>
    <w:p>
      <w:pPr>
        <w:rPr>
          <w:color w:val="auto"/>
        </w:rPr>
      </w:pPr>
      <w:r>
        <w:rPr>
          <w:rFonts w:hint="eastAsia"/>
          <w:color w:val="auto"/>
        </w:rPr>
        <w:t>法定代表人或其授权代理人（签字或盖章）：</w:t>
      </w:r>
      <w:r>
        <w:rPr>
          <w:rFonts w:hint="eastAsia"/>
          <w:color w:val="auto"/>
        </w:rPr>
        <w:tab/>
      </w:r>
      <w:r>
        <w:rPr>
          <w:rFonts w:hint="eastAsia"/>
          <w:color w:val="auto"/>
        </w:rPr>
        <w:t xml:space="preserve">   </w:t>
      </w:r>
      <w:r>
        <w:rPr>
          <w:rFonts w:hint="eastAsia"/>
          <w:color w:val="auto"/>
        </w:rPr>
        <w:tab/>
      </w:r>
      <w:r>
        <w:rPr>
          <w:rFonts w:hint="eastAsia"/>
          <w:color w:val="auto"/>
        </w:rPr>
        <w:t xml:space="preserve">   </w:t>
      </w:r>
    </w:p>
    <w:p>
      <w:pPr>
        <w:rPr>
          <w:color w:val="auto"/>
        </w:rPr>
      </w:pPr>
      <w:r>
        <w:rPr>
          <w:rFonts w:hint="eastAsia"/>
          <w:color w:val="auto"/>
        </w:rPr>
        <w:t>日  期：   年   月  日</w:t>
      </w:r>
    </w:p>
    <w:p>
      <w:pPr>
        <w:adjustRightInd/>
        <w:snapToGrid/>
        <w:ind w:firstLine="480"/>
        <w:rPr>
          <w:color w:val="auto"/>
          <w:sz w:val="24"/>
        </w:rPr>
      </w:pPr>
      <w:r>
        <w:rPr>
          <w:rFonts w:hint="eastAsia"/>
          <w:color w:val="auto"/>
          <w:sz w:val="24"/>
        </w:rPr>
        <w:br w:type="page"/>
      </w:r>
    </w:p>
    <w:p>
      <w:pPr>
        <w:pStyle w:val="3"/>
        <w:ind w:firstLine="562"/>
        <w:jc w:val="center"/>
        <w:rPr>
          <w:color w:val="auto"/>
          <w:sz w:val="28"/>
          <w:szCs w:val="28"/>
        </w:rPr>
      </w:pPr>
      <w:bookmarkStart w:id="33" w:name="_Toc4999"/>
      <w:r>
        <w:rPr>
          <w:rFonts w:hint="eastAsia"/>
          <w:color w:val="auto"/>
          <w:sz w:val="28"/>
          <w:szCs w:val="28"/>
        </w:rPr>
        <w:t>2.2投标保证金缴纳凭证复印件</w:t>
      </w:r>
      <w:bookmarkEnd w:id="33"/>
    </w:p>
    <w:p>
      <w:pPr>
        <w:jc w:val="center"/>
        <w:rPr>
          <w:color w:val="auto"/>
        </w:rPr>
      </w:pPr>
      <w:r>
        <w:rPr>
          <w:rFonts w:hint="eastAsia"/>
          <w:color w:val="auto"/>
          <w:szCs w:val="24"/>
        </w:rPr>
        <w:t>（如投多个标包，请按标包提供各标包凭证复印件）</w:t>
      </w:r>
    </w:p>
    <w:p>
      <w:pPr>
        <w:adjustRightInd/>
        <w:snapToGrid/>
        <w:ind w:firstLine="560"/>
        <w:rPr>
          <w:color w:val="auto"/>
          <w:sz w:val="28"/>
          <w:szCs w:val="28"/>
        </w:rPr>
      </w:pPr>
      <w:r>
        <w:rPr>
          <w:rFonts w:hint="eastAsia"/>
          <w:color w:val="auto"/>
          <w:sz w:val="28"/>
          <w:szCs w:val="28"/>
        </w:rPr>
        <w:br w:type="page"/>
      </w:r>
    </w:p>
    <w:p>
      <w:pPr>
        <w:pStyle w:val="3"/>
        <w:ind w:firstLine="562"/>
        <w:jc w:val="center"/>
        <w:rPr>
          <w:color w:val="auto"/>
          <w:sz w:val="28"/>
          <w:szCs w:val="28"/>
        </w:rPr>
      </w:pPr>
      <w:bookmarkStart w:id="34" w:name="_Toc25264"/>
      <w:r>
        <w:rPr>
          <w:rFonts w:hint="eastAsia"/>
          <w:color w:val="auto"/>
          <w:sz w:val="28"/>
          <w:szCs w:val="28"/>
        </w:rPr>
        <w:t>2.3投标人情况表</w:t>
      </w:r>
      <w:bookmarkEnd w:id="34"/>
    </w:p>
    <w:tbl>
      <w:tblPr>
        <w:tblStyle w:val="26"/>
        <w:tblW w:w="8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3944"/>
        <w:gridCol w:w="4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544" w:type="dxa"/>
            <w:vAlign w:val="center"/>
          </w:tcPr>
          <w:p>
            <w:pPr>
              <w:ind w:firstLine="0" w:firstLineChars="0"/>
              <w:jc w:val="center"/>
              <w:rPr>
                <w:color w:val="auto"/>
              </w:rPr>
            </w:pPr>
            <w:r>
              <w:rPr>
                <w:rFonts w:hint="eastAsia"/>
                <w:color w:val="auto"/>
              </w:rPr>
              <w:t>1</w:t>
            </w:r>
          </w:p>
        </w:tc>
        <w:tc>
          <w:tcPr>
            <w:tcW w:w="8275" w:type="dxa"/>
            <w:gridSpan w:val="2"/>
            <w:vAlign w:val="center"/>
          </w:tcPr>
          <w:p>
            <w:pPr>
              <w:kinsoku w:val="0"/>
              <w:autoSpaceDE w:val="0"/>
              <w:autoSpaceDN w:val="0"/>
              <w:ind w:firstLine="0" w:firstLineChars="0"/>
              <w:rPr>
                <w:color w:val="auto"/>
              </w:rPr>
            </w:pPr>
            <w:r>
              <w:rPr>
                <w:rFonts w:hint="eastAsia"/>
                <w:color w:val="auto"/>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44" w:type="dxa"/>
            <w:vAlign w:val="center"/>
          </w:tcPr>
          <w:p>
            <w:pPr>
              <w:ind w:firstLine="0" w:firstLineChars="0"/>
              <w:jc w:val="center"/>
              <w:rPr>
                <w:color w:val="auto"/>
              </w:rPr>
            </w:pPr>
            <w:r>
              <w:rPr>
                <w:rFonts w:hint="eastAsia"/>
                <w:color w:val="auto"/>
              </w:rPr>
              <w:t>2</w:t>
            </w:r>
          </w:p>
        </w:tc>
        <w:tc>
          <w:tcPr>
            <w:tcW w:w="8275" w:type="dxa"/>
            <w:gridSpan w:val="2"/>
            <w:vAlign w:val="center"/>
          </w:tcPr>
          <w:p>
            <w:pPr>
              <w:kinsoku w:val="0"/>
              <w:autoSpaceDE w:val="0"/>
              <w:autoSpaceDN w:val="0"/>
              <w:ind w:firstLine="0" w:firstLineChars="0"/>
              <w:rPr>
                <w:color w:val="auto"/>
              </w:rPr>
            </w:pPr>
            <w:r>
              <w:rPr>
                <w:rFonts w:hint="eastAsia"/>
                <w:color w:val="auto"/>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544" w:type="dxa"/>
            <w:vAlign w:val="center"/>
          </w:tcPr>
          <w:p>
            <w:pPr>
              <w:ind w:firstLine="0" w:firstLineChars="0"/>
              <w:jc w:val="center"/>
              <w:rPr>
                <w:color w:val="auto"/>
              </w:rPr>
            </w:pPr>
            <w:r>
              <w:rPr>
                <w:rFonts w:hint="eastAsia"/>
                <w:color w:val="auto"/>
              </w:rPr>
              <w:t>3</w:t>
            </w:r>
          </w:p>
        </w:tc>
        <w:tc>
          <w:tcPr>
            <w:tcW w:w="8275" w:type="dxa"/>
            <w:gridSpan w:val="2"/>
            <w:vAlign w:val="center"/>
          </w:tcPr>
          <w:p>
            <w:pPr>
              <w:kinsoku w:val="0"/>
              <w:autoSpaceDE w:val="0"/>
              <w:autoSpaceDN w:val="0"/>
              <w:ind w:firstLine="0" w:firstLineChars="0"/>
              <w:rPr>
                <w:color w:val="auto"/>
              </w:rPr>
            </w:pPr>
            <w:r>
              <w:rPr>
                <w:rFonts w:hint="eastAsia"/>
                <w:color w:val="auto"/>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544" w:type="dxa"/>
            <w:vAlign w:val="center"/>
          </w:tcPr>
          <w:p>
            <w:pPr>
              <w:ind w:firstLine="0" w:firstLineChars="0"/>
              <w:jc w:val="center"/>
              <w:rPr>
                <w:color w:val="auto"/>
              </w:rPr>
            </w:pPr>
            <w:r>
              <w:rPr>
                <w:rFonts w:hint="eastAsia"/>
                <w:color w:val="auto"/>
              </w:rPr>
              <w:t>4</w:t>
            </w:r>
          </w:p>
        </w:tc>
        <w:tc>
          <w:tcPr>
            <w:tcW w:w="3944" w:type="dxa"/>
            <w:vAlign w:val="center"/>
          </w:tcPr>
          <w:p>
            <w:pPr>
              <w:kinsoku w:val="0"/>
              <w:autoSpaceDE w:val="0"/>
              <w:autoSpaceDN w:val="0"/>
              <w:ind w:firstLine="0" w:firstLineChars="0"/>
              <w:rPr>
                <w:color w:val="auto"/>
              </w:rPr>
            </w:pPr>
            <w:r>
              <w:rPr>
                <w:rFonts w:hint="eastAsia"/>
                <w:color w:val="auto"/>
              </w:rPr>
              <w:t>电话</w:t>
            </w:r>
          </w:p>
        </w:tc>
        <w:tc>
          <w:tcPr>
            <w:tcW w:w="4331" w:type="dxa"/>
            <w:vAlign w:val="center"/>
          </w:tcPr>
          <w:p>
            <w:pPr>
              <w:kinsoku w:val="0"/>
              <w:autoSpaceDE w:val="0"/>
              <w:autoSpaceDN w:val="0"/>
              <w:ind w:firstLine="0" w:firstLineChars="0"/>
              <w:rPr>
                <w:color w:val="auto"/>
              </w:rPr>
            </w:pPr>
            <w:r>
              <w:rPr>
                <w:rFonts w:hint="eastAsia"/>
                <w:color w:val="auto"/>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544" w:type="dxa"/>
            <w:vAlign w:val="center"/>
          </w:tcPr>
          <w:p>
            <w:pPr>
              <w:ind w:firstLine="0" w:firstLineChars="0"/>
              <w:jc w:val="center"/>
              <w:rPr>
                <w:color w:val="auto"/>
              </w:rPr>
            </w:pPr>
            <w:r>
              <w:rPr>
                <w:rFonts w:hint="eastAsia"/>
                <w:color w:val="auto"/>
              </w:rPr>
              <w:t>5</w:t>
            </w:r>
          </w:p>
        </w:tc>
        <w:tc>
          <w:tcPr>
            <w:tcW w:w="3944" w:type="dxa"/>
            <w:vAlign w:val="center"/>
          </w:tcPr>
          <w:p>
            <w:pPr>
              <w:kinsoku w:val="0"/>
              <w:autoSpaceDE w:val="0"/>
              <w:autoSpaceDN w:val="0"/>
              <w:ind w:firstLine="0" w:firstLineChars="0"/>
              <w:rPr>
                <w:color w:val="auto"/>
              </w:rPr>
            </w:pPr>
            <w:r>
              <w:rPr>
                <w:rFonts w:hint="eastAsia"/>
                <w:color w:val="auto"/>
              </w:rPr>
              <w:t>传真</w:t>
            </w:r>
          </w:p>
        </w:tc>
        <w:tc>
          <w:tcPr>
            <w:tcW w:w="4331" w:type="dxa"/>
            <w:vAlign w:val="center"/>
          </w:tcPr>
          <w:p>
            <w:pPr>
              <w:kinsoku w:val="0"/>
              <w:autoSpaceDE w:val="0"/>
              <w:autoSpaceDN w:val="0"/>
              <w:ind w:firstLine="0" w:firstLineChars="0"/>
              <w:rPr>
                <w:color w:val="auto"/>
              </w:rPr>
            </w:pPr>
            <w:r>
              <w:rPr>
                <w:rFonts w:hint="eastAsia"/>
                <w:color w:val="auto"/>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544" w:type="dxa"/>
            <w:vAlign w:val="center"/>
          </w:tcPr>
          <w:p>
            <w:pPr>
              <w:ind w:firstLine="0" w:firstLineChars="0"/>
              <w:jc w:val="center"/>
              <w:rPr>
                <w:color w:val="auto"/>
              </w:rPr>
            </w:pPr>
            <w:r>
              <w:rPr>
                <w:rFonts w:hint="eastAsia"/>
                <w:color w:val="auto"/>
              </w:rPr>
              <w:t>6</w:t>
            </w:r>
          </w:p>
        </w:tc>
        <w:tc>
          <w:tcPr>
            <w:tcW w:w="3944" w:type="dxa"/>
            <w:vAlign w:val="center"/>
          </w:tcPr>
          <w:p>
            <w:pPr>
              <w:kinsoku w:val="0"/>
              <w:autoSpaceDE w:val="0"/>
              <w:autoSpaceDN w:val="0"/>
              <w:ind w:firstLine="0" w:firstLineChars="0"/>
              <w:rPr>
                <w:color w:val="auto"/>
              </w:rPr>
            </w:pPr>
            <w:r>
              <w:rPr>
                <w:rFonts w:hint="eastAsia"/>
                <w:color w:val="auto"/>
              </w:rPr>
              <w:t>注册地</w:t>
            </w:r>
          </w:p>
        </w:tc>
        <w:tc>
          <w:tcPr>
            <w:tcW w:w="4331" w:type="dxa"/>
            <w:vAlign w:val="center"/>
          </w:tcPr>
          <w:p>
            <w:pPr>
              <w:kinsoku w:val="0"/>
              <w:autoSpaceDE w:val="0"/>
              <w:autoSpaceDN w:val="0"/>
              <w:ind w:firstLine="0" w:firstLineChars="0"/>
              <w:rPr>
                <w:color w:val="auto"/>
              </w:rPr>
            </w:pPr>
            <w:r>
              <w:rPr>
                <w:rFonts w:hint="eastAsia"/>
                <w:color w:val="auto"/>
              </w:rPr>
              <w:t>注册年份（请附营业执照复印件）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44" w:type="dxa"/>
            <w:vAlign w:val="center"/>
          </w:tcPr>
          <w:p>
            <w:pPr>
              <w:ind w:firstLine="0" w:firstLineChars="0"/>
              <w:jc w:val="center"/>
              <w:rPr>
                <w:color w:val="auto"/>
              </w:rPr>
            </w:pPr>
            <w:r>
              <w:rPr>
                <w:rFonts w:hint="eastAsia"/>
                <w:color w:val="auto"/>
              </w:rPr>
              <w:t>7</w:t>
            </w:r>
          </w:p>
        </w:tc>
        <w:tc>
          <w:tcPr>
            <w:tcW w:w="8275" w:type="dxa"/>
            <w:gridSpan w:val="2"/>
            <w:vAlign w:val="center"/>
          </w:tcPr>
          <w:p>
            <w:pPr>
              <w:kinsoku w:val="0"/>
              <w:autoSpaceDE w:val="0"/>
              <w:autoSpaceDN w:val="0"/>
              <w:ind w:firstLine="0" w:firstLineChars="0"/>
              <w:rPr>
                <w:color w:val="auto"/>
              </w:rPr>
            </w:pPr>
            <w:r>
              <w:rPr>
                <w:rFonts w:hint="eastAsia"/>
                <w:color w:val="auto"/>
              </w:rPr>
              <w:t>公司有关证书            （请附有关证书的复印件，如有）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544" w:type="dxa"/>
            <w:vAlign w:val="center"/>
          </w:tcPr>
          <w:p>
            <w:pPr>
              <w:ind w:firstLine="0" w:firstLineChars="0"/>
              <w:jc w:val="center"/>
              <w:rPr>
                <w:color w:val="auto"/>
              </w:rPr>
            </w:pPr>
            <w:r>
              <w:rPr>
                <w:rFonts w:hint="eastAsia"/>
                <w:color w:val="auto"/>
              </w:rPr>
              <w:t>8</w:t>
            </w:r>
          </w:p>
        </w:tc>
        <w:tc>
          <w:tcPr>
            <w:tcW w:w="8275" w:type="dxa"/>
            <w:gridSpan w:val="2"/>
            <w:vAlign w:val="center"/>
          </w:tcPr>
          <w:p>
            <w:pPr>
              <w:kinsoku w:val="0"/>
              <w:autoSpaceDE w:val="0"/>
              <w:autoSpaceDN w:val="0"/>
              <w:ind w:firstLine="0" w:firstLineChars="0"/>
              <w:rPr>
                <w:color w:val="auto"/>
              </w:rPr>
            </w:pPr>
            <w:r>
              <w:rPr>
                <w:rFonts w:hint="eastAsia"/>
                <w:color w:val="auto"/>
              </w:rPr>
              <w:t>公司（是否通过，何种） 质量保证体系认证（如通过请附相关证书复印件）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jc w:val="center"/>
        </w:trPr>
        <w:tc>
          <w:tcPr>
            <w:tcW w:w="544" w:type="dxa"/>
            <w:vAlign w:val="center"/>
          </w:tcPr>
          <w:p>
            <w:pPr>
              <w:adjustRightInd/>
              <w:snapToGrid/>
              <w:ind w:firstLine="0" w:firstLineChars="0"/>
              <w:jc w:val="center"/>
              <w:rPr>
                <w:color w:val="auto"/>
              </w:rPr>
            </w:pPr>
            <w:r>
              <w:rPr>
                <w:rFonts w:hint="eastAsia"/>
                <w:color w:val="auto"/>
              </w:rPr>
              <w:t>9</w:t>
            </w:r>
          </w:p>
        </w:tc>
        <w:tc>
          <w:tcPr>
            <w:tcW w:w="8275" w:type="dxa"/>
            <w:gridSpan w:val="2"/>
            <w:vAlign w:val="center"/>
          </w:tcPr>
          <w:p>
            <w:pPr>
              <w:kinsoku w:val="0"/>
              <w:autoSpaceDE w:val="0"/>
              <w:autoSpaceDN w:val="0"/>
              <w:adjustRightInd/>
              <w:snapToGrid/>
              <w:ind w:firstLine="0" w:firstLineChars="0"/>
              <w:rPr>
                <w:color w:val="auto"/>
              </w:rPr>
            </w:pPr>
            <w:r>
              <w:rPr>
                <w:rFonts w:hint="eastAsia"/>
                <w:color w:val="auto"/>
              </w:rPr>
              <w:t>主营范围</w:t>
            </w:r>
          </w:p>
          <w:p>
            <w:pPr>
              <w:kinsoku w:val="0"/>
              <w:autoSpaceDE w:val="0"/>
              <w:autoSpaceDN w:val="0"/>
              <w:adjustRightInd/>
              <w:snapToGrid/>
              <w:ind w:firstLine="0" w:firstLineChars="0"/>
              <w:rPr>
                <w:color w:val="auto"/>
              </w:rPr>
            </w:pPr>
            <w:r>
              <w:rPr>
                <w:rFonts w:hint="eastAsia"/>
                <w:color w:val="auto"/>
              </w:rPr>
              <w:t>1.</w:t>
            </w:r>
          </w:p>
          <w:p>
            <w:pPr>
              <w:kinsoku w:val="0"/>
              <w:autoSpaceDE w:val="0"/>
              <w:autoSpaceDN w:val="0"/>
              <w:adjustRightInd/>
              <w:snapToGrid/>
              <w:ind w:firstLine="0" w:firstLineChars="0"/>
              <w:rPr>
                <w:color w:val="auto"/>
              </w:rPr>
            </w:pPr>
            <w:r>
              <w:rPr>
                <w:rFonts w:hint="eastAsia"/>
                <w:color w:val="auto"/>
              </w:rPr>
              <w:t>2.</w:t>
            </w:r>
          </w:p>
          <w:p>
            <w:pPr>
              <w:kinsoku w:val="0"/>
              <w:autoSpaceDE w:val="0"/>
              <w:autoSpaceDN w:val="0"/>
              <w:adjustRightInd/>
              <w:snapToGrid/>
              <w:ind w:firstLine="0" w:firstLineChars="0"/>
              <w:rPr>
                <w:color w:val="auto"/>
              </w:rPr>
            </w:pPr>
            <w:r>
              <w:rPr>
                <w:rFonts w:hint="eastAsia"/>
                <w:color w:val="auto"/>
              </w:rPr>
              <w:t>3.</w:t>
            </w:r>
          </w:p>
          <w:p>
            <w:pPr>
              <w:kinsoku w:val="0"/>
              <w:autoSpaceDE w:val="0"/>
              <w:autoSpaceDN w:val="0"/>
              <w:adjustRightInd/>
              <w:snapToGrid/>
              <w:ind w:firstLine="0" w:firstLineChars="0"/>
              <w:rPr>
                <w:color w:val="auto"/>
              </w:rPr>
            </w:pPr>
            <w:r>
              <w:rPr>
                <w:rFonts w:hint="eastAsia"/>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4" w:type="dxa"/>
            <w:vAlign w:val="center"/>
          </w:tcPr>
          <w:p>
            <w:pPr>
              <w:ind w:firstLine="0" w:firstLineChars="0"/>
              <w:jc w:val="center"/>
              <w:rPr>
                <w:color w:val="auto"/>
              </w:rPr>
            </w:pPr>
            <w:r>
              <w:rPr>
                <w:rFonts w:hint="eastAsia"/>
                <w:color w:val="auto"/>
              </w:rPr>
              <w:t>1</w:t>
            </w:r>
          </w:p>
        </w:tc>
        <w:tc>
          <w:tcPr>
            <w:tcW w:w="8275" w:type="dxa"/>
            <w:gridSpan w:val="2"/>
            <w:vAlign w:val="center"/>
          </w:tcPr>
          <w:p>
            <w:pPr>
              <w:kinsoku w:val="0"/>
              <w:autoSpaceDE w:val="0"/>
              <w:autoSpaceDN w:val="0"/>
              <w:ind w:firstLine="0" w:firstLineChars="0"/>
              <w:rPr>
                <w:color w:val="auto"/>
              </w:rPr>
            </w:pPr>
            <w:r>
              <w:rPr>
                <w:rFonts w:hint="eastAsia"/>
                <w:color w:val="auto"/>
              </w:rPr>
              <w:t>其他要求说明的情况</w:t>
            </w:r>
          </w:p>
        </w:tc>
      </w:tr>
    </w:tbl>
    <w:p>
      <w:pPr>
        <w:adjustRightInd/>
        <w:snapToGrid/>
        <w:ind w:firstLine="422"/>
        <w:rPr>
          <w:b/>
          <w:color w:val="auto"/>
        </w:rPr>
      </w:pPr>
      <w:r>
        <w:rPr>
          <w:rFonts w:hint="eastAsia"/>
          <w:b/>
          <w:color w:val="auto"/>
        </w:rPr>
        <w:t>后附：投标人有效的营业执照（须提供复印件加盖公章）；</w:t>
      </w:r>
    </w:p>
    <w:p>
      <w:pPr>
        <w:pStyle w:val="21"/>
        <w:adjustRightInd/>
        <w:snapToGrid/>
        <w:spacing w:before="0" w:beforeAutospacing="0" w:after="0" w:afterAutospacing="0"/>
        <w:ind w:firstLine="480"/>
        <w:rPr>
          <w:color w:val="auto"/>
        </w:rPr>
      </w:pPr>
    </w:p>
    <w:p>
      <w:pPr>
        <w:pStyle w:val="21"/>
        <w:adjustRightInd/>
        <w:snapToGrid/>
        <w:spacing w:before="0" w:beforeAutospacing="0" w:after="0" w:afterAutospacing="0"/>
        <w:ind w:firstLine="480"/>
        <w:rPr>
          <w:color w:val="auto"/>
        </w:rPr>
      </w:pPr>
    </w:p>
    <w:p>
      <w:pPr>
        <w:pStyle w:val="21"/>
        <w:adjustRightInd/>
        <w:snapToGrid/>
        <w:spacing w:before="0" w:beforeAutospacing="0" w:after="0" w:afterAutospacing="0"/>
        <w:jc w:val="right"/>
        <w:rPr>
          <w:color w:val="auto"/>
          <w:sz w:val="21"/>
        </w:rPr>
      </w:pPr>
      <w:r>
        <w:rPr>
          <w:rFonts w:hint="eastAsia"/>
          <w:color w:val="auto"/>
          <w:sz w:val="21"/>
        </w:rPr>
        <w:t>投标人名称（盖公章）：________________________</w:t>
      </w:r>
    </w:p>
    <w:p>
      <w:pPr>
        <w:adjustRightInd/>
        <w:snapToGrid/>
        <w:jc w:val="right"/>
        <w:rPr>
          <w:color w:val="auto"/>
        </w:rPr>
      </w:pPr>
      <w:r>
        <w:rPr>
          <w:rFonts w:hint="eastAsia"/>
          <w:color w:val="auto"/>
        </w:rPr>
        <w:t>法定代表人或其授权代理人（签字或盖章）：__________</w:t>
      </w:r>
    </w:p>
    <w:p>
      <w:pPr>
        <w:adjustRightInd/>
        <w:snapToGrid/>
        <w:jc w:val="right"/>
        <w:rPr>
          <w:color w:val="auto"/>
        </w:rPr>
      </w:pPr>
      <w:r>
        <w:rPr>
          <w:rFonts w:hint="eastAsia"/>
          <w:color w:val="auto"/>
        </w:rPr>
        <w:t>日期：_______年____月_____日</w:t>
      </w:r>
    </w:p>
    <w:p>
      <w:pPr>
        <w:adjustRightInd/>
        <w:snapToGrid/>
        <w:rPr>
          <w:color w:val="auto"/>
        </w:rPr>
      </w:pPr>
    </w:p>
    <w:p>
      <w:pPr>
        <w:rPr>
          <w:color w:val="auto"/>
        </w:rPr>
      </w:pPr>
      <w:r>
        <w:rPr>
          <w:rFonts w:hint="eastAsia"/>
          <w:color w:val="auto"/>
        </w:rPr>
        <w:br w:type="page"/>
      </w:r>
    </w:p>
    <w:p>
      <w:pPr>
        <w:pStyle w:val="3"/>
        <w:ind w:firstLine="562"/>
        <w:jc w:val="center"/>
        <w:rPr>
          <w:color w:val="auto"/>
          <w:sz w:val="28"/>
          <w:szCs w:val="28"/>
        </w:rPr>
      </w:pPr>
      <w:bookmarkStart w:id="35" w:name="_Toc1962"/>
      <w:r>
        <w:rPr>
          <w:rFonts w:hint="eastAsia"/>
          <w:color w:val="auto"/>
          <w:sz w:val="28"/>
          <w:szCs w:val="28"/>
        </w:rPr>
        <w:t>2.4法定代表人身份证明书</w:t>
      </w:r>
      <w:bookmarkEnd w:id="35"/>
    </w:p>
    <w:p>
      <w:pPr>
        <w:widowControl w:val="0"/>
        <w:adjustRightInd/>
        <w:snapToGrid/>
        <w:jc w:val="both"/>
        <w:rPr>
          <w:bCs/>
          <w:color w:val="auto"/>
          <w:kern w:val="2"/>
          <w:u w:val="single"/>
        </w:rPr>
      </w:pPr>
      <w:r>
        <w:rPr>
          <w:rFonts w:hint="eastAsia"/>
          <w:bCs/>
          <w:color w:val="auto"/>
          <w:kern w:val="2"/>
        </w:rPr>
        <w:t>单位名称：</w:t>
      </w:r>
      <w:r>
        <w:rPr>
          <w:rFonts w:hint="eastAsia"/>
          <w:bCs/>
          <w:color w:val="auto"/>
          <w:kern w:val="2"/>
          <w:u w:val="single"/>
        </w:rPr>
        <w:t xml:space="preserve">                         </w:t>
      </w:r>
    </w:p>
    <w:p>
      <w:pPr>
        <w:widowControl w:val="0"/>
        <w:adjustRightInd/>
        <w:snapToGrid/>
        <w:jc w:val="both"/>
        <w:rPr>
          <w:bCs/>
          <w:color w:val="auto"/>
          <w:kern w:val="2"/>
          <w:u w:val="single"/>
        </w:rPr>
      </w:pPr>
      <w:r>
        <w:rPr>
          <w:rFonts w:hint="eastAsia"/>
          <w:bCs/>
          <w:color w:val="auto"/>
          <w:kern w:val="2"/>
        </w:rPr>
        <w:t>单位性质：</w:t>
      </w:r>
      <w:r>
        <w:rPr>
          <w:rFonts w:hint="eastAsia"/>
          <w:bCs/>
          <w:color w:val="auto"/>
          <w:kern w:val="2"/>
          <w:u w:val="single"/>
        </w:rPr>
        <w:t xml:space="preserve">                         </w:t>
      </w:r>
    </w:p>
    <w:p>
      <w:pPr>
        <w:widowControl w:val="0"/>
        <w:adjustRightInd/>
        <w:snapToGrid/>
        <w:jc w:val="both"/>
        <w:rPr>
          <w:bCs/>
          <w:color w:val="auto"/>
          <w:kern w:val="2"/>
          <w:u w:val="single"/>
        </w:rPr>
      </w:pPr>
      <w:r>
        <w:rPr>
          <w:rFonts w:hint="eastAsia"/>
          <w:bCs/>
          <w:color w:val="auto"/>
          <w:kern w:val="2"/>
        </w:rPr>
        <w:t>地    址：</w:t>
      </w:r>
      <w:r>
        <w:rPr>
          <w:rFonts w:hint="eastAsia"/>
          <w:bCs/>
          <w:color w:val="auto"/>
          <w:kern w:val="2"/>
          <w:u w:val="single"/>
        </w:rPr>
        <w:t xml:space="preserve">                         </w:t>
      </w:r>
    </w:p>
    <w:p>
      <w:pPr>
        <w:widowControl w:val="0"/>
        <w:adjustRightInd/>
        <w:snapToGrid/>
        <w:jc w:val="both"/>
        <w:rPr>
          <w:bCs/>
          <w:color w:val="auto"/>
          <w:kern w:val="2"/>
        </w:rPr>
      </w:pPr>
      <w:r>
        <w:rPr>
          <w:rFonts w:hint="eastAsia"/>
          <w:bCs/>
          <w:color w:val="auto"/>
          <w:kern w:val="2"/>
        </w:rPr>
        <w:t>成立时间：</w:t>
      </w:r>
      <w:r>
        <w:rPr>
          <w:rFonts w:hint="eastAsia"/>
          <w:bCs/>
          <w:color w:val="auto"/>
          <w:kern w:val="2"/>
          <w:u w:val="single"/>
        </w:rPr>
        <w:t xml:space="preserve">                         </w:t>
      </w:r>
    </w:p>
    <w:p>
      <w:pPr>
        <w:widowControl w:val="0"/>
        <w:adjustRightInd/>
        <w:snapToGrid/>
        <w:jc w:val="both"/>
        <w:rPr>
          <w:bCs/>
          <w:color w:val="auto"/>
          <w:kern w:val="2"/>
          <w:u w:val="single"/>
        </w:rPr>
      </w:pPr>
      <w:r>
        <w:rPr>
          <w:rFonts w:hint="eastAsia"/>
          <w:bCs/>
          <w:color w:val="auto"/>
          <w:kern w:val="2"/>
        </w:rPr>
        <w:t>经营期限：</w:t>
      </w:r>
      <w:r>
        <w:rPr>
          <w:rFonts w:hint="eastAsia"/>
          <w:bCs/>
          <w:color w:val="auto"/>
          <w:kern w:val="2"/>
          <w:u w:val="single"/>
        </w:rPr>
        <w:t xml:space="preserve">                          </w:t>
      </w:r>
    </w:p>
    <w:p>
      <w:pPr>
        <w:widowControl w:val="0"/>
        <w:adjustRightInd/>
        <w:snapToGrid/>
        <w:jc w:val="both"/>
        <w:rPr>
          <w:bCs/>
          <w:color w:val="auto"/>
          <w:kern w:val="2"/>
          <w:u w:val="single"/>
        </w:rPr>
      </w:pPr>
      <w:r>
        <w:rPr>
          <w:rFonts w:hint="eastAsia"/>
          <w:bCs/>
          <w:color w:val="auto"/>
          <w:kern w:val="2"/>
        </w:rPr>
        <w:t>姓名：</w:t>
      </w:r>
      <w:r>
        <w:rPr>
          <w:rFonts w:hint="eastAsia"/>
          <w:bCs/>
          <w:color w:val="auto"/>
          <w:kern w:val="2"/>
          <w:u w:val="single"/>
        </w:rPr>
        <w:t xml:space="preserve">           </w:t>
      </w:r>
      <w:r>
        <w:rPr>
          <w:rFonts w:hint="eastAsia"/>
          <w:bCs/>
          <w:color w:val="auto"/>
          <w:kern w:val="2"/>
        </w:rPr>
        <w:t xml:space="preserve">   性别：</w:t>
      </w:r>
      <w:r>
        <w:rPr>
          <w:rFonts w:hint="eastAsia"/>
          <w:bCs/>
          <w:color w:val="auto"/>
          <w:kern w:val="2"/>
          <w:u w:val="single"/>
        </w:rPr>
        <w:t xml:space="preserve">             </w:t>
      </w:r>
      <w:r>
        <w:rPr>
          <w:rFonts w:hint="eastAsia"/>
          <w:bCs/>
          <w:color w:val="auto"/>
          <w:kern w:val="2"/>
        </w:rPr>
        <w:t xml:space="preserve">  年龄：</w:t>
      </w:r>
      <w:r>
        <w:rPr>
          <w:rFonts w:hint="eastAsia"/>
          <w:bCs/>
          <w:color w:val="auto"/>
          <w:kern w:val="2"/>
          <w:u w:val="single"/>
        </w:rPr>
        <w:t xml:space="preserve">             </w:t>
      </w:r>
    </w:p>
    <w:p>
      <w:pPr>
        <w:widowControl w:val="0"/>
        <w:adjustRightInd/>
        <w:snapToGrid/>
        <w:jc w:val="both"/>
        <w:rPr>
          <w:bCs/>
          <w:color w:val="auto"/>
          <w:kern w:val="2"/>
        </w:rPr>
      </w:pPr>
      <w:r>
        <w:rPr>
          <w:rFonts w:hint="eastAsia"/>
          <w:bCs/>
          <w:color w:val="auto"/>
          <w:kern w:val="2"/>
        </w:rPr>
        <w:t>职务：</w:t>
      </w:r>
      <w:r>
        <w:rPr>
          <w:rFonts w:hint="eastAsia"/>
          <w:bCs/>
          <w:color w:val="auto"/>
          <w:kern w:val="2"/>
          <w:u w:val="single"/>
        </w:rPr>
        <w:t xml:space="preserve">            </w:t>
      </w:r>
      <w:r>
        <w:rPr>
          <w:rFonts w:hint="eastAsia"/>
          <w:bCs/>
          <w:color w:val="auto"/>
          <w:kern w:val="2"/>
        </w:rPr>
        <w:t>系</w:t>
      </w:r>
      <w:r>
        <w:rPr>
          <w:rFonts w:hint="eastAsia"/>
          <w:bCs/>
          <w:color w:val="auto"/>
          <w:kern w:val="2"/>
          <w:u w:val="single"/>
        </w:rPr>
        <w:t xml:space="preserve">        （投标人名称）         </w:t>
      </w:r>
      <w:r>
        <w:rPr>
          <w:rFonts w:hint="eastAsia"/>
          <w:bCs/>
          <w:color w:val="auto"/>
          <w:kern w:val="2"/>
        </w:rPr>
        <w:t>的法定代表人。</w:t>
      </w:r>
    </w:p>
    <w:p>
      <w:pPr>
        <w:widowControl w:val="0"/>
        <w:adjustRightInd/>
        <w:snapToGrid/>
        <w:jc w:val="both"/>
        <w:rPr>
          <w:bCs/>
          <w:color w:val="auto"/>
          <w:kern w:val="2"/>
        </w:rPr>
      </w:pPr>
      <w:r>
        <w:rPr>
          <w:rFonts w:hint="eastAsia"/>
          <w:bCs/>
          <w:color w:val="auto"/>
          <w:kern w:val="2"/>
        </w:rPr>
        <w:t>特此证明。</w:t>
      </w:r>
    </w:p>
    <w:p>
      <w:pPr>
        <w:widowControl w:val="0"/>
        <w:adjustRightInd/>
        <w:snapToGrid/>
        <w:rPr>
          <w:bCs/>
          <w:color w:val="auto"/>
          <w:kern w:val="2"/>
        </w:rPr>
      </w:pPr>
      <w:r>
        <w:rPr>
          <w:rFonts w:hint="eastAsia"/>
          <w:bCs/>
          <w:color w:val="auto"/>
          <w:kern w:val="2"/>
        </w:rPr>
        <w:t xml:space="preserve">                       </w:t>
      </w:r>
    </w:p>
    <w:p>
      <w:pPr>
        <w:widowControl w:val="0"/>
        <w:adjustRightInd/>
        <w:snapToGrid/>
        <w:rPr>
          <w:bCs/>
          <w:color w:val="auto"/>
          <w:kern w:val="2"/>
        </w:rPr>
      </w:pPr>
    </w:p>
    <w:p>
      <w:pPr>
        <w:widowControl w:val="0"/>
        <w:adjustRightInd/>
        <w:snapToGrid/>
        <w:rPr>
          <w:bCs/>
          <w:color w:val="auto"/>
          <w:kern w:val="2"/>
        </w:rPr>
      </w:pPr>
    </w:p>
    <w:p>
      <w:pPr>
        <w:widowControl w:val="0"/>
        <w:wordWrap w:val="0"/>
        <w:adjustRightInd/>
        <w:snapToGrid/>
        <w:jc w:val="right"/>
        <w:rPr>
          <w:bCs/>
          <w:color w:val="auto"/>
          <w:kern w:val="2"/>
        </w:rPr>
      </w:pPr>
      <w:r>
        <w:rPr>
          <w:rFonts w:hint="eastAsia"/>
          <w:bCs/>
          <w:color w:val="auto"/>
          <w:kern w:val="2"/>
        </w:rPr>
        <w:t xml:space="preserve">投标人名称（盖公章）： </w:t>
      </w:r>
      <w:r>
        <w:rPr>
          <w:rFonts w:hint="eastAsia"/>
          <w:bCs/>
          <w:color w:val="auto"/>
          <w:kern w:val="2"/>
          <w:u w:val="single"/>
        </w:rPr>
        <w:t xml:space="preserve">           </w:t>
      </w:r>
    </w:p>
    <w:p>
      <w:pPr>
        <w:widowControl w:val="0"/>
        <w:adjustRightInd/>
        <w:snapToGrid/>
        <w:jc w:val="right"/>
        <w:rPr>
          <w:bCs/>
          <w:color w:val="auto"/>
          <w:kern w:val="2"/>
        </w:rPr>
      </w:pPr>
      <w:r>
        <w:rPr>
          <w:rFonts w:hint="eastAsia"/>
          <w:bCs/>
          <w:color w:val="auto"/>
          <w:kern w:val="2"/>
        </w:rPr>
        <w:t xml:space="preserve"> 日期：    年    月     日</w:t>
      </w:r>
    </w:p>
    <w:p>
      <w:pPr>
        <w:widowControl w:val="0"/>
        <w:adjustRightInd/>
        <w:snapToGrid/>
        <w:ind w:firstLine="560"/>
        <w:jc w:val="center"/>
        <w:rPr>
          <w:bCs/>
          <w:color w:val="auto"/>
          <w:kern w:val="2"/>
          <w:sz w:val="28"/>
          <w:szCs w:val="32"/>
        </w:rPr>
      </w:pPr>
    </w:p>
    <w:p>
      <w:pPr>
        <w:widowControl w:val="0"/>
        <w:adjustRightInd/>
        <w:snapToGrid/>
        <w:ind w:firstLine="560"/>
        <w:jc w:val="center"/>
        <w:rPr>
          <w:bCs/>
          <w:color w:val="auto"/>
          <w:kern w:val="2"/>
          <w:sz w:val="28"/>
          <w:szCs w:val="32"/>
        </w:rPr>
      </w:pPr>
    </w:p>
    <w:p>
      <w:pPr>
        <w:widowControl w:val="0"/>
        <w:adjustRightInd/>
        <w:snapToGrid/>
        <w:ind w:firstLine="422"/>
        <w:jc w:val="both"/>
        <w:rPr>
          <w:b/>
          <w:bCs/>
          <w:color w:val="auto"/>
          <w:kern w:val="2"/>
        </w:rPr>
      </w:pPr>
      <w:r>
        <w:rPr>
          <w:rFonts w:hint="eastAsia"/>
          <w:b/>
          <w:bCs/>
          <w:color w:val="auto"/>
          <w:kern w:val="2"/>
        </w:rPr>
        <w:t>备注:附法定代表人身份证复印件（正反面）</w:t>
      </w:r>
    </w:p>
    <w:p>
      <w:pPr>
        <w:rPr>
          <w:color w:val="auto"/>
        </w:rPr>
      </w:pPr>
      <w:r>
        <w:rPr>
          <w:rFonts w:hint="eastAsia"/>
          <w:color w:val="auto"/>
        </w:rPr>
        <w:br w:type="page"/>
      </w:r>
    </w:p>
    <w:p>
      <w:pPr>
        <w:pStyle w:val="3"/>
        <w:ind w:firstLine="562"/>
        <w:jc w:val="center"/>
        <w:rPr>
          <w:color w:val="auto"/>
          <w:sz w:val="28"/>
          <w:szCs w:val="28"/>
        </w:rPr>
      </w:pPr>
      <w:bookmarkStart w:id="36" w:name="_Toc10638"/>
      <w:r>
        <w:rPr>
          <w:rFonts w:hint="eastAsia"/>
          <w:color w:val="auto"/>
          <w:sz w:val="28"/>
          <w:szCs w:val="28"/>
        </w:rPr>
        <w:t>2.5法定代表人授权书</w:t>
      </w:r>
      <w:bookmarkEnd w:id="36"/>
    </w:p>
    <w:p>
      <w:pPr>
        <w:widowControl w:val="0"/>
        <w:adjustRightInd/>
        <w:snapToGrid/>
        <w:jc w:val="both"/>
        <w:rPr>
          <w:bCs/>
          <w:color w:val="auto"/>
          <w:kern w:val="2"/>
        </w:rPr>
      </w:pPr>
      <w:r>
        <w:rPr>
          <w:rFonts w:hint="eastAsia"/>
          <w:bCs/>
          <w:color w:val="auto"/>
          <w:kern w:val="2"/>
        </w:rPr>
        <w:t>本授权委托书声明，我</w:t>
      </w:r>
      <w:r>
        <w:rPr>
          <w:rFonts w:hint="eastAsia"/>
          <w:bCs/>
          <w:color w:val="auto"/>
          <w:kern w:val="2"/>
          <w:u w:val="single"/>
        </w:rPr>
        <w:t xml:space="preserve">         （姓名）         </w:t>
      </w:r>
      <w:r>
        <w:rPr>
          <w:rFonts w:hint="eastAsia"/>
          <w:bCs/>
          <w:color w:val="auto"/>
          <w:kern w:val="2"/>
        </w:rPr>
        <w:t>系</w:t>
      </w:r>
      <w:r>
        <w:rPr>
          <w:rFonts w:hint="eastAsia"/>
          <w:bCs/>
          <w:color w:val="auto"/>
          <w:kern w:val="2"/>
          <w:u w:val="single"/>
        </w:rPr>
        <w:t xml:space="preserve">        （投标人名称）</w:t>
      </w:r>
      <w:r>
        <w:rPr>
          <w:rFonts w:hint="eastAsia"/>
          <w:bCs/>
          <w:color w:val="auto"/>
          <w:kern w:val="2"/>
        </w:rPr>
        <w:t>的法定代表人，现授权委托</w:t>
      </w:r>
      <w:r>
        <w:rPr>
          <w:rFonts w:hint="eastAsia"/>
          <w:bCs/>
          <w:color w:val="auto"/>
          <w:kern w:val="2"/>
          <w:u w:val="single"/>
        </w:rPr>
        <w:t xml:space="preserve">      （姓名）   </w:t>
      </w:r>
      <w:r>
        <w:rPr>
          <w:rFonts w:hint="eastAsia"/>
          <w:bCs/>
          <w:color w:val="auto"/>
          <w:kern w:val="2"/>
        </w:rPr>
        <w:t>为我公司签署</w:t>
      </w:r>
      <w:r>
        <w:rPr>
          <w:rFonts w:hint="eastAsia"/>
          <w:bCs/>
          <w:color w:val="auto"/>
          <w:kern w:val="2"/>
          <w:u w:val="single"/>
        </w:rPr>
        <w:t xml:space="preserve">           （项目名称，项目编号）     </w:t>
      </w:r>
      <w:r>
        <w:rPr>
          <w:rFonts w:hint="eastAsia"/>
          <w:bCs/>
          <w:color w:val="auto"/>
          <w:kern w:val="2"/>
        </w:rPr>
        <w:t>投标文件的法定代表人授权委托代理人，我承认代理人全权代表我所签署的本项目的文件的内容。</w:t>
      </w:r>
    </w:p>
    <w:p>
      <w:pPr>
        <w:widowControl w:val="0"/>
        <w:adjustRightInd/>
        <w:snapToGrid/>
        <w:jc w:val="both"/>
        <w:rPr>
          <w:bCs/>
          <w:color w:val="auto"/>
          <w:kern w:val="2"/>
        </w:rPr>
      </w:pPr>
      <w:r>
        <w:rPr>
          <w:rFonts w:hint="eastAsia"/>
          <w:bCs/>
          <w:color w:val="auto"/>
          <w:kern w:val="2"/>
        </w:rPr>
        <w:t>代理人无转委托权，特此委托。</w:t>
      </w:r>
    </w:p>
    <w:p>
      <w:pPr>
        <w:widowControl w:val="0"/>
        <w:adjustRightInd/>
        <w:snapToGrid/>
        <w:jc w:val="both"/>
        <w:rPr>
          <w:bCs/>
          <w:color w:val="auto"/>
          <w:kern w:val="2"/>
          <w:u w:val="single"/>
        </w:rPr>
      </w:pPr>
      <w:r>
        <w:rPr>
          <w:rFonts w:hint="eastAsia"/>
          <w:bCs/>
          <w:color w:val="auto"/>
          <w:kern w:val="2"/>
        </w:rPr>
        <w:t>代理人：</w:t>
      </w:r>
      <w:r>
        <w:rPr>
          <w:rFonts w:hint="eastAsia"/>
          <w:bCs/>
          <w:color w:val="auto"/>
          <w:kern w:val="2"/>
          <w:u w:val="single"/>
        </w:rPr>
        <w:t xml:space="preserve">  (签字或盖章)          </w:t>
      </w:r>
      <w:r>
        <w:rPr>
          <w:rFonts w:hint="eastAsia"/>
          <w:bCs/>
          <w:color w:val="auto"/>
          <w:kern w:val="2"/>
        </w:rPr>
        <w:t>性别：</w:t>
      </w:r>
      <w:r>
        <w:rPr>
          <w:rFonts w:hint="eastAsia"/>
          <w:bCs/>
          <w:color w:val="auto"/>
          <w:kern w:val="2"/>
          <w:u w:val="single"/>
        </w:rPr>
        <w:t xml:space="preserve">            </w:t>
      </w:r>
      <w:r>
        <w:rPr>
          <w:rFonts w:hint="eastAsia"/>
          <w:bCs/>
          <w:color w:val="auto"/>
          <w:kern w:val="2"/>
        </w:rPr>
        <w:t xml:space="preserve">  年龄：</w:t>
      </w:r>
      <w:r>
        <w:rPr>
          <w:rFonts w:hint="eastAsia"/>
          <w:bCs/>
          <w:color w:val="auto"/>
          <w:kern w:val="2"/>
          <w:u w:val="single"/>
        </w:rPr>
        <w:t xml:space="preserve">             </w:t>
      </w:r>
    </w:p>
    <w:p>
      <w:pPr>
        <w:widowControl w:val="0"/>
        <w:adjustRightInd/>
        <w:snapToGrid/>
        <w:jc w:val="both"/>
        <w:rPr>
          <w:bCs/>
          <w:color w:val="auto"/>
          <w:kern w:val="2"/>
          <w:u w:val="single"/>
        </w:rPr>
      </w:pPr>
      <w:r>
        <w:rPr>
          <w:rFonts w:hint="eastAsia"/>
          <w:bCs/>
          <w:color w:val="auto"/>
          <w:kern w:val="2"/>
        </w:rPr>
        <w:t>身份证号码：</w:t>
      </w:r>
      <w:r>
        <w:rPr>
          <w:rFonts w:hint="eastAsia"/>
          <w:bCs/>
          <w:color w:val="auto"/>
          <w:kern w:val="2"/>
          <w:u w:val="single"/>
        </w:rPr>
        <w:t xml:space="preserve">                 </w:t>
      </w:r>
      <w:r>
        <w:rPr>
          <w:rFonts w:hint="eastAsia"/>
          <w:bCs/>
          <w:color w:val="auto"/>
          <w:kern w:val="2"/>
        </w:rPr>
        <w:t xml:space="preserve"> 职务：</w:t>
      </w:r>
      <w:r>
        <w:rPr>
          <w:rFonts w:hint="eastAsia"/>
          <w:bCs/>
          <w:color w:val="auto"/>
          <w:kern w:val="2"/>
          <w:u w:val="single"/>
        </w:rPr>
        <w:t xml:space="preserve">                 </w:t>
      </w:r>
    </w:p>
    <w:p>
      <w:pPr>
        <w:widowControl w:val="0"/>
        <w:adjustRightInd/>
        <w:snapToGrid/>
        <w:jc w:val="both"/>
        <w:rPr>
          <w:bCs/>
          <w:color w:val="auto"/>
          <w:kern w:val="2"/>
          <w:u w:val="single"/>
        </w:rPr>
      </w:pPr>
      <w:r>
        <w:rPr>
          <w:rFonts w:hint="eastAsia"/>
          <w:color w:val="auto"/>
        </w:rPr>
        <w:t>投标人</w:t>
      </w:r>
      <w:r>
        <w:rPr>
          <w:rFonts w:hint="eastAsia"/>
          <w:bCs/>
          <w:color w:val="auto"/>
          <w:kern w:val="2"/>
        </w:rPr>
        <w:t>名称：</w:t>
      </w:r>
      <w:r>
        <w:rPr>
          <w:rFonts w:hint="eastAsia"/>
          <w:bCs/>
          <w:color w:val="auto"/>
          <w:kern w:val="2"/>
          <w:u w:val="single"/>
        </w:rPr>
        <w:t xml:space="preserve">        （盖公章）          </w:t>
      </w:r>
    </w:p>
    <w:p>
      <w:pPr>
        <w:widowControl w:val="0"/>
        <w:adjustRightInd/>
        <w:snapToGrid/>
        <w:jc w:val="both"/>
        <w:rPr>
          <w:bCs/>
          <w:color w:val="auto"/>
          <w:kern w:val="2"/>
          <w:u w:val="single"/>
        </w:rPr>
      </w:pPr>
      <w:r>
        <w:rPr>
          <w:rFonts w:hint="eastAsia"/>
          <w:bCs/>
          <w:color w:val="auto"/>
          <w:kern w:val="2"/>
        </w:rPr>
        <w:t>法定代表人：</w:t>
      </w:r>
      <w:r>
        <w:rPr>
          <w:rFonts w:hint="eastAsia"/>
          <w:bCs/>
          <w:color w:val="auto"/>
          <w:kern w:val="2"/>
          <w:u w:val="single"/>
        </w:rPr>
        <w:t xml:space="preserve">    （签字或盖章）          </w:t>
      </w:r>
    </w:p>
    <w:p>
      <w:pPr>
        <w:widowControl w:val="0"/>
        <w:adjustRightInd/>
        <w:snapToGrid/>
        <w:jc w:val="both"/>
        <w:rPr>
          <w:bCs/>
          <w:color w:val="auto"/>
          <w:kern w:val="2"/>
          <w:u w:val="single"/>
        </w:rPr>
      </w:pPr>
      <w:r>
        <w:rPr>
          <w:rFonts w:hint="eastAsia"/>
          <w:bCs/>
          <w:color w:val="auto"/>
          <w:kern w:val="2"/>
        </w:rPr>
        <w:t>日期：</w:t>
      </w:r>
      <w:r>
        <w:rPr>
          <w:rFonts w:hint="eastAsia"/>
          <w:bCs/>
          <w:color w:val="auto"/>
          <w:kern w:val="2"/>
          <w:u w:val="single"/>
        </w:rPr>
        <w:t xml:space="preserve">   </w:t>
      </w:r>
      <w:r>
        <w:rPr>
          <w:rFonts w:hint="eastAsia"/>
          <w:bCs/>
          <w:color w:val="auto"/>
          <w:kern w:val="2"/>
        </w:rPr>
        <w:t>年</w:t>
      </w:r>
      <w:r>
        <w:rPr>
          <w:rFonts w:hint="eastAsia"/>
          <w:bCs/>
          <w:color w:val="auto"/>
          <w:kern w:val="2"/>
          <w:u w:val="single"/>
        </w:rPr>
        <w:t xml:space="preserve">   </w:t>
      </w:r>
      <w:r>
        <w:rPr>
          <w:rFonts w:hint="eastAsia"/>
          <w:bCs/>
          <w:color w:val="auto"/>
          <w:kern w:val="2"/>
        </w:rPr>
        <w:t>月</w:t>
      </w:r>
      <w:r>
        <w:rPr>
          <w:rFonts w:hint="eastAsia"/>
          <w:bCs/>
          <w:color w:val="auto"/>
          <w:kern w:val="2"/>
          <w:u w:val="single"/>
        </w:rPr>
        <w:t xml:space="preserve">   </w:t>
      </w:r>
      <w:r>
        <w:rPr>
          <w:rFonts w:hint="eastAsia"/>
          <w:bCs/>
          <w:color w:val="auto"/>
          <w:kern w:val="2"/>
        </w:rPr>
        <w:t>日</w:t>
      </w:r>
    </w:p>
    <w:p>
      <w:pPr>
        <w:ind w:firstLine="422"/>
        <w:rPr>
          <w:b/>
          <w:bCs/>
          <w:color w:val="auto"/>
        </w:rPr>
      </w:pPr>
      <w:r>
        <w:rPr>
          <w:rFonts w:hint="eastAsia"/>
          <w:b/>
          <w:bCs/>
          <w:color w:val="auto"/>
        </w:rPr>
        <w:t>备注:附代理人身份证复印件（正反面）</w:t>
      </w:r>
    </w:p>
    <w:p>
      <w:pPr>
        <w:adjustRightInd/>
        <w:snapToGrid/>
        <w:ind w:firstLine="0" w:firstLineChars="0"/>
        <w:jc w:val="center"/>
        <w:outlineLvl w:val="1"/>
        <w:rPr>
          <w:b/>
          <w:color w:val="auto"/>
          <w:sz w:val="28"/>
          <w:szCs w:val="28"/>
        </w:rPr>
      </w:pPr>
      <w:bookmarkStart w:id="37" w:name="_Toc12671"/>
      <w:bookmarkEnd w:id="37"/>
      <w:bookmarkStart w:id="38" w:name="_Toc7960"/>
      <w:bookmarkEnd w:id="38"/>
      <w:bookmarkStart w:id="39" w:name="_Toc6115"/>
      <w:bookmarkEnd w:id="39"/>
      <w:bookmarkStart w:id="40" w:name="_Toc27315"/>
      <w:bookmarkEnd w:id="40"/>
      <w:r>
        <w:rPr>
          <w:rFonts w:hint="eastAsia"/>
          <w:color w:val="auto"/>
          <w:kern w:val="2"/>
          <w:sz w:val="28"/>
          <w:szCs w:val="28"/>
        </w:rPr>
        <w:br w:type="page"/>
      </w:r>
      <w:bookmarkStart w:id="41" w:name="_Toc30938"/>
      <w:r>
        <w:rPr>
          <w:rFonts w:hint="eastAsia"/>
          <w:b/>
          <w:color w:val="auto"/>
          <w:sz w:val="28"/>
          <w:szCs w:val="28"/>
        </w:rPr>
        <w:t>2.6财务状况</w:t>
      </w:r>
      <w:bookmarkEnd w:id="41"/>
    </w:p>
    <w:p>
      <w:pPr>
        <w:adjustRightInd/>
        <w:snapToGrid/>
        <w:rPr>
          <w:color w:val="auto"/>
        </w:rPr>
      </w:pPr>
      <w:r>
        <w:rPr>
          <w:rFonts w:hint="eastAsia"/>
          <w:color w:val="auto"/>
        </w:rPr>
        <w:t>（1）提供2021年度-2023年度任意一年经审计的财务会计报表，包括财务审计报告、资产负债表、利润表、现金流量表；</w:t>
      </w:r>
    </w:p>
    <w:p>
      <w:pPr>
        <w:adjustRightInd/>
        <w:snapToGrid/>
        <w:rPr>
          <w:color w:val="auto"/>
        </w:rPr>
      </w:pPr>
      <w:r>
        <w:rPr>
          <w:rFonts w:hint="eastAsia"/>
          <w:color w:val="auto"/>
        </w:rPr>
        <w:t>（2）对于从取得营业执照时间起到递交投标文件截止时间为止不足1年的投标人，提供自投标文件提交截止时间前三个月内开户银行出具的资信证明。</w:t>
      </w:r>
    </w:p>
    <w:p>
      <w:pPr>
        <w:adjustRightInd/>
        <w:snapToGrid/>
        <w:rPr>
          <w:color w:val="auto"/>
        </w:rPr>
      </w:pPr>
      <w:r>
        <w:rPr>
          <w:rFonts w:hint="eastAsia"/>
          <w:color w:val="auto"/>
        </w:rPr>
        <w:t>（3）财政部门认可的政府采购专业担保机构出具的关于财务状况的投标担保函（需同时提供专业担保机构经财政部门认可的证明文件）。</w:t>
      </w:r>
    </w:p>
    <w:p>
      <w:pPr>
        <w:adjustRightInd/>
        <w:snapToGrid/>
        <w:ind w:firstLine="422"/>
        <w:rPr>
          <w:color w:val="auto"/>
        </w:rPr>
      </w:pPr>
      <w:r>
        <w:rPr>
          <w:rFonts w:hint="eastAsia"/>
          <w:b/>
          <w:bCs/>
          <w:color w:val="auto"/>
        </w:rPr>
        <w:t>备注：投标人可根据自身情况提供上述任意一种证明材料。</w:t>
      </w:r>
    </w:p>
    <w:p>
      <w:pPr>
        <w:adjustRightInd/>
        <w:snapToGrid/>
        <w:rPr>
          <w:color w:val="auto"/>
        </w:rPr>
      </w:pPr>
      <w:r>
        <w:rPr>
          <w:rFonts w:hint="eastAsia"/>
          <w:color w:val="auto"/>
        </w:rPr>
        <w:br w:type="page"/>
      </w:r>
    </w:p>
    <w:p>
      <w:pPr>
        <w:pStyle w:val="3"/>
        <w:ind w:firstLine="562"/>
        <w:jc w:val="center"/>
        <w:rPr>
          <w:color w:val="auto"/>
          <w:sz w:val="28"/>
          <w:szCs w:val="28"/>
        </w:rPr>
      </w:pPr>
      <w:bookmarkStart w:id="42" w:name="_Toc30146"/>
      <w:r>
        <w:rPr>
          <w:rFonts w:hint="eastAsia"/>
          <w:color w:val="auto"/>
          <w:sz w:val="28"/>
          <w:szCs w:val="28"/>
        </w:rPr>
        <w:t>2.7纳税及社保证明材料</w:t>
      </w:r>
      <w:bookmarkEnd w:id="42"/>
    </w:p>
    <w:p>
      <w:pPr>
        <w:adjustRightInd/>
        <w:snapToGrid/>
        <w:rPr>
          <w:color w:val="auto"/>
        </w:rPr>
      </w:pPr>
      <w:r>
        <w:rPr>
          <w:rFonts w:hint="eastAsia"/>
          <w:color w:val="auto"/>
        </w:rPr>
        <w:t>缴税所属时间在2023年1月至今期间任意3个月的税务局税收通用缴款书复印件或银行电子缴税(费)凭证复印件或税务局出具纳税情况的相关证明复印件。（依法免税的，应提供依法免税的相关证明文件；2024年1月份及以后成立的投标人需出具承诺函）。</w:t>
      </w:r>
    </w:p>
    <w:p>
      <w:pPr>
        <w:adjustRightInd/>
        <w:snapToGrid/>
        <w:rPr>
          <w:color w:val="auto"/>
          <w:sz w:val="28"/>
          <w:szCs w:val="28"/>
        </w:rPr>
      </w:pPr>
      <w:r>
        <w:rPr>
          <w:rFonts w:hint="eastAsia"/>
          <w:color w:val="auto"/>
        </w:rPr>
        <w:t>缴费所属时间在2023年1月至今期间任意3个月的社会保险费缴款书复印件或银行电子缴税(费) 凭证复印件或社保管理部门出具的有效的缴款证明复印件。（依法免缴的，应提供依法免缴的相关证明文件；2024年1月份及以后成立的投标人需出具承诺函）。</w:t>
      </w:r>
      <w:r>
        <w:rPr>
          <w:rFonts w:hint="eastAsia"/>
          <w:color w:val="auto"/>
          <w:sz w:val="28"/>
          <w:szCs w:val="28"/>
        </w:rPr>
        <w:br w:type="page"/>
      </w:r>
    </w:p>
    <w:p>
      <w:pPr>
        <w:pStyle w:val="3"/>
        <w:ind w:firstLine="562"/>
        <w:jc w:val="center"/>
        <w:rPr>
          <w:color w:val="auto"/>
          <w:sz w:val="28"/>
          <w:szCs w:val="28"/>
        </w:rPr>
      </w:pPr>
      <w:bookmarkStart w:id="43" w:name="_Toc24981"/>
      <w:r>
        <w:rPr>
          <w:rFonts w:hint="eastAsia"/>
          <w:color w:val="auto"/>
          <w:sz w:val="28"/>
          <w:szCs w:val="28"/>
        </w:rPr>
        <w:t>2.8投标人信用承诺书</w:t>
      </w:r>
      <w:bookmarkEnd w:id="43"/>
    </w:p>
    <w:p>
      <w:pPr>
        <w:pStyle w:val="21"/>
        <w:adjustRightInd/>
        <w:snapToGrid/>
        <w:spacing w:before="0" w:beforeAutospacing="0" w:after="0" w:afterAutospacing="0"/>
        <w:rPr>
          <w:color w:val="auto"/>
          <w:sz w:val="21"/>
          <w:u w:val="single"/>
          <w:shd w:val="clear" w:color="auto" w:fill="FFFFFF"/>
        </w:rPr>
      </w:pPr>
      <w:r>
        <w:rPr>
          <w:rFonts w:hint="eastAsia"/>
          <w:color w:val="auto"/>
          <w:sz w:val="21"/>
          <w:shd w:val="clear" w:color="auto" w:fill="FFFFFF"/>
        </w:rPr>
        <w:t>致：</w:t>
      </w:r>
      <w:r>
        <w:rPr>
          <w:rFonts w:hint="eastAsia"/>
          <w:color w:val="auto"/>
          <w:sz w:val="21"/>
          <w:u w:val="single"/>
          <w:shd w:val="clear" w:color="auto" w:fill="FFFFFF"/>
        </w:rPr>
        <w:t>（招标人名称）</w:t>
      </w:r>
    </w:p>
    <w:p>
      <w:pPr>
        <w:pStyle w:val="21"/>
        <w:adjustRightInd/>
        <w:snapToGrid/>
        <w:spacing w:before="0" w:beforeAutospacing="0" w:after="0" w:afterAutospacing="0"/>
        <w:rPr>
          <w:color w:val="auto"/>
          <w:sz w:val="21"/>
          <w:shd w:val="clear" w:color="auto" w:fill="FFFFFF"/>
        </w:rPr>
      </w:pPr>
      <w:r>
        <w:rPr>
          <w:rFonts w:hint="eastAsia"/>
          <w:color w:val="auto"/>
          <w:sz w:val="21"/>
          <w:shd w:val="clear" w:color="auto" w:fill="FFFFFF"/>
        </w:rPr>
        <w:t>我单位郑重承诺：</w:t>
      </w:r>
    </w:p>
    <w:p>
      <w:pPr>
        <w:adjustRightInd/>
        <w:snapToGrid/>
        <w:rPr>
          <w:color w:val="auto"/>
        </w:rPr>
      </w:pPr>
      <w:r>
        <w:rPr>
          <w:rFonts w:hint="eastAsia"/>
          <w:color w:val="auto"/>
        </w:rPr>
        <w:t>1、我单位在“国家企业信用信息公示系统”</w:t>
      </w:r>
      <w:r>
        <w:rPr>
          <w:rFonts w:hint="eastAsia"/>
          <w:color w:val="auto"/>
          <w:u w:val="single"/>
        </w:rPr>
        <w:t xml:space="preserve">    </w:t>
      </w:r>
      <w:r>
        <w:rPr>
          <w:rFonts w:hint="eastAsia"/>
          <w:color w:val="auto"/>
        </w:rPr>
        <w:t>(此处填写“有”或“没有”)被列入“严重违法失信名单（黑名单）”。</w:t>
      </w:r>
    </w:p>
    <w:p>
      <w:pPr>
        <w:adjustRightInd/>
        <w:snapToGrid/>
        <w:rPr>
          <w:color w:val="auto"/>
        </w:rPr>
      </w:pPr>
      <w:r>
        <w:rPr>
          <w:rFonts w:hint="eastAsia"/>
          <w:color w:val="auto"/>
        </w:rPr>
        <w:t>2、我单位在用“信用中国”</w:t>
      </w:r>
      <w:r>
        <w:rPr>
          <w:rFonts w:hint="eastAsia"/>
          <w:color w:val="auto"/>
          <w:u w:val="single"/>
        </w:rPr>
        <w:t xml:space="preserve">    </w:t>
      </w:r>
      <w:r>
        <w:rPr>
          <w:rFonts w:hint="eastAsia"/>
          <w:color w:val="auto"/>
        </w:rPr>
        <w:t>(此处填写“有”或“没有”)被列入“失信被执行人”（失信被执行人由《信用中国》跳转至《中国执行信息公开网》）</w:t>
      </w:r>
    </w:p>
    <w:p>
      <w:pPr>
        <w:adjustRightInd/>
        <w:snapToGrid/>
        <w:rPr>
          <w:color w:val="auto"/>
        </w:rPr>
      </w:pPr>
      <w:r>
        <w:rPr>
          <w:rFonts w:hint="eastAsia"/>
          <w:color w:val="auto"/>
        </w:rPr>
        <w:t>3、我单位在用“中国政府采购网”</w:t>
      </w:r>
      <w:r>
        <w:rPr>
          <w:rFonts w:hint="eastAsia"/>
          <w:color w:val="auto"/>
          <w:u w:val="single"/>
        </w:rPr>
        <w:t xml:space="preserve">    </w:t>
      </w:r>
      <w:r>
        <w:rPr>
          <w:rFonts w:hint="eastAsia"/>
          <w:color w:val="auto"/>
        </w:rPr>
        <w:t>(此处填写“有”或“没有”)被列入“政府采购严重违法失信行为记录名单中”</w:t>
      </w:r>
    </w:p>
    <w:p>
      <w:pPr>
        <w:adjustRightInd/>
        <w:snapToGrid/>
        <w:rPr>
          <w:color w:val="auto"/>
        </w:rPr>
      </w:pPr>
      <w:r>
        <w:rPr>
          <w:rFonts w:hint="eastAsia"/>
          <w:color w:val="auto"/>
        </w:rPr>
        <w:t>（上述网站查询信息由投标人自行承诺，招标代理机构在投标文件递交截止时间前完成查询收集整理工作，并将结果提交评标委员会评审。）</w:t>
      </w:r>
    </w:p>
    <w:p>
      <w:pPr>
        <w:rPr>
          <w:color w:val="auto"/>
        </w:rPr>
      </w:pPr>
      <w:r>
        <w:rPr>
          <w:rFonts w:hint="eastAsia"/>
          <w:color w:val="auto"/>
        </w:rPr>
        <w:t>4、我公司未与其他投标人串通投标，与招标人无利害关系且不是可能影响招标公正性的法人、其他组织；也未与其他投标人存在负责人为同一人或者存在控股、管理关系。</w:t>
      </w:r>
    </w:p>
    <w:p>
      <w:pPr>
        <w:rPr>
          <w:color w:val="auto"/>
        </w:rPr>
      </w:pPr>
      <w:r>
        <w:rPr>
          <w:rFonts w:hint="eastAsia"/>
          <w:color w:val="auto"/>
        </w:rPr>
        <w:t>5、我公司未与其他公司组成联合体参与本项目投标。</w:t>
      </w:r>
    </w:p>
    <w:p>
      <w:pPr>
        <w:rPr>
          <w:color w:val="auto"/>
        </w:rPr>
      </w:pPr>
      <w:r>
        <w:rPr>
          <w:rFonts w:hint="eastAsia"/>
          <w:color w:val="auto"/>
        </w:rPr>
        <w:t>6、我公司保证若中标后，不转包、分包。</w:t>
      </w:r>
    </w:p>
    <w:p>
      <w:pPr>
        <w:pStyle w:val="21"/>
        <w:adjustRightInd/>
        <w:snapToGrid/>
        <w:spacing w:before="0" w:beforeAutospacing="0" w:after="0" w:afterAutospacing="0"/>
        <w:rPr>
          <w:color w:val="auto"/>
          <w:sz w:val="21"/>
          <w:shd w:val="clear" w:color="auto" w:fill="FFFFFF"/>
        </w:rPr>
      </w:pPr>
      <w:r>
        <w:rPr>
          <w:rFonts w:hint="eastAsia"/>
          <w:color w:val="auto"/>
          <w:sz w:val="21"/>
          <w:shd w:val="clear" w:color="auto" w:fill="FFFFFF"/>
        </w:rPr>
        <w:t>7、下述签署人在此申明，本次投标文件中所提交的资料和数据都是完整的、真实的和准确的，提供的证明文件及业绩证明材料是真实的，可供查询证实，所提供的承诺均真实可靠，若我公司存在隐瞒事实、弄虚作假等不诚信行为，一经发现，则按以下处理：</w:t>
      </w:r>
    </w:p>
    <w:p>
      <w:pPr>
        <w:pStyle w:val="21"/>
        <w:adjustRightInd/>
        <w:snapToGrid/>
        <w:spacing w:before="0" w:beforeAutospacing="0" w:after="0" w:afterAutospacing="0"/>
        <w:rPr>
          <w:color w:val="auto"/>
          <w:sz w:val="21"/>
          <w:shd w:val="clear" w:color="auto" w:fill="FFFFFF"/>
        </w:rPr>
      </w:pPr>
      <w:r>
        <w:rPr>
          <w:rFonts w:hint="eastAsia"/>
          <w:color w:val="auto"/>
          <w:sz w:val="21"/>
          <w:shd w:val="clear" w:color="auto" w:fill="FFFFFF"/>
        </w:rPr>
        <w:t>（1）在评审阶段发现的，否决其投标文件；</w:t>
      </w:r>
    </w:p>
    <w:p>
      <w:pPr>
        <w:pStyle w:val="21"/>
        <w:adjustRightInd/>
        <w:snapToGrid/>
        <w:spacing w:before="0" w:beforeAutospacing="0" w:after="0" w:afterAutospacing="0"/>
        <w:rPr>
          <w:color w:val="auto"/>
          <w:sz w:val="21"/>
          <w:shd w:val="clear" w:color="auto" w:fill="FFFFFF"/>
        </w:rPr>
      </w:pPr>
      <w:r>
        <w:rPr>
          <w:rFonts w:hint="eastAsia"/>
          <w:color w:val="auto"/>
          <w:sz w:val="21"/>
          <w:shd w:val="clear" w:color="auto" w:fill="FFFFFF"/>
        </w:rPr>
        <w:t>（2）在中标后、合同签订前发现的，取消中标资格；</w:t>
      </w:r>
    </w:p>
    <w:p>
      <w:pPr>
        <w:pStyle w:val="21"/>
        <w:adjustRightInd/>
        <w:snapToGrid/>
        <w:spacing w:before="0" w:beforeAutospacing="0" w:after="0" w:afterAutospacing="0"/>
        <w:rPr>
          <w:color w:val="auto"/>
          <w:sz w:val="21"/>
          <w:shd w:val="clear" w:color="auto" w:fill="FFFFFF"/>
        </w:rPr>
      </w:pPr>
      <w:r>
        <w:rPr>
          <w:rFonts w:hint="eastAsia"/>
          <w:color w:val="auto"/>
          <w:sz w:val="21"/>
          <w:shd w:val="clear" w:color="auto" w:fill="FFFFFF"/>
        </w:rPr>
        <w:t>若发现我公司未按以上承诺内容执行，贵公司可视为我公司虚假应标，我公司愿意接受虚假应标的相应处罚以及承担相应的法律责任。</w:t>
      </w:r>
    </w:p>
    <w:p>
      <w:pPr>
        <w:pStyle w:val="21"/>
        <w:adjustRightInd/>
        <w:snapToGrid/>
        <w:spacing w:before="0" w:beforeAutospacing="0" w:after="0" w:afterAutospacing="0"/>
        <w:jc w:val="right"/>
        <w:rPr>
          <w:color w:val="auto"/>
          <w:sz w:val="21"/>
        </w:rPr>
      </w:pPr>
      <w:r>
        <w:rPr>
          <w:rFonts w:hint="eastAsia"/>
          <w:color w:val="auto"/>
          <w:sz w:val="21"/>
        </w:rPr>
        <w:t>投标人名称（盖公章）：________________________</w:t>
      </w:r>
    </w:p>
    <w:p>
      <w:pPr>
        <w:adjustRightInd/>
        <w:snapToGrid/>
        <w:jc w:val="right"/>
        <w:rPr>
          <w:color w:val="auto"/>
        </w:rPr>
      </w:pPr>
      <w:r>
        <w:rPr>
          <w:rFonts w:hint="eastAsia"/>
          <w:color w:val="auto"/>
        </w:rPr>
        <w:t>法定代表人或其授权代理人（签字或盖章）：__________</w:t>
      </w:r>
    </w:p>
    <w:p>
      <w:pPr>
        <w:adjustRightInd/>
        <w:snapToGrid/>
        <w:jc w:val="right"/>
        <w:rPr>
          <w:color w:val="auto"/>
        </w:rPr>
      </w:pPr>
      <w:r>
        <w:rPr>
          <w:rFonts w:hint="eastAsia"/>
          <w:color w:val="auto"/>
        </w:rPr>
        <w:t>日期：_______年____月_____日</w:t>
      </w:r>
    </w:p>
    <w:p>
      <w:pPr>
        <w:adjustRightInd/>
        <w:snapToGrid/>
        <w:rPr>
          <w:b/>
          <w:bCs/>
          <w:color w:val="auto"/>
          <w:spacing w:val="-4"/>
          <w:sz w:val="32"/>
          <w:szCs w:val="32"/>
        </w:rPr>
      </w:pPr>
      <w:bookmarkStart w:id="44" w:name="_Toc520997337"/>
      <w:bookmarkStart w:id="45" w:name="_Toc36960952"/>
      <w:bookmarkStart w:id="46" w:name="_Toc428352876"/>
      <w:bookmarkStart w:id="47" w:name="_Toc361385993"/>
      <w:bookmarkStart w:id="48" w:name="_Toc500139583"/>
      <w:bookmarkStart w:id="49" w:name="_Toc247230329"/>
      <w:bookmarkStart w:id="50" w:name="_Toc14978927"/>
      <w:bookmarkStart w:id="51" w:name="_Toc500189020"/>
      <w:bookmarkStart w:id="52" w:name="_Toc17707828"/>
      <w:bookmarkStart w:id="53" w:name="_Toc361242581"/>
      <w:bookmarkStart w:id="54" w:name="_Toc421711560"/>
      <w:bookmarkStart w:id="55" w:name="_Toc11854017"/>
      <w:bookmarkStart w:id="56" w:name="_Toc408756344"/>
      <w:r>
        <w:rPr>
          <w:rFonts w:hint="eastAsia"/>
          <w:color w:val="auto"/>
        </w:rPr>
        <w:br w:type="page"/>
      </w:r>
    </w:p>
    <w:p>
      <w:pPr>
        <w:pStyle w:val="3"/>
        <w:ind w:firstLine="562"/>
        <w:jc w:val="center"/>
        <w:rPr>
          <w:color w:val="auto"/>
          <w:sz w:val="28"/>
          <w:szCs w:val="28"/>
        </w:rPr>
      </w:pPr>
      <w:bookmarkStart w:id="57" w:name="_Toc19879"/>
      <w:r>
        <w:rPr>
          <w:rFonts w:hint="eastAsia"/>
          <w:color w:val="auto"/>
          <w:sz w:val="28"/>
          <w:szCs w:val="28"/>
        </w:rPr>
        <w:t>2.9具有履行合同所必需的设备和专业技术能力承诺</w:t>
      </w:r>
      <w:bookmarkEnd w:id="57"/>
    </w:p>
    <w:p>
      <w:pPr>
        <w:ind w:firstLine="422"/>
        <w:rPr>
          <w:b/>
          <w:bCs/>
          <w:color w:val="auto"/>
          <w:u w:val="single"/>
        </w:rPr>
      </w:pPr>
      <w:r>
        <w:rPr>
          <w:rFonts w:hint="eastAsia"/>
          <w:b/>
          <w:bCs/>
          <w:color w:val="auto"/>
        </w:rPr>
        <w:t>致云南省消防救援总队:</w:t>
      </w:r>
    </w:p>
    <w:p>
      <w:pPr>
        <w:rPr>
          <w:color w:val="auto"/>
          <w:u w:val="single"/>
        </w:rPr>
      </w:pPr>
    </w:p>
    <w:p>
      <w:pPr>
        <w:rPr>
          <w:color w:val="auto"/>
        </w:rPr>
      </w:pPr>
      <w:r>
        <w:rPr>
          <w:rFonts w:hint="eastAsia"/>
          <w:color w:val="auto"/>
        </w:rPr>
        <w:t>我公司参与云南省消防救援总队2023年“自然灾害应急能力提升工程”装备配备项目（车辆部分）第一批次投标</w:t>
      </w:r>
      <w:r>
        <w:rPr>
          <w:rFonts w:hint="eastAsia"/>
          <w:color w:val="auto"/>
          <w:spacing w:val="1"/>
        </w:rPr>
        <w:t>。</w:t>
      </w:r>
      <w:r>
        <w:rPr>
          <w:rFonts w:hint="eastAsia"/>
          <w:color w:val="auto"/>
        </w:rPr>
        <w:t>声明我公司具有履行合同所必需的设备和专业技术能力。</w:t>
      </w:r>
    </w:p>
    <w:p>
      <w:pPr>
        <w:rPr>
          <w:color w:val="auto"/>
        </w:rPr>
      </w:pPr>
    </w:p>
    <w:p>
      <w:pPr>
        <w:pStyle w:val="21"/>
        <w:adjustRightInd/>
        <w:snapToGrid/>
        <w:spacing w:before="0" w:beforeAutospacing="0" w:after="0" w:afterAutospacing="0"/>
        <w:jc w:val="right"/>
        <w:rPr>
          <w:color w:val="auto"/>
          <w:sz w:val="21"/>
        </w:rPr>
      </w:pPr>
      <w:r>
        <w:rPr>
          <w:rFonts w:hint="eastAsia"/>
          <w:color w:val="auto"/>
          <w:sz w:val="21"/>
        </w:rPr>
        <w:t>投标人名称（盖公章）：________________________</w:t>
      </w:r>
    </w:p>
    <w:p>
      <w:pPr>
        <w:adjustRightInd/>
        <w:snapToGrid/>
        <w:jc w:val="right"/>
        <w:rPr>
          <w:color w:val="auto"/>
        </w:rPr>
      </w:pPr>
      <w:r>
        <w:rPr>
          <w:rFonts w:hint="eastAsia"/>
          <w:color w:val="auto"/>
        </w:rPr>
        <w:t>法定代表人或其授权代理人（签字或盖章）：__________</w:t>
      </w:r>
    </w:p>
    <w:p>
      <w:pPr>
        <w:adjustRightInd/>
        <w:snapToGrid/>
        <w:jc w:val="right"/>
        <w:rPr>
          <w:color w:val="auto"/>
        </w:rPr>
      </w:pPr>
      <w:r>
        <w:rPr>
          <w:rFonts w:hint="eastAsia"/>
          <w:color w:val="auto"/>
        </w:rPr>
        <w:t>日期：_______年____月_____日</w:t>
      </w:r>
    </w:p>
    <w:p>
      <w:pPr>
        <w:pStyle w:val="3"/>
        <w:ind w:firstLine="562"/>
        <w:jc w:val="center"/>
        <w:rPr>
          <w:color w:val="auto"/>
          <w:sz w:val="28"/>
          <w:szCs w:val="28"/>
        </w:rPr>
      </w:pPr>
      <w:bookmarkStart w:id="58" w:name="_Toc13630"/>
      <w:r>
        <w:rPr>
          <w:rFonts w:hint="eastAsia"/>
          <w:color w:val="auto"/>
          <w:sz w:val="28"/>
          <w:szCs w:val="28"/>
        </w:rPr>
        <w:t>2.10无重大违法记录的书面声明</w:t>
      </w:r>
      <w:bookmarkEnd w:id="58"/>
    </w:p>
    <w:p>
      <w:pPr>
        <w:adjustRightInd/>
        <w:snapToGrid/>
        <w:ind w:firstLine="426"/>
        <w:jc w:val="both"/>
        <w:rPr>
          <w:b/>
          <w:bCs/>
          <w:color w:val="auto"/>
          <w:spacing w:val="1"/>
        </w:rPr>
      </w:pPr>
      <w:r>
        <w:rPr>
          <w:rFonts w:hint="eastAsia"/>
          <w:b/>
          <w:bCs/>
          <w:color w:val="auto"/>
          <w:spacing w:val="1"/>
        </w:rPr>
        <w:t>致</w:t>
      </w:r>
      <w:r>
        <w:rPr>
          <w:rFonts w:hint="eastAsia"/>
          <w:b/>
          <w:bCs/>
          <w:color w:val="auto"/>
        </w:rPr>
        <w:t>云南省消防救援总队</w:t>
      </w:r>
      <w:r>
        <w:rPr>
          <w:rFonts w:hint="eastAsia"/>
          <w:b/>
          <w:bCs/>
          <w:color w:val="auto"/>
          <w:spacing w:val="1"/>
        </w:rPr>
        <w:t>：</w:t>
      </w:r>
    </w:p>
    <w:p>
      <w:pPr>
        <w:adjustRightInd/>
        <w:snapToGrid/>
        <w:ind w:firstLine="426"/>
        <w:jc w:val="both"/>
        <w:rPr>
          <w:b/>
          <w:bCs/>
          <w:color w:val="auto"/>
          <w:spacing w:val="1"/>
        </w:rPr>
      </w:pPr>
    </w:p>
    <w:p>
      <w:pPr>
        <w:adjustRightInd/>
        <w:snapToGrid/>
        <w:jc w:val="both"/>
        <w:rPr>
          <w:color w:val="auto"/>
        </w:rPr>
      </w:pPr>
      <w:r>
        <w:rPr>
          <w:rFonts w:hint="eastAsia"/>
          <w:color w:val="auto"/>
        </w:rPr>
        <w:t>我公司参与云南省消防救援总队2023年“自然灾害应急能力提升工程”装备配备项目（车辆部分）第一批次投标，声明我公司在政府采购活动前 3 年内在经营活动中没有重大违法记录(重大违法记录，是指投标人因违法经营受到刑事处罚或者责令停产停业、吊销许可证或者执照、较大数额罚款等行政处罚)。</w:t>
      </w:r>
    </w:p>
    <w:p>
      <w:pPr>
        <w:adjustRightInd/>
        <w:snapToGrid/>
        <w:ind w:firstLine="404"/>
        <w:jc w:val="both"/>
        <w:rPr>
          <w:color w:val="auto"/>
          <w:spacing w:val="-4"/>
        </w:rPr>
      </w:pPr>
    </w:p>
    <w:p>
      <w:pPr>
        <w:adjustRightInd/>
        <w:snapToGrid/>
        <w:jc w:val="both"/>
        <w:rPr>
          <w:color w:val="auto"/>
        </w:rPr>
      </w:pPr>
      <w:r>
        <w:rPr>
          <w:rFonts w:hint="eastAsia"/>
          <w:color w:val="auto"/>
        </w:rPr>
        <w:t>特此声明</w:t>
      </w:r>
    </w:p>
    <w:p>
      <w:pPr>
        <w:pStyle w:val="21"/>
        <w:adjustRightInd/>
        <w:snapToGrid/>
        <w:spacing w:before="0" w:beforeAutospacing="0" w:after="0" w:afterAutospacing="0"/>
        <w:jc w:val="right"/>
        <w:rPr>
          <w:color w:val="auto"/>
          <w:sz w:val="21"/>
        </w:rPr>
      </w:pPr>
      <w:r>
        <w:rPr>
          <w:rFonts w:hint="eastAsia"/>
          <w:color w:val="auto"/>
          <w:sz w:val="21"/>
        </w:rPr>
        <w:t>投标人名称（盖公章）：________________________</w:t>
      </w:r>
    </w:p>
    <w:p>
      <w:pPr>
        <w:adjustRightInd/>
        <w:snapToGrid/>
        <w:jc w:val="right"/>
        <w:rPr>
          <w:color w:val="auto"/>
        </w:rPr>
      </w:pPr>
      <w:r>
        <w:rPr>
          <w:rFonts w:hint="eastAsia"/>
          <w:color w:val="auto"/>
        </w:rPr>
        <w:t>法定代表人或其授权代理人（签字或盖章）：__________</w:t>
      </w:r>
    </w:p>
    <w:p>
      <w:pPr>
        <w:adjustRightInd/>
        <w:snapToGrid/>
        <w:jc w:val="right"/>
        <w:rPr>
          <w:color w:val="auto"/>
        </w:rPr>
      </w:pPr>
      <w:r>
        <w:rPr>
          <w:rFonts w:hint="eastAsia"/>
          <w:color w:val="auto"/>
        </w:rPr>
        <w:t>日期：_______年____月_____日</w:t>
      </w:r>
    </w:p>
    <w:p>
      <w:pPr>
        <w:pStyle w:val="3"/>
        <w:ind w:firstLine="562"/>
        <w:jc w:val="center"/>
        <w:rPr>
          <w:color w:val="auto"/>
          <w:sz w:val="28"/>
          <w:szCs w:val="28"/>
        </w:rPr>
      </w:pPr>
      <w:bookmarkStart w:id="59" w:name="_Toc3012"/>
      <w:r>
        <w:rPr>
          <w:rFonts w:hint="eastAsia"/>
          <w:color w:val="auto"/>
          <w:sz w:val="28"/>
          <w:szCs w:val="28"/>
        </w:rPr>
        <w:t>2.11存在控股、管理关系承诺</w:t>
      </w:r>
      <w:bookmarkEnd w:id="59"/>
    </w:p>
    <w:p>
      <w:pPr>
        <w:ind w:firstLine="422"/>
        <w:rPr>
          <w:b/>
          <w:bCs/>
          <w:color w:val="auto"/>
          <w:u w:val="single"/>
        </w:rPr>
      </w:pPr>
      <w:r>
        <w:rPr>
          <w:rFonts w:hint="eastAsia"/>
          <w:b/>
          <w:bCs/>
          <w:color w:val="auto"/>
        </w:rPr>
        <w:t>致云南省消防救援总队:</w:t>
      </w:r>
    </w:p>
    <w:p>
      <w:pPr>
        <w:rPr>
          <w:color w:val="auto"/>
          <w:u w:val="single"/>
        </w:rPr>
      </w:pPr>
    </w:p>
    <w:p>
      <w:pPr>
        <w:rPr>
          <w:color w:val="auto"/>
        </w:rPr>
      </w:pPr>
      <w:r>
        <w:rPr>
          <w:rFonts w:hint="eastAsia"/>
          <w:color w:val="auto"/>
        </w:rPr>
        <w:t>我公司与参与本项目其他投标人</w:t>
      </w:r>
      <w:r>
        <w:rPr>
          <w:rFonts w:hint="eastAsia"/>
          <w:color w:val="auto"/>
          <w:u w:val="single"/>
        </w:rPr>
        <w:t xml:space="preserve"> </w:t>
      </w:r>
      <w:r>
        <w:rPr>
          <w:color w:val="auto"/>
          <w:u w:val="single"/>
        </w:rPr>
        <w:t xml:space="preserve">    </w:t>
      </w:r>
      <w:r>
        <w:rPr>
          <w:rFonts w:hint="eastAsia"/>
          <w:color w:val="auto"/>
        </w:rPr>
        <w:t>(此处填写“有”或“没有”) “单位负责人为同一人或者存在控股、管理关系的不同单位，同时参加本项目的投标”的情形</w:t>
      </w:r>
      <w:r>
        <w:rPr>
          <w:rFonts w:hint="eastAsia"/>
          <w:color w:val="auto"/>
          <w:spacing w:val="1"/>
        </w:rPr>
        <w:t>。</w:t>
      </w:r>
    </w:p>
    <w:p>
      <w:pPr>
        <w:rPr>
          <w:color w:val="auto"/>
        </w:rPr>
      </w:pPr>
    </w:p>
    <w:p>
      <w:pPr>
        <w:pStyle w:val="21"/>
        <w:adjustRightInd/>
        <w:snapToGrid/>
        <w:spacing w:before="0" w:beforeAutospacing="0" w:after="0" w:afterAutospacing="0"/>
        <w:jc w:val="right"/>
        <w:rPr>
          <w:color w:val="auto"/>
          <w:sz w:val="21"/>
        </w:rPr>
      </w:pPr>
      <w:r>
        <w:rPr>
          <w:rFonts w:hint="eastAsia"/>
          <w:color w:val="auto"/>
          <w:sz w:val="21"/>
        </w:rPr>
        <w:t>投标人名称（盖公章）：________________________</w:t>
      </w:r>
    </w:p>
    <w:p>
      <w:pPr>
        <w:adjustRightInd/>
        <w:snapToGrid/>
        <w:jc w:val="right"/>
        <w:rPr>
          <w:color w:val="auto"/>
        </w:rPr>
      </w:pPr>
      <w:r>
        <w:rPr>
          <w:rFonts w:hint="eastAsia"/>
          <w:color w:val="auto"/>
        </w:rPr>
        <w:t>法定代表人或其授权代理人（签字或盖章）：__________</w:t>
      </w:r>
    </w:p>
    <w:p>
      <w:pPr>
        <w:adjustRightInd/>
        <w:snapToGrid/>
        <w:jc w:val="right"/>
        <w:rPr>
          <w:color w:val="auto"/>
        </w:rPr>
      </w:pPr>
      <w:r>
        <w:rPr>
          <w:rFonts w:hint="eastAsia"/>
          <w:color w:val="auto"/>
        </w:rPr>
        <w:t>日期：_______年____月_____日</w:t>
      </w:r>
    </w:p>
    <w:p>
      <w:pPr>
        <w:adjustRightInd/>
        <w:snapToGrid/>
        <w:ind w:firstLine="480"/>
        <w:jc w:val="center"/>
        <w:rPr>
          <w:color w:val="auto"/>
          <w:sz w:val="24"/>
          <w:szCs w:val="24"/>
        </w:rPr>
      </w:pPr>
      <w:r>
        <w:rPr>
          <w:rFonts w:hint="eastAsia"/>
          <w:color w:val="auto"/>
          <w:sz w:val="24"/>
          <w:szCs w:val="24"/>
        </w:rPr>
        <w:br w:type="page"/>
      </w:r>
    </w:p>
    <w:p>
      <w:pPr>
        <w:pStyle w:val="3"/>
        <w:ind w:firstLine="562"/>
        <w:jc w:val="center"/>
        <w:rPr>
          <w:color w:val="auto"/>
          <w:sz w:val="28"/>
          <w:szCs w:val="28"/>
        </w:rPr>
      </w:pPr>
      <w:bookmarkStart w:id="60" w:name="_Toc28226"/>
      <w:r>
        <w:rPr>
          <w:rFonts w:hint="eastAsia"/>
          <w:color w:val="auto"/>
          <w:sz w:val="28"/>
          <w:szCs w:val="28"/>
        </w:rPr>
        <w:t>2.12无关联承诺</w:t>
      </w:r>
      <w:bookmarkEnd w:id="60"/>
    </w:p>
    <w:p>
      <w:pPr>
        <w:ind w:firstLine="422"/>
        <w:rPr>
          <w:b/>
          <w:bCs/>
          <w:color w:val="auto"/>
          <w:u w:val="single"/>
        </w:rPr>
      </w:pPr>
      <w:r>
        <w:rPr>
          <w:rFonts w:hint="eastAsia"/>
          <w:b/>
          <w:bCs/>
          <w:color w:val="auto"/>
        </w:rPr>
        <w:t>致云南省消防救援总队:</w:t>
      </w:r>
    </w:p>
    <w:p>
      <w:pPr>
        <w:rPr>
          <w:color w:val="auto"/>
          <w:u w:val="single"/>
        </w:rPr>
      </w:pPr>
    </w:p>
    <w:p>
      <w:pPr>
        <w:rPr>
          <w:color w:val="auto"/>
        </w:rPr>
      </w:pPr>
      <w:r>
        <w:rPr>
          <w:rFonts w:hint="eastAsia"/>
          <w:color w:val="auto"/>
        </w:rPr>
        <w:t>我方</w:t>
      </w:r>
      <w:r>
        <w:rPr>
          <w:rFonts w:hint="eastAsia"/>
          <w:color w:val="auto"/>
          <w:u w:val="single"/>
        </w:rPr>
        <w:t xml:space="preserve">            </w:t>
      </w:r>
      <w:r>
        <w:rPr>
          <w:rFonts w:hint="eastAsia"/>
          <w:color w:val="auto"/>
        </w:rPr>
        <w:t>（属于/不属于）</w:t>
      </w:r>
      <w:r>
        <w:rPr>
          <w:rFonts w:hint="eastAsia"/>
          <w:color w:val="auto"/>
          <w:spacing w:val="1"/>
        </w:rPr>
        <w:t>直接或间接地与招标人为采购本次招标的项目进行设计、编制规范或其他文件所委托的咨询公司或其他附属机构、个人有任何关联。符合《中华人民共和国政府采购法实施条例》（第658号）第九条之规定。</w:t>
      </w:r>
    </w:p>
    <w:p>
      <w:pPr>
        <w:rPr>
          <w:color w:val="auto"/>
        </w:rPr>
      </w:pPr>
    </w:p>
    <w:p>
      <w:pPr>
        <w:pStyle w:val="21"/>
        <w:adjustRightInd/>
        <w:snapToGrid/>
        <w:spacing w:before="0" w:beforeAutospacing="0" w:after="0" w:afterAutospacing="0"/>
        <w:jc w:val="right"/>
        <w:rPr>
          <w:color w:val="auto"/>
          <w:sz w:val="21"/>
        </w:rPr>
      </w:pPr>
      <w:r>
        <w:rPr>
          <w:rFonts w:hint="eastAsia"/>
          <w:color w:val="auto"/>
          <w:sz w:val="21"/>
        </w:rPr>
        <w:t>投标人名称（盖公章）：________________________</w:t>
      </w:r>
    </w:p>
    <w:p>
      <w:pPr>
        <w:adjustRightInd/>
        <w:snapToGrid/>
        <w:jc w:val="right"/>
        <w:rPr>
          <w:color w:val="auto"/>
        </w:rPr>
      </w:pPr>
      <w:r>
        <w:rPr>
          <w:rFonts w:hint="eastAsia"/>
          <w:color w:val="auto"/>
        </w:rPr>
        <w:t>法定代表人或其授权代理人（签字或盖章）：__________</w:t>
      </w:r>
    </w:p>
    <w:p>
      <w:pPr>
        <w:adjustRightInd/>
        <w:snapToGrid/>
        <w:jc w:val="right"/>
        <w:rPr>
          <w:color w:val="auto"/>
        </w:rPr>
      </w:pPr>
      <w:r>
        <w:rPr>
          <w:rFonts w:hint="eastAsia"/>
          <w:color w:val="auto"/>
        </w:rPr>
        <w:t>日期：_______年____月_____日</w:t>
      </w:r>
    </w:p>
    <w:p>
      <w:pPr>
        <w:rPr>
          <w:color w:val="auto"/>
        </w:rPr>
      </w:pPr>
    </w:p>
    <w:p>
      <w:pPr>
        <w:rPr>
          <w:color w:val="auto"/>
        </w:rPr>
      </w:pPr>
    </w:p>
    <w:p>
      <w:pPr>
        <w:pStyle w:val="3"/>
        <w:ind w:firstLine="562"/>
        <w:jc w:val="center"/>
        <w:rPr>
          <w:color w:val="auto"/>
          <w:sz w:val="28"/>
          <w:szCs w:val="28"/>
        </w:rPr>
      </w:pPr>
      <w:bookmarkStart w:id="61" w:name="_Toc10952"/>
      <w:r>
        <w:rPr>
          <w:rFonts w:hint="eastAsia"/>
          <w:color w:val="auto"/>
          <w:sz w:val="28"/>
          <w:szCs w:val="28"/>
        </w:rPr>
        <w:t>2.13非联合体投标承诺</w:t>
      </w:r>
      <w:bookmarkEnd w:id="61"/>
    </w:p>
    <w:p>
      <w:pPr>
        <w:ind w:firstLine="422"/>
        <w:rPr>
          <w:b/>
          <w:bCs/>
          <w:color w:val="auto"/>
          <w:u w:val="single"/>
        </w:rPr>
      </w:pPr>
      <w:r>
        <w:rPr>
          <w:rFonts w:hint="eastAsia"/>
          <w:b/>
          <w:bCs/>
          <w:color w:val="auto"/>
        </w:rPr>
        <w:t>致云南省消防救援总队:</w:t>
      </w:r>
    </w:p>
    <w:p>
      <w:pPr>
        <w:rPr>
          <w:color w:val="auto"/>
          <w:u w:val="single"/>
        </w:rPr>
      </w:pPr>
    </w:p>
    <w:p>
      <w:pPr>
        <w:rPr>
          <w:color w:val="auto"/>
        </w:rPr>
      </w:pPr>
      <w:r>
        <w:rPr>
          <w:rFonts w:hint="eastAsia"/>
          <w:color w:val="auto"/>
        </w:rPr>
        <w:t>我方</w:t>
      </w:r>
      <w:r>
        <w:rPr>
          <w:rFonts w:hint="eastAsia"/>
          <w:color w:val="auto"/>
          <w:u w:val="single"/>
        </w:rPr>
        <w:t xml:space="preserve">            </w:t>
      </w:r>
      <w:r>
        <w:rPr>
          <w:rFonts w:hint="eastAsia"/>
          <w:color w:val="auto"/>
        </w:rPr>
        <w:t>（属于/不属于）</w:t>
      </w:r>
      <w:r>
        <w:rPr>
          <w:rFonts w:hint="eastAsia"/>
          <w:color w:val="auto"/>
          <w:spacing w:val="1"/>
        </w:rPr>
        <w:t>联合体参与本项目。</w:t>
      </w:r>
    </w:p>
    <w:p>
      <w:pPr>
        <w:rPr>
          <w:color w:val="auto"/>
        </w:rPr>
      </w:pPr>
    </w:p>
    <w:p>
      <w:pPr>
        <w:pStyle w:val="21"/>
        <w:adjustRightInd/>
        <w:snapToGrid/>
        <w:spacing w:before="0" w:beforeAutospacing="0" w:after="0" w:afterAutospacing="0"/>
        <w:jc w:val="right"/>
        <w:rPr>
          <w:color w:val="auto"/>
          <w:sz w:val="21"/>
        </w:rPr>
      </w:pPr>
      <w:r>
        <w:rPr>
          <w:rFonts w:hint="eastAsia"/>
          <w:color w:val="auto"/>
          <w:sz w:val="21"/>
        </w:rPr>
        <w:t>投标人名称（盖公章）：________________________</w:t>
      </w:r>
    </w:p>
    <w:p>
      <w:pPr>
        <w:adjustRightInd/>
        <w:snapToGrid/>
        <w:jc w:val="right"/>
        <w:rPr>
          <w:color w:val="auto"/>
        </w:rPr>
      </w:pPr>
      <w:r>
        <w:rPr>
          <w:rFonts w:hint="eastAsia"/>
          <w:color w:val="auto"/>
        </w:rPr>
        <w:t>法定代表人或其授权代理人（签字或盖章）：__________</w:t>
      </w:r>
    </w:p>
    <w:p>
      <w:pPr>
        <w:adjustRightInd/>
        <w:snapToGrid/>
        <w:jc w:val="right"/>
        <w:rPr>
          <w:color w:val="auto"/>
        </w:rPr>
      </w:pPr>
      <w:r>
        <w:rPr>
          <w:rFonts w:hint="eastAsia"/>
          <w:color w:val="auto"/>
        </w:rPr>
        <w:t>日期：_______年____月_____日</w:t>
      </w:r>
    </w:p>
    <w:p>
      <w:pPr>
        <w:pStyle w:val="32"/>
        <w:rPr>
          <w:color w:val="auto"/>
        </w:rPr>
      </w:pPr>
    </w:p>
    <w:p>
      <w:pPr>
        <w:pStyle w:val="3"/>
        <w:ind w:firstLine="562"/>
        <w:jc w:val="center"/>
        <w:rPr>
          <w:color w:val="auto"/>
          <w:sz w:val="28"/>
          <w:szCs w:val="28"/>
        </w:rPr>
      </w:pPr>
      <w:bookmarkStart w:id="62" w:name="_Toc18086"/>
      <w:r>
        <w:rPr>
          <w:rFonts w:hint="eastAsia"/>
          <w:color w:val="auto"/>
          <w:sz w:val="28"/>
          <w:szCs w:val="28"/>
        </w:rPr>
        <w:t>2.14非</w:t>
      </w:r>
      <w:r>
        <w:rPr>
          <w:rFonts w:hint="eastAsia"/>
          <w:color w:val="auto"/>
        </w:rPr>
        <w:t>整车</w:t>
      </w:r>
      <w:r>
        <w:rPr>
          <w:rFonts w:hint="eastAsia"/>
          <w:color w:val="auto"/>
          <w:sz w:val="28"/>
          <w:szCs w:val="28"/>
        </w:rPr>
        <w:t>进口产品投标承诺</w:t>
      </w:r>
      <w:bookmarkEnd w:id="62"/>
    </w:p>
    <w:p>
      <w:pPr>
        <w:ind w:firstLine="422"/>
        <w:rPr>
          <w:b/>
          <w:bCs/>
          <w:color w:val="auto"/>
          <w:u w:val="single"/>
        </w:rPr>
      </w:pPr>
      <w:r>
        <w:rPr>
          <w:rFonts w:hint="eastAsia"/>
          <w:b/>
          <w:bCs/>
          <w:color w:val="auto"/>
        </w:rPr>
        <w:t>致云南省消防救援总队:</w:t>
      </w:r>
    </w:p>
    <w:p>
      <w:pPr>
        <w:rPr>
          <w:color w:val="auto"/>
          <w:u w:val="single"/>
        </w:rPr>
      </w:pPr>
    </w:p>
    <w:p>
      <w:pPr>
        <w:rPr>
          <w:color w:val="auto"/>
        </w:rPr>
      </w:pPr>
      <w:r>
        <w:rPr>
          <w:rFonts w:hint="eastAsia"/>
          <w:color w:val="auto"/>
        </w:rPr>
        <w:t>我方供货的车辆均不属于“财政部关于印发《政府采购进口产品管理办法》的通知 财库〔2007〕119号”中规定的整车进口产品</w:t>
      </w:r>
      <w:r>
        <w:rPr>
          <w:rFonts w:hint="eastAsia"/>
          <w:color w:val="auto"/>
          <w:spacing w:val="1"/>
        </w:rPr>
        <w:t>。</w:t>
      </w:r>
    </w:p>
    <w:p>
      <w:pPr>
        <w:rPr>
          <w:color w:val="auto"/>
        </w:rPr>
      </w:pPr>
    </w:p>
    <w:p>
      <w:pPr>
        <w:pStyle w:val="21"/>
        <w:adjustRightInd/>
        <w:snapToGrid/>
        <w:spacing w:before="0" w:beforeAutospacing="0" w:after="0" w:afterAutospacing="0"/>
        <w:jc w:val="right"/>
        <w:rPr>
          <w:color w:val="auto"/>
          <w:sz w:val="21"/>
        </w:rPr>
      </w:pPr>
      <w:r>
        <w:rPr>
          <w:rFonts w:hint="eastAsia"/>
          <w:color w:val="auto"/>
          <w:sz w:val="21"/>
        </w:rPr>
        <w:t>投标人名称（盖公章）：________________________</w:t>
      </w:r>
    </w:p>
    <w:p>
      <w:pPr>
        <w:adjustRightInd/>
        <w:snapToGrid/>
        <w:jc w:val="right"/>
        <w:rPr>
          <w:color w:val="auto"/>
        </w:rPr>
      </w:pPr>
      <w:r>
        <w:rPr>
          <w:rFonts w:hint="eastAsia"/>
          <w:color w:val="auto"/>
        </w:rPr>
        <w:t>法定代表人或其授权代理人（签字或盖章）：__________</w:t>
      </w:r>
    </w:p>
    <w:p>
      <w:pPr>
        <w:adjustRightInd/>
        <w:snapToGrid/>
        <w:jc w:val="right"/>
        <w:rPr>
          <w:color w:val="auto"/>
        </w:rPr>
      </w:pPr>
      <w:r>
        <w:rPr>
          <w:rFonts w:hint="eastAsia"/>
          <w:color w:val="auto"/>
        </w:rPr>
        <w:t>日期：_______年____月_____日</w:t>
      </w:r>
    </w:p>
    <w:p>
      <w:pPr>
        <w:rPr>
          <w:color w:val="auto"/>
        </w:rPr>
      </w:pPr>
      <w:r>
        <w:rPr>
          <w:rFonts w:hint="eastAsia"/>
          <w:color w:val="auto"/>
        </w:rPr>
        <w:br w:type="page"/>
      </w:r>
    </w:p>
    <w:p>
      <w:pPr>
        <w:pStyle w:val="3"/>
        <w:ind w:firstLine="562"/>
        <w:jc w:val="center"/>
        <w:rPr>
          <w:b w:val="0"/>
          <w:bCs/>
          <w:color w:val="auto"/>
          <w:sz w:val="21"/>
        </w:rPr>
      </w:pPr>
      <w:bookmarkStart w:id="63" w:name="_Toc18033"/>
      <w:r>
        <w:rPr>
          <w:rFonts w:hint="eastAsia"/>
          <w:color w:val="auto"/>
          <w:sz w:val="28"/>
          <w:szCs w:val="28"/>
        </w:rPr>
        <w:t>2.15中小微企业声明函</w:t>
      </w:r>
      <w:r>
        <w:rPr>
          <w:rFonts w:hint="eastAsia"/>
          <w:b w:val="0"/>
          <w:bCs/>
          <w:color w:val="auto"/>
          <w:sz w:val="21"/>
        </w:rPr>
        <w:t>(3标包用此格式)</w:t>
      </w:r>
      <w:bookmarkEnd w:id="63"/>
    </w:p>
    <w:p>
      <w:pPr>
        <w:tabs>
          <w:tab w:val="left" w:pos="8505"/>
          <w:tab w:val="left" w:pos="9214"/>
        </w:tabs>
        <w:ind w:right="893" w:rightChars="425"/>
        <w:rPr>
          <w:color w:val="auto"/>
        </w:rPr>
      </w:pPr>
      <w:r>
        <w:rPr>
          <w:rFonts w:hint="eastAsia"/>
          <w:color w:val="auto"/>
        </w:rPr>
        <w:t>本公司（联合体）郑重声明，根据《政府采购促进中小企业发展管理办法》（财库﹝2020﹞46号）的规定，本公司（联合体）参加</w:t>
      </w:r>
      <w:r>
        <w:rPr>
          <w:rFonts w:hint="eastAsia"/>
          <w:color w:val="auto"/>
          <w:u w:val="single"/>
        </w:rPr>
        <w:t xml:space="preserve"> （单位名称） </w:t>
      </w:r>
      <w:r>
        <w:rPr>
          <w:rFonts w:hint="eastAsia"/>
          <w:color w:val="auto"/>
        </w:rPr>
        <w:t>的</w:t>
      </w:r>
      <w:r>
        <w:rPr>
          <w:rFonts w:hint="eastAsia"/>
          <w:color w:val="auto"/>
          <w:u w:val="single"/>
        </w:rPr>
        <w:t xml:space="preserve"> （项目名称） </w:t>
      </w:r>
      <w:r>
        <w:rPr>
          <w:rFonts w:hint="eastAsia"/>
          <w:color w:val="auto"/>
        </w:rPr>
        <w:t>采购活动，提供的货物全部由符合政策要求的中小微企业制造。相关企业（含联合体中的中小微企业、签订分包意向协议的中小微企业）的具体情况如下：</w:t>
      </w:r>
    </w:p>
    <w:p>
      <w:pPr>
        <w:tabs>
          <w:tab w:val="left" w:pos="8505"/>
          <w:tab w:val="left" w:pos="9214"/>
        </w:tabs>
        <w:ind w:right="893" w:rightChars="425"/>
        <w:rPr>
          <w:color w:val="auto"/>
        </w:rPr>
      </w:pPr>
      <w:r>
        <w:rPr>
          <w:rFonts w:hint="eastAsia"/>
          <w:color w:val="auto"/>
        </w:rPr>
        <w:t>1.</w:t>
      </w:r>
      <w:r>
        <w:rPr>
          <w:rFonts w:hint="eastAsia"/>
          <w:color w:val="auto"/>
          <w:u w:val="single"/>
        </w:rPr>
        <w:t xml:space="preserve"> （标的名称） </w:t>
      </w:r>
      <w:r>
        <w:rPr>
          <w:rFonts w:hint="eastAsia"/>
          <w:color w:val="auto"/>
        </w:rPr>
        <w:t>，属于</w:t>
      </w:r>
      <w:r>
        <w:rPr>
          <w:rFonts w:hint="eastAsia"/>
          <w:color w:val="auto"/>
          <w:u w:val="single"/>
        </w:rPr>
        <w:t xml:space="preserve"> （招标文件中明确的所属行业）</w:t>
      </w:r>
      <w:r>
        <w:rPr>
          <w:rFonts w:hint="eastAsia"/>
          <w:color w:val="auto"/>
        </w:rPr>
        <w:t>行业；制造商为</w:t>
      </w:r>
      <w:r>
        <w:rPr>
          <w:rFonts w:hint="eastAsia"/>
          <w:color w:val="auto"/>
          <w:u w:val="single"/>
        </w:rPr>
        <w:t xml:space="preserve"> （企业名称）</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w:t>
      </w:r>
      <w:r>
        <w:rPr>
          <w:rFonts w:hint="eastAsia"/>
          <w:color w:val="auto"/>
        </w:rPr>
        <w:t>；</w:t>
      </w:r>
    </w:p>
    <w:p>
      <w:pPr>
        <w:tabs>
          <w:tab w:val="left" w:pos="8505"/>
          <w:tab w:val="left" w:pos="9214"/>
        </w:tabs>
        <w:ind w:right="893" w:rightChars="425"/>
        <w:rPr>
          <w:color w:val="auto"/>
        </w:rPr>
      </w:pPr>
      <w:r>
        <w:rPr>
          <w:rFonts w:hint="eastAsia"/>
          <w:color w:val="auto"/>
        </w:rPr>
        <w:t>2.</w:t>
      </w:r>
      <w:r>
        <w:rPr>
          <w:rFonts w:hint="eastAsia"/>
          <w:color w:val="auto"/>
          <w:u w:val="single"/>
        </w:rPr>
        <w:t xml:space="preserve"> （标的名称）</w:t>
      </w:r>
      <w:r>
        <w:rPr>
          <w:rFonts w:hint="eastAsia"/>
          <w:color w:val="auto"/>
        </w:rPr>
        <w:t>，属于</w:t>
      </w:r>
      <w:r>
        <w:rPr>
          <w:rFonts w:hint="eastAsia"/>
          <w:color w:val="auto"/>
          <w:u w:val="single"/>
        </w:rPr>
        <w:t xml:space="preserve"> （招标文件中明确的所属行业）</w:t>
      </w:r>
      <w:r>
        <w:rPr>
          <w:rFonts w:hint="eastAsia"/>
          <w:color w:val="auto"/>
        </w:rPr>
        <w:t>行业；制造商为</w:t>
      </w:r>
      <w:r>
        <w:rPr>
          <w:rFonts w:hint="eastAsia"/>
          <w:color w:val="auto"/>
          <w:u w:val="single"/>
        </w:rPr>
        <w:t xml:space="preserve"> （企业名称）</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w:t>
      </w:r>
      <w:r>
        <w:rPr>
          <w:rFonts w:hint="eastAsia"/>
          <w:color w:val="auto"/>
        </w:rPr>
        <w:t>；</w:t>
      </w:r>
    </w:p>
    <w:p>
      <w:pPr>
        <w:tabs>
          <w:tab w:val="left" w:pos="8505"/>
          <w:tab w:val="left" w:pos="9214"/>
        </w:tabs>
        <w:ind w:right="893" w:rightChars="425"/>
        <w:rPr>
          <w:color w:val="auto"/>
        </w:rPr>
      </w:pPr>
      <w:r>
        <w:rPr>
          <w:rFonts w:hint="eastAsia"/>
          <w:color w:val="auto"/>
        </w:rPr>
        <w:t>……</w:t>
      </w:r>
    </w:p>
    <w:p>
      <w:pPr>
        <w:tabs>
          <w:tab w:val="left" w:pos="8505"/>
          <w:tab w:val="left" w:pos="9214"/>
        </w:tabs>
        <w:ind w:right="893" w:rightChars="425"/>
        <w:rPr>
          <w:color w:val="auto"/>
        </w:rPr>
      </w:pPr>
      <w:r>
        <w:rPr>
          <w:rFonts w:hint="eastAsia"/>
          <w:color w:val="auto"/>
        </w:rPr>
        <w:t>以上企业，不属于大企业的分支机构，不存在控股股东为大企业的情形，也不存在与大企业的负责人为同一人的情形。</w:t>
      </w:r>
    </w:p>
    <w:p>
      <w:pPr>
        <w:tabs>
          <w:tab w:val="left" w:pos="8505"/>
          <w:tab w:val="left" w:pos="9214"/>
        </w:tabs>
        <w:ind w:right="893" w:rightChars="425"/>
        <w:rPr>
          <w:color w:val="auto"/>
        </w:rPr>
      </w:pPr>
      <w:r>
        <w:rPr>
          <w:rFonts w:hint="eastAsia"/>
          <w:color w:val="auto"/>
        </w:rPr>
        <w:t>本企业对上述声明内容的真实性负责。如有虚假，将依法承担相应责任。</w:t>
      </w:r>
    </w:p>
    <w:p>
      <w:pPr>
        <w:tabs>
          <w:tab w:val="left" w:pos="8505"/>
          <w:tab w:val="left" w:pos="9214"/>
        </w:tabs>
        <w:ind w:right="893" w:rightChars="425"/>
        <w:rPr>
          <w:color w:val="auto"/>
        </w:rPr>
      </w:pPr>
    </w:p>
    <w:p>
      <w:pPr>
        <w:tabs>
          <w:tab w:val="left" w:pos="8505"/>
          <w:tab w:val="left" w:pos="9214"/>
        </w:tabs>
        <w:spacing w:before="100" w:beforeAutospacing="1" w:after="100" w:afterAutospacing="1"/>
        <w:ind w:right="893" w:rightChars="425"/>
        <w:rPr>
          <w:color w:val="auto"/>
        </w:rPr>
      </w:pPr>
      <w:r>
        <w:rPr>
          <w:rFonts w:hint="eastAsia"/>
          <w:color w:val="auto"/>
        </w:rPr>
        <w:t>企业名称（盖章）：</w:t>
      </w:r>
    </w:p>
    <w:p>
      <w:pPr>
        <w:tabs>
          <w:tab w:val="left" w:pos="8505"/>
          <w:tab w:val="left" w:pos="9214"/>
        </w:tabs>
        <w:spacing w:before="100" w:beforeAutospacing="1" w:after="100" w:afterAutospacing="1"/>
        <w:ind w:right="893" w:rightChars="425"/>
        <w:rPr>
          <w:color w:val="auto"/>
        </w:rPr>
      </w:pPr>
      <w:r>
        <w:rPr>
          <w:rFonts w:hint="eastAsia"/>
          <w:color w:val="auto"/>
        </w:rPr>
        <w:t>日   期：</w:t>
      </w:r>
    </w:p>
    <w:p>
      <w:pPr>
        <w:tabs>
          <w:tab w:val="left" w:pos="8505"/>
          <w:tab w:val="left" w:pos="9214"/>
        </w:tabs>
        <w:ind w:right="893" w:rightChars="425"/>
        <w:rPr>
          <w:color w:val="auto"/>
        </w:rPr>
      </w:pPr>
      <w:r>
        <w:rPr>
          <w:rFonts w:hint="eastAsia"/>
          <w:color w:val="auto"/>
        </w:rPr>
        <w:t>注：本项目参照“中小企业划型标准规定（工信部联企业〔2011〕300号）”中规定的划分方式，明确将本次所采购所列货物的所属行业划分为“工业”。供应商须认真核对格式提供的“中小企业划型标准规定（工信部联企业〔2011〕300号）”节选中规定的中小企业划型标准，根据所投内容，严格对照各行业划型标准如实填写声明函。</w:t>
      </w:r>
    </w:p>
    <w:p>
      <w:pPr>
        <w:tabs>
          <w:tab w:val="left" w:pos="8505"/>
          <w:tab w:val="left" w:pos="9214"/>
        </w:tabs>
        <w:ind w:right="893" w:rightChars="425"/>
        <w:rPr>
          <w:color w:val="auto"/>
        </w:rPr>
      </w:pPr>
      <w:r>
        <w:rPr>
          <w:rFonts w:hint="eastAsia"/>
          <w:color w:val="auto"/>
        </w:rPr>
        <w:t>注：从业人员、营业收入、资产总额填报上一年度数据，无上一年度数据的新成立企业可不填报。中标人的《中型/小型/微型企业声明函》将随中标结果公告一并公布。</w:t>
      </w:r>
    </w:p>
    <w:p>
      <w:pPr>
        <w:tabs>
          <w:tab w:val="left" w:pos="8505"/>
          <w:tab w:val="left" w:pos="9214"/>
        </w:tabs>
        <w:ind w:right="893" w:rightChars="425"/>
        <w:rPr>
          <w:color w:val="auto"/>
        </w:rPr>
      </w:pPr>
      <w:r>
        <w:rPr>
          <w:rFonts w:hint="eastAsia"/>
          <w:color w:val="auto"/>
        </w:rPr>
        <w:t>以下情况将不通过资格审查：</w:t>
      </w:r>
    </w:p>
    <w:p>
      <w:pPr>
        <w:tabs>
          <w:tab w:val="left" w:pos="8505"/>
          <w:tab w:val="left" w:pos="9214"/>
        </w:tabs>
        <w:ind w:right="893" w:rightChars="425"/>
        <w:rPr>
          <w:color w:val="auto"/>
        </w:rPr>
      </w:pPr>
      <w:r>
        <w:rPr>
          <w:rFonts w:hint="eastAsia"/>
          <w:color w:val="auto"/>
        </w:rPr>
        <w:t>①供应商提供的货物既有中小微企业制造的货物，也有非中小微企业制造的货物。</w:t>
      </w:r>
    </w:p>
    <w:p>
      <w:pPr>
        <w:tabs>
          <w:tab w:val="left" w:pos="8505"/>
          <w:tab w:val="left" w:pos="9214"/>
        </w:tabs>
        <w:ind w:right="893" w:rightChars="425"/>
        <w:rPr>
          <w:color w:val="auto"/>
        </w:rPr>
      </w:pPr>
      <w:r>
        <w:rPr>
          <w:rFonts w:hint="eastAsia"/>
          <w:color w:val="auto"/>
        </w:rPr>
        <w:t>②未按招标文件明确的所属行业填写的。未按要求填写本“中小微企业声明函”。</w:t>
      </w:r>
    </w:p>
    <w:p>
      <w:pPr>
        <w:tabs>
          <w:tab w:val="left" w:pos="8505"/>
          <w:tab w:val="left" w:pos="9214"/>
        </w:tabs>
        <w:ind w:right="893" w:rightChars="425"/>
        <w:rPr>
          <w:color w:val="auto"/>
        </w:rPr>
      </w:pPr>
      <w:r>
        <w:rPr>
          <w:rFonts w:hint="eastAsia"/>
          <w:color w:val="auto"/>
        </w:rPr>
        <w:t>③所声明的从业人员人数、营业收入金额或资产总额不符合中型或小型或微型企业划型标准规定的。填写的内容不符合《政府采购促进中小企业发展管理办法》（财库﹝2020﹞46号）规定的。</w:t>
      </w:r>
    </w:p>
    <w:p>
      <w:pPr>
        <w:tabs>
          <w:tab w:val="left" w:pos="8505"/>
          <w:tab w:val="left" w:pos="9214"/>
        </w:tabs>
        <w:ind w:right="893" w:rightChars="425"/>
        <w:rPr>
          <w:color w:val="auto"/>
        </w:rPr>
      </w:pPr>
      <w:r>
        <w:rPr>
          <w:rFonts w:hint="eastAsia"/>
          <w:color w:val="auto"/>
        </w:rPr>
        <w:t>④供应商提供的货物由中小微企业制造但使用了非中小微企业商号或注册商标。</w:t>
      </w:r>
    </w:p>
    <w:p>
      <w:pPr>
        <w:ind w:firstLine="560"/>
        <w:rPr>
          <w:color w:val="auto"/>
          <w:sz w:val="28"/>
          <w:szCs w:val="28"/>
        </w:rPr>
      </w:pPr>
      <w:r>
        <w:rPr>
          <w:rFonts w:hint="eastAsia"/>
          <w:color w:val="auto"/>
          <w:sz w:val="28"/>
          <w:szCs w:val="28"/>
        </w:rPr>
        <w:br w:type="page"/>
      </w:r>
    </w:p>
    <w:p>
      <w:pPr>
        <w:pStyle w:val="3"/>
        <w:ind w:firstLine="562"/>
        <w:jc w:val="center"/>
        <w:rPr>
          <w:color w:val="auto"/>
          <w:sz w:val="28"/>
          <w:szCs w:val="28"/>
        </w:rPr>
      </w:pPr>
      <w:bookmarkStart w:id="64" w:name="_Toc13776"/>
      <w:r>
        <w:rPr>
          <w:rFonts w:hint="eastAsia"/>
          <w:color w:val="auto"/>
          <w:sz w:val="28"/>
          <w:szCs w:val="28"/>
        </w:rPr>
        <w:t>2.15小微企业声明函</w:t>
      </w:r>
      <w:r>
        <w:rPr>
          <w:rFonts w:hint="eastAsia"/>
          <w:b w:val="0"/>
          <w:bCs/>
          <w:color w:val="auto"/>
          <w:sz w:val="21"/>
        </w:rPr>
        <w:t>(除了3标包以外的所有标包用此格式)</w:t>
      </w:r>
      <w:bookmarkEnd w:id="64"/>
    </w:p>
    <w:p>
      <w:pPr>
        <w:tabs>
          <w:tab w:val="left" w:pos="8505"/>
          <w:tab w:val="left" w:pos="9214"/>
        </w:tabs>
        <w:ind w:right="893" w:rightChars="425"/>
        <w:rPr>
          <w:color w:val="auto"/>
        </w:rPr>
      </w:pPr>
      <w:r>
        <w:rPr>
          <w:rFonts w:hint="eastAsia"/>
          <w:color w:val="auto"/>
        </w:rPr>
        <w:t>本公司（联合体）郑重声明，根据《政府采购促进中小企业发展管理办法》（财库﹝2020﹞46号）的规定，本公司（联合体）参加</w:t>
      </w:r>
      <w:r>
        <w:rPr>
          <w:rFonts w:hint="eastAsia"/>
          <w:color w:val="auto"/>
          <w:u w:val="single"/>
        </w:rPr>
        <w:t xml:space="preserve"> （单位名称） </w:t>
      </w:r>
      <w:r>
        <w:rPr>
          <w:rFonts w:hint="eastAsia"/>
          <w:color w:val="auto"/>
        </w:rPr>
        <w:t>的</w:t>
      </w:r>
      <w:r>
        <w:rPr>
          <w:rFonts w:hint="eastAsia"/>
          <w:color w:val="auto"/>
          <w:u w:val="single"/>
        </w:rPr>
        <w:t xml:space="preserve"> （项目名称） </w:t>
      </w:r>
      <w:r>
        <w:rPr>
          <w:rFonts w:hint="eastAsia"/>
          <w:color w:val="auto"/>
        </w:rPr>
        <w:t>采购活动，提供的货物全部由符合政策要求的小微企业制造。相关企业（含联合体中的小微企业、签订分包意向协议的小微企业）的具体情况如下：</w:t>
      </w:r>
    </w:p>
    <w:p>
      <w:pPr>
        <w:tabs>
          <w:tab w:val="left" w:pos="8505"/>
          <w:tab w:val="left" w:pos="9214"/>
        </w:tabs>
        <w:ind w:right="893" w:rightChars="425"/>
        <w:rPr>
          <w:color w:val="auto"/>
        </w:rPr>
      </w:pPr>
      <w:r>
        <w:rPr>
          <w:rFonts w:hint="eastAsia"/>
          <w:color w:val="auto"/>
        </w:rPr>
        <w:t>1.</w:t>
      </w:r>
      <w:r>
        <w:rPr>
          <w:rFonts w:hint="eastAsia"/>
          <w:color w:val="auto"/>
          <w:u w:val="single"/>
        </w:rPr>
        <w:t xml:space="preserve"> （标的名称） </w:t>
      </w:r>
      <w:r>
        <w:rPr>
          <w:rFonts w:hint="eastAsia"/>
          <w:color w:val="auto"/>
        </w:rPr>
        <w:t>，属于</w:t>
      </w:r>
      <w:r>
        <w:rPr>
          <w:rFonts w:hint="eastAsia"/>
          <w:color w:val="auto"/>
          <w:u w:val="single"/>
        </w:rPr>
        <w:t xml:space="preserve"> （招标文件中明确的所属行业）</w:t>
      </w:r>
      <w:r>
        <w:rPr>
          <w:rFonts w:hint="eastAsia"/>
          <w:color w:val="auto"/>
        </w:rPr>
        <w:t>行业；制造商为</w:t>
      </w:r>
      <w:r>
        <w:rPr>
          <w:rFonts w:hint="eastAsia"/>
          <w:color w:val="auto"/>
          <w:u w:val="single"/>
        </w:rPr>
        <w:t xml:space="preserve"> （企业名称）</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（小型企业、微型企业）</w:t>
      </w:r>
      <w:r>
        <w:rPr>
          <w:rFonts w:hint="eastAsia"/>
          <w:color w:val="auto"/>
        </w:rPr>
        <w:t>；</w:t>
      </w:r>
    </w:p>
    <w:p>
      <w:pPr>
        <w:tabs>
          <w:tab w:val="left" w:pos="8505"/>
          <w:tab w:val="left" w:pos="9214"/>
        </w:tabs>
        <w:ind w:right="893" w:rightChars="425"/>
        <w:rPr>
          <w:color w:val="auto"/>
        </w:rPr>
      </w:pPr>
      <w:r>
        <w:rPr>
          <w:rFonts w:hint="eastAsia"/>
          <w:color w:val="auto"/>
        </w:rPr>
        <w:t>2.</w:t>
      </w:r>
      <w:r>
        <w:rPr>
          <w:rFonts w:hint="eastAsia"/>
          <w:color w:val="auto"/>
          <w:u w:val="single"/>
        </w:rPr>
        <w:t xml:space="preserve"> （标的名称）</w:t>
      </w:r>
      <w:r>
        <w:rPr>
          <w:rFonts w:hint="eastAsia"/>
          <w:color w:val="auto"/>
        </w:rPr>
        <w:t>，属于</w:t>
      </w:r>
      <w:r>
        <w:rPr>
          <w:rFonts w:hint="eastAsia"/>
          <w:color w:val="auto"/>
          <w:u w:val="single"/>
        </w:rPr>
        <w:t xml:space="preserve"> （招标文件中明确的所属行业）</w:t>
      </w:r>
      <w:r>
        <w:rPr>
          <w:rFonts w:hint="eastAsia"/>
          <w:color w:val="auto"/>
        </w:rPr>
        <w:t>行业；制造商为</w:t>
      </w:r>
      <w:r>
        <w:rPr>
          <w:rFonts w:hint="eastAsia"/>
          <w:color w:val="auto"/>
          <w:u w:val="single"/>
        </w:rPr>
        <w:t xml:space="preserve"> （企业名称）</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（小型企业、微型企业）</w:t>
      </w:r>
      <w:r>
        <w:rPr>
          <w:rFonts w:hint="eastAsia"/>
          <w:color w:val="auto"/>
        </w:rPr>
        <w:t>；</w:t>
      </w:r>
    </w:p>
    <w:p>
      <w:pPr>
        <w:tabs>
          <w:tab w:val="left" w:pos="8505"/>
          <w:tab w:val="left" w:pos="9214"/>
        </w:tabs>
        <w:ind w:right="893" w:rightChars="425"/>
        <w:rPr>
          <w:color w:val="auto"/>
        </w:rPr>
      </w:pPr>
      <w:r>
        <w:rPr>
          <w:rFonts w:hint="eastAsia"/>
          <w:color w:val="auto"/>
        </w:rPr>
        <w:t>……</w:t>
      </w:r>
    </w:p>
    <w:p>
      <w:pPr>
        <w:tabs>
          <w:tab w:val="left" w:pos="8505"/>
          <w:tab w:val="left" w:pos="9214"/>
        </w:tabs>
        <w:ind w:right="893" w:rightChars="425"/>
        <w:rPr>
          <w:color w:val="auto"/>
        </w:rPr>
      </w:pPr>
      <w:r>
        <w:rPr>
          <w:rFonts w:hint="eastAsia"/>
          <w:color w:val="auto"/>
        </w:rPr>
        <w:t>以上企业，不属于大企业的分支机构，不存在控股股东为大企业的情形，也不存在与大企业的负责人为同一人的情形。</w:t>
      </w:r>
    </w:p>
    <w:p>
      <w:pPr>
        <w:tabs>
          <w:tab w:val="left" w:pos="8505"/>
          <w:tab w:val="left" w:pos="9214"/>
        </w:tabs>
        <w:ind w:right="893" w:rightChars="425"/>
        <w:rPr>
          <w:color w:val="auto"/>
        </w:rPr>
      </w:pPr>
      <w:r>
        <w:rPr>
          <w:rFonts w:hint="eastAsia"/>
          <w:color w:val="auto"/>
        </w:rPr>
        <w:t>本企业对上述声明内容的真实性负责。如有虚假，将依法承担相应责任。</w:t>
      </w:r>
    </w:p>
    <w:p>
      <w:pPr>
        <w:tabs>
          <w:tab w:val="left" w:pos="8505"/>
          <w:tab w:val="left" w:pos="9214"/>
        </w:tabs>
        <w:ind w:right="893" w:rightChars="425"/>
        <w:rPr>
          <w:color w:val="auto"/>
        </w:rPr>
      </w:pPr>
    </w:p>
    <w:p>
      <w:pPr>
        <w:tabs>
          <w:tab w:val="left" w:pos="8505"/>
          <w:tab w:val="left" w:pos="9214"/>
        </w:tabs>
        <w:spacing w:before="100" w:beforeAutospacing="1" w:after="100" w:afterAutospacing="1"/>
        <w:ind w:right="893" w:rightChars="425"/>
        <w:rPr>
          <w:color w:val="auto"/>
        </w:rPr>
      </w:pPr>
      <w:r>
        <w:rPr>
          <w:rFonts w:hint="eastAsia"/>
          <w:color w:val="auto"/>
        </w:rPr>
        <w:t>企业名称（盖章）：</w:t>
      </w:r>
    </w:p>
    <w:p>
      <w:pPr>
        <w:tabs>
          <w:tab w:val="left" w:pos="8505"/>
          <w:tab w:val="left" w:pos="9214"/>
        </w:tabs>
        <w:spacing w:before="100" w:beforeAutospacing="1" w:after="100" w:afterAutospacing="1"/>
        <w:ind w:right="893" w:rightChars="425"/>
        <w:rPr>
          <w:color w:val="auto"/>
        </w:rPr>
      </w:pPr>
      <w:r>
        <w:rPr>
          <w:rFonts w:hint="eastAsia"/>
          <w:color w:val="auto"/>
        </w:rPr>
        <w:t>日   期：</w:t>
      </w:r>
    </w:p>
    <w:p>
      <w:pPr>
        <w:tabs>
          <w:tab w:val="left" w:pos="8505"/>
          <w:tab w:val="left" w:pos="9214"/>
        </w:tabs>
        <w:ind w:right="893" w:rightChars="425"/>
        <w:rPr>
          <w:color w:val="auto"/>
        </w:rPr>
      </w:pPr>
      <w:r>
        <w:rPr>
          <w:rFonts w:hint="eastAsia"/>
          <w:color w:val="auto"/>
        </w:rPr>
        <w:t>注：本项目参照“中小企业划型标准规定（工信部联企业〔2011〕300号）”中规定的划分方式，明确将本次所采购所列货物的所属行业划分为“工业”。供应商须认真核对格式提供的“中小企业划型标准规定（工信部联企业〔2011〕300号）”节选中规定的中小企业划型标准，根据所投内容，严格对照各行业划型标准如实填写声明函。</w:t>
      </w:r>
    </w:p>
    <w:p>
      <w:pPr>
        <w:tabs>
          <w:tab w:val="left" w:pos="8505"/>
          <w:tab w:val="left" w:pos="9214"/>
        </w:tabs>
        <w:ind w:right="893" w:rightChars="425"/>
        <w:rPr>
          <w:color w:val="auto"/>
        </w:rPr>
      </w:pPr>
      <w:r>
        <w:rPr>
          <w:rFonts w:hint="eastAsia"/>
          <w:color w:val="auto"/>
        </w:rPr>
        <w:t>注：从业人员、营业收入、资产总额填报上一年度数据，无上一年度数据的新成立企业可不填报。中标人的《小型/微型企业声明函》将随中标结果公告一并公布。</w:t>
      </w:r>
    </w:p>
    <w:p>
      <w:pPr>
        <w:tabs>
          <w:tab w:val="left" w:pos="8505"/>
          <w:tab w:val="left" w:pos="9214"/>
        </w:tabs>
        <w:ind w:right="893" w:rightChars="425"/>
        <w:rPr>
          <w:color w:val="auto"/>
        </w:rPr>
      </w:pPr>
      <w:r>
        <w:rPr>
          <w:rFonts w:hint="eastAsia"/>
          <w:color w:val="auto"/>
        </w:rPr>
        <w:t>以下情况将不予进行价格扣除：</w:t>
      </w:r>
    </w:p>
    <w:p>
      <w:pPr>
        <w:tabs>
          <w:tab w:val="left" w:pos="8505"/>
          <w:tab w:val="left" w:pos="9214"/>
        </w:tabs>
        <w:ind w:right="893" w:rightChars="425"/>
        <w:rPr>
          <w:color w:val="auto"/>
        </w:rPr>
      </w:pPr>
      <w:r>
        <w:rPr>
          <w:rFonts w:hint="eastAsia"/>
          <w:color w:val="auto"/>
        </w:rPr>
        <w:t>①供应商提供的货物既有小微企业制造的货物，也有非小微企业制造的货物。</w:t>
      </w:r>
    </w:p>
    <w:p>
      <w:pPr>
        <w:tabs>
          <w:tab w:val="left" w:pos="8505"/>
          <w:tab w:val="left" w:pos="9214"/>
        </w:tabs>
        <w:ind w:right="893" w:rightChars="425"/>
        <w:rPr>
          <w:color w:val="auto"/>
        </w:rPr>
      </w:pPr>
      <w:r>
        <w:rPr>
          <w:rFonts w:hint="eastAsia"/>
          <w:color w:val="auto"/>
        </w:rPr>
        <w:t>②未按招标文件明确的所属行业填写的。未按要求填写本“小微企业声明函”。</w:t>
      </w:r>
    </w:p>
    <w:p>
      <w:pPr>
        <w:tabs>
          <w:tab w:val="left" w:pos="8505"/>
          <w:tab w:val="left" w:pos="9214"/>
        </w:tabs>
        <w:ind w:right="893" w:rightChars="425"/>
        <w:rPr>
          <w:color w:val="auto"/>
        </w:rPr>
      </w:pPr>
      <w:r>
        <w:rPr>
          <w:rFonts w:hint="eastAsia"/>
          <w:color w:val="auto"/>
        </w:rPr>
        <w:t>③所声明的从业人员人数、营业收入金额或资产总额不符合小型或微型企业划型标准规定的。填写的内容不符合《政府采购促进中小企业发展管理办法》（财库﹝2020﹞46号）规定的。</w:t>
      </w:r>
    </w:p>
    <w:p>
      <w:pPr>
        <w:tabs>
          <w:tab w:val="left" w:pos="8505"/>
          <w:tab w:val="left" w:pos="9214"/>
        </w:tabs>
        <w:ind w:right="893" w:rightChars="425"/>
        <w:rPr>
          <w:color w:val="auto"/>
        </w:rPr>
      </w:pPr>
      <w:r>
        <w:rPr>
          <w:rFonts w:hint="eastAsia"/>
          <w:color w:val="auto"/>
        </w:rPr>
        <w:t>④供应商提供的货物由小微企业制造但使用了非小微企业商号或注册商标。</w:t>
      </w:r>
    </w:p>
    <w:p>
      <w:pPr>
        <w:spacing w:line="480" w:lineRule="auto"/>
        <w:ind w:left="699" w:leftChars="333" w:right="893" w:rightChars="425"/>
        <w:rPr>
          <w:rFonts w:ascii="仿宋" w:hAnsi="仿宋" w:eastAsia="仿宋" w:cs="仿宋"/>
          <w:color w:val="auto"/>
        </w:rPr>
      </w:pPr>
      <w:r>
        <w:rPr>
          <w:rFonts w:hint="eastAsia" w:ascii="仿宋" w:hAnsi="仿宋" w:eastAsia="仿宋" w:cs="仿宋"/>
          <w:color w:val="auto"/>
          <w:szCs w:val="11"/>
        </w:rPr>
        <w:br w:type="page"/>
      </w:r>
    </w:p>
    <w:p>
      <w:pPr>
        <w:pStyle w:val="3"/>
        <w:ind w:firstLine="562"/>
        <w:jc w:val="center"/>
        <w:rPr>
          <w:color w:val="auto"/>
          <w:sz w:val="28"/>
          <w:szCs w:val="28"/>
        </w:rPr>
      </w:pPr>
      <w:bookmarkStart w:id="65" w:name="_Toc8355"/>
      <w:r>
        <w:rPr>
          <w:rFonts w:hint="eastAsia"/>
          <w:color w:val="auto"/>
          <w:sz w:val="28"/>
          <w:szCs w:val="28"/>
        </w:rPr>
        <w:t>2.16残疾人福利性单位声明函</w:t>
      </w:r>
      <w:bookmarkEnd w:id="65"/>
    </w:p>
    <w:p>
      <w:pPr>
        <w:spacing w:line="560" w:lineRule="exact"/>
        <w:ind w:right="893" w:rightChars="425"/>
        <w:rPr>
          <w:color w:val="auto"/>
        </w:rPr>
      </w:pPr>
      <w:r>
        <w:rPr>
          <w:rFonts w:hint="eastAsia"/>
          <w:color w:val="auto"/>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u w:val="single"/>
        </w:rPr>
        <w:t xml:space="preserve">           </w:t>
      </w:r>
      <w:r>
        <w:rPr>
          <w:rFonts w:hint="eastAsia"/>
          <w:color w:val="auto"/>
        </w:rPr>
        <w:t>单位的</w:t>
      </w:r>
      <w:r>
        <w:rPr>
          <w:rFonts w:hint="eastAsia"/>
          <w:color w:val="auto"/>
          <w:u w:val="single"/>
        </w:rPr>
        <w:t xml:space="preserve">      </w:t>
      </w:r>
      <w:r>
        <w:rPr>
          <w:rFonts w:hint="eastAsia"/>
          <w:color w:val="auto"/>
        </w:rPr>
        <w:t>项目采购活动提供本单位制造的货物，或者提供其他残疾人福利性单位制造的货物（不包括使用非残疾人福利性单位注册商标的货物）。</w:t>
      </w:r>
    </w:p>
    <w:p>
      <w:pPr>
        <w:spacing w:line="560" w:lineRule="exact"/>
        <w:ind w:right="893" w:rightChars="425"/>
        <w:rPr>
          <w:color w:val="auto"/>
        </w:rPr>
      </w:pPr>
      <w:r>
        <w:rPr>
          <w:rFonts w:hint="eastAsia"/>
          <w:color w:val="auto"/>
        </w:rPr>
        <w:t>本单位对上述声明的真实性负责。如有虚假，将依法承担相应责任。</w:t>
      </w:r>
    </w:p>
    <w:p>
      <w:pPr>
        <w:spacing w:line="560" w:lineRule="exact"/>
        <w:ind w:right="893" w:rightChars="425"/>
        <w:rPr>
          <w:color w:val="auto"/>
          <w:szCs w:val="11"/>
        </w:rPr>
      </w:pPr>
    </w:p>
    <w:p>
      <w:pPr>
        <w:spacing w:line="560" w:lineRule="exact"/>
        <w:ind w:right="893" w:rightChars="425"/>
        <w:rPr>
          <w:color w:val="auto"/>
          <w:szCs w:val="11"/>
        </w:rPr>
      </w:pPr>
      <w:r>
        <w:rPr>
          <w:rFonts w:hint="eastAsia"/>
          <w:color w:val="auto"/>
          <w:szCs w:val="11"/>
        </w:rPr>
        <w:t>投标人全称（盖章）</w:t>
      </w:r>
      <w:r>
        <w:rPr>
          <w:rFonts w:hint="eastAsia"/>
          <w:color w:val="auto"/>
          <w:w w:val="95"/>
          <w:szCs w:val="13"/>
        </w:rPr>
        <w:t>：</w:t>
      </w:r>
      <w:r>
        <w:rPr>
          <w:rFonts w:hint="eastAsia"/>
          <w:color w:val="auto"/>
          <w:w w:val="95"/>
          <w:szCs w:val="13"/>
          <w:u w:val="single"/>
        </w:rPr>
        <w:t xml:space="preserve"> </w:t>
      </w:r>
      <w:r>
        <w:rPr>
          <w:rFonts w:hint="eastAsia"/>
          <w:color w:val="auto"/>
          <w:szCs w:val="13"/>
          <w:u w:val="single"/>
        </w:rPr>
        <w:t xml:space="preserve">                 </w:t>
      </w:r>
      <w:r>
        <w:rPr>
          <w:rFonts w:hint="eastAsia"/>
          <w:color w:val="auto"/>
          <w:szCs w:val="11"/>
        </w:rPr>
        <w:t xml:space="preserve"> </w:t>
      </w:r>
    </w:p>
    <w:p>
      <w:pPr>
        <w:spacing w:line="560" w:lineRule="exact"/>
        <w:ind w:right="893" w:rightChars="425"/>
        <w:rPr>
          <w:color w:val="auto"/>
          <w:szCs w:val="11"/>
          <w:u w:val="single"/>
        </w:rPr>
      </w:pPr>
      <w:r>
        <w:rPr>
          <w:rFonts w:hint="eastAsia"/>
          <w:color w:val="auto"/>
          <w:szCs w:val="11"/>
        </w:rPr>
        <w:t>法定代表人或授权代理人（签字或盖章）：</w:t>
      </w:r>
      <w:r>
        <w:rPr>
          <w:rFonts w:hint="eastAsia"/>
          <w:color w:val="auto"/>
          <w:szCs w:val="11"/>
          <w:u w:val="single"/>
        </w:rPr>
        <w:t xml:space="preserve">         </w:t>
      </w:r>
    </w:p>
    <w:p>
      <w:pPr>
        <w:spacing w:line="560" w:lineRule="exact"/>
        <w:ind w:right="893" w:rightChars="425"/>
        <w:rPr>
          <w:color w:val="auto"/>
          <w:szCs w:val="11"/>
        </w:rPr>
      </w:pPr>
      <w:r>
        <w:rPr>
          <w:rFonts w:hint="eastAsia"/>
          <w:color w:val="auto"/>
          <w:szCs w:val="11"/>
        </w:rPr>
        <w:t xml:space="preserve">日期： </w:t>
      </w:r>
      <w:r>
        <w:rPr>
          <w:rFonts w:hint="eastAsia"/>
          <w:color w:val="auto"/>
          <w:szCs w:val="11"/>
          <w:u w:val="single"/>
        </w:rPr>
        <w:t xml:space="preserve">      </w:t>
      </w:r>
      <w:r>
        <w:rPr>
          <w:rFonts w:hint="eastAsia"/>
          <w:color w:val="auto"/>
          <w:szCs w:val="11"/>
        </w:rPr>
        <w:t>年</w:t>
      </w:r>
      <w:r>
        <w:rPr>
          <w:rFonts w:hint="eastAsia"/>
          <w:color w:val="auto"/>
          <w:szCs w:val="11"/>
          <w:u w:val="single"/>
        </w:rPr>
        <w:t xml:space="preserve">    </w:t>
      </w:r>
      <w:r>
        <w:rPr>
          <w:rFonts w:hint="eastAsia"/>
          <w:color w:val="auto"/>
          <w:szCs w:val="11"/>
        </w:rPr>
        <w:t>月</w:t>
      </w:r>
      <w:r>
        <w:rPr>
          <w:rFonts w:hint="eastAsia"/>
          <w:color w:val="auto"/>
          <w:szCs w:val="11"/>
          <w:u w:val="single"/>
        </w:rPr>
        <w:t xml:space="preserve">     </w:t>
      </w:r>
      <w:r>
        <w:rPr>
          <w:rFonts w:hint="eastAsia"/>
          <w:color w:val="auto"/>
          <w:szCs w:val="11"/>
        </w:rPr>
        <w:t>日</w:t>
      </w:r>
    </w:p>
    <w:p>
      <w:pPr>
        <w:ind w:right="893" w:rightChars="425"/>
        <w:rPr>
          <w:color w:val="auto"/>
        </w:rPr>
      </w:pPr>
    </w:p>
    <w:p>
      <w:pPr>
        <w:pStyle w:val="12"/>
        <w:ind w:right="893" w:rightChars="425"/>
        <w:rPr>
          <w:rFonts w:ascii="宋体" w:hAnsi="宋体"/>
          <w:color w:val="auto"/>
        </w:rPr>
      </w:pPr>
    </w:p>
    <w:p>
      <w:pPr>
        <w:ind w:right="893" w:rightChars="425"/>
        <w:rPr>
          <w:color w:val="auto"/>
        </w:rPr>
      </w:pPr>
    </w:p>
    <w:p>
      <w:pPr>
        <w:spacing w:line="480" w:lineRule="auto"/>
        <w:ind w:right="893" w:rightChars="425" w:firstLine="422"/>
        <w:rPr>
          <w:b/>
          <w:bCs/>
          <w:color w:val="auto"/>
        </w:rPr>
      </w:pPr>
      <w:r>
        <w:rPr>
          <w:rFonts w:hint="eastAsia"/>
          <w:b/>
          <w:bCs/>
          <w:color w:val="auto"/>
        </w:rPr>
        <w:t>注：符合条件的残疾人福利性单位在参加政府采购活动时，应当按 《三部门联合发布关于促进残疾人就业政府采购政策的通知》（财库〔2017〕141号）提供规定的《残疾人福利性单位声明函》，并对声明的真实性负责。</w:t>
      </w:r>
    </w:p>
    <w:p>
      <w:pPr>
        <w:ind w:left="699" w:leftChars="333" w:right="893" w:rightChars="425"/>
        <w:rPr>
          <w:rFonts w:ascii="仿宋" w:hAnsi="仿宋" w:eastAsia="仿宋" w:cs="仿宋"/>
          <w:color w:val="auto"/>
          <w:szCs w:val="13"/>
        </w:rPr>
      </w:pPr>
      <w:r>
        <w:rPr>
          <w:rFonts w:hint="eastAsia" w:ascii="仿宋" w:hAnsi="仿宋" w:eastAsia="仿宋" w:cs="仿宋"/>
          <w:color w:val="auto"/>
          <w:szCs w:val="13"/>
        </w:rPr>
        <w:br w:type="page"/>
      </w:r>
    </w:p>
    <w:p>
      <w:pPr>
        <w:pStyle w:val="3"/>
        <w:ind w:firstLine="562"/>
        <w:jc w:val="center"/>
        <w:rPr>
          <w:color w:val="auto"/>
          <w:sz w:val="28"/>
          <w:szCs w:val="28"/>
        </w:rPr>
      </w:pPr>
      <w:bookmarkStart w:id="66" w:name="_Toc26054"/>
      <w:r>
        <w:rPr>
          <w:rFonts w:hint="eastAsia"/>
          <w:color w:val="auto"/>
          <w:sz w:val="28"/>
          <w:szCs w:val="28"/>
        </w:rPr>
        <w:t>2.17监狱企业证明文件</w:t>
      </w:r>
      <w:bookmarkEnd w:id="66"/>
    </w:p>
    <w:p>
      <w:pPr>
        <w:spacing w:line="480" w:lineRule="auto"/>
        <w:ind w:right="893" w:rightChars="425"/>
        <w:rPr>
          <w:color w:val="auto"/>
          <w:szCs w:val="11"/>
        </w:rPr>
      </w:pPr>
      <w:r>
        <w:rPr>
          <w:rFonts w:hint="eastAsia"/>
          <w:color w:val="auto"/>
          <w:szCs w:val="11"/>
        </w:rPr>
        <w:t>根据《财政部 司法部关于政府采购支持监狱企业发展有关问题的通知》（财库〔2014〕68 号） 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480" w:lineRule="auto"/>
        <w:ind w:right="893" w:rightChars="425"/>
        <w:rPr>
          <w:color w:val="auto"/>
        </w:rPr>
      </w:pPr>
      <w:r>
        <w:rPr>
          <w:rFonts w:hint="eastAsia"/>
          <w:color w:val="auto"/>
          <w:szCs w:val="11"/>
        </w:rPr>
        <w:t>监狱企业参加政府采购活动时，应当提供由省级以上监狱管理局、戒毒管理局（含新疆生产建设兵团）出具的属于监狱企业的证明文件</w:t>
      </w:r>
      <w:r>
        <w:rPr>
          <w:rFonts w:hint="eastAsia"/>
          <w:color w:val="auto"/>
        </w:rPr>
        <w:t>。</w:t>
      </w:r>
    </w:p>
    <w:p>
      <w:pPr>
        <w:ind w:firstLine="640"/>
        <w:rPr>
          <w:color w:val="auto"/>
        </w:rPr>
      </w:pPr>
      <w:r>
        <w:rPr>
          <w:rFonts w:hint="eastAsia" w:ascii="仿宋" w:hAnsi="仿宋" w:eastAsia="仿宋" w:cs="仿宋"/>
          <w:color w:val="auto"/>
          <w:sz w:val="32"/>
          <w:szCs w:val="28"/>
        </w:rPr>
        <w:br w:type="page"/>
      </w:r>
    </w:p>
    <w:bookmarkEnd w:id="44"/>
    <w:bookmarkEnd w:id="45"/>
    <w:bookmarkEnd w:id="46"/>
    <w:bookmarkEnd w:id="47"/>
    <w:bookmarkEnd w:id="48"/>
    <w:bookmarkEnd w:id="49"/>
    <w:bookmarkEnd w:id="50"/>
    <w:bookmarkEnd w:id="51"/>
    <w:bookmarkEnd w:id="52"/>
    <w:bookmarkEnd w:id="53"/>
    <w:bookmarkEnd w:id="54"/>
    <w:bookmarkEnd w:id="55"/>
    <w:bookmarkEnd w:id="56"/>
    <w:p>
      <w:pPr>
        <w:pStyle w:val="3"/>
        <w:ind w:firstLine="562"/>
        <w:jc w:val="center"/>
        <w:rPr>
          <w:color w:val="auto"/>
          <w:sz w:val="28"/>
          <w:szCs w:val="28"/>
        </w:rPr>
      </w:pPr>
      <w:bookmarkStart w:id="67" w:name="_Toc13369"/>
      <w:r>
        <w:rPr>
          <w:rFonts w:hint="eastAsia"/>
          <w:color w:val="auto"/>
          <w:sz w:val="28"/>
          <w:szCs w:val="28"/>
        </w:rPr>
        <w:t>2.18投标人认为资格条件需提交的其他资料</w:t>
      </w:r>
      <w:bookmarkEnd w:id="67"/>
    </w:p>
    <w:p>
      <w:pPr>
        <w:adjustRightInd/>
        <w:snapToGrid/>
        <w:ind w:firstLine="560"/>
        <w:rPr>
          <w:color w:val="auto"/>
          <w:sz w:val="28"/>
          <w:szCs w:val="28"/>
        </w:rPr>
      </w:pPr>
      <w:r>
        <w:rPr>
          <w:rFonts w:hint="eastAsia"/>
          <w:color w:val="auto"/>
          <w:sz w:val="28"/>
          <w:szCs w:val="28"/>
        </w:rPr>
        <w:br w:type="page"/>
      </w:r>
    </w:p>
    <w:p>
      <w:pPr>
        <w:pStyle w:val="3"/>
        <w:numPr>
          <w:ilvl w:val="0"/>
          <w:numId w:val="5"/>
        </w:numPr>
        <w:ind w:firstLine="643"/>
        <w:jc w:val="center"/>
        <w:rPr>
          <w:color w:val="auto"/>
          <w:sz w:val="32"/>
          <w:szCs w:val="32"/>
        </w:rPr>
      </w:pPr>
      <w:bookmarkStart w:id="68" w:name="_Toc9018"/>
      <w:r>
        <w:rPr>
          <w:rFonts w:hint="eastAsia"/>
          <w:color w:val="auto"/>
          <w:sz w:val="32"/>
          <w:szCs w:val="32"/>
        </w:rPr>
        <w:t>商务部分</w:t>
      </w:r>
      <w:bookmarkEnd w:id="68"/>
    </w:p>
    <w:p>
      <w:pPr>
        <w:pStyle w:val="3"/>
        <w:ind w:firstLine="562"/>
        <w:jc w:val="center"/>
        <w:rPr>
          <w:rFonts w:ascii="仿宋" w:hAnsi="仿宋" w:eastAsia="仿宋" w:cs="仿宋"/>
          <w:color w:val="auto"/>
          <w:sz w:val="28"/>
          <w:szCs w:val="28"/>
        </w:rPr>
      </w:pPr>
      <w:bookmarkStart w:id="69" w:name="_Toc27477"/>
      <w:r>
        <w:rPr>
          <w:rFonts w:hint="eastAsia" w:ascii="仿宋" w:hAnsi="仿宋" w:eastAsia="仿宋" w:cs="仿宋"/>
          <w:color w:val="auto"/>
          <w:sz w:val="28"/>
          <w:szCs w:val="28"/>
        </w:rPr>
        <w:t>3.1 商务条款偏离表</w:t>
      </w:r>
      <w:bookmarkEnd w:id="69"/>
    </w:p>
    <w:p>
      <w:pPr>
        <w:ind w:left="420" w:leftChars="200" w:firstLine="0" w:firstLineChars="0"/>
        <w:rPr>
          <w:color w:val="auto"/>
        </w:rPr>
      </w:pPr>
    </w:p>
    <w:tbl>
      <w:tblPr>
        <w:tblStyle w:val="26"/>
        <w:tblW w:w="911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82"/>
        <w:gridCol w:w="3379"/>
        <w:gridCol w:w="1304"/>
        <w:gridCol w:w="1045"/>
        <w:gridCol w:w="130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1" w:hRule="atLeast"/>
          <w:jc w:val="center"/>
        </w:trPr>
        <w:tc>
          <w:tcPr>
            <w:tcW w:w="2082" w:type="dxa"/>
            <w:vAlign w:val="center"/>
          </w:tcPr>
          <w:p>
            <w:pPr>
              <w:widowControl w:val="0"/>
              <w:ind w:firstLine="0" w:firstLineChars="0"/>
              <w:jc w:val="center"/>
              <w:rPr>
                <w:rFonts w:ascii="Times New Roman" w:hAnsi="Times New Roman" w:cs="Times New Roman"/>
                <w:color w:val="auto"/>
                <w:kern w:val="2"/>
                <w:szCs w:val="24"/>
              </w:rPr>
            </w:pPr>
            <w:r>
              <w:rPr>
                <w:rFonts w:ascii="Times New Roman" w:hAnsi="Times New Roman" w:cs="Times New Roman"/>
                <w:color w:val="auto"/>
                <w:kern w:val="2"/>
                <w:szCs w:val="24"/>
              </w:rPr>
              <w:t>招标文件条目号</w:t>
            </w:r>
          </w:p>
        </w:tc>
        <w:tc>
          <w:tcPr>
            <w:tcW w:w="3379" w:type="dxa"/>
            <w:vAlign w:val="center"/>
          </w:tcPr>
          <w:p>
            <w:pPr>
              <w:widowControl w:val="0"/>
              <w:ind w:firstLine="0" w:firstLineChars="0"/>
              <w:jc w:val="center"/>
              <w:rPr>
                <w:rFonts w:ascii="Times New Roman" w:hAnsi="Times New Roman" w:cs="Times New Roman"/>
                <w:color w:val="auto"/>
                <w:kern w:val="2"/>
                <w:szCs w:val="24"/>
              </w:rPr>
            </w:pPr>
            <w:r>
              <w:rPr>
                <w:rFonts w:ascii="Times New Roman" w:hAnsi="Times New Roman" w:cs="Times New Roman"/>
                <w:color w:val="auto"/>
                <w:kern w:val="2"/>
                <w:szCs w:val="24"/>
              </w:rPr>
              <w:t>招标文件的商务、合同条款</w:t>
            </w:r>
          </w:p>
        </w:tc>
        <w:tc>
          <w:tcPr>
            <w:tcW w:w="1304" w:type="dxa"/>
            <w:vAlign w:val="center"/>
          </w:tcPr>
          <w:p>
            <w:pPr>
              <w:widowControl w:val="0"/>
              <w:ind w:firstLine="0" w:firstLineChars="0"/>
              <w:jc w:val="center"/>
              <w:rPr>
                <w:rFonts w:ascii="Times New Roman" w:hAnsi="Times New Roman" w:cs="Times New Roman"/>
                <w:color w:val="auto"/>
                <w:kern w:val="2"/>
                <w:szCs w:val="24"/>
              </w:rPr>
            </w:pPr>
            <w:r>
              <w:rPr>
                <w:rFonts w:hint="eastAsia" w:ascii="Times New Roman" w:hAnsi="Times New Roman" w:cs="Times New Roman"/>
                <w:color w:val="auto"/>
                <w:kern w:val="2"/>
                <w:szCs w:val="24"/>
              </w:rPr>
              <w:t>完全</w:t>
            </w:r>
            <w:r>
              <w:rPr>
                <w:rFonts w:ascii="Times New Roman" w:hAnsi="Times New Roman" w:cs="Times New Roman"/>
                <w:color w:val="auto"/>
                <w:kern w:val="2"/>
                <w:szCs w:val="24"/>
              </w:rPr>
              <w:t>响应</w:t>
            </w:r>
          </w:p>
        </w:tc>
        <w:tc>
          <w:tcPr>
            <w:tcW w:w="1045" w:type="dxa"/>
            <w:vAlign w:val="center"/>
          </w:tcPr>
          <w:p>
            <w:pPr>
              <w:widowControl w:val="0"/>
              <w:ind w:firstLine="0" w:firstLineChars="0"/>
              <w:jc w:val="center"/>
              <w:rPr>
                <w:rFonts w:ascii="Times New Roman" w:hAnsi="Times New Roman" w:cs="Times New Roman"/>
                <w:color w:val="auto"/>
                <w:kern w:val="2"/>
                <w:szCs w:val="24"/>
              </w:rPr>
            </w:pPr>
            <w:r>
              <w:rPr>
                <w:rFonts w:hint="eastAsia" w:ascii="Times New Roman" w:hAnsi="Times New Roman" w:cs="Times New Roman"/>
                <w:color w:val="auto"/>
                <w:kern w:val="2"/>
                <w:szCs w:val="24"/>
              </w:rPr>
              <w:t>有偏离</w:t>
            </w:r>
          </w:p>
        </w:tc>
        <w:tc>
          <w:tcPr>
            <w:tcW w:w="1304" w:type="dxa"/>
            <w:vAlign w:val="center"/>
          </w:tcPr>
          <w:p>
            <w:pPr>
              <w:widowControl w:val="0"/>
              <w:ind w:firstLine="0" w:firstLineChars="0"/>
              <w:jc w:val="center"/>
              <w:rPr>
                <w:rFonts w:ascii="Times New Roman" w:hAnsi="Times New Roman" w:cs="Times New Roman"/>
                <w:color w:val="auto"/>
                <w:kern w:val="2"/>
                <w:szCs w:val="24"/>
              </w:rPr>
            </w:pPr>
            <w:r>
              <w:rPr>
                <w:rFonts w:ascii="Times New Roman" w:hAnsi="Times New Roman" w:cs="Times New Roman"/>
                <w:color w:val="auto"/>
                <w:kern w:val="2"/>
                <w:szCs w:val="24"/>
              </w:rPr>
              <w:t>偏离</w:t>
            </w:r>
            <w:r>
              <w:rPr>
                <w:rFonts w:hint="eastAsia" w:ascii="Times New Roman" w:hAnsi="Times New Roman" w:cs="Times New Roman"/>
                <w:color w:val="auto"/>
                <w:kern w:val="2"/>
                <w:szCs w:val="24"/>
              </w:rPr>
              <w:t>描述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9" w:hRule="atLeast"/>
          <w:jc w:val="center"/>
        </w:trPr>
        <w:tc>
          <w:tcPr>
            <w:tcW w:w="2082" w:type="dxa"/>
            <w:vAlign w:val="center"/>
          </w:tcPr>
          <w:p>
            <w:pPr>
              <w:widowControl w:val="0"/>
              <w:ind w:firstLine="0" w:firstLineChars="0"/>
              <w:jc w:val="center"/>
              <w:rPr>
                <w:rFonts w:ascii="Times New Roman" w:hAnsi="Times New Roman" w:cs="Times New Roman"/>
                <w:color w:val="auto"/>
                <w:kern w:val="2"/>
                <w:szCs w:val="24"/>
              </w:rPr>
            </w:pPr>
          </w:p>
        </w:tc>
        <w:tc>
          <w:tcPr>
            <w:tcW w:w="3379" w:type="dxa"/>
            <w:vAlign w:val="center"/>
          </w:tcPr>
          <w:p>
            <w:pPr>
              <w:widowControl w:val="0"/>
              <w:ind w:firstLine="0" w:firstLineChars="0"/>
              <w:jc w:val="center"/>
              <w:rPr>
                <w:rFonts w:ascii="Times New Roman" w:hAnsi="Times New Roman" w:cs="Times New Roman"/>
                <w:color w:val="auto"/>
                <w:kern w:val="2"/>
                <w:szCs w:val="24"/>
              </w:rPr>
            </w:pPr>
          </w:p>
        </w:tc>
        <w:tc>
          <w:tcPr>
            <w:tcW w:w="1304" w:type="dxa"/>
            <w:vAlign w:val="center"/>
          </w:tcPr>
          <w:p>
            <w:pPr>
              <w:widowControl w:val="0"/>
              <w:ind w:firstLine="0" w:firstLineChars="0"/>
              <w:jc w:val="center"/>
              <w:rPr>
                <w:rFonts w:ascii="Times New Roman" w:hAnsi="Times New Roman" w:cs="Times New Roman"/>
                <w:color w:val="auto"/>
                <w:kern w:val="2"/>
                <w:szCs w:val="24"/>
              </w:rPr>
            </w:pPr>
          </w:p>
        </w:tc>
        <w:tc>
          <w:tcPr>
            <w:tcW w:w="1045" w:type="dxa"/>
            <w:vAlign w:val="center"/>
          </w:tcPr>
          <w:p>
            <w:pPr>
              <w:widowControl w:val="0"/>
              <w:ind w:firstLine="0" w:firstLineChars="0"/>
              <w:jc w:val="center"/>
              <w:rPr>
                <w:rFonts w:ascii="Times New Roman" w:hAnsi="Times New Roman" w:cs="Times New Roman"/>
                <w:color w:val="auto"/>
                <w:kern w:val="2"/>
                <w:szCs w:val="24"/>
              </w:rPr>
            </w:pPr>
          </w:p>
        </w:tc>
        <w:tc>
          <w:tcPr>
            <w:tcW w:w="1304" w:type="dxa"/>
            <w:vAlign w:val="center"/>
          </w:tcPr>
          <w:p>
            <w:pPr>
              <w:widowControl w:val="0"/>
              <w:ind w:firstLine="0" w:firstLineChars="0"/>
              <w:jc w:val="center"/>
              <w:rPr>
                <w:rFonts w:ascii="Times New Roman" w:hAnsi="Times New Roman" w:cs="Times New Roman"/>
                <w:color w:val="auto"/>
                <w:kern w:val="2"/>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82" w:type="dxa"/>
            <w:vAlign w:val="center"/>
          </w:tcPr>
          <w:p>
            <w:pPr>
              <w:widowControl w:val="0"/>
              <w:ind w:firstLine="0" w:firstLineChars="0"/>
              <w:jc w:val="center"/>
              <w:rPr>
                <w:rFonts w:ascii="Times New Roman" w:hAnsi="Times New Roman" w:cs="Times New Roman"/>
                <w:color w:val="auto"/>
                <w:kern w:val="2"/>
                <w:szCs w:val="24"/>
              </w:rPr>
            </w:pPr>
          </w:p>
        </w:tc>
        <w:tc>
          <w:tcPr>
            <w:tcW w:w="3379" w:type="dxa"/>
            <w:vAlign w:val="center"/>
          </w:tcPr>
          <w:p>
            <w:pPr>
              <w:widowControl w:val="0"/>
              <w:ind w:firstLine="0" w:firstLineChars="0"/>
              <w:jc w:val="center"/>
              <w:rPr>
                <w:rFonts w:ascii="Times New Roman" w:hAnsi="Times New Roman" w:cs="Times New Roman"/>
                <w:color w:val="auto"/>
                <w:kern w:val="2"/>
                <w:szCs w:val="24"/>
              </w:rPr>
            </w:pPr>
          </w:p>
        </w:tc>
        <w:tc>
          <w:tcPr>
            <w:tcW w:w="1304" w:type="dxa"/>
            <w:vAlign w:val="center"/>
          </w:tcPr>
          <w:p>
            <w:pPr>
              <w:widowControl w:val="0"/>
              <w:ind w:firstLine="0" w:firstLineChars="0"/>
              <w:jc w:val="center"/>
              <w:rPr>
                <w:rFonts w:ascii="Times New Roman" w:hAnsi="Times New Roman" w:cs="Times New Roman"/>
                <w:color w:val="auto"/>
                <w:kern w:val="2"/>
                <w:szCs w:val="24"/>
              </w:rPr>
            </w:pPr>
          </w:p>
        </w:tc>
        <w:tc>
          <w:tcPr>
            <w:tcW w:w="1045" w:type="dxa"/>
            <w:vAlign w:val="center"/>
          </w:tcPr>
          <w:p>
            <w:pPr>
              <w:widowControl w:val="0"/>
              <w:ind w:firstLine="0" w:firstLineChars="0"/>
              <w:jc w:val="center"/>
              <w:rPr>
                <w:rFonts w:ascii="Times New Roman" w:hAnsi="Times New Roman" w:cs="Times New Roman"/>
                <w:color w:val="auto"/>
                <w:kern w:val="2"/>
                <w:szCs w:val="24"/>
              </w:rPr>
            </w:pPr>
          </w:p>
        </w:tc>
        <w:tc>
          <w:tcPr>
            <w:tcW w:w="1304" w:type="dxa"/>
            <w:vAlign w:val="center"/>
          </w:tcPr>
          <w:p>
            <w:pPr>
              <w:widowControl w:val="0"/>
              <w:ind w:firstLine="0" w:firstLineChars="0"/>
              <w:jc w:val="center"/>
              <w:rPr>
                <w:rFonts w:ascii="Times New Roman" w:hAnsi="Times New Roman" w:cs="Times New Roman"/>
                <w:color w:val="auto"/>
                <w:kern w:val="2"/>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82" w:type="dxa"/>
            <w:vAlign w:val="center"/>
          </w:tcPr>
          <w:p>
            <w:pPr>
              <w:widowControl w:val="0"/>
              <w:ind w:firstLine="0" w:firstLineChars="0"/>
              <w:jc w:val="center"/>
              <w:rPr>
                <w:rFonts w:ascii="Times New Roman" w:hAnsi="Times New Roman" w:cs="Times New Roman"/>
                <w:color w:val="auto"/>
                <w:kern w:val="2"/>
                <w:szCs w:val="24"/>
              </w:rPr>
            </w:pPr>
          </w:p>
        </w:tc>
        <w:tc>
          <w:tcPr>
            <w:tcW w:w="3379" w:type="dxa"/>
            <w:vAlign w:val="center"/>
          </w:tcPr>
          <w:p>
            <w:pPr>
              <w:widowControl w:val="0"/>
              <w:ind w:firstLine="0" w:firstLineChars="0"/>
              <w:jc w:val="center"/>
              <w:rPr>
                <w:rFonts w:ascii="Times New Roman" w:hAnsi="Times New Roman" w:cs="Times New Roman"/>
                <w:color w:val="auto"/>
                <w:kern w:val="2"/>
                <w:szCs w:val="24"/>
              </w:rPr>
            </w:pPr>
          </w:p>
        </w:tc>
        <w:tc>
          <w:tcPr>
            <w:tcW w:w="1304" w:type="dxa"/>
            <w:vAlign w:val="center"/>
          </w:tcPr>
          <w:p>
            <w:pPr>
              <w:widowControl w:val="0"/>
              <w:ind w:firstLine="0" w:firstLineChars="0"/>
              <w:jc w:val="center"/>
              <w:rPr>
                <w:rFonts w:ascii="Times New Roman" w:hAnsi="Times New Roman" w:cs="Times New Roman"/>
                <w:color w:val="auto"/>
                <w:kern w:val="2"/>
                <w:szCs w:val="24"/>
              </w:rPr>
            </w:pPr>
          </w:p>
        </w:tc>
        <w:tc>
          <w:tcPr>
            <w:tcW w:w="1045" w:type="dxa"/>
            <w:vAlign w:val="center"/>
          </w:tcPr>
          <w:p>
            <w:pPr>
              <w:widowControl w:val="0"/>
              <w:ind w:firstLine="0" w:firstLineChars="0"/>
              <w:jc w:val="center"/>
              <w:rPr>
                <w:rFonts w:ascii="Times New Roman" w:hAnsi="Times New Roman" w:cs="Times New Roman"/>
                <w:color w:val="auto"/>
                <w:kern w:val="2"/>
                <w:szCs w:val="24"/>
              </w:rPr>
            </w:pPr>
          </w:p>
        </w:tc>
        <w:tc>
          <w:tcPr>
            <w:tcW w:w="1304" w:type="dxa"/>
            <w:vAlign w:val="center"/>
          </w:tcPr>
          <w:p>
            <w:pPr>
              <w:widowControl w:val="0"/>
              <w:ind w:firstLine="0" w:firstLineChars="0"/>
              <w:jc w:val="center"/>
              <w:rPr>
                <w:rFonts w:ascii="Times New Roman" w:hAnsi="Times New Roman" w:cs="Times New Roman"/>
                <w:color w:val="auto"/>
                <w:kern w:val="2"/>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82" w:type="dxa"/>
            <w:vAlign w:val="center"/>
          </w:tcPr>
          <w:p>
            <w:pPr>
              <w:widowControl w:val="0"/>
              <w:ind w:firstLine="0" w:firstLineChars="0"/>
              <w:jc w:val="center"/>
              <w:rPr>
                <w:rFonts w:ascii="Times New Roman" w:hAnsi="Times New Roman" w:cs="Times New Roman"/>
                <w:color w:val="auto"/>
                <w:kern w:val="2"/>
                <w:szCs w:val="24"/>
              </w:rPr>
            </w:pPr>
          </w:p>
        </w:tc>
        <w:tc>
          <w:tcPr>
            <w:tcW w:w="3379" w:type="dxa"/>
            <w:vAlign w:val="center"/>
          </w:tcPr>
          <w:p>
            <w:pPr>
              <w:widowControl w:val="0"/>
              <w:ind w:firstLine="0" w:firstLineChars="0"/>
              <w:jc w:val="center"/>
              <w:rPr>
                <w:rFonts w:ascii="Times New Roman" w:hAnsi="Times New Roman" w:cs="Times New Roman"/>
                <w:color w:val="auto"/>
                <w:kern w:val="2"/>
                <w:szCs w:val="24"/>
              </w:rPr>
            </w:pPr>
          </w:p>
        </w:tc>
        <w:tc>
          <w:tcPr>
            <w:tcW w:w="1304" w:type="dxa"/>
            <w:vAlign w:val="center"/>
          </w:tcPr>
          <w:p>
            <w:pPr>
              <w:widowControl w:val="0"/>
              <w:ind w:firstLine="0" w:firstLineChars="0"/>
              <w:jc w:val="center"/>
              <w:rPr>
                <w:rFonts w:ascii="Times New Roman" w:hAnsi="Times New Roman" w:cs="Times New Roman"/>
                <w:color w:val="auto"/>
                <w:kern w:val="2"/>
                <w:szCs w:val="24"/>
              </w:rPr>
            </w:pPr>
          </w:p>
        </w:tc>
        <w:tc>
          <w:tcPr>
            <w:tcW w:w="1045" w:type="dxa"/>
            <w:vAlign w:val="center"/>
          </w:tcPr>
          <w:p>
            <w:pPr>
              <w:widowControl w:val="0"/>
              <w:ind w:firstLine="0" w:firstLineChars="0"/>
              <w:jc w:val="center"/>
              <w:rPr>
                <w:rFonts w:ascii="Times New Roman" w:hAnsi="Times New Roman" w:cs="Times New Roman"/>
                <w:color w:val="auto"/>
                <w:kern w:val="2"/>
                <w:szCs w:val="24"/>
              </w:rPr>
            </w:pPr>
          </w:p>
        </w:tc>
        <w:tc>
          <w:tcPr>
            <w:tcW w:w="1304" w:type="dxa"/>
            <w:vAlign w:val="center"/>
          </w:tcPr>
          <w:p>
            <w:pPr>
              <w:widowControl w:val="0"/>
              <w:ind w:firstLine="0" w:firstLineChars="0"/>
              <w:jc w:val="center"/>
              <w:rPr>
                <w:rFonts w:ascii="Times New Roman" w:hAnsi="Times New Roman" w:cs="Times New Roman"/>
                <w:color w:val="auto"/>
                <w:kern w:val="2"/>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82" w:type="dxa"/>
            <w:vAlign w:val="center"/>
          </w:tcPr>
          <w:p>
            <w:pPr>
              <w:widowControl w:val="0"/>
              <w:ind w:firstLine="0" w:firstLineChars="0"/>
              <w:jc w:val="center"/>
              <w:rPr>
                <w:rFonts w:ascii="Times New Roman" w:hAnsi="Times New Roman" w:cs="Times New Roman"/>
                <w:color w:val="auto"/>
                <w:kern w:val="2"/>
              </w:rPr>
            </w:pPr>
          </w:p>
        </w:tc>
        <w:tc>
          <w:tcPr>
            <w:tcW w:w="3379" w:type="dxa"/>
            <w:vAlign w:val="center"/>
          </w:tcPr>
          <w:p>
            <w:pPr>
              <w:widowControl w:val="0"/>
              <w:ind w:firstLine="0" w:firstLineChars="0"/>
              <w:jc w:val="center"/>
              <w:rPr>
                <w:rFonts w:ascii="Times New Roman" w:hAnsi="Times New Roman" w:cs="Times New Roman"/>
                <w:color w:val="auto"/>
                <w:kern w:val="2"/>
              </w:rPr>
            </w:pPr>
          </w:p>
        </w:tc>
        <w:tc>
          <w:tcPr>
            <w:tcW w:w="1304" w:type="dxa"/>
            <w:vAlign w:val="center"/>
          </w:tcPr>
          <w:p>
            <w:pPr>
              <w:widowControl w:val="0"/>
              <w:ind w:firstLine="0" w:firstLineChars="0"/>
              <w:jc w:val="center"/>
              <w:rPr>
                <w:rFonts w:ascii="Times New Roman" w:hAnsi="Times New Roman" w:cs="Times New Roman"/>
                <w:color w:val="auto"/>
                <w:kern w:val="2"/>
                <w:szCs w:val="24"/>
              </w:rPr>
            </w:pPr>
          </w:p>
        </w:tc>
        <w:tc>
          <w:tcPr>
            <w:tcW w:w="1045" w:type="dxa"/>
            <w:vAlign w:val="center"/>
          </w:tcPr>
          <w:p>
            <w:pPr>
              <w:widowControl w:val="0"/>
              <w:ind w:firstLine="0" w:firstLineChars="0"/>
              <w:jc w:val="center"/>
              <w:rPr>
                <w:rFonts w:ascii="Times New Roman" w:hAnsi="Times New Roman" w:cs="Times New Roman"/>
                <w:color w:val="auto"/>
                <w:kern w:val="2"/>
                <w:szCs w:val="24"/>
              </w:rPr>
            </w:pPr>
          </w:p>
        </w:tc>
        <w:tc>
          <w:tcPr>
            <w:tcW w:w="1304" w:type="dxa"/>
            <w:vAlign w:val="center"/>
          </w:tcPr>
          <w:p>
            <w:pPr>
              <w:widowControl w:val="0"/>
              <w:ind w:firstLine="0" w:firstLineChars="0"/>
              <w:jc w:val="center"/>
              <w:rPr>
                <w:rFonts w:ascii="Times New Roman" w:hAnsi="Times New Roman" w:cs="Times New Roman"/>
                <w:color w:val="auto"/>
                <w:kern w:val="2"/>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82" w:type="dxa"/>
            <w:vAlign w:val="center"/>
          </w:tcPr>
          <w:p>
            <w:pPr>
              <w:widowControl w:val="0"/>
              <w:ind w:firstLine="0" w:firstLineChars="0"/>
              <w:jc w:val="center"/>
              <w:rPr>
                <w:rFonts w:ascii="Times New Roman" w:hAnsi="Times New Roman" w:cs="Times New Roman"/>
                <w:color w:val="auto"/>
                <w:kern w:val="2"/>
              </w:rPr>
            </w:pPr>
            <w:r>
              <w:rPr>
                <w:rFonts w:hint="eastAsia" w:ascii="Times New Roman" w:hAnsi="Times New Roman" w:cs="Times New Roman"/>
                <w:color w:val="auto"/>
                <w:kern w:val="2"/>
              </w:rPr>
              <w:t>……</w:t>
            </w:r>
          </w:p>
        </w:tc>
        <w:tc>
          <w:tcPr>
            <w:tcW w:w="3379" w:type="dxa"/>
            <w:vAlign w:val="center"/>
          </w:tcPr>
          <w:p>
            <w:pPr>
              <w:widowControl w:val="0"/>
              <w:ind w:firstLine="0" w:firstLineChars="0"/>
              <w:jc w:val="center"/>
              <w:rPr>
                <w:rFonts w:ascii="Times New Roman" w:hAnsi="Times New Roman" w:cs="Times New Roman"/>
                <w:color w:val="auto"/>
                <w:kern w:val="2"/>
              </w:rPr>
            </w:pPr>
            <w:r>
              <w:rPr>
                <w:rFonts w:hint="eastAsia" w:ascii="Times New Roman" w:hAnsi="Times New Roman" w:cs="Times New Roman"/>
                <w:color w:val="auto"/>
                <w:kern w:val="2"/>
              </w:rPr>
              <w:t>……</w:t>
            </w:r>
          </w:p>
        </w:tc>
        <w:tc>
          <w:tcPr>
            <w:tcW w:w="1304" w:type="dxa"/>
            <w:vAlign w:val="center"/>
          </w:tcPr>
          <w:p>
            <w:pPr>
              <w:widowControl w:val="0"/>
              <w:ind w:firstLine="0" w:firstLineChars="0"/>
              <w:jc w:val="center"/>
              <w:rPr>
                <w:rFonts w:ascii="Times New Roman" w:hAnsi="Times New Roman" w:cs="Times New Roman"/>
                <w:color w:val="auto"/>
                <w:kern w:val="2"/>
                <w:szCs w:val="24"/>
              </w:rPr>
            </w:pPr>
          </w:p>
        </w:tc>
        <w:tc>
          <w:tcPr>
            <w:tcW w:w="1045" w:type="dxa"/>
            <w:vAlign w:val="center"/>
          </w:tcPr>
          <w:p>
            <w:pPr>
              <w:widowControl w:val="0"/>
              <w:ind w:firstLine="0" w:firstLineChars="0"/>
              <w:jc w:val="center"/>
              <w:rPr>
                <w:rFonts w:ascii="Times New Roman" w:hAnsi="Times New Roman" w:cs="Times New Roman"/>
                <w:color w:val="auto"/>
                <w:kern w:val="2"/>
                <w:szCs w:val="24"/>
              </w:rPr>
            </w:pPr>
          </w:p>
        </w:tc>
        <w:tc>
          <w:tcPr>
            <w:tcW w:w="1304" w:type="dxa"/>
            <w:vAlign w:val="center"/>
          </w:tcPr>
          <w:p>
            <w:pPr>
              <w:widowControl w:val="0"/>
              <w:ind w:firstLine="0" w:firstLineChars="0"/>
              <w:jc w:val="center"/>
              <w:rPr>
                <w:rFonts w:ascii="Times New Roman" w:hAnsi="Times New Roman" w:cs="Times New Roman"/>
                <w:color w:val="auto"/>
                <w:kern w:val="2"/>
                <w:szCs w:val="24"/>
              </w:rPr>
            </w:pPr>
          </w:p>
        </w:tc>
      </w:tr>
    </w:tbl>
    <w:p>
      <w:pPr>
        <w:rPr>
          <w:color w:val="auto"/>
        </w:rPr>
      </w:pPr>
      <w:r>
        <w:rPr>
          <w:color w:val="auto"/>
        </w:rPr>
        <w:t>注：</w:t>
      </w:r>
      <w:r>
        <w:rPr>
          <w:rFonts w:hint="eastAsia"/>
          <w:color w:val="auto"/>
        </w:rPr>
        <w:t>1、</w:t>
      </w:r>
      <w:r>
        <w:rPr>
          <w:rFonts w:hint="eastAsia"/>
          <w:color w:val="auto"/>
        </w:rPr>
        <w:tab/>
      </w:r>
      <w:r>
        <w:rPr>
          <w:rFonts w:hint="eastAsia"/>
          <w:color w:val="auto"/>
        </w:rPr>
        <w:t>第五章技术要求和第三章合同书样式及主要条款为商务条款；</w:t>
      </w:r>
    </w:p>
    <w:p>
      <w:pPr>
        <w:rPr>
          <w:color w:val="auto"/>
        </w:rPr>
      </w:pPr>
      <w:r>
        <w:rPr>
          <w:rFonts w:hint="eastAsia"/>
          <w:color w:val="auto"/>
        </w:rPr>
        <w:t>2、</w:t>
      </w:r>
      <w:r>
        <w:rPr>
          <w:rFonts w:hint="eastAsia"/>
          <w:color w:val="auto"/>
        </w:rPr>
        <w:tab/>
      </w:r>
      <w:r>
        <w:rPr>
          <w:rFonts w:hint="eastAsia"/>
          <w:color w:val="auto"/>
        </w:rPr>
        <w:t>对完全响应的条目在本表相应列中标注“√”。对有偏离的条目在本表相应列中标注“正偏离”或“负偏离”。仅可在“完全响应”及“有偏离”中选一标注，同时，当且仅当选取“有偏离”栏中加以标注后，才能在“偏离简述”栏中加以说明。</w:t>
      </w:r>
    </w:p>
    <w:p>
      <w:pPr>
        <w:rPr>
          <w:color w:val="auto"/>
        </w:rPr>
      </w:pPr>
      <w:r>
        <w:rPr>
          <w:rFonts w:hint="eastAsia"/>
          <w:color w:val="auto"/>
        </w:rPr>
        <w:t>3、</w:t>
      </w:r>
      <w:r>
        <w:rPr>
          <w:rFonts w:hint="eastAsia"/>
          <w:color w:val="auto"/>
        </w:rPr>
        <w:tab/>
      </w:r>
      <w:r>
        <w:rPr>
          <w:rFonts w:hint="eastAsia"/>
          <w:color w:val="auto"/>
        </w:rPr>
        <w:t>正偏离是指应答的条件高于招标文件要求，负偏离是指应答的条件低于招标文件要求，正偏离项目不作扣分处理。</w:t>
      </w:r>
    </w:p>
    <w:p>
      <w:pPr>
        <w:rPr>
          <w:color w:val="auto"/>
        </w:rPr>
      </w:pPr>
      <w:r>
        <w:rPr>
          <w:rFonts w:hint="eastAsia"/>
          <w:color w:val="auto"/>
        </w:rPr>
        <w:t>4、</w:t>
      </w:r>
      <w:r>
        <w:rPr>
          <w:rFonts w:hint="eastAsia"/>
          <w:color w:val="auto"/>
        </w:rPr>
        <w:tab/>
      </w:r>
      <w:r>
        <w:rPr>
          <w:rFonts w:hint="eastAsia"/>
          <w:color w:val="auto"/>
        </w:rPr>
        <w:t>投标人须完整填写响应表。如果未完整填写本表的各项内容则视作投标人已经对招标文件相关要求和内容完全理解并同意，其投标报价为在此基础上的完全价格。</w:t>
      </w:r>
    </w:p>
    <w:p>
      <w:pPr>
        <w:rPr>
          <w:color w:val="auto"/>
        </w:rPr>
      </w:pPr>
      <w:r>
        <w:rPr>
          <w:rFonts w:hint="eastAsia"/>
          <w:color w:val="auto"/>
        </w:rPr>
        <w:t>5、</w:t>
      </w:r>
      <w:r>
        <w:rPr>
          <w:rFonts w:hint="eastAsia"/>
          <w:color w:val="auto"/>
        </w:rPr>
        <w:tab/>
      </w:r>
      <w:r>
        <w:rPr>
          <w:rFonts w:hint="eastAsia"/>
          <w:color w:val="auto"/>
        </w:rPr>
        <w:t>在招标人与中标人签订合同时，如中标人未在投标文件“偏离表”中列出偏离说明，无论已发生或即将发生任何情形，均视为完全符合招标文件要求，并写入合同。若中标人在合同签订前，以上述事项为借口而不履行合同签订手续及执行合同，则视作拒绝与招标人签订合同。</w:t>
      </w:r>
    </w:p>
    <w:p>
      <w:pPr>
        <w:widowControl w:val="0"/>
        <w:ind w:left="850" w:leftChars="203" w:hanging="424" w:hangingChars="202"/>
        <w:jc w:val="both"/>
        <w:rPr>
          <w:rFonts w:cs="Times New Roman"/>
          <w:color w:val="auto"/>
          <w:kern w:val="2"/>
          <w:szCs w:val="24"/>
        </w:rPr>
      </w:pPr>
    </w:p>
    <w:p>
      <w:pPr>
        <w:pStyle w:val="21"/>
        <w:adjustRightInd/>
        <w:snapToGrid/>
        <w:spacing w:before="0" w:beforeAutospacing="0" w:after="0" w:afterAutospacing="0"/>
        <w:jc w:val="right"/>
        <w:rPr>
          <w:color w:val="auto"/>
          <w:sz w:val="21"/>
        </w:rPr>
      </w:pPr>
      <w:r>
        <w:rPr>
          <w:rFonts w:hint="eastAsia"/>
          <w:color w:val="auto"/>
          <w:sz w:val="21"/>
        </w:rPr>
        <w:t>投标人名称（盖公章）：________________________</w:t>
      </w:r>
    </w:p>
    <w:p>
      <w:pPr>
        <w:adjustRightInd/>
        <w:snapToGrid/>
        <w:jc w:val="right"/>
        <w:rPr>
          <w:color w:val="auto"/>
        </w:rPr>
      </w:pPr>
      <w:r>
        <w:rPr>
          <w:rFonts w:hint="eastAsia"/>
          <w:color w:val="auto"/>
        </w:rPr>
        <w:t>法定代表人或其授权代理人（签字或盖章）：__________</w:t>
      </w:r>
    </w:p>
    <w:p>
      <w:pPr>
        <w:adjustRightInd/>
        <w:snapToGrid/>
        <w:jc w:val="right"/>
        <w:rPr>
          <w:color w:val="auto"/>
        </w:rPr>
      </w:pPr>
      <w:r>
        <w:rPr>
          <w:rFonts w:hint="eastAsia"/>
          <w:color w:val="auto"/>
        </w:rPr>
        <w:t>日期：_______年____月_____日</w:t>
      </w:r>
    </w:p>
    <w:p>
      <w:pPr>
        <w:pStyle w:val="7"/>
        <w:rPr>
          <w:color w:val="auto"/>
        </w:rPr>
      </w:pPr>
    </w:p>
    <w:p>
      <w:pPr>
        <w:rPr>
          <w:color w:val="auto"/>
        </w:rPr>
      </w:pPr>
      <w:r>
        <w:rPr>
          <w:rFonts w:hint="eastAsia"/>
          <w:color w:val="auto"/>
        </w:rPr>
        <w:br w:type="page"/>
      </w:r>
    </w:p>
    <w:p>
      <w:pPr>
        <w:pStyle w:val="3"/>
        <w:spacing w:before="156" w:beforeLines="50" w:after="156" w:afterLines="50"/>
        <w:ind w:firstLine="482"/>
        <w:jc w:val="center"/>
        <w:rPr>
          <w:bCs/>
          <w:color w:val="auto"/>
        </w:rPr>
      </w:pPr>
      <w:bookmarkStart w:id="70" w:name="_Toc10010"/>
      <w:r>
        <w:rPr>
          <w:rFonts w:hint="eastAsia"/>
          <w:bCs/>
          <w:color w:val="auto"/>
        </w:rPr>
        <w:t>3.2政策功能情况（如有）</w:t>
      </w:r>
      <w:bookmarkEnd w:id="70"/>
    </w:p>
    <w:p>
      <w:pPr>
        <w:ind w:firstLine="0" w:firstLineChars="0"/>
        <w:rPr>
          <w:color w:val="auto"/>
        </w:rPr>
      </w:pPr>
      <w:r>
        <w:rPr>
          <w:rFonts w:hint="eastAsia"/>
          <w:bCs/>
          <w:color w:val="auto"/>
        </w:rPr>
        <w:t>标包号：</w:t>
      </w:r>
    </w:p>
    <w:tbl>
      <w:tblPr>
        <w:tblStyle w:val="26"/>
        <w:tblW w:w="91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0"/>
        <w:gridCol w:w="2254"/>
        <w:gridCol w:w="1565"/>
        <w:gridCol w:w="1410"/>
        <w:gridCol w:w="2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410" w:type="dxa"/>
            <w:vAlign w:val="center"/>
          </w:tcPr>
          <w:p>
            <w:pPr>
              <w:tabs>
                <w:tab w:val="left" w:pos="1260"/>
              </w:tabs>
              <w:ind w:right="-71" w:rightChars="-34" w:firstLine="0" w:firstLineChars="0"/>
              <w:jc w:val="center"/>
              <w:rPr>
                <w:b/>
                <w:color w:val="auto"/>
                <w:lang w:val="en-GB"/>
              </w:rPr>
            </w:pPr>
            <w:r>
              <w:rPr>
                <w:rFonts w:hint="eastAsia"/>
                <w:b/>
                <w:color w:val="auto"/>
                <w:lang w:val="en-GB"/>
              </w:rPr>
              <w:t>类别</w:t>
            </w:r>
          </w:p>
        </w:tc>
        <w:tc>
          <w:tcPr>
            <w:tcW w:w="2254" w:type="dxa"/>
            <w:vAlign w:val="center"/>
          </w:tcPr>
          <w:p>
            <w:pPr>
              <w:tabs>
                <w:tab w:val="left" w:pos="1260"/>
              </w:tabs>
              <w:ind w:right="-71" w:rightChars="-34" w:firstLine="0" w:firstLineChars="0"/>
              <w:jc w:val="center"/>
              <w:rPr>
                <w:b/>
                <w:color w:val="auto"/>
                <w:lang w:val="en-GB"/>
              </w:rPr>
            </w:pPr>
            <w:r>
              <w:rPr>
                <w:rFonts w:hint="eastAsia"/>
                <w:b/>
                <w:color w:val="auto"/>
                <w:lang w:val="en-GB"/>
              </w:rPr>
              <w:t>投标产品（规格型号）</w:t>
            </w:r>
          </w:p>
        </w:tc>
        <w:tc>
          <w:tcPr>
            <w:tcW w:w="1565" w:type="dxa"/>
            <w:vAlign w:val="center"/>
          </w:tcPr>
          <w:p>
            <w:pPr>
              <w:tabs>
                <w:tab w:val="left" w:pos="1260"/>
              </w:tabs>
              <w:ind w:right="-71" w:rightChars="-34" w:firstLine="0" w:firstLineChars="0"/>
              <w:jc w:val="center"/>
              <w:rPr>
                <w:b/>
                <w:color w:val="auto"/>
                <w:lang w:val="en-GB"/>
              </w:rPr>
            </w:pPr>
            <w:r>
              <w:rPr>
                <w:rFonts w:hint="eastAsia"/>
                <w:b/>
                <w:color w:val="auto"/>
                <w:lang w:val="en-GB"/>
              </w:rPr>
              <w:t>制造商</w:t>
            </w:r>
          </w:p>
        </w:tc>
        <w:tc>
          <w:tcPr>
            <w:tcW w:w="1410" w:type="dxa"/>
            <w:vAlign w:val="center"/>
          </w:tcPr>
          <w:p>
            <w:pPr>
              <w:tabs>
                <w:tab w:val="left" w:pos="1260"/>
              </w:tabs>
              <w:ind w:right="-71" w:rightChars="-34" w:firstLine="0" w:firstLineChars="0"/>
              <w:jc w:val="center"/>
              <w:rPr>
                <w:b/>
                <w:color w:val="auto"/>
                <w:lang w:val="en-GB"/>
              </w:rPr>
            </w:pPr>
            <w:r>
              <w:rPr>
                <w:rFonts w:hint="eastAsia"/>
                <w:b/>
                <w:color w:val="auto"/>
                <w:lang w:val="en-GB"/>
              </w:rPr>
              <w:t>认证证书编号</w:t>
            </w:r>
          </w:p>
        </w:tc>
        <w:tc>
          <w:tcPr>
            <w:tcW w:w="2475" w:type="dxa"/>
            <w:vAlign w:val="center"/>
          </w:tcPr>
          <w:p>
            <w:pPr>
              <w:tabs>
                <w:tab w:val="left" w:pos="1260"/>
              </w:tabs>
              <w:ind w:right="-71" w:rightChars="-34" w:firstLine="0" w:firstLineChars="0"/>
              <w:jc w:val="center"/>
              <w:rPr>
                <w:b/>
                <w:color w:val="auto"/>
                <w:lang w:val="en-GB"/>
              </w:rPr>
            </w:pPr>
            <w:r>
              <w:rPr>
                <w:rFonts w:hint="eastAsia"/>
                <w:b/>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10" w:type="dxa"/>
            <w:vMerge w:val="restart"/>
            <w:vAlign w:val="center"/>
          </w:tcPr>
          <w:p>
            <w:pPr>
              <w:tabs>
                <w:tab w:val="left" w:pos="1260"/>
              </w:tabs>
              <w:ind w:right="-71" w:rightChars="-34" w:firstLine="0" w:firstLineChars="0"/>
              <w:jc w:val="center"/>
              <w:rPr>
                <w:b/>
                <w:color w:val="auto"/>
                <w:lang w:val="en-GB"/>
              </w:rPr>
            </w:pPr>
            <w:r>
              <w:rPr>
                <w:rFonts w:hint="eastAsia"/>
                <w:b/>
                <w:color w:val="auto"/>
                <w:lang w:val="en-GB"/>
              </w:rPr>
              <w:t>节能产品</w:t>
            </w:r>
          </w:p>
        </w:tc>
        <w:tc>
          <w:tcPr>
            <w:tcW w:w="2254" w:type="dxa"/>
            <w:vAlign w:val="center"/>
          </w:tcPr>
          <w:p>
            <w:pPr>
              <w:tabs>
                <w:tab w:val="left" w:pos="1260"/>
              </w:tabs>
              <w:ind w:right="-71" w:rightChars="-34" w:firstLine="0" w:firstLineChars="0"/>
              <w:jc w:val="center"/>
              <w:rPr>
                <w:b/>
                <w:color w:val="auto"/>
                <w:lang w:val="en-GB"/>
              </w:rPr>
            </w:pPr>
          </w:p>
        </w:tc>
        <w:tc>
          <w:tcPr>
            <w:tcW w:w="1565" w:type="dxa"/>
            <w:vAlign w:val="center"/>
          </w:tcPr>
          <w:p>
            <w:pPr>
              <w:tabs>
                <w:tab w:val="left" w:pos="1260"/>
              </w:tabs>
              <w:ind w:right="-71" w:rightChars="-34" w:firstLine="0" w:firstLineChars="0"/>
              <w:jc w:val="center"/>
              <w:rPr>
                <w:b/>
                <w:color w:val="auto"/>
                <w:lang w:val="en-GB"/>
              </w:rPr>
            </w:pPr>
          </w:p>
        </w:tc>
        <w:tc>
          <w:tcPr>
            <w:tcW w:w="1410" w:type="dxa"/>
            <w:vAlign w:val="center"/>
          </w:tcPr>
          <w:p>
            <w:pPr>
              <w:tabs>
                <w:tab w:val="left" w:pos="1260"/>
              </w:tabs>
              <w:ind w:right="-71" w:rightChars="-34" w:firstLine="0" w:firstLineChars="0"/>
              <w:jc w:val="center"/>
              <w:rPr>
                <w:b/>
                <w:color w:val="auto"/>
                <w:lang w:val="en-GB"/>
              </w:rPr>
            </w:pPr>
          </w:p>
        </w:tc>
        <w:tc>
          <w:tcPr>
            <w:tcW w:w="2475" w:type="dxa"/>
            <w:vAlign w:val="center"/>
          </w:tcPr>
          <w:p>
            <w:pPr>
              <w:tabs>
                <w:tab w:val="left" w:pos="1260"/>
              </w:tabs>
              <w:ind w:right="-71" w:rightChars="-34" w:firstLine="0" w:firstLineChars="0"/>
              <w:jc w:val="center"/>
              <w:rPr>
                <w:b/>
                <w:color w:val="auto"/>
                <w:lang w:val="en-GB"/>
              </w:rPr>
            </w:pPr>
            <w:r>
              <w:rPr>
                <w:rFonts w:hint="eastAsia"/>
                <w:b/>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10" w:type="dxa"/>
            <w:vMerge w:val="continue"/>
            <w:vAlign w:val="center"/>
          </w:tcPr>
          <w:p>
            <w:pPr>
              <w:tabs>
                <w:tab w:val="left" w:pos="1260"/>
              </w:tabs>
              <w:ind w:right="-71" w:rightChars="-34" w:firstLine="0" w:firstLineChars="0"/>
              <w:jc w:val="center"/>
              <w:rPr>
                <w:b/>
                <w:color w:val="auto"/>
                <w:lang w:val="en-GB"/>
              </w:rPr>
            </w:pPr>
          </w:p>
        </w:tc>
        <w:tc>
          <w:tcPr>
            <w:tcW w:w="2254" w:type="dxa"/>
            <w:vAlign w:val="center"/>
          </w:tcPr>
          <w:p>
            <w:pPr>
              <w:tabs>
                <w:tab w:val="left" w:pos="1260"/>
              </w:tabs>
              <w:ind w:right="-71" w:rightChars="-34" w:firstLine="0" w:firstLineChars="0"/>
              <w:jc w:val="center"/>
              <w:rPr>
                <w:b/>
                <w:color w:val="auto"/>
                <w:lang w:val="en-GB"/>
              </w:rPr>
            </w:pPr>
          </w:p>
        </w:tc>
        <w:tc>
          <w:tcPr>
            <w:tcW w:w="1565" w:type="dxa"/>
            <w:vAlign w:val="center"/>
          </w:tcPr>
          <w:p>
            <w:pPr>
              <w:tabs>
                <w:tab w:val="left" w:pos="1260"/>
              </w:tabs>
              <w:ind w:right="-71" w:rightChars="-34" w:firstLine="0" w:firstLineChars="0"/>
              <w:jc w:val="center"/>
              <w:rPr>
                <w:b/>
                <w:color w:val="auto"/>
                <w:lang w:val="en-GB"/>
              </w:rPr>
            </w:pPr>
          </w:p>
        </w:tc>
        <w:tc>
          <w:tcPr>
            <w:tcW w:w="1410" w:type="dxa"/>
            <w:vAlign w:val="center"/>
          </w:tcPr>
          <w:p>
            <w:pPr>
              <w:tabs>
                <w:tab w:val="left" w:pos="1260"/>
              </w:tabs>
              <w:ind w:right="-71" w:rightChars="-34" w:firstLine="0" w:firstLineChars="0"/>
              <w:jc w:val="center"/>
              <w:rPr>
                <w:b/>
                <w:color w:val="auto"/>
                <w:lang w:val="en-GB"/>
              </w:rPr>
            </w:pPr>
          </w:p>
        </w:tc>
        <w:tc>
          <w:tcPr>
            <w:tcW w:w="2475" w:type="dxa"/>
            <w:vAlign w:val="center"/>
          </w:tcPr>
          <w:p>
            <w:pPr>
              <w:tabs>
                <w:tab w:val="left" w:pos="1260"/>
              </w:tabs>
              <w:ind w:right="-71" w:rightChars="-34" w:firstLine="0" w:firstLineChars="0"/>
              <w:jc w:val="center"/>
              <w:rPr>
                <w:b/>
                <w:color w:val="auto"/>
                <w:lang w:val="en-GB"/>
              </w:rPr>
            </w:pPr>
            <w:r>
              <w:rPr>
                <w:rFonts w:hint="eastAsia"/>
                <w:b/>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10" w:type="dxa"/>
            <w:vMerge w:val="restart"/>
            <w:vAlign w:val="center"/>
          </w:tcPr>
          <w:p>
            <w:pPr>
              <w:tabs>
                <w:tab w:val="left" w:pos="1260"/>
              </w:tabs>
              <w:ind w:right="-71" w:rightChars="-34" w:firstLine="0" w:firstLineChars="0"/>
              <w:jc w:val="center"/>
              <w:rPr>
                <w:b/>
                <w:color w:val="auto"/>
                <w:lang w:val="en-GB"/>
              </w:rPr>
            </w:pPr>
            <w:r>
              <w:rPr>
                <w:rFonts w:hint="eastAsia"/>
                <w:b/>
                <w:color w:val="auto"/>
                <w:lang w:val="en-GB"/>
              </w:rPr>
              <w:t>环保标志产品</w:t>
            </w:r>
          </w:p>
        </w:tc>
        <w:tc>
          <w:tcPr>
            <w:tcW w:w="2254" w:type="dxa"/>
            <w:vAlign w:val="center"/>
          </w:tcPr>
          <w:p>
            <w:pPr>
              <w:tabs>
                <w:tab w:val="left" w:pos="1260"/>
              </w:tabs>
              <w:ind w:right="-71" w:rightChars="-34" w:firstLine="0" w:firstLineChars="0"/>
              <w:jc w:val="center"/>
              <w:rPr>
                <w:b/>
                <w:color w:val="auto"/>
                <w:lang w:val="en-GB"/>
              </w:rPr>
            </w:pPr>
          </w:p>
        </w:tc>
        <w:tc>
          <w:tcPr>
            <w:tcW w:w="1565" w:type="dxa"/>
            <w:vAlign w:val="center"/>
          </w:tcPr>
          <w:p>
            <w:pPr>
              <w:tabs>
                <w:tab w:val="left" w:pos="1260"/>
              </w:tabs>
              <w:ind w:right="-71" w:rightChars="-34" w:firstLine="0" w:firstLineChars="0"/>
              <w:jc w:val="center"/>
              <w:rPr>
                <w:b/>
                <w:color w:val="auto"/>
                <w:lang w:val="en-GB"/>
              </w:rPr>
            </w:pPr>
          </w:p>
        </w:tc>
        <w:tc>
          <w:tcPr>
            <w:tcW w:w="1410" w:type="dxa"/>
            <w:vAlign w:val="center"/>
          </w:tcPr>
          <w:p>
            <w:pPr>
              <w:tabs>
                <w:tab w:val="left" w:pos="1260"/>
              </w:tabs>
              <w:ind w:right="-71" w:rightChars="-34" w:firstLine="0" w:firstLineChars="0"/>
              <w:jc w:val="center"/>
              <w:rPr>
                <w:b/>
                <w:color w:val="auto"/>
                <w:lang w:val="en-GB"/>
              </w:rPr>
            </w:pPr>
          </w:p>
        </w:tc>
        <w:tc>
          <w:tcPr>
            <w:tcW w:w="2475" w:type="dxa"/>
            <w:vAlign w:val="center"/>
          </w:tcPr>
          <w:p>
            <w:pPr>
              <w:tabs>
                <w:tab w:val="left" w:pos="1260"/>
              </w:tabs>
              <w:ind w:right="-71" w:rightChars="-34" w:firstLine="0" w:firstLineChars="0"/>
              <w:jc w:val="center"/>
              <w:rPr>
                <w:b/>
                <w:color w:val="auto"/>
                <w:lang w:val="en-GB"/>
              </w:rPr>
            </w:pPr>
            <w:r>
              <w:rPr>
                <w:rFonts w:hint="eastAsia"/>
                <w:b/>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10" w:type="dxa"/>
            <w:vMerge w:val="continue"/>
            <w:vAlign w:val="center"/>
          </w:tcPr>
          <w:p>
            <w:pPr>
              <w:tabs>
                <w:tab w:val="left" w:pos="1260"/>
              </w:tabs>
              <w:ind w:right="-71" w:rightChars="-34" w:firstLine="0" w:firstLineChars="0"/>
              <w:jc w:val="center"/>
              <w:rPr>
                <w:b/>
                <w:color w:val="auto"/>
                <w:lang w:val="en-GB"/>
              </w:rPr>
            </w:pPr>
          </w:p>
        </w:tc>
        <w:tc>
          <w:tcPr>
            <w:tcW w:w="2254" w:type="dxa"/>
            <w:vAlign w:val="center"/>
          </w:tcPr>
          <w:p>
            <w:pPr>
              <w:tabs>
                <w:tab w:val="left" w:pos="1260"/>
              </w:tabs>
              <w:ind w:right="-71" w:rightChars="-34" w:firstLine="0" w:firstLineChars="0"/>
              <w:jc w:val="center"/>
              <w:rPr>
                <w:b/>
                <w:color w:val="auto"/>
                <w:lang w:val="en-GB"/>
              </w:rPr>
            </w:pPr>
          </w:p>
        </w:tc>
        <w:tc>
          <w:tcPr>
            <w:tcW w:w="1565" w:type="dxa"/>
            <w:vAlign w:val="center"/>
          </w:tcPr>
          <w:p>
            <w:pPr>
              <w:tabs>
                <w:tab w:val="left" w:pos="1260"/>
              </w:tabs>
              <w:ind w:right="-71" w:rightChars="-34" w:firstLine="0" w:firstLineChars="0"/>
              <w:jc w:val="center"/>
              <w:rPr>
                <w:b/>
                <w:color w:val="auto"/>
                <w:lang w:val="en-GB"/>
              </w:rPr>
            </w:pPr>
          </w:p>
        </w:tc>
        <w:tc>
          <w:tcPr>
            <w:tcW w:w="1410" w:type="dxa"/>
            <w:vAlign w:val="center"/>
          </w:tcPr>
          <w:p>
            <w:pPr>
              <w:tabs>
                <w:tab w:val="left" w:pos="1260"/>
              </w:tabs>
              <w:ind w:right="-71" w:rightChars="-34" w:firstLine="0" w:firstLineChars="0"/>
              <w:jc w:val="center"/>
              <w:rPr>
                <w:b/>
                <w:color w:val="auto"/>
                <w:lang w:val="en-GB"/>
              </w:rPr>
            </w:pPr>
          </w:p>
        </w:tc>
        <w:tc>
          <w:tcPr>
            <w:tcW w:w="2475" w:type="dxa"/>
            <w:vAlign w:val="center"/>
          </w:tcPr>
          <w:p>
            <w:pPr>
              <w:tabs>
                <w:tab w:val="left" w:pos="1260"/>
              </w:tabs>
              <w:ind w:right="-71" w:rightChars="-34" w:firstLine="0" w:firstLineChars="0"/>
              <w:jc w:val="center"/>
              <w:rPr>
                <w:b/>
                <w:color w:val="auto"/>
                <w:lang w:val="en-GB"/>
              </w:rPr>
            </w:pPr>
            <w:r>
              <w:rPr>
                <w:rFonts w:hint="eastAsia"/>
                <w:b/>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10" w:type="dxa"/>
            <w:vAlign w:val="center"/>
          </w:tcPr>
          <w:p>
            <w:pPr>
              <w:tabs>
                <w:tab w:val="left" w:pos="1260"/>
              </w:tabs>
              <w:ind w:right="-71" w:rightChars="-34" w:firstLine="0" w:firstLineChars="0"/>
              <w:jc w:val="center"/>
              <w:rPr>
                <w:b/>
                <w:color w:val="auto"/>
                <w:lang w:val="en-GB"/>
              </w:rPr>
            </w:pPr>
            <w:r>
              <w:rPr>
                <w:rFonts w:hint="eastAsia"/>
                <w:b/>
                <w:color w:val="auto"/>
                <w:lang w:val="en-GB"/>
              </w:rPr>
              <w:t>说明</w:t>
            </w:r>
          </w:p>
        </w:tc>
        <w:tc>
          <w:tcPr>
            <w:tcW w:w="7704" w:type="dxa"/>
            <w:gridSpan w:val="4"/>
            <w:vAlign w:val="center"/>
          </w:tcPr>
          <w:p>
            <w:pPr>
              <w:tabs>
                <w:tab w:val="left" w:pos="1260"/>
              </w:tabs>
              <w:ind w:right="-71" w:rightChars="-34" w:firstLine="0" w:firstLineChars="0"/>
              <w:jc w:val="center"/>
              <w:rPr>
                <w:b/>
                <w:color w:val="auto"/>
                <w:lang w:val="en-GB"/>
              </w:rPr>
            </w:pPr>
          </w:p>
        </w:tc>
      </w:tr>
    </w:tbl>
    <w:p>
      <w:pPr>
        <w:autoSpaceDE w:val="0"/>
        <w:autoSpaceDN w:val="0"/>
        <w:rPr>
          <w:color w:val="auto"/>
          <w:lang w:val="en-GB"/>
        </w:rPr>
      </w:pPr>
    </w:p>
    <w:p>
      <w:pPr>
        <w:tabs>
          <w:tab w:val="left" w:pos="360"/>
          <w:tab w:val="left" w:pos="993"/>
        </w:tabs>
        <w:ind w:left="850" w:leftChars="-67" w:hanging="991" w:hangingChars="472"/>
        <w:rPr>
          <w:color w:val="auto"/>
          <w:lang w:val="en-GB"/>
        </w:rPr>
      </w:pPr>
      <w:r>
        <w:rPr>
          <w:rFonts w:hint="eastAsia"/>
          <w:color w:val="auto"/>
          <w:lang w:val="en-GB"/>
        </w:rPr>
        <w:t>注：</w:t>
      </w:r>
      <w:r>
        <w:rPr>
          <w:rFonts w:hint="eastAsia"/>
          <w:color w:val="auto"/>
          <w:lang w:val="en-GB"/>
        </w:rPr>
        <w:tab/>
      </w:r>
    </w:p>
    <w:p>
      <w:pPr>
        <w:rPr>
          <w:rFonts w:ascii="仿宋" w:hAnsi="仿宋" w:eastAsia="仿宋" w:cs="仿宋"/>
          <w:color w:val="auto"/>
        </w:rPr>
      </w:pPr>
      <w:r>
        <w:rPr>
          <w:rFonts w:hint="eastAsia" w:ascii="仿宋" w:hAnsi="仿宋" w:eastAsia="仿宋" w:cs="仿宋"/>
          <w:color w:val="auto"/>
        </w:rPr>
        <w:t>1、“节能产品、环境标志产品”是属于国家行业主管部门颁布的清单目录中的产品，须填写认证证书编号，同时提供有效期内的证书复印件以及下述文件（均为复印件）：</w:t>
      </w:r>
    </w:p>
    <w:p>
      <w:pPr>
        <w:rPr>
          <w:rFonts w:ascii="仿宋" w:hAnsi="仿宋" w:eastAsia="仿宋" w:cs="仿宋"/>
          <w:color w:val="auto"/>
        </w:rPr>
      </w:pPr>
      <w:r>
        <w:rPr>
          <w:rFonts w:hint="eastAsia" w:ascii="仿宋" w:hAnsi="仿宋" w:eastAsia="仿宋" w:cs="仿宋"/>
          <w:color w:val="auto"/>
        </w:rPr>
        <w:t>1.1属于“节能产品政府采购品目清单”中品目的产品，提供相关证明材料；</w:t>
      </w:r>
    </w:p>
    <w:p>
      <w:pPr>
        <w:rPr>
          <w:rFonts w:ascii="仿宋" w:hAnsi="仿宋" w:eastAsia="仿宋" w:cs="仿宋"/>
          <w:color w:val="auto"/>
        </w:rPr>
      </w:pPr>
      <w:r>
        <w:rPr>
          <w:rFonts w:hint="eastAsia" w:ascii="仿宋" w:hAnsi="仿宋" w:eastAsia="仿宋" w:cs="仿宋"/>
          <w:color w:val="auto"/>
        </w:rPr>
        <w:t>1.2属于“环境标志产品政府采购品目清单”中品目的产品，提供相关证明材料。</w:t>
      </w:r>
    </w:p>
    <w:p>
      <w:pPr>
        <w:rPr>
          <w:rFonts w:ascii="仿宋" w:hAnsi="仿宋" w:eastAsia="仿宋" w:cs="仿宋"/>
          <w:color w:val="auto"/>
        </w:rPr>
      </w:pPr>
      <w:r>
        <w:rPr>
          <w:rFonts w:hint="eastAsia" w:ascii="仿宋" w:hAnsi="仿宋" w:eastAsia="仿宋" w:cs="仿宋"/>
          <w:color w:val="auto"/>
        </w:rPr>
        <w:t>所投货物属于节能产品或环境标志产品的，在性能、技术、服务等指标同等条件下，应当被优先采购。</w:t>
      </w:r>
    </w:p>
    <w:p>
      <w:pPr>
        <w:ind w:firstLine="4620" w:firstLineChars="2200"/>
        <w:rPr>
          <w:color w:val="auto"/>
        </w:rPr>
      </w:pPr>
    </w:p>
    <w:p>
      <w:pPr>
        <w:tabs>
          <w:tab w:val="left" w:pos="676"/>
          <w:tab w:val="left" w:pos="2330"/>
          <w:tab w:val="left" w:pos="9230"/>
        </w:tabs>
        <w:autoSpaceDE w:val="0"/>
        <w:autoSpaceDN w:val="0"/>
        <w:spacing w:line="480" w:lineRule="exact"/>
        <w:ind w:left="4700" w:leftChars="2238"/>
        <w:rPr>
          <w:color w:val="auto"/>
        </w:rPr>
      </w:pPr>
    </w:p>
    <w:p>
      <w:pPr>
        <w:pStyle w:val="21"/>
        <w:adjustRightInd/>
        <w:snapToGrid/>
        <w:spacing w:before="0" w:beforeAutospacing="0" w:after="0" w:afterAutospacing="0"/>
        <w:jc w:val="right"/>
        <w:rPr>
          <w:color w:val="auto"/>
          <w:sz w:val="21"/>
        </w:rPr>
      </w:pPr>
      <w:r>
        <w:rPr>
          <w:rFonts w:hint="eastAsia"/>
          <w:color w:val="auto"/>
          <w:sz w:val="21"/>
        </w:rPr>
        <w:t>投标人名称（盖公章）：________________________</w:t>
      </w:r>
    </w:p>
    <w:p>
      <w:pPr>
        <w:adjustRightInd/>
        <w:snapToGrid/>
        <w:jc w:val="right"/>
        <w:rPr>
          <w:color w:val="auto"/>
        </w:rPr>
      </w:pPr>
      <w:r>
        <w:rPr>
          <w:rFonts w:hint="eastAsia"/>
          <w:color w:val="auto"/>
        </w:rPr>
        <w:t>法定代表人或其授权代理人（签字或盖章）：__________</w:t>
      </w:r>
    </w:p>
    <w:p>
      <w:pPr>
        <w:adjustRightInd/>
        <w:snapToGrid/>
        <w:jc w:val="right"/>
        <w:rPr>
          <w:color w:val="auto"/>
        </w:rPr>
      </w:pPr>
      <w:r>
        <w:rPr>
          <w:rFonts w:hint="eastAsia"/>
          <w:color w:val="auto"/>
        </w:rPr>
        <w:t>日期：_______年____月_____日</w:t>
      </w:r>
    </w:p>
    <w:p>
      <w:pPr>
        <w:rPr>
          <w:color w:val="auto"/>
        </w:rPr>
      </w:pPr>
      <w:r>
        <w:rPr>
          <w:rFonts w:hint="eastAsia"/>
          <w:color w:val="auto"/>
        </w:rPr>
        <w:br w:type="page"/>
      </w:r>
    </w:p>
    <w:p>
      <w:pPr>
        <w:pStyle w:val="3"/>
        <w:ind w:firstLine="482"/>
        <w:jc w:val="center"/>
        <w:rPr>
          <w:rFonts w:ascii="仿宋" w:hAnsi="仿宋" w:eastAsia="仿宋" w:cs="仿宋"/>
          <w:color w:val="auto"/>
          <w:sz w:val="28"/>
          <w:szCs w:val="28"/>
        </w:rPr>
      </w:pPr>
      <w:bookmarkStart w:id="71" w:name="_Toc32058"/>
      <w:r>
        <w:rPr>
          <w:rFonts w:hint="eastAsia"/>
          <w:bCs/>
          <w:color w:val="auto"/>
        </w:rPr>
        <w:t>3.3</w:t>
      </w:r>
      <w:r>
        <w:rPr>
          <w:rFonts w:hint="eastAsia" w:ascii="仿宋" w:hAnsi="仿宋" w:eastAsia="仿宋" w:cs="仿宋"/>
          <w:color w:val="auto"/>
          <w:sz w:val="28"/>
          <w:szCs w:val="28"/>
        </w:rPr>
        <w:t>分项报价明细表</w:t>
      </w:r>
      <w:bookmarkEnd w:id="71"/>
    </w:p>
    <w:tbl>
      <w:tblPr>
        <w:tblStyle w:val="26"/>
        <w:tblpPr w:leftFromText="180" w:rightFromText="180" w:vertAnchor="text" w:horzAnchor="page" w:tblpXSpec="center" w:tblpY="394"/>
        <w:tblOverlap w:val="never"/>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320"/>
        <w:gridCol w:w="1312"/>
        <w:gridCol w:w="1078"/>
        <w:gridCol w:w="690"/>
        <w:gridCol w:w="1455"/>
        <w:gridCol w:w="697"/>
        <w:gridCol w:w="1190"/>
        <w:gridCol w:w="1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8"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both"/>
              <w:rPr>
                <w:rFonts w:ascii="仿宋" w:hAnsi="仿宋" w:eastAsia="仿宋" w:cs="仿宋"/>
                <w:b/>
                <w:bCs/>
                <w:color w:val="auto"/>
              </w:rPr>
            </w:pPr>
            <w:r>
              <w:rPr>
                <w:rFonts w:hint="eastAsia" w:ascii="仿宋" w:hAnsi="仿宋" w:eastAsia="仿宋" w:cs="仿宋"/>
                <w:b/>
                <w:bCs/>
                <w:color w:val="auto"/>
              </w:rPr>
              <w:t>序号</w:t>
            </w:r>
          </w:p>
        </w:tc>
        <w:tc>
          <w:tcPr>
            <w:tcW w:w="1320"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产品名称</w:t>
            </w:r>
          </w:p>
        </w:tc>
        <w:tc>
          <w:tcPr>
            <w:tcW w:w="1312"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单价（元）</w:t>
            </w:r>
          </w:p>
        </w:tc>
        <w:tc>
          <w:tcPr>
            <w:tcW w:w="1078"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采购数量</w:t>
            </w:r>
          </w:p>
        </w:tc>
        <w:tc>
          <w:tcPr>
            <w:tcW w:w="690"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计量单位</w:t>
            </w:r>
          </w:p>
        </w:tc>
        <w:tc>
          <w:tcPr>
            <w:tcW w:w="1455"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生产厂家名称</w:t>
            </w:r>
          </w:p>
        </w:tc>
        <w:tc>
          <w:tcPr>
            <w:tcW w:w="697"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品牌</w:t>
            </w:r>
          </w:p>
        </w:tc>
        <w:tc>
          <w:tcPr>
            <w:tcW w:w="1190"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规格、型号</w:t>
            </w:r>
          </w:p>
        </w:tc>
        <w:tc>
          <w:tcPr>
            <w:tcW w:w="1966"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小计</w:t>
            </w:r>
          </w:p>
          <w:p>
            <w:pPr>
              <w:kinsoku w:val="0"/>
              <w:autoSpaceDE w:val="0"/>
              <w:autoSpaceDN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（=单价*采购数量）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8"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color w:val="auto"/>
              </w:rPr>
            </w:pPr>
            <w:r>
              <w:rPr>
                <w:rFonts w:hint="eastAsia" w:ascii="仿宋" w:hAnsi="仿宋" w:eastAsia="仿宋" w:cs="仿宋"/>
                <w:color w:val="auto"/>
              </w:rPr>
              <w:t>1</w:t>
            </w:r>
          </w:p>
        </w:tc>
        <w:tc>
          <w:tcPr>
            <w:tcW w:w="1320" w:type="dxa"/>
            <w:shd w:val="clear" w:color="FFFFFF" w:fill="FFFFFF"/>
            <w:tcMar>
              <w:top w:w="57" w:type="dxa"/>
              <w:left w:w="57" w:type="dxa"/>
              <w:bottom w:w="57" w:type="dxa"/>
              <w:right w:w="57" w:type="dxa"/>
            </w:tcMar>
            <w:vAlign w:val="center"/>
          </w:tcPr>
          <w:p>
            <w:pPr>
              <w:kinsoku w:val="0"/>
              <w:autoSpaceDE w:val="0"/>
              <w:autoSpaceDN w:val="0"/>
              <w:spacing w:line="240" w:lineRule="auto"/>
              <w:ind w:firstLine="0" w:firstLineChars="0"/>
              <w:rPr>
                <w:rFonts w:ascii="仿宋" w:hAnsi="仿宋" w:eastAsia="仿宋" w:cs="仿宋"/>
                <w:color w:val="auto"/>
              </w:rPr>
            </w:pPr>
          </w:p>
        </w:tc>
        <w:tc>
          <w:tcPr>
            <w:tcW w:w="1312"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rPr>
                <w:rFonts w:ascii="仿宋" w:hAnsi="仿宋" w:eastAsia="仿宋" w:cs="仿宋"/>
                <w:color w:val="auto"/>
              </w:rPr>
            </w:pPr>
          </w:p>
        </w:tc>
        <w:tc>
          <w:tcPr>
            <w:tcW w:w="1078" w:type="dxa"/>
            <w:shd w:val="clear" w:color="FFFFFF" w:fill="FFFFFF"/>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color w:val="auto"/>
              </w:rPr>
            </w:pPr>
          </w:p>
        </w:tc>
        <w:tc>
          <w:tcPr>
            <w:tcW w:w="690" w:type="dxa"/>
            <w:shd w:val="clear" w:color="FFFFFF" w:fill="FFFFFF"/>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color w:val="auto"/>
              </w:rPr>
            </w:pPr>
          </w:p>
        </w:tc>
        <w:tc>
          <w:tcPr>
            <w:tcW w:w="1455" w:type="dxa"/>
            <w:shd w:val="clear" w:color="FFFFFF" w:fill="FFFFFF"/>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color w:val="auto"/>
              </w:rPr>
            </w:pPr>
          </w:p>
        </w:tc>
        <w:tc>
          <w:tcPr>
            <w:tcW w:w="697" w:type="dxa"/>
            <w:shd w:val="clear" w:color="FFFFFF" w:fill="FFFFFF"/>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color w:val="auto"/>
              </w:rPr>
            </w:pPr>
          </w:p>
        </w:tc>
        <w:tc>
          <w:tcPr>
            <w:tcW w:w="1190" w:type="dxa"/>
            <w:shd w:val="clear" w:color="FFFFFF" w:fill="FFFFFF"/>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color w:val="auto"/>
              </w:rPr>
            </w:pPr>
          </w:p>
        </w:tc>
        <w:tc>
          <w:tcPr>
            <w:tcW w:w="1966" w:type="dxa"/>
            <w:shd w:val="clear" w:color="FFFFFF" w:fill="FFFFFF"/>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70" w:type="dxa"/>
            <w:gridSpan w:val="8"/>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color w:val="auto"/>
              </w:rPr>
            </w:pPr>
            <w:r>
              <w:rPr>
                <w:rFonts w:hint="eastAsia" w:ascii="仿宋" w:hAnsi="仿宋" w:eastAsia="仿宋" w:cs="仿宋"/>
                <w:color w:val="auto"/>
              </w:rPr>
              <w:t>投标总价（元）=所有小计之和</w:t>
            </w:r>
          </w:p>
        </w:tc>
        <w:tc>
          <w:tcPr>
            <w:tcW w:w="1966" w:type="dxa"/>
            <w:shd w:val="clear" w:color="FFFFFF" w:fill="FFFFFF"/>
            <w:tcMar>
              <w:top w:w="57" w:type="dxa"/>
              <w:left w:w="57" w:type="dxa"/>
              <w:bottom w:w="57" w:type="dxa"/>
              <w:right w:w="57" w:type="dxa"/>
            </w:tcMar>
            <w:vAlign w:val="center"/>
          </w:tcPr>
          <w:p>
            <w:pPr>
              <w:kinsoku w:val="0"/>
              <w:autoSpaceDE w:val="0"/>
              <w:autoSpaceDN w:val="0"/>
              <w:spacing w:line="240" w:lineRule="auto"/>
              <w:ind w:firstLine="0" w:firstLineChars="0"/>
              <w:jc w:val="center"/>
              <w:rPr>
                <w:rFonts w:ascii="仿宋" w:hAnsi="仿宋" w:eastAsia="仿宋" w:cs="仿宋"/>
                <w:color w:val="auto"/>
              </w:rPr>
            </w:pPr>
          </w:p>
        </w:tc>
      </w:tr>
    </w:tbl>
    <w:p>
      <w:pPr>
        <w:spacing w:line="240" w:lineRule="auto"/>
        <w:ind w:firstLine="422"/>
        <w:jc w:val="center"/>
        <w:rPr>
          <w:rFonts w:ascii="仿宋" w:hAnsi="仿宋" w:eastAsia="仿宋" w:cs="仿宋"/>
          <w:b/>
          <w:bCs/>
          <w:color w:val="auto"/>
        </w:rPr>
      </w:pPr>
      <w:r>
        <w:rPr>
          <w:rFonts w:hint="eastAsia" w:ascii="仿宋" w:hAnsi="仿宋" w:eastAsia="仿宋" w:cs="仿宋"/>
          <w:b/>
          <w:bCs/>
          <w:color w:val="auto"/>
        </w:rPr>
        <w:t>(投标人应根据招标文件第五章采购需求中的服务内容进行填报)</w:t>
      </w:r>
    </w:p>
    <w:p>
      <w:pPr>
        <w:adjustRightInd/>
        <w:snapToGrid/>
        <w:ind w:firstLine="404"/>
        <w:rPr>
          <w:rFonts w:ascii="仿宋" w:hAnsi="仿宋" w:eastAsia="仿宋" w:cs="仿宋"/>
          <w:color w:val="auto"/>
          <w:spacing w:val="-4"/>
        </w:rPr>
      </w:pPr>
      <w:r>
        <w:rPr>
          <w:rFonts w:hint="eastAsia" w:ascii="仿宋" w:hAnsi="仿宋" w:eastAsia="仿宋" w:cs="仿宋"/>
          <w:color w:val="auto"/>
          <w:spacing w:val="-4"/>
        </w:rPr>
        <w:t>注：1.上表根据所投标包采购品类及数量填写，若因缺漏单项货物或者采购数量与招标文件要求不一致，按否决投标处理。（请各投标人仔细核对）</w:t>
      </w:r>
    </w:p>
    <w:p>
      <w:pPr>
        <w:adjustRightInd/>
        <w:snapToGrid/>
        <w:ind w:firstLine="404"/>
        <w:rPr>
          <w:rFonts w:ascii="仿宋" w:hAnsi="仿宋" w:eastAsia="仿宋" w:cs="仿宋"/>
          <w:color w:val="auto"/>
          <w:spacing w:val="-4"/>
        </w:rPr>
      </w:pPr>
      <w:r>
        <w:rPr>
          <w:rFonts w:hint="eastAsia" w:ascii="仿宋" w:hAnsi="仿宋" w:eastAsia="仿宋" w:cs="仿宋"/>
          <w:color w:val="auto"/>
          <w:spacing w:val="-4"/>
        </w:rPr>
        <w:t>2.上表中的“投标总价”应与“开标一览表”一致。</w:t>
      </w:r>
    </w:p>
    <w:p>
      <w:pPr>
        <w:adjustRightInd/>
        <w:snapToGrid/>
        <w:ind w:firstLine="404"/>
        <w:rPr>
          <w:rFonts w:ascii="仿宋" w:hAnsi="仿宋" w:eastAsia="仿宋" w:cs="仿宋"/>
          <w:color w:val="auto"/>
          <w:spacing w:val="-4"/>
        </w:rPr>
      </w:pPr>
      <w:r>
        <w:rPr>
          <w:rFonts w:hint="eastAsia" w:ascii="仿宋" w:hAnsi="仿宋" w:eastAsia="仿宋" w:cs="仿宋"/>
          <w:color w:val="auto"/>
          <w:spacing w:val="-4"/>
        </w:rPr>
        <w:t>3.小计等于单价乘以采购数量，小计之和等于投标总价。</w:t>
      </w:r>
    </w:p>
    <w:p>
      <w:pPr>
        <w:adjustRightInd/>
        <w:snapToGrid/>
        <w:ind w:firstLine="404"/>
        <w:jc w:val="center"/>
        <w:rPr>
          <w:rFonts w:ascii="仿宋" w:hAnsi="仿宋" w:eastAsia="仿宋" w:cs="仿宋"/>
          <w:color w:val="auto"/>
          <w:spacing w:val="-4"/>
        </w:rPr>
      </w:pPr>
    </w:p>
    <w:p>
      <w:pPr>
        <w:adjustRightInd/>
        <w:snapToGrid/>
        <w:ind w:firstLine="404"/>
        <w:jc w:val="center"/>
        <w:rPr>
          <w:rFonts w:ascii="仿宋" w:hAnsi="仿宋" w:eastAsia="仿宋" w:cs="仿宋"/>
          <w:color w:val="auto"/>
        </w:rPr>
      </w:pPr>
      <w:r>
        <w:rPr>
          <w:rFonts w:hint="eastAsia" w:ascii="仿宋" w:hAnsi="仿宋" w:eastAsia="仿宋" w:cs="仿宋"/>
          <w:color w:val="auto"/>
          <w:spacing w:val="-4"/>
        </w:rPr>
        <w:t>投标人名称（盖公章）：</w:t>
      </w:r>
      <w:r>
        <w:rPr>
          <w:rFonts w:hint="eastAsia" w:ascii="仿宋" w:hAnsi="仿宋" w:eastAsia="仿宋" w:cs="仿宋"/>
          <w:color w:val="auto"/>
          <w:spacing w:val="-4"/>
          <w:u w:val="single"/>
        </w:rPr>
        <w:t xml:space="preserve">     </w:t>
      </w:r>
      <w:r>
        <w:rPr>
          <w:rFonts w:hint="eastAsia" w:ascii="仿宋" w:hAnsi="仿宋" w:eastAsia="仿宋" w:cs="仿宋"/>
          <w:color w:val="auto"/>
          <w:spacing w:val="-3"/>
          <w:u w:val="single"/>
        </w:rPr>
        <w:t xml:space="preserve"> </w:t>
      </w:r>
      <w:r>
        <w:rPr>
          <w:rFonts w:hint="eastAsia" w:ascii="仿宋" w:hAnsi="仿宋" w:eastAsia="仿宋" w:cs="仿宋"/>
          <w:color w:val="auto"/>
          <w:spacing w:val="-2"/>
          <w:u w:val="single"/>
        </w:rPr>
        <w:t xml:space="preserve">                             </w:t>
      </w:r>
    </w:p>
    <w:p>
      <w:pPr>
        <w:adjustRightInd/>
        <w:snapToGrid/>
        <w:ind w:firstLine="396"/>
        <w:jc w:val="center"/>
        <w:rPr>
          <w:rFonts w:ascii="仿宋" w:hAnsi="仿宋" w:eastAsia="仿宋" w:cs="仿宋"/>
          <w:color w:val="auto"/>
        </w:rPr>
      </w:pPr>
      <w:r>
        <w:rPr>
          <w:rFonts w:hint="eastAsia" w:ascii="仿宋" w:hAnsi="仿宋" w:eastAsia="仿宋" w:cs="仿宋"/>
          <w:color w:val="auto"/>
          <w:spacing w:val="-6"/>
        </w:rPr>
        <w:t xml:space="preserve">                法定代表人或其授权代理人</w:t>
      </w:r>
      <w:r>
        <w:rPr>
          <w:rFonts w:hint="eastAsia" w:ascii="仿宋" w:hAnsi="仿宋" w:eastAsia="仿宋" w:cs="仿宋"/>
          <w:color w:val="auto"/>
          <w:spacing w:val="-3"/>
        </w:rPr>
        <w:t>(签字或盖章)：</w:t>
      </w:r>
      <w:r>
        <w:rPr>
          <w:rFonts w:hint="eastAsia" w:ascii="仿宋" w:hAnsi="仿宋" w:eastAsia="仿宋" w:cs="仿宋"/>
          <w:color w:val="auto"/>
          <w:spacing w:val="-3"/>
          <w:u w:val="single"/>
        </w:rPr>
        <w:t xml:space="preserve">                 </w:t>
      </w:r>
    </w:p>
    <w:p>
      <w:pPr>
        <w:tabs>
          <w:tab w:val="left" w:pos="863"/>
        </w:tabs>
        <w:adjustRightInd/>
        <w:snapToGrid/>
        <w:jc w:val="right"/>
        <w:rPr>
          <w:rFonts w:ascii="仿宋" w:hAnsi="仿宋" w:eastAsia="仿宋" w:cs="仿宋"/>
          <w:color w:val="auto"/>
          <w:spacing w:val="2"/>
        </w:rPr>
      </w:pPr>
      <w:r>
        <w:rPr>
          <w:rFonts w:hint="eastAsia" w:ascii="仿宋" w:hAnsi="仿宋" w:eastAsia="仿宋" w:cs="仿宋"/>
          <w:color w:val="auto"/>
          <w:u w:val="single"/>
        </w:rPr>
        <w:tab/>
      </w:r>
      <w:r>
        <w:rPr>
          <w:rFonts w:hint="eastAsia" w:ascii="仿宋" w:hAnsi="仿宋" w:eastAsia="仿宋" w:cs="仿宋"/>
          <w:color w:val="auto"/>
          <w:spacing w:val="4"/>
        </w:rPr>
        <w:t>年</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月</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 xml:space="preserve"> </w:t>
      </w:r>
      <w:r>
        <w:rPr>
          <w:rFonts w:hint="eastAsia" w:ascii="仿宋" w:hAnsi="仿宋" w:eastAsia="仿宋" w:cs="仿宋"/>
          <w:color w:val="auto"/>
          <w:spacing w:val="2"/>
        </w:rPr>
        <w:t>日</w:t>
      </w:r>
    </w:p>
    <w:p>
      <w:pPr>
        <w:pStyle w:val="2"/>
        <w:rPr>
          <w:rFonts w:ascii="仿宋" w:hAnsi="仿宋" w:eastAsia="仿宋" w:cs="仿宋"/>
          <w:color w:val="auto"/>
        </w:rPr>
        <w:sectPr>
          <w:footerReference r:id="rId13" w:type="default"/>
          <w:pgSz w:w="11906" w:h="16838"/>
          <w:pgMar w:top="1417" w:right="1417" w:bottom="1417" w:left="1587" w:header="1134" w:footer="1134" w:gutter="0"/>
          <w:cols w:space="425" w:num="1"/>
          <w:docGrid w:type="lines" w:linePitch="312" w:charSpace="0"/>
        </w:sectPr>
      </w:pPr>
    </w:p>
    <w:p>
      <w:pPr>
        <w:pStyle w:val="3"/>
        <w:ind w:firstLine="562"/>
        <w:jc w:val="center"/>
        <w:rPr>
          <w:rFonts w:ascii="仿宋" w:hAnsi="仿宋" w:eastAsia="仿宋" w:cs="仿宋"/>
          <w:color w:val="auto"/>
          <w:sz w:val="28"/>
          <w:szCs w:val="28"/>
        </w:rPr>
      </w:pPr>
      <w:bookmarkStart w:id="72" w:name="_Toc19839"/>
      <w:r>
        <w:rPr>
          <w:rFonts w:hint="eastAsia" w:ascii="仿宋" w:hAnsi="仿宋" w:eastAsia="仿宋" w:cs="仿宋"/>
          <w:color w:val="auto"/>
          <w:sz w:val="28"/>
          <w:szCs w:val="28"/>
        </w:rPr>
        <w:t>3.4  2020 年至今完成的类似项目一览表</w:t>
      </w:r>
      <w:bookmarkEnd w:id="72"/>
    </w:p>
    <w:tbl>
      <w:tblPr>
        <w:tblStyle w:val="26"/>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430"/>
        <w:gridCol w:w="1803"/>
        <w:gridCol w:w="1477"/>
        <w:gridCol w:w="1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25"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r>
              <w:rPr>
                <w:rFonts w:hint="eastAsia" w:ascii="仿宋" w:hAnsi="仿宋" w:eastAsia="仿宋" w:cs="仿宋"/>
                <w:color w:val="auto"/>
              </w:rPr>
              <w:t>序号</w:t>
            </w:r>
          </w:p>
        </w:tc>
        <w:tc>
          <w:tcPr>
            <w:tcW w:w="3430"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r>
              <w:rPr>
                <w:rFonts w:hint="eastAsia" w:ascii="仿宋" w:hAnsi="仿宋" w:eastAsia="仿宋" w:cs="仿宋"/>
                <w:color w:val="auto"/>
              </w:rPr>
              <w:t>参加过的类似项目名称</w:t>
            </w:r>
          </w:p>
        </w:tc>
        <w:tc>
          <w:tcPr>
            <w:tcW w:w="1803"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pStyle w:val="7"/>
              <w:adjustRightInd/>
              <w:snapToGrid/>
              <w:ind w:firstLine="0" w:firstLineChars="0"/>
              <w:jc w:val="center"/>
              <w:rPr>
                <w:rFonts w:ascii="仿宋" w:hAnsi="仿宋" w:eastAsia="仿宋" w:cs="仿宋"/>
                <w:color w:val="auto"/>
              </w:rPr>
            </w:pPr>
            <w:r>
              <w:rPr>
                <w:rFonts w:hint="eastAsia" w:ascii="仿宋" w:hAnsi="仿宋" w:eastAsia="仿宋" w:cs="仿宋"/>
                <w:color w:val="auto"/>
              </w:rPr>
              <w:t>招标人名称</w:t>
            </w: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pStyle w:val="7"/>
              <w:adjustRightInd/>
              <w:snapToGrid/>
              <w:ind w:firstLine="0" w:firstLineChars="0"/>
              <w:jc w:val="center"/>
              <w:rPr>
                <w:rFonts w:ascii="仿宋" w:hAnsi="仿宋" w:eastAsia="仿宋" w:cs="仿宋"/>
                <w:color w:val="auto"/>
              </w:rPr>
            </w:pPr>
            <w:r>
              <w:rPr>
                <w:rFonts w:hint="eastAsia" w:ascii="仿宋" w:hAnsi="仿宋" w:eastAsia="仿宋" w:cs="仿宋"/>
                <w:color w:val="auto"/>
              </w:rPr>
              <w:t>合同金额</w:t>
            </w: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pStyle w:val="7"/>
              <w:adjustRightInd/>
              <w:snapToGrid/>
              <w:ind w:firstLine="0" w:firstLineChars="0"/>
              <w:jc w:val="center"/>
              <w:rPr>
                <w:rFonts w:ascii="仿宋" w:hAnsi="仿宋" w:eastAsia="仿宋" w:cs="仿宋"/>
                <w:color w:val="auto"/>
              </w:rPr>
            </w:pPr>
            <w:r>
              <w:rPr>
                <w:rFonts w:hint="eastAsia" w:ascii="仿宋" w:hAnsi="仿宋" w:eastAsia="仿宋" w:cs="仿宋"/>
                <w:color w:val="auto"/>
              </w:rPr>
              <w:t>完成时间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825"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r>
              <w:rPr>
                <w:rFonts w:hint="eastAsia" w:ascii="仿宋" w:hAnsi="仿宋" w:eastAsia="仿宋" w:cs="仿宋"/>
                <w:color w:val="auto"/>
              </w:rPr>
              <w:t>1</w:t>
            </w:r>
          </w:p>
        </w:tc>
        <w:tc>
          <w:tcPr>
            <w:tcW w:w="3430"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c>
          <w:tcPr>
            <w:tcW w:w="1803"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825"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r>
              <w:rPr>
                <w:rFonts w:hint="eastAsia" w:ascii="仿宋" w:hAnsi="仿宋" w:eastAsia="仿宋" w:cs="仿宋"/>
                <w:color w:val="auto"/>
              </w:rPr>
              <w:t>2</w:t>
            </w:r>
          </w:p>
        </w:tc>
        <w:tc>
          <w:tcPr>
            <w:tcW w:w="3430"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c>
          <w:tcPr>
            <w:tcW w:w="1803"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825"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r>
              <w:rPr>
                <w:rFonts w:hint="eastAsia" w:ascii="仿宋" w:hAnsi="仿宋" w:eastAsia="仿宋" w:cs="仿宋"/>
                <w:color w:val="auto"/>
              </w:rPr>
              <w:t>3</w:t>
            </w:r>
          </w:p>
        </w:tc>
        <w:tc>
          <w:tcPr>
            <w:tcW w:w="3430"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c>
          <w:tcPr>
            <w:tcW w:w="1803"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825"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r>
              <w:rPr>
                <w:rFonts w:hint="eastAsia" w:ascii="仿宋" w:hAnsi="仿宋" w:eastAsia="仿宋" w:cs="仿宋"/>
                <w:color w:val="auto"/>
              </w:rPr>
              <w:t>....</w:t>
            </w:r>
          </w:p>
        </w:tc>
        <w:tc>
          <w:tcPr>
            <w:tcW w:w="3430"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c>
          <w:tcPr>
            <w:tcW w:w="1803"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pPr>
              <w:adjustRightInd/>
              <w:snapToGrid/>
              <w:ind w:firstLine="0" w:firstLineChars="0"/>
              <w:jc w:val="center"/>
              <w:rPr>
                <w:rFonts w:ascii="仿宋" w:hAnsi="仿宋" w:eastAsia="仿宋" w:cs="仿宋"/>
                <w:color w:val="auto"/>
              </w:rPr>
            </w:pPr>
          </w:p>
        </w:tc>
      </w:tr>
    </w:tbl>
    <w:p>
      <w:pPr>
        <w:adjustRightInd/>
        <w:snapToGrid/>
        <w:rPr>
          <w:rFonts w:ascii="仿宋" w:hAnsi="仿宋" w:eastAsia="仿宋" w:cs="仿宋"/>
          <w:color w:val="auto"/>
        </w:rPr>
      </w:pPr>
      <w:r>
        <w:rPr>
          <w:rFonts w:hint="eastAsia" w:ascii="仿宋" w:hAnsi="仿宋" w:eastAsia="仿宋" w:cs="仿宋"/>
          <w:color w:val="auto"/>
        </w:rPr>
        <w:t>注：投标人自2020年1月1日至今类似业绩，业绩证明材料按评审办法规定提供，否则不予认可。</w:t>
      </w:r>
    </w:p>
    <w:p>
      <w:pPr>
        <w:pStyle w:val="3"/>
        <w:ind w:firstLine="562"/>
        <w:jc w:val="center"/>
        <w:rPr>
          <w:rFonts w:ascii="仿宋" w:hAnsi="仿宋" w:eastAsia="仿宋" w:cs="仿宋"/>
          <w:color w:val="auto"/>
          <w:sz w:val="28"/>
          <w:szCs w:val="28"/>
        </w:rPr>
      </w:pPr>
      <w:bookmarkStart w:id="73" w:name="_Toc22519"/>
      <w:r>
        <w:rPr>
          <w:rFonts w:hint="eastAsia" w:ascii="仿宋" w:hAnsi="仿宋" w:eastAsia="仿宋" w:cs="仿宋"/>
          <w:color w:val="auto"/>
          <w:sz w:val="28"/>
          <w:szCs w:val="28"/>
        </w:rPr>
        <w:t>3.5 供货方案（格式自拟）</w:t>
      </w:r>
      <w:bookmarkEnd w:id="73"/>
    </w:p>
    <w:p>
      <w:pPr>
        <w:pStyle w:val="3"/>
        <w:ind w:firstLine="562"/>
        <w:jc w:val="center"/>
        <w:rPr>
          <w:rFonts w:ascii="仿宋" w:hAnsi="仿宋" w:eastAsia="仿宋" w:cs="仿宋"/>
          <w:color w:val="auto"/>
          <w:sz w:val="28"/>
          <w:szCs w:val="28"/>
        </w:rPr>
      </w:pPr>
      <w:bookmarkStart w:id="74" w:name="_Toc11563"/>
      <w:r>
        <w:rPr>
          <w:rFonts w:hint="eastAsia" w:ascii="仿宋" w:hAnsi="仿宋" w:eastAsia="仿宋" w:cs="仿宋"/>
          <w:color w:val="auto"/>
          <w:sz w:val="28"/>
          <w:szCs w:val="28"/>
        </w:rPr>
        <w:t>3.6 售后服务承诺（格式自拟）</w:t>
      </w:r>
      <w:bookmarkEnd w:id="74"/>
    </w:p>
    <w:p>
      <w:pPr>
        <w:ind w:firstLine="0" w:firstLineChars="0"/>
        <w:rPr>
          <w:b/>
          <w:bCs/>
          <w:color w:val="auto"/>
        </w:rPr>
      </w:pPr>
    </w:p>
    <w:p>
      <w:pPr>
        <w:ind w:firstLine="0" w:firstLineChars="0"/>
        <w:rPr>
          <w:color w:val="auto"/>
        </w:rPr>
      </w:pPr>
      <w:r>
        <w:rPr>
          <w:rFonts w:hint="eastAsia"/>
          <w:color w:val="auto"/>
        </w:rPr>
        <w:br w:type="page"/>
      </w:r>
    </w:p>
    <w:p>
      <w:pPr>
        <w:pStyle w:val="3"/>
        <w:ind w:firstLine="643"/>
        <w:jc w:val="center"/>
        <w:rPr>
          <w:color w:val="auto"/>
          <w:sz w:val="32"/>
          <w:szCs w:val="32"/>
        </w:rPr>
      </w:pPr>
      <w:bookmarkStart w:id="75" w:name="_Toc23660"/>
      <w:r>
        <w:rPr>
          <w:rFonts w:hint="eastAsia"/>
          <w:color w:val="auto"/>
          <w:sz w:val="32"/>
          <w:szCs w:val="32"/>
        </w:rPr>
        <w:t>四、技术部分</w:t>
      </w:r>
      <w:bookmarkEnd w:id="75"/>
    </w:p>
    <w:p>
      <w:pPr>
        <w:jc w:val="center"/>
        <w:rPr>
          <w:color w:val="auto"/>
        </w:rPr>
      </w:pPr>
      <w:r>
        <w:rPr>
          <w:rFonts w:hint="eastAsia"/>
          <w:color w:val="auto"/>
        </w:rPr>
        <w:t>（按第七章评审办法的要求进行编制，格式自拟）</w:t>
      </w:r>
    </w:p>
    <w:p>
      <w:pPr>
        <w:jc w:val="center"/>
        <w:rPr>
          <w:color w:val="auto"/>
        </w:rPr>
      </w:pPr>
    </w:p>
    <w:p>
      <w:pPr>
        <w:ind w:firstLine="562"/>
        <w:rPr>
          <w:b/>
          <w:bCs/>
          <w:color w:val="auto"/>
          <w:sz w:val="28"/>
          <w:szCs w:val="28"/>
        </w:rPr>
      </w:pPr>
      <w:r>
        <w:rPr>
          <w:rFonts w:hint="eastAsia"/>
          <w:b/>
          <w:bCs/>
          <w:color w:val="auto"/>
          <w:sz w:val="28"/>
          <w:szCs w:val="28"/>
        </w:rPr>
        <w:t>4.1 技术偏离表</w:t>
      </w:r>
    </w:p>
    <w:p>
      <w:pPr>
        <w:spacing w:line="240" w:lineRule="auto"/>
        <w:ind w:firstLine="0" w:firstLineChars="0"/>
        <w:rPr>
          <w:color w:val="auto"/>
        </w:rPr>
      </w:pPr>
      <w:r>
        <w:rPr>
          <w:rFonts w:hint="eastAsia"/>
          <w:color w:val="auto"/>
        </w:rPr>
        <w:t>标包号:</w:t>
      </w:r>
    </w:p>
    <w:tbl>
      <w:tblPr>
        <w:tblStyle w:val="26"/>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253"/>
        <w:gridCol w:w="2363"/>
        <w:gridCol w:w="1090"/>
        <w:gridCol w:w="1190"/>
        <w:gridCol w:w="2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0"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b/>
                <w:bCs/>
                <w:color w:val="auto"/>
              </w:rPr>
            </w:pPr>
            <w:r>
              <w:rPr>
                <w:rFonts w:hint="eastAsia"/>
                <w:b/>
                <w:bCs/>
                <w:color w:val="auto"/>
              </w:rPr>
              <w:t>序号</w:t>
            </w:r>
          </w:p>
        </w:tc>
        <w:tc>
          <w:tcPr>
            <w:tcW w:w="1253"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b/>
                <w:bCs/>
                <w:color w:val="auto"/>
              </w:rPr>
            </w:pPr>
            <w:r>
              <w:rPr>
                <w:rFonts w:hint="eastAsia"/>
                <w:b/>
                <w:bCs/>
                <w:color w:val="auto"/>
              </w:rPr>
              <w:t>产品名称</w:t>
            </w:r>
          </w:p>
        </w:tc>
        <w:tc>
          <w:tcPr>
            <w:tcW w:w="2363"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b/>
                <w:bCs/>
                <w:color w:val="auto"/>
              </w:rPr>
            </w:pPr>
            <w:r>
              <w:rPr>
                <w:rFonts w:hint="eastAsia"/>
                <w:b/>
                <w:bCs/>
                <w:color w:val="auto"/>
              </w:rPr>
              <w:t>技术规格及参数要求</w:t>
            </w:r>
          </w:p>
        </w:tc>
        <w:tc>
          <w:tcPr>
            <w:tcW w:w="1090"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b/>
                <w:bCs/>
                <w:color w:val="auto"/>
              </w:rPr>
            </w:pPr>
            <w:r>
              <w:rPr>
                <w:rFonts w:hint="eastAsia"/>
                <w:b/>
                <w:bCs/>
                <w:color w:val="auto"/>
              </w:rPr>
              <w:t>投标产品技术参数</w:t>
            </w:r>
          </w:p>
        </w:tc>
        <w:tc>
          <w:tcPr>
            <w:tcW w:w="1190"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b/>
                <w:bCs/>
                <w:color w:val="auto"/>
              </w:rPr>
            </w:pPr>
            <w:r>
              <w:rPr>
                <w:rFonts w:hint="eastAsia"/>
                <w:b/>
                <w:bCs/>
                <w:color w:val="auto"/>
              </w:rPr>
              <w:t>是否偏离</w:t>
            </w:r>
          </w:p>
        </w:tc>
        <w:tc>
          <w:tcPr>
            <w:tcW w:w="2416" w:type="dxa"/>
            <w:shd w:val="clear" w:color="auto" w:fill="auto"/>
            <w:tcMar>
              <w:top w:w="57" w:type="dxa"/>
              <w:left w:w="57" w:type="dxa"/>
              <w:bottom w:w="57" w:type="dxa"/>
              <w:right w:w="57" w:type="dxa"/>
            </w:tcMar>
            <w:vAlign w:val="center"/>
          </w:tcPr>
          <w:p>
            <w:pPr>
              <w:kinsoku w:val="0"/>
              <w:autoSpaceDE w:val="0"/>
              <w:autoSpaceDN w:val="0"/>
              <w:spacing w:line="240" w:lineRule="auto"/>
              <w:ind w:firstLine="0" w:firstLineChars="0"/>
              <w:jc w:val="center"/>
              <w:rPr>
                <w:b/>
                <w:bCs/>
                <w:color w:val="auto"/>
              </w:rPr>
            </w:pPr>
            <w:r>
              <w:rPr>
                <w:rFonts w:hint="eastAsia"/>
                <w:b/>
                <w:bCs/>
                <w:color w:val="auto"/>
              </w:rPr>
              <w:t>投标产品技术参数支持资料（页码或条目号等）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00" w:type="dxa"/>
            <w:shd w:val="clear" w:color="auto" w:fill="auto"/>
            <w:tcMar>
              <w:top w:w="57" w:type="dxa"/>
              <w:left w:w="57" w:type="dxa"/>
              <w:bottom w:w="57" w:type="dxa"/>
              <w:right w:w="57" w:type="dxa"/>
            </w:tcMar>
            <w:vAlign w:val="center"/>
          </w:tcPr>
          <w:p>
            <w:pPr>
              <w:kinsoku w:val="0"/>
              <w:autoSpaceDE w:val="0"/>
              <w:autoSpaceDN w:val="0"/>
              <w:ind w:firstLine="0" w:firstLineChars="0"/>
              <w:jc w:val="center"/>
              <w:rPr>
                <w:color w:val="auto"/>
              </w:rPr>
            </w:pPr>
            <w:r>
              <w:rPr>
                <w:rFonts w:hint="eastAsia"/>
                <w:color w:val="auto"/>
              </w:rPr>
              <w:t>1</w:t>
            </w:r>
          </w:p>
        </w:tc>
        <w:tc>
          <w:tcPr>
            <w:tcW w:w="1253"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2363" w:type="dxa"/>
            <w:shd w:val="clear" w:color="auto" w:fill="auto"/>
            <w:tcMar>
              <w:top w:w="57" w:type="dxa"/>
              <w:left w:w="57" w:type="dxa"/>
              <w:bottom w:w="57" w:type="dxa"/>
              <w:right w:w="57" w:type="dxa"/>
            </w:tcMar>
            <w:vAlign w:val="center"/>
          </w:tcPr>
          <w:p>
            <w:pPr>
              <w:kinsoku w:val="0"/>
              <w:autoSpaceDE w:val="0"/>
              <w:autoSpaceDN w:val="0"/>
              <w:ind w:firstLine="0" w:firstLineChars="0"/>
              <w:rPr>
                <w:color w:val="auto"/>
              </w:rPr>
            </w:pPr>
          </w:p>
        </w:tc>
        <w:tc>
          <w:tcPr>
            <w:tcW w:w="1090"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1190"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2416"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7" w:hRule="atLeast"/>
          <w:jc w:val="center"/>
        </w:trPr>
        <w:tc>
          <w:tcPr>
            <w:tcW w:w="700" w:type="dxa"/>
            <w:shd w:val="clear" w:color="auto" w:fill="auto"/>
            <w:tcMar>
              <w:top w:w="57" w:type="dxa"/>
              <w:left w:w="57" w:type="dxa"/>
              <w:bottom w:w="57" w:type="dxa"/>
              <w:right w:w="57" w:type="dxa"/>
            </w:tcMar>
            <w:vAlign w:val="center"/>
          </w:tcPr>
          <w:p>
            <w:pPr>
              <w:kinsoku w:val="0"/>
              <w:autoSpaceDE w:val="0"/>
              <w:autoSpaceDN w:val="0"/>
              <w:ind w:firstLine="0" w:firstLineChars="0"/>
              <w:jc w:val="center"/>
              <w:rPr>
                <w:color w:val="auto"/>
              </w:rPr>
            </w:pPr>
            <w:r>
              <w:rPr>
                <w:rFonts w:hint="eastAsia"/>
                <w:color w:val="auto"/>
              </w:rPr>
              <w:t>2</w:t>
            </w:r>
          </w:p>
        </w:tc>
        <w:tc>
          <w:tcPr>
            <w:tcW w:w="1253"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2363" w:type="dxa"/>
            <w:shd w:val="clear" w:color="auto" w:fill="auto"/>
            <w:tcMar>
              <w:top w:w="57" w:type="dxa"/>
              <w:left w:w="57" w:type="dxa"/>
              <w:bottom w:w="57" w:type="dxa"/>
              <w:right w:w="57" w:type="dxa"/>
            </w:tcMar>
            <w:vAlign w:val="center"/>
          </w:tcPr>
          <w:p>
            <w:pPr>
              <w:kinsoku w:val="0"/>
              <w:autoSpaceDE w:val="0"/>
              <w:autoSpaceDN w:val="0"/>
              <w:ind w:firstLine="0" w:firstLineChars="0"/>
              <w:rPr>
                <w:color w:val="auto"/>
              </w:rPr>
            </w:pPr>
          </w:p>
        </w:tc>
        <w:tc>
          <w:tcPr>
            <w:tcW w:w="1090"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1190"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2416"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700" w:type="dxa"/>
            <w:shd w:val="clear" w:color="auto" w:fill="auto"/>
            <w:tcMar>
              <w:top w:w="57" w:type="dxa"/>
              <w:left w:w="57" w:type="dxa"/>
              <w:bottom w:w="57" w:type="dxa"/>
              <w:right w:w="57" w:type="dxa"/>
            </w:tcMar>
            <w:vAlign w:val="center"/>
          </w:tcPr>
          <w:p>
            <w:pPr>
              <w:kinsoku w:val="0"/>
              <w:autoSpaceDE w:val="0"/>
              <w:autoSpaceDN w:val="0"/>
              <w:ind w:firstLine="0" w:firstLineChars="0"/>
              <w:jc w:val="center"/>
              <w:rPr>
                <w:color w:val="auto"/>
              </w:rPr>
            </w:pPr>
            <w:r>
              <w:rPr>
                <w:rFonts w:hint="eastAsia"/>
                <w:color w:val="auto"/>
              </w:rPr>
              <w:t>3</w:t>
            </w:r>
          </w:p>
        </w:tc>
        <w:tc>
          <w:tcPr>
            <w:tcW w:w="1253"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2363" w:type="dxa"/>
            <w:shd w:val="clear" w:color="auto" w:fill="auto"/>
            <w:tcMar>
              <w:top w:w="57" w:type="dxa"/>
              <w:left w:w="57" w:type="dxa"/>
              <w:bottom w:w="57" w:type="dxa"/>
              <w:right w:w="57" w:type="dxa"/>
            </w:tcMar>
            <w:vAlign w:val="center"/>
          </w:tcPr>
          <w:p>
            <w:pPr>
              <w:kinsoku w:val="0"/>
              <w:autoSpaceDE w:val="0"/>
              <w:autoSpaceDN w:val="0"/>
              <w:ind w:firstLine="0" w:firstLineChars="0"/>
              <w:rPr>
                <w:color w:val="auto"/>
              </w:rPr>
            </w:pPr>
          </w:p>
        </w:tc>
        <w:tc>
          <w:tcPr>
            <w:tcW w:w="1090"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1190"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2416"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00" w:type="dxa"/>
            <w:shd w:val="clear" w:color="auto" w:fill="auto"/>
            <w:tcMar>
              <w:top w:w="57" w:type="dxa"/>
              <w:left w:w="57" w:type="dxa"/>
              <w:bottom w:w="57" w:type="dxa"/>
              <w:right w:w="57" w:type="dxa"/>
            </w:tcMar>
            <w:vAlign w:val="center"/>
          </w:tcPr>
          <w:p>
            <w:pPr>
              <w:kinsoku w:val="0"/>
              <w:autoSpaceDE w:val="0"/>
              <w:autoSpaceDN w:val="0"/>
              <w:ind w:firstLine="0" w:firstLineChars="0"/>
              <w:jc w:val="center"/>
              <w:rPr>
                <w:color w:val="auto"/>
              </w:rPr>
            </w:pPr>
            <w:r>
              <w:rPr>
                <w:rFonts w:hint="eastAsia"/>
                <w:color w:val="auto"/>
              </w:rPr>
              <w:t>4</w:t>
            </w:r>
          </w:p>
        </w:tc>
        <w:tc>
          <w:tcPr>
            <w:tcW w:w="1253"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2363" w:type="dxa"/>
            <w:shd w:val="clear" w:color="auto" w:fill="auto"/>
            <w:tcMar>
              <w:top w:w="57" w:type="dxa"/>
              <w:left w:w="57" w:type="dxa"/>
              <w:bottom w:w="57" w:type="dxa"/>
              <w:right w:w="57" w:type="dxa"/>
            </w:tcMar>
            <w:vAlign w:val="center"/>
          </w:tcPr>
          <w:p>
            <w:pPr>
              <w:kinsoku w:val="0"/>
              <w:autoSpaceDE w:val="0"/>
              <w:autoSpaceDN w:val="0"/>
              <w:ind w:firstLine="0" w:firstLineChars="0"/>
              <w:rPr>
                <w:color w:val="auto"/>
              </w:rPr>
            </w:pPr>
          </w:p>
        </w:tc>
        <w:tc>
          <w:tcPr>
            <w:tcW w:w="1090"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1190"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2416"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700" w:type="dxa"/>
            <w:shd w:val="clear" w:color="auto" w:fill="auto"/>
            <w:tcMar>
              <w:top w:w="57" w:type="dxa"/>
              <w:left w:w="57" w:type="dxa"/>
              <w:bottom w:w="57" w:type="dxa"/>
              <w:right w:w="57" w:type="dxa"/>
            </w:tcMar>
            <w:vAlign w:val="center"/>
          </w:tcPr>
          <w:p>
            <w:pPr>
              <w:kinsoku w:val="0"/>
              <w:autoSpaceDE w:val="0"/>
              <w:autoSpaceDN w:val="0"/>
              <w:ind w:firstLine="0" w:firstLineChars="0"/>
              <w:jc w:val="center"/>
              <w:rPr>
                <w:color w:val="auto"/>
              </w:rPr>
            </w:pPr>
            <w:r>
              <w:rPr>
                <w:rFonts w:hint="eastAsia"/>
                <w:color w:val="auto"/>
              </w:rPr>
              <w:t>...</w:t>
            </w:r>
          </w:p>
        </w:tc>
        <w:tc>
          <w:tcPr>
            <w:tcW w:w="1253"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2363" w:type="dxa"/>
            <w:shd w:val="clear" w:color="auto" w:fill="auto"/>
            <w:tcMar>
              <w:top w:w="57" w:type="dxa"/>
              <w:left w:w="57" w:type="dxa"/>
              <w:bottom w:w="57" w:type="dxa"/>
              <w:right w:w="57" w:type="dxa"/>
            </w:tcMar>
            <w:vAlign w:val="center"/>
          </w:tcPr>
          <w:p>
            <w:pPr>
              <w:kinsoku w:val="0"/>
              <w:autoSpaceDE w:val="0"/>
              <w:autoSpaceDN w:val="0"/>
              <w:ind w:firstLine="0" w:firstLineChars="0"/>
              <w:rPr>
                <w:color w:val="auto"/>
              </w:rPr>
            </w:pPr>
          </w:p>
        </w:tc>
        <w:tc>
          <w:tcPr>
            <w:tcW w:w="1090"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1190"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c>
          <w:tcPr>
            <w:tcW w:w="2416" w:type="dxa"/>
            <w:shd w:val="clear" w:color="FFFFFF" w:fill="FFFFFF"/>
            <w:tcMar>
              <w:top w:w="57" w:type="dxa"/>
              <w:left w:w="57" w:type="dxa"/>
              <w:bottom w:w="57" w:type="dxa"/>
              <w:right w:w="57" w:type="dxa"/>
            </w:tcMar>
            <w:vAlign w:val="center"/>
          </w:tcPr>
          <w:p>
            <w:pPr>
              <w:kinsoku w:val="0"/>
              <w:autoSpaceDE w:val="0"/>
              <w:autoSpaceDN w:val="0"/>
              <w:ind w:firstLine="0" w:firstLineChars="0"/>
              <w:jc w:val="center"/>
              <w:rPr>
                <w:color w:val="auto"/>
              </w:rPr>
            </w:pPr>
          </w:p>
        </w:tc>
      </w:tr>
    </w:tbl>
    <w:p>
      <w:pPr>
        <w:ind w:firstLine="480"/>
        <w:rPr>
          <w:color w:val="auto"/>
          <w:sz w:val="24"/>
          <w:szCs w:val="24"/>
        </w:rPr>
      </w:pPr>
      <w:r>
        <w:rPr>
          <w:rFonts w:hint="eastAsia"/>
          <w:color w:val="auto"/>
          <w:sz w:val="24"/>
          <w:szCs w:val="24"/>
        </w:rPr>
        <w:t>注：1.投标人根据所标包的产品的技术参数，如实填写本表。若发现虚假应标，按废标处理。</w:t>
      </w:r>
    </w:p>
    <w:p>
      <w:pPr>
        <w:numPr>
          <w:ilvl w:val="0"/>
          <w:numId w:val="6"/>
        </w:numPr>
        <w:ind w:firstLine="480"/>
        <w:rPr>
          <w:color w:val="auto"/>
          <w:sz w:val="24"/>
          <w:szCs w:val="24"/>
        </w:rPr>
      </w:pPr>
      <w:r>
        <w:rPr>
          <w:rFonts w:hint="eastAsia"/>
          <w:color w:val="auto"/>
          <w:sz w:val="24"/>
          <w:szCs w:val="24"/>
        </w:rPr>
        <w:t>后附技术参数支持材料及招标文件要求的质检报告等。</w:t>
      </w:r>
    </w:p>
    <w:p>
      <w:pPr>
        <w:numPr>
          <w:ilvl w:val="0"/>
          <w:numId w:val="6"/>
        </w:numPr>
        <w:ind w:firstLine="480"/>
        <w:rPr>
          <w:color w:val="auto"/>
          <w:sz w:val="24"/>
          <w:szCs w:val="24"/>
        </w:rPr>
      </w:pPr>
      <w:r>
        <w:rPr>
          <w:rFonts w:hint="eastAsia"/>
          <w:color w:val="auto"/>
          <w:sz w:val="24"/>
          <w:szCs w:val="24"/>
        </w:rPr>
        <w:br w:type="page"/>
      </w:r>
    </w:p>
    <w:p>
      <w:pPr>
        <w:ind w:firstLine="562"/>
        <w:rPr>
          <w:b/>
          <w:bCs/>
          <w:color w:val="auto"/>
          <w:sz w:val="28"/>
          <w:szCs w:val="28"/>
        </w:rPr>
      </w:pPr>
      <w:r>
        <w:rPr>
          <w:rFonts w:hint="eastAsia"/>
          <w:b/>
          <w:bCs/>
          <w:color w:val="auto"/>
          <w:sz w:val="28"/>
          <w:szCs w:val="28"/>
        </w:rPr>
        <w:t>4.2 构成投标文件的其他资料</w:t>
      </w:r>
    </w:p>
    <w:p>
      <w:pPr>
        <w:adjustRightInd/>
        <w:snapToGrid/>
        <w:ind w:firstLine="0" w:firstLineChars="0"/>
        <w:rPr>
          <w:color w:val="auto"/>
        </w:rPr>
      </w:pPr>
      <w:r>
        <w:rPr>
          <w:rFonts w:hint="eastAsia"/>
          <w:color w:val="auto"/>
        </w:rPr>
        <w:br w:type="page"/>
      </w:r>
    </w:p>
    <w:p>
      <w:pPr>
        <w:pStyle w:val="2"/>
        <w:rPr>
          <w:color w:val="auto"/>
          <w:sz w:val="32"/>
          <w:szCs w:val="32"/>
        </w:rPr>
      </w:pPr>
      <w:bookmarkStart w:id="76" w:name="_Toc23552"/>
      <w:r>
        <w:rPr>
          <w:rFonts w:hint="eastAsia"/>
          <w:color w:val="auto"/>
          <w:sz w:val="32"/>
          <w:szCs w:val="32"/>
        </w:rPr>
        <w:t>第五章  技术要求</w:t>
      </w:r>
      <w:bookmarkEnd w:id="76"/>
    </w:p>
    <w:p>
      <w:pPr>
        <w:widowControl w:val="0"/>
        <w:tabs>
          <w:tab w:val="left" w:pos="4060"/>
        </w:tabs>
        <w:adjustRightInd/>
        <w:ind w:firstLine="0" w:firstLineChars="0"/>
        <w:rPr>
          <w:b/>
          <w:bCs/>
          <w:color w:val="auto"/>
          <w:sz w:val="28"/>
          <w:szCs w:val="28"/>
        </w:rPr>
      </w:pPr>
      <w:r>
        <w:rPr>
          <w:rFonts w:hint="eastAsia"/>
          <w:b/>
          <w:bCs/>
          <w:color w:val="auto"/>
          <w:sz w:val="28"/>
          <w:szCs w:val="28"/>
        </w:rPr>
        <w:t>一、总体要求</w:t>
      </w:r>
    </w:p>
    <w:p>
      <w:pPr>
        <w:widowControl w:val="0"/>
        <w:adjustRightInd/>
        <w:rPr>
          <w:color w:val="auto"/>
        </w:rPr>
      </w:pPr>
      <w:r>
        <w:rPr>
          <w:rFonts w:hint="eastAsia"/>
          <w:color w:val="auto"/>
        </w:rPr>
        <w:t>各投标人必须对招标文件第五章《技术要求》中的商务、技术等要求作出全面、真实的反映。若投标文件中响应情况与招标文件采购需求及技术参数内容不符或无有效证明，而投标人又未在投标文件中作出说明和解释的，评标委员会在评审时将视为不响应该条商务、技术等要求的规定。</w:t>
      </w:r>
    </w:p>
    <w:p>
      <w:pPr>
        <w:widowControl w:val="0"/>
        <w:adjustRightInd/>
        <w:rPr>
          <w:color w:val="auto"/>
        </w:rPr>
      </w:pPr>
      <w:r>
        <w:rPr>
          <w:rFonts w:hint="eastAsia"/>
          <w:color w:val="auto"/>
        </w:rPr>
        <w:t>本章各项技术参数、规格和性能要求如出现引用某一特定的专利技术、商标、名称、设计、原产地或供应者等情况，则仅起参考作用。投标人可选用实质上“相当于”或“优于”该参考技术规格要求的产品投标。</w:t>
      </w:r>
    </w:p>
    <w:p>
      <w:pPr>
        <w:widowControl w:val="0"/>
        <w:adjustRightInd/>
        <w:rPr>
          <w:color w:val="auto"/>
        </w:rPr>
      </w:pPr>
      <w:r>
        <w:rPr>
          <w:rFonts w:hint="eastAsia"/>
          <w:color w:val="auto"/>
        </w:rPr>
        <w:t>投标人应严格按照《中华人民共和国政府采购法》、《中华人民共和国政府采购法实施条例》、《政府采购货物和服务招标投标管理办法》（财政部令第87号）等有关法律、法规的规定进行投标，合同签订后招标人将按照中标人投标文件中所投货物者服务进行验收，一旦发现虚假应标行为，取消该中标人的中标资格，并保留追究其法律责任的权利。</w:t>
      </w:r>
    </w:p>
    <w:p>
      <w:pPr>
        <w:widowControl w:val="0"/>
        <w:adjustRightInd/>
        <w:rPr>
          <w:color w:val="auto"/>
        </w:rPr>
      </w:pPr>
      <w:r>
        <w:rPr>
          <w:rFonts w:hint="eastAsia"/>
          <w:color w:val="auto"/>
        </w:rPr>
        <w:t>本文件的解释权属于招标人、招标代理机构。</w:t>
      </w:r>
    </w:p>
    <w:p>
      <w:pPr>
        <w:widowControl w:val="0"/>
        <w:adjustRightInd/>
        <w:rPr>
          <w:color w:val="auto"/>
        </w:rPr>
      </w:pPr>
      <w:r>
        <w:rPr>
          <w:rFonts w:hint="eastAsia"/>
          <w:color w:val="auto"/>
        </w:rPr>
        <w:t>本章采购需求及技术参数中，标注“★”号的参数在详细评审阶段均为重要参数，未标注“★”号条款为一般参数。</w:t>
      </w:r>
    </w:p>
    <w:p>
      <w:pPr>
        <w:tabs>
          <w:tab w:val="left" w:pos="4060"/>
        </w:tabs>
        <w:ind w:firstLine="0" w:firstLineChars="0"/>
        <w:rPr>
          <w:b/>
          <w:bCs/>
          <w:color w:val="auto"/>
          <w:sz w:val="28"/>
          <w:szCs w:val="28"/>
        </w:rPr>
      </w:pPr>
      <w:r>
        <w:rPr>
          <w:rFonts w:hint="eastAsia"/>
          <w:b/>
          <w:bCs/>
          <w:color w:val="auto"/>
          <w:sz w:val="28"/>
          <w:szCs w:val="28"/>
        </w:rPr>
        <w:t>二、技术参数</w:t>
      </w:r>
    </w:p>
    <w:p>
      <w:pPr>
        <w:ind w:firstLine="0" w:firstLineChars="0"/>
        <w:rPr>
          <w:b/>
          <w:bCs/>
          <w:color w:val="auto"/>
          <w:sz w:val="24"/>
          <w:szCs w:val="24"/>
        </w:rPr>
      </w:pPr>
      <w:r>
        <w:rPr>
          <w:rFonts w:hint="eastAsia"/>
          <w:b/>
          <w:bCs/>
          <w:color w:val="auto"/>
          <w:sz w:val="24"/>
          <w:szCs w:val="24"/>
        </w:rPr>
        <w:t>1标包，1辆干粉消防车，预算价：130万元</w:t>
      </w:r>
    </w:p>
    <w:p>
      <w:pPr>
        <w:rPr>
          <w:color w:val="auto"/>
        </w:rPr>
      </w:pPr>
      <w:r>
        <w:rPr>
          <w:rFonts w:hint="eastAsia"/>
          <w:color w:val="auto"/>
        </w:rPr>
        <w:t>1.基本要求</w:t>
      </w:r>
    </w:p>
    <w:p>
      <w:pPr>
        <w:rPr>
          <w:color w:val="auto"/>
        </w:rPr>
      </w:pPr>
      <w:r>
        <w:rPr>
          <w:rFonts w:hint="eastAsia"/>
          <w:color w:val="auto"/>
        </w:rPr>
        <w:t>1.1国产底盘，国内消防车制造厂产品。</w:t>
      </w:r>
    </w:p>
    <w:p>
      <w:pPr>
        <w:rPr>
          <w:color w:val="auto"/>
        </w:rPr>
      </w:pPr>
      <w:r>
        <w:rPr>
          <w:rFonts w:hint="eastAsia"/>
          <w:color w:val="auto"/>
        </w:rPr>
        <w:t>1.2执行标准：GB7956.1--2014《消防车第1部分：通用技术条件》、GB7956.4--2019《消防车第4部分： 干粉消防车》的规定。</w:t>
      </w:r>
    </w:p>
    <w:p>
      <w:pPr>
        <w:rPr>
          <w:color w:val="auto"/>
        </w:rPr>
      </w:pPr>
      <w:r>
        <w:rPr>
          <w:rFonts w:hint="eastAsia"/>
          <w:color w:val="auto"/>
        </w:rPr>
        <w:t>1.3最高车速：≥ 90km/h 。</w:t>
      </w:r>
    </w:p>
    <w:p>
      <w:pPr>
        <w:rPr>
          <w:color w:val="auto"/>
        </w:rPr>
      </w:pPr>
      <w:r>
        <w:rPr>
          <w:rFonts w:hint="eastAsia"/>
          <w:color w:val="auto"/>
        </w:rPr>
        <w:t>1.4排放标准：不低于中国国家机动车现行排放标准。</w:t>
      </w:r>
    </w:p>
    <w:p>
      <w:pPr>
        <w:rPr>
          <w:color w:val="auto"/>
        </w:rPr>
      </w:pPr>
      <w:r>
        <w:rPr>
          <w:rFonts w:hint="eastAsia"/>
          <w:color w:val="auto"/>
        </w:rPr>
        <w:t>1.5比功率（kw/T）： ≥14。</w:t>
      </w:r>
    </w:p>
    <w:p>
      <w:pPr>
        <w:rPr>
          <w:color w:val="auto"/>
        </w:rPr>
      </w:pPr>
      <w:r>
        <w:rPr>
          <w:rFonts w:hint="eastAsia"/>
          <w:color w:val="auto"/>
        </w:rPr>
        <w:t>1.6指示标牌、操作说明、安全警示必须为中文，仪表计量单位必须为中国法定计量单位。</w:t>
      </w:r>
    </w:p>
    <w:p>
      <w:pPr>
        <w:rPr>
          <w:color w:val="auto"/>
        </w:rPr>
      </w:pPr>
      <w:r>
        <w:rPr>
          <w:rFonts w:hint="eastAsia"/>
          <w:color w:val="auto"/>
        </w:rPr>
        <w:t>1.7整车外型尺寸（mm，长*宽*高）：≤10000×2550×3700。</w:t>
      </w:r>
    </w:p>
    <w:p>
      <w:pPr>
        <w:rPr>
          <w:color w:val="auto"/>
        </w:rPr>
      </w:pPr>
      <w:r>
        <w:rPr>
          <w:rFonts w:hint="eastAsia"/>
          <w:color w:val="auto"/>
        </w:rPr>
        <w:t>2.底盘</w:t>
      </w:r>
    </w:p>
    <w:p>
      <w:pPr>
        <w:rPr>
          <w:color w:val="auto"/>
        </w:rPr>
      </w:pPr>
      <w:r>
        <w:rPr>
          <w:rFonts w:hint="eastAsia"/>
          <w:color w:val="auto"/>
        </w:rPr>
        <w:t>2.1驱动形式：6×4。</w:t>
      </w:r>
    </w:p>
    <w:p>
      <w:pPr>
        <w:rPr>
          <w:color w:val="auto"/>
        </w:rPr>
      </w:pPr>
      <w:r>
        <w:rPr>
          <w:rFonts w:hint="eastAsia"/>
          <w:color w:val="auto"/>
        </w:rPr>
        <w:t>2.2发动机：直列6缸涡轮增压中冷柴油发动机。</w:t>
      </w:r>
    </w:p>
    <w:p>
      <w:pPr>
        <w:rPr>
          <w:color w:val="auto"/>
        </w:rPr>
      </w:pPr>
      <w:r>
        <w:rPr>
          <w:rFonts w:hint="eastAsia"/>
          <w:color w:val="auto"/>
        </w:rPr>
        <w:t>★2.3发动机功率：≥320kw。</w:t>
      </w:r>
    </w:p>
    <w:p>
      <w:pPr>
        <w:rPr>
          <w:color w:val="auto"/>
        </w:rPr>
      </w:pPr>
      <w:r>
        <w:rPr>
          <w:rFonts w:hint="eastAsia"/>
          <w:color w:val="auto"/>
        </w:rPr>
        <w:t>2.4转向：液压助力，方向盘高度和倾角可调。</w:t>
      </w:r>
    </w:p>
    <w:p>
      <w:pPr>
        <w:rPr>
          <w:color w:val="auto"/>
        </w:rPr>
      </w:pPr>
      <w:r>
        <w:rPr>
          <w:rFonts w:hint="eastAsia"/>
          <w:color w:val="auto"/>
        </w:rPr>
        <w:t>2.5制动：配有ABS防抱死系统、配备液力缓速功能。</w:t>
      </w:r>
    </w:p>
    <w:p>
      <w:pPr>
        <w:rPr>
          <w:color w:val="auto"/>
        </w:rPr>
      </w:pPr>
      <w:r>
        <w:rPr>
          <w:rFonts w:hint="eastAsia"/>
          <w:color w:val="auto"/>
        </w:rPr>
        <w:t>2.6其他：能满足整车承重要求，并留有承载余量，符合国内道路通行要求。</w:t>
      </w:r>
    </w:p>
    <w:p>
      <w:pPr>
        <w:rPr>
          <w:color w:val="auto"/>
        </w:rPr>
      </w:pPr>
      <w:r>
        <w:rPr>
          <w:rFonts w:hint="eastAsia"/>
          <w:color w:val="auto"/>
        </w:rPr>
        <w:t>3.驾驶室和乘员室</w:t>
      </w:r>
    </w:p>
    <w:p>
      <w:pPr>
        <w:rPr>
          <w:color w:val="auto"/>
        </w:rPr>
      </w:pPr>
      <w:r>
        <w:rPr>
          <w:rFonts w:hint="eastAsia"/>
          <w:color w:val="auto"/>
        </w:rPr>
        <w:t>3.1座位数≥6人，驾驶位为气动悬浮座椅，高度、前后位置可调；副驾驶座椅角度和前后位置可调；所有座椅配备安全带。</w:t>
      </w:r>
    </w:p>
    <w:p>
      <w:pPr>
        <w:rPr>
          <w:color w:val="auto"/>
        </w:rPr>
      </w:pPr>
      <w:r>
        <w:rPr>
          <w:rFonts w:hint="eastAsia"/>
          <w:color w:val="auto"/>
        </w:rPr>
        <w:t>3.2结构：驾驶室经过安全碰撞试验，窗户玻璃采用加强型防爆玻璃。</w:t>
      </w:r>
    </w:p>
    <w:p>
      <w:pPr>
        <w:rPr>
          <w:color w:val="auto"/>
        </w:rPr>
      </w:pPr>
      <w:r>
        <w:rPr>
          <w:rFonts w:hint="eastAsia"/>
          <w:color w:val="auto"/>
        </w:rPr>
        <w:t>3.3门窗：中控门锁，前后排均配备电动升降安全玻璃，四开门双排座。</w:t>
      </w:r>
    </w:p>
    <w:p>
      <w:pPr>
        <w:rPr>
          <w:color w:val="auto"/>
        </w:rPr>
      </w:pPr>
      <w:r>
        <w:rPr>
          <w:rFonts w:hint="eastAsia"/>
          <w:color w:val="auto"/>
        </w:rPr>
        <w:t>3.4空调：配备独立通风冷暖空调。</w:t>
      </w:r>
    </w:p>
    <w:p>
      <w:pPr>
        <w:rPr>
          <w:color w:val="auto"/>
        </w:rPr>
      </w:pPr>
      <w:r>
        <w:rPr>
          <w:rFonts w:hint="eastAsia"/>
          <w:color w:val="auto"/>
        </w:rPr>
        <w:t>3.5警灯：符合应急管理部相关标准。</w:t>
      </w:r>
    </w:p>
    <w:p>
      <w:pPr>
        <w:rPr>
          <w:color w:val="auto"/>
        </w:rPr>
      </w:pPr>
      <w:r>
        <w:rPr>
          <w:rFonts w:hint="eastAsia"/>
          <w:color w:val="auto"/>
        </w:rPr>
        <w:t>3.6设备：安装360度全景影像，含前后可视行车记录仪，含倒车雷达，存储卡≥128G、高清显示屏≥9英寸。</w:t>
      </w:r>
    </w:p>
    <w:p>
      <w:pPr>
        <w:rPr>
          <w:color w:val="auto"/>
        </w:rPr>
      </w:pPr>
      <w:r>
        <w:rPr>
          <w:rFonts w:hint="eastAsia"/>
          <w:color w:val="auto"/>
        </w:rPr>
        <w:t>3.7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pPr>
        <w:rPr>
          <w:color w:val="auto"/>
        </w:rPr>
      </w:pPr>
      <w:r>
        <w:rPr>
          <w:rFonts w:hint="eastAsia"/>
          <w:color w:val="auto"/>
        </w:rPr>
        <w:t>3.8其他：设置快速充电口（220V）；乘员室内所有扶手、内衬均经过防滑处理，配有防滑门阶；配置≥4个可安装空气呼吸器座椅，座椅靠背装有内嵌式6.8-9L通用型模具制作的空呼器支架（可调）。</w:t>
      </w:r>
    </w:p>
    <w:p>
      <w:pPr>
        <w:rPr>
          <w:color w:val="auto"/>
        </w:rPr>
      </w:pPr>
      <w:r>
        <w:rPr>
          <w:rFonts w:hint="eastAsia"/>
          <w:color w:val="auto"/>
        </w:rPr>
        <w:t>4.上装</w:t>
      </w:r>
    </w:p>
    <w:p>
      <w:pPr>
        <w:rPr>
          <w:color w:val="auto"/>
        </w:rPr>
      </w:pPr>
      <w:r>
        <w:rPr>
          <w:rFonts w:hint="eastAsia"/>
          <w:color w:val="auto"/>
        </w:rPr>
        <w:t>4.1器材箱和踏板</w:t>
      </w:r>
    </w:p>
    <w:p>
      <w:pPr>
        <w:rPr>
          <w:color w:val="auto"/>
        </w:rPr>
      </w:pPr>
      <w:r>
        <w:rPr>
          <w:rFonts w:hint="eastAsia"/>
          <w:color w:val="auto"/>
        </w:rPr>
        <w:t>4.2材质：高强度金属材质，满足满负荷承载能力。</w:t>
      </w:r>
    </w:p>
    <w:p>
      <w:pPr>
        <w:rPr>
          <w:color w:val="auto"/>
        </w:rPr>
      </w:pPr>
      <w:r>
        <w:rPr>
          <w:rFonts w:hint="eastAsia"/>
          <w:color w:val="auto"/>
        </w:rPr>
        <w:t>4.3箱内：无骨架板式联接，设有排水孔/槽，按需求方要求进行空间设计。</w:t>
      </w:r>
    </w:p>
    <w:p>
      <w:pPr>
        <w:rPr>
          <w:color w:val="auto"/>
        </w:rPr>
      </w:pPr>
      <w:r>
        <w:rPr>
          <w:rFonts w:hint="eastAsia"/>
          <w:color w:val="auto"/>
        </w:rPr>
        <w:t>4.4箱门：高强度铝合金型材料，箱门关闭后密封、防水，箱门关闭时自动锁闭，在三级道路以60Km/h行驶时器材箱门不会开启，所有帘子门可以用一把钥匙开启。</w:t>
      </w:r>
    </w:p>
    <w:p>
      <w:pPr>
        <w:rPr>
          <w:color w:val="auto"/>
        </w:rPr>
      </w:pPr>
      <w:r>
        <w:rPr>
          <w:rFonts w:hint="eastAsia"/>
          <w:color w:val="auto"/>
        </w:rPr>
        <w:t>4.5箱内照明：每道器材箱门内设置有LED自动照明系统。</w:t>
      </w:r>
    </w:p>
    <w:p>
      <w:pPr>
        <w:rPr>
          <w:color w:val="auto"/>
        </w:rPr>
      </w:pPr>
      <w:r>
        <w:rPr>
          <w:rFonts w:hint="eastAsia"/>
          <w:color w:val="auto"/>
        </w:rPr>
        <w:t>4.6翻门踏板：防滑设计，承载≥150kg。</w:t>
      </w:r>
    </w:p>
    <w:p>
      <w:pPr>
        <w:rPr>
          <w:color w:val="auto"/>
        </w:rPr>
      </w:pPr>
      <w:r>
        <w:rPr>
          <w:rFonts w:hint="eastAsia"/>
          <w:color w:val="auto"/>
        </w:rPr>
        <w:t>★5.干粉氮气系统</w:t>
      </w:r>
    </w:p>
    <w:p>
      <w:pPr>
        <w:rPr>
          <w:color w:val="auto"/>
        </w:rPr>
      </w:pPr>
      <w:r>
        <w:rPr>
          <w:rFonts w:hint="eastAsia"/>
          <w:color w:val="auto"/>
        </w:rPr>
        <w:t>5.1干粉罐：装粉量：≥3吨×2个，工作压力：≥1.4MPa，剩粉率：≤15%；</w:t>
      </w:r>
    </w:p>
    <w:p>
      <w:pPr>
        <w:rPr>
          <w:color w:val="auto"/>
        </w:rPr>
      </w:pPr>
      <w:r>
        <w:rPr>
          <w:rFonts w:hint="eastAsia"/>
          <w:color w:val="auto"/>
        </w:rPr>
        <w:t>5.2氮气瓶：工作压力：≥15MPa，容量：≥80L，数量：≥18只，充气时间：≤3min；</w:t>
      </w:r>
    </w:p>
    <w:p>
      <w:pPr>
        <w:rPr>
          <w:color w:val="auto"/>
        </w:rPr>
      </w:pPr>
      <w:r>
        <w:rPr>
          <w:rFonts w:hint="eastAsia"/>
          <w:color w:val="auto"/>
        </w:rPr>
        <w:t>5.3减压阀工作压力：≥15MPa，输出压力：≥ 1.4MPa，最大流量：≥90m³/min，数量：2个；</w:t>
      </w:r>
    </w:p>
    <w:p>
      <w:pPr>
        <w:rPr>
          <w:color w:val="auto"/>
        </w:rPr>
      </w:pPr>
      <w:r>
        <w:rPr>
          <w:rFonts w:hint="eastAsia"/>
          <w:color w:val="auto"/>
        </w:rPr>
        <w:t>5.4干粉炮：喷射率：≥30kg/s，射程：≥40m，数量：≥2个，水平旋转角≥±360°、俯仰角≥-10～﹢80°；</w:t>
      </w:r>
    </w:p>
    <w:p>
      <w:pPr>
        <w:rPr>
          <w:color w:val="auto"/>
        </w:rPr>
      </w:pPr>
      <w:r>
        <w:rPr>
          <w:rFonts w:hint="eastAsia"/>
          <w:color w:val="auto"/>
        </w:rPr>
        <w:t>5.5干粉卷盘规格：≥DN25×40m，喷射率：≥2.5kg/s 射程：≥12m，数量：2个。</w:t>
      </w:r>
    </w:p>
    <w:p>
      <w:pPr>
        <w:rPr>
          <w:color w:val="auto"/>
        </w:rPr>
      </w:pPr>
      <w:r>
        <w:rPr>
          <w:rFonts w:hint="eastAsia"/>
          <w:color w:val="auto"/>
        </w:rPr>
        <w:t>5.6配备外部注氮接口，并随车配备外部注氮管线长度≥30m；</w:t>
      </w:r>
    </w:p>
    <w:p>
      <w:pPr>
        <w:rPr>
          <w:color w:val="auto"/>
        </w:rPr>
      </w:pPr>
      <w:r>
        <w:rPr>
          <w:rFonts w:hint="eastAsia"/>
          <w:color w:val="auto"/>
        </w:rPr>
        <w:t>5.7干粉系统操纵面板：设置2组干粉系统操纵面板，包括气源压力表、罐压力表、罐进气阀开关、炮出粉开关、枪出粉开关、炮吹扫开关和枪吹扫开关，并配有管路图及操作使用要求。</w:t>
      </w:r>
    </w:p>
    <w:p>
      <w:pPr>
        <w:rPr>
          <w:color w:val="auto"/>
        </w:rPr>
      </w:pPr>
      <w:r>
        <w:rPr>
          <w:rFonts w:hint="eastAsia"/>
          <w:color w:val="auto"/>
        </w:rPr>
        <w:t>6.外观颜色、标识（应急管理部最新外观标识统型标准）</w:t>
      </w:r>
    </w:p>
    <w:p>
      <w:pPr>
        <w:rPr>
          <w:color w:val="auto"/>
        </w:rPr>
      </w:pPr>
      <w:r>
        <w:rPr>
          <w:rFonts w:hint="eastAsia"/>
          <w:color w:val="auto"/>
        </w:rPr>
        <w:t>6.1整车标识：按消防救援车辆外观制式涂装要求进行涂装，车辆涂装符合《国家综合性消防救援车辆外观制式涂装规范》。</w:t>
      </w:r>
    </w:p>
    <w:p>
      <w:pPr>
        <w:rPr>
          <w:color w:val="auto"/>
        </w:rPr>
      </w:pPr>
      <w:r>
        <w:rPr>
          <w:rFonts w:hint="eastAsia"/>
          <w:color w:val="auto"/>
        </w:rPr>
        <w:t>6.2其他：所有车上铭牌、显示屏幕信息、功能按键必须以中文或图形符号显示，随车技术文件带中文翻译件；在驾驶室显著位置上安放标注有生产厂家名称、品牌名称、型号、规格、生产日期等产品信息的铭牌。</w:t>
      </w:r>
    </w:p>
    <w:p>
      <w:pPr>
        <w:rPr>
          <w:color w:val="auto"/>
        </w:rPr>
      </w:pPr>
      <w:r>
        <w:rPr>
          <w:rFonts w:hint="eastAsia"/>
          <w:color w:val="auto"/>
        </w:rPr>
        <w:t>7.随车资料（均为中文材料）</w:t>
      </w:r>
    </w:p>
    <w:p>
      <w:pPr>
        <w:rPr>
          <w:b/>
          <w:bCs/>
          <w:color w:val="auto"/>
        </w:rPr>
      </w:pPr>
      <w:r>
        <w:rPr>
          <w:rFonts w:hint="eastAsia"/>
          <w:color w:val="auto"/>
        </w:rPr>
        <w:t>附底盘使用手册2份；底盘维护手册2份；上装使用维护手册2份；车辆零件目录2份；安全操作光盘2张；底盘电气原理图1套；随车工具、全尺寸备胎等常用随车器材；发动机号和底盘号拓印件2套；底盘保修卡1份；底盘及其他进口装备货物证明1份、车辆一致性证书1份、底盘合格证1份、压力容器检测报告1份等。</w:t>
      </w:r>
    </w:p>
    <w:p>
      <w:pPr>
        <w:ind w:firstLine="482"/>
        <w:rPr>
          <w:b/>
          <w:bCs/>
          <w:color w:val="auto"/>
          <w:sz w:val="24"/>
          <w:szCs w:val="24"/>
        </w:rPr>
      </w:pPr>
      <w:r>
        <w:rPr>
          <w:rFonts w:hint="eastAsia"/>
          <w:b/>
          <w:bCs/>
          <w:color w:val="auto"/>
          <w:sz w:val="24"/>
          <w:szCs w:val="24"/>
        </w:rPr>
        <w:br w:type="page"/>
      </w:r>
    </w:p>
    <w:p>
      <w:pPr>
        <w:ind w:firstLine="482"/>
        <w:rPr>
          <w:b/>
          <w:bCs/>
          <w:color w:val="auto"/>
          <w:sz w:val="24"/>
          <w:szCs w:val="24"/>
        </w:rPr>
      </w:pPr>
      <w:r>
        <w:rPr>
          <w:rFonts w:hint="eastAsia"/>
          <w:b/>
          <w:bCs/>
          <w:color w:val="auto"/>
          <w:sz w:val="24"/>
          <w:szCs w:val="24"/>
        </w:rPr>
        <w:t>2标包，2辆防化洗消消防车，预算价：256万元</w:t>
      </w:r>
    </w:p>
    <w:p>
      <w:pPr>
        <w:rPr>
          <w:color w:val="auto"/>
        </w:rPr>
      </w:pPr>
      <w:r>
        <w:rPr>
          <w:rFonts w:hint="eastAsia"/>
          <w:color w:val="auto"/>
        </w:rPr>
        <w:t>1.基本要求</w:t>
      </w:r>
    </w:p>
    <w:p>
      <w:pPr>
        <w:rPr>
          <w:color w:val="auto"/>
        </w:rPr>
      </w:pPr>
      <w:r>
        <w:rPr>
          <w:rFonts w:hint="eastAsia"/>
          <w:color w:val="auto"/>
        </w:rPr>
        <w:t>1.1国产二类底盘。</w:t>
      </w:r>
    </w:p>
    <w:p>
      <w:pPr>
        <w:rPr>
          <w:color w:val="auto"/>
        </w:rPr>
      </w:pPr>
      <w:r>
        <w:rPr>
          <w:rFonts w:hint="eastAsia"/>
          <w:color w:val="auto"/>
        </w:rPr>
        <w:t>1.2执行标准：</w:t>
      </w:r>
    </w:p>
    <w:p>
      <w:pPr>
        <w:rPr>
          <w:color w:val="auto"/>
        </w:rPr>
      </w:pPr>
      <w:r>
        <w:rPr>
          <w:rFonts w:hint="eastAsia"/>
          <w:color w:val="auto"/>
        </w:rPr>
        <w:t>（1）GB 7956.1-2014 消防车 第1部分：通用技术条件。</w:t>
      </w:r>
    </w:p>
    <w:p>
      <w:pPr>
        <w:rPr>
          <w:color w:val="auto"/>
        </w:rPr>
      </w:pPr>
      <w:r>
        <w:rPr>
          <w:rFonts w:hint="eastAsia"/>
          <w:color w:val="auto"/>
        </w:rPr>
        <w:t>（2）XF 39-2016 消防车 消防车要求和试验方法。</w:t>
      </w:r>
    </w:p>
    <w:p>
      <w:pPr>
        <w:rPr>
          <w:color w:val="auto"/>
        </w:rPr>
      </w:pPr>
      <w:r>
        <w:rPr>
          <w:rFonts w:hint="eastAsia"/>
          <w:color w:val="auto"/>
        </w:rPr>
        <w:t>1.3最高车速：≥90km/h。</w:t>
      </w:r>
    </w:p>
    <w:p>
      <w:pPr>
        <w:rPr>
          <w:color w:val="auto"/>
        </w:rPr>
      </w:pPr>
      <w:r>
        <w:rPr>
          <w:rFonts w:hint="eastAsia"/>
          <w:color w:val="auto"/>
        </w:rPr>
        <w:t>1.4排放标准：不低于中国国家机动车现行排放标准。</w:t>
      </w:r>
    </w:p>
    <w:p>
      <w:pPr>
        <w:rPr>
          <w:color w:val="auto"/>
        </w:rPr>
      </w:pPr>
      <w:r>
        <w:rPr>
          <w:rFonts w:hint="eastAsia"/>
          <w:color w:val="auto"/>
        </w:rPr>
        <w:t>★1.5比功率：≥18kW/t。</w:t>
      </w:r>
    </w:p>
    <w:p>
      <w:pPr>
        <w:rPr>
          <w:color w:val="auto"/>
        </w:rPr>
      </w:pPr>
      <w:r>
        <w:rPr>
          <w:rFonts w:hint="eastAsia"/>
          <w:color w:val="auto"/>
        </w:rPr>
        <w:t>1.6整车外形尺寸：≤长9000mm×宽2500mm×高3500mm。</w:t>
      </w:r>
    </w:p>
    <w:p>
      <w:pPr>
        <w:rPr>
          <w:color w:val="auto"/>
        </w:rPr>
      </w:pPr>
      <w:r>
        <w:rPr>
          <w:rFonts w:hint="eastAsia"/>
          <w:color w:val="auto"/>
        </w:rPr>
        <w:t>1.7指示标牌、操作说明、安全警示必须为中文，仪表计量单位必须为中国法定计量单位。</w:t>
      </w:r>
    </w:p>
    <w:p>
      <w:pPr>
        <w:rPr>
          <w:color w:val="auto"/>
        </w:rPr>
      </w:pPr>
      <w:r>
        <w:rPr>
          <w:rFonts w:hint="eastAsia"/>
          <w:color w:val="auto"/>
        </w:rPr>
        <w:t>2.底盘</w:t>
      </w:r>
    </w:p>
    <w:p>
      <w:pPr>
        <w:rPr>
          <w:color w:val="auto"/>
        </w:rPr>
      </w:pPr>
      <w:r>
        <w:rPr>
          <w:rFonts w:hint="eastAsia"/>
          <w:color w:val="auto"/>
        </w:rPr>
        <w:t>2.1驱动形式：4×2</w:t>
      </w:r>
    </w:p>
    <w:p>
      <w:pPr>
        <w:rPr>
          <w:color w:val="auto"/>
        </w:rPr>
      </w:pPr>
      <w:r>
        <w:rPr>
          <w:rFonts w:hint="eastAsia"/>
          <w:color w:val="auto"/>
        </w:rPr>
        <w:t>2.2发动机：柴油发动机。</w:t>
      </w:r>
    </w:p>
    <w:p>
      <w:pPr>
        <w:rPr>
          <w:color w:val="auto"/>
        </w:rPr>
      </w:pPr>
      <w:r>
        <w:rPr>
          <w:rFonts w:hint="eastAsia"/>
          <w:color w:val="auto"/>
        </w:rPr>
        <w:t>★2.3发动机功率：≥250kw。</w:t>
      </w:r>
    </w:p>
    <w:p>
      <w:pPr>
        <w:rPr>
          <w:color w:val="auto"/>
        </w:rPr>
      </w:pPr>
      <w:r>
        <w:rPr>
          <w:rFonts w:hint="eastAsia"/>
          <w:color w:val="auto"/>
        </w:rPr>
        <w:t>2.4取力器：夹心式全功率取力器。</w:t>
      </w:r>
    </w:p>
    <w:p>
      <w:pPr>
        <w:rPr>
          <w:color w:val="auto"/>
        </w:rPr>
      </w:pPr>
      <w:r>
        <w:rPr>
          <w:rFonts w:hint="eastAsia"/>
          <w:color w:val="auto"/>
        </w:rPr>
        <w:t>2.5转向：液压助力，方向盘高度和倾角可调。</w:t>
      </w:r>
    </w:p>
    <w:p>
      <w:pPr>
        <w:rPr>
          <w:color w:val="auto"/>
        </w:rPr>
      </w:pPr>
      <w:r>
        <w:rPr>
          <w:rFonts w:hint="eastAsia"/>
          <w:color w:val="auto"/>
        </w:rPr>
        <w:t>2.6制动：配备 ABS（防抱死系统）和液力缓速器功能。</w:t>
      </w:r>
    </w:p>
    <w:p>
      <w:pPr>
        <w:rPr>
          <w:color w:val="auto"/>
        </w:rPr>
      </w:pPr>
      <w:r>
        <w:rPr>
          <w:rFonts w:hint="eastAsia"/>
          <w:color w:val="auto"/>
        </w:rPr>
        <w:t xml:space="preserve">    2.7变速箱：手动变速箱优先。</w:t>
      </w:r>
    </w:p>
    <w:p>
      <w:pPr>
        <w:rPr>
          <w:color w:val="auto"/>
        </w:rPr>
      </w:pPr>
      <w:r>
        <w:rPr>
          <w:rFonts w:hint="eastAsia"/>
          <w:color w:val="auto"/>
        </w:rPr>
        <w:t>3.驾驶室和工作室</w:t>
      </w:r>
    </w:p>
    <w:p>
      <w:pPr>
        <w:rPr>
          <w:color w:val="auto"/>
        </w:rPr>
      </w:pPr>
      <w:r>
        <w:rPr>
          <w:rFonts w:hint="eastAsia"/>
          <w:color w:val="auto"/>
        </w:rPr>
        <w:t>3.1结构：采用底盘生产厂原装双排座4门驾乘室。</w:t>
      </w:r>
    </w:p>
    <w:p>
      <w:pPr>
        <w:rPr>
          <w:color w:val="auto"/>
        </w:rPr>
      </w:pPr>
      <w:r>
        <w:rPr>
          <w:rFonts w:hint="eastAsia"/>
          <w:color w:val="auto"/>
        </w:rPr>
        <w:t>3.2座椅：座位数≥6人，驾驶员气动悬浮座椅，高度、角度、前后位置可调；副驾驶座椅角度和前后位置可调；乘员室配置独立式空呼器座椅，座椅靠背装有内嵌式6.8-9L通用型模具制作的空呼器架（可调节）；所有座椅必须配备安全带。</w:t>
      </w:r>
    </w:p>
    <w:p>
      <w:pPr>
        <w:rPr>
          <w:color w:val="auto"/>
        </w:rPr>
      </w:pPr>
      <w:r>
        <w:rPr>
          <w:rFonts w:hint="eastAsia"/>
          <w:color w:val="auto"/>
        </w:rPr>
        <w:t xml:space="preserve">    3.3门窗：前后电动门窗，中控门锁，可电动升降的安全玻璃。</w:t>
      </w:r>
    </w:p>
    <w:p>
      <w:pPr>
        <w:rPr>
          <w:color w:val="auto"/>
        </w:rPr>
      </w:pPr>
      <w:r>
        <w:rPr>
          <w:rFonts w:hint="eastAsia"/>
          <w:color w:val="auto"/>
        </w:rPr>
        <w:t xml:space="preserve">    3.4空调：配独立通风冷暖空调。</w:t>
      </w:r>
    </w:p>
    <w:p>
      <w:pPr>
        <w:rPr>
          <w:color w:val="auto"/>
        </w:rPr>
      </w:pPr>
      <w:r>
        <w:rPr>
          <w:rFonts w:hint="eastAsia"/>
          <w:color w:val="auto"/>
        </w:rPr>
        <w:t xml:space="preserve">    3.5警灯：符合应急管理部相关标准。</w:t>
      </w:r>
    </w:p>
    <w:p>
      <w:pPr>
        <w:rPr>
          <w:color w:val="auto"/>
        </w:rPr>
      </w:pPr>
      <w:r>
        <w:rPr>
          <w:rFonts w:hint="eastAsia"/>
          <w:color w:val="auto"/>
        </w:rPr>
        <w:t xml:space="preserve">    3.6设备：360度全景影像，含前后可视行车记录仪，含倒车雷达，存储卡≥128G、高清显示屏≥9英寸。配备前喷洒（道路洗消用）控制开关等附加电器。</w:t>
      </w:r>
    </w:p>
    <w:p>
      <w:pPr>
        <w:rPr>
          <w:color w:val="auto"/>
        </w:rPr>
      </w:pPr>
      <w:r>
        <w:rPr>
          <w:rFonts w:hint="eastAsia"/>
          <w:color w:val="auto"/>
        </w:rPr>
        <w:t>3.7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pPr>
        <w:rPr>
          <w:color w:val="auto"/>
        </w:rPr>
      </w:pPr>
      <w:r>
        <w:rPr>
          <w:rFonts w:hint="eastAsia"/>
          <w:color w:val="auto"/>
        </w:rPr>
        <w:t>3.8照明：车厢两侧及后方各安装红色频闪灯和工作照明灯，按标准要求配置标志灯、前后示廓灯及两侧和尾部反光标识，其余照明及警示设备符合XF39-2016中电气系统的规定和要求。</w:t>
      </w:r>
    </w:p>
    <w:p>
      <w:pPr>
        <w:rPr>
          <w:color w:val="auto"/>
        </w:rPr>
      </w:pPr>
      <w:r>
        <w:rPr>
          <w:rFonts w:hint="eastAsia"/>
          <w:color w:val="auto"/>
        </w:rPr>
        <w:t>3.9其他：设置快速充电口（220V）。</w:t>
      </w:r>
    </w:p>
    <w:p>
      <w:pPr>
        <w:rPr>
          <w:color w:val="auto"/>
        </w:rPr>
      </w:pPr>
      <w:r>
        <w:rPr>
          <w:rFonts w:hint="eastAsia"/>
          <w:color w:val="auto"/>
        </w:rPr>
        <w:t>4.上装</w:t>
      </w:r>
    </w:p>
    <w:p>
      <w:pPr>
        <w:rPr>
          <w:color w:val="auto"/>
        </w:rPr>
      </w:pPr>
      <w:r>
        <w:rPr>
          <w:rFonts w:hint="eastAsia"/>
          <w:color w:val="auto"/>
        </w:rPr>
        <w:t>4.1器材箱和踏板</w:t>
      </w:r>
    </w:p>
    <w:p>
      <w:pPr>
        <w:rPr>
          <w:color w:val="auto"/>
        </w:rPr>
      </w:pPr>
      <w:r>
        <w:rPr>
          <w:rFonts w:hint="eastAsia"/>
          <w:color w:val="auto"/>
        </w:rPr>
        <w:t>4.1.1材质：高强度铝板，满足满负荷承载能力。</w:t>
      </w:r>
    </w:p>
    <w:p>
      <w:pPr>
        <w:rPr>
          <w:color w:val="auto"/>
        </w:rPr>
      </w:pPr>
      <w:r>
        <w:rPr>
          <w:rFonts w:hint="eastAsia"/>
          <w:color w:val="auto"/>
        </w:rPr>
        <w:t>4.1.2结构：无骨架板式连接，设有排水孔/槽。</w:t>
      </w:r>
    </w:p>
    <w:p>
      <w:pPr>
        <w:rPr>
          <w:color w:val="auto"/>
        </w:rPr>
      </w:pPr>
      <w:r>
        <w:rPr>
          <w:rFonts w:hint="eastAsia"/>
          <w:color w:val="auto"/>
        </w:rPr>
        <w:t>4.1.3箱门：高强度铝合金型材料，箱门关闭后密封、防水，箱门关闭时自动锁闭，在三级道路以60Km/h行驶时器材箱门不会自动开启，所有帘子门可以用一把钥匙开启。</w:t>
      </w:r>
    </w:p>
    <w:p>
      <w:pPr>
        <w:rPr>
          <w:color w:val="auto"/>
        </w:rPr>
      </w:pPr>
      <w:r>
        <w:rPr>
          <w:rFonts w:hint="eastAsia"/>
          <w:color w:val="auto"/>
        </w:rPr>
        <w:t>4.1.4箱内照明：LED自动照明。</w:t>
      </w:r>
    </w:p>
    <w:p>
      <w:pPr>
        <w:rPr>
          <w:color w:val="auto"/>
        </w:rPr>
      </w:pPr>
      <w:r>
        <w:rPr>
          <w:rFonts w:hint="eastAsia"/>
          <w:color w:val="auto"/>
        </w:rPr>
        <w:t>4.1.5器材的固定设置：按人体工程学原理设计各种器材托架，设置推拉滑动托架、滑动托板等，装夹牢固，取用方便。器材箱的设置形式、方式、尺寸等参数由中标单位与车辆使用单位根据实际需求确认。</w:t>
      </w:r>
    </w:p>
    <w:p>
      <w:pPr>
        <w:rPr>
          <w:color w:val="auto"/>
        </w:rPr>
      </w:pPr>
      <w:r>
        <w:rPr>
          <w:rFonts w:hint="eastAsia"/>
          <w:color w:val="auto"/>
        </w:rPr>
        <w:t>4.1.6翻门踏板：防滑设计，承载≥150kg。</w:t>
      </w:r>
    </w:p>
    <w:p>
      <w:pPr>
        <w:rPr>
          <w:color w:val="auto"/>
        </w:rPr>
      </w:pPr>
      <w:r>
        <w:rPr>
          <w:rFonts w:hint="eastAsia"/>
          <w:color w:val="auto"/>
        </w:rPr>
        <w:t>4.2升降照明系统</w:t>
      </w:r>
    </w:p>
    <w:p>
      <w:pPr>
        <w:rPr>
          <w:color w:val="auto"/>
        </w:rPr>
      </w:pPr>
      <w:r>
        <w:rPr>
          <w:rFonts w:hint="eastAsia"/>
          <w:color w:val="auto"/>
        </w:rPr>
        <w:t>★4.2.1发电机组：功率≥10kW，额定电压：380V/220V。</w:t>
      </w:r>
    </w:p>
    <w:p>
      <w:pPr>
        <w:rPr>
          <w:color w:val="auto"/>
        </w:rPr>
      </w:pPr>
      <w:r>
        <w:rPr>
          <w:rFonts w:hint="eastAsia"/>
          <w:color w:val="auto"/>
        </w:rPr>
        <w:t>4.2.2离地最大高度：≥6.0m。</w:t>
      </w:r>
    </w:p>
    <w:p>
      <w:pPr>
        <w:rPr>
          <w:color w:val="auto"/>
        </w:rPr>
      </w:pPr>
      <w:r>
        <w:rPr>
          <w:rFonts w:hint="eastAsia"/>
          <w:color w:val="auto"/>
        </w:rPr>
        <w:t>★4.2.3主照明灯：≥4×500W   LED光源。</w:t>
      </w:r>
    </w:p>
    <w:p>
      <w:pPr>
        <w:rPr>
          <w:color w:val="auto"/>
        </w:rPr>
      </w:pPr>
      <w:r>
        <w:rPr>
          <w:rFonts w:hint="eastAsia"/>
          <w:color w:val="auto"/>
        </w:rPr>
        <w:t>4.2.4翻转角度：≥-90 °～ +30 °</w:t>
      </w:r>
    </w:p>
    <w:p>
      <w:pPr>
        <w:rPr>
          <w:color w:val="auto"/>
        </w:rPr>
      </w:pPr>
      <w:r>
        <w:rPr>
          <w:rFonts w:hint="eastAsia"/>
          <w:color w:val="auto"/>
        </w:rPr>
        <w:t>4.2.5水平回转：≥-150 °～ +150 °。</w:t>
      </w:r>
    </w:p>
    <w:p>
      <w:pPr>
        <w:rPr>
          <w:color w:val="auto"/>
        </w:rPr>
      </w:pPr>
      <w:r>
        <w:rPr>
          <w:rFonts w:hint="eastAsia"/>
          <w:color w:val="auto"/>
        </w:rPr>
        <w:t>4.2.6升降灯杆：电控气压式升降照明灯杆，具备气动升降及一键复位功能和遥控操作灯杆及照明功能。</w:t>
      </w:r>
    </w:p>
    <w:p>
      <w:pPr>
        <w:rPr>
          <w:color w:val="auto"/>
        </w:rPr>
      </w:pPr>
      <w:r>
        <w:rPr>
          <w:rFonts w:hint="eastAsia"/>
          <w:color w:val="auto"/>
        </w:rPr>
        <w:t>5.洗消罐及器材箱</w:t>
      </w:r>
    </w:p>
    <w:p>
      <w:pPr>
        <w:rPr>
          <w:color w:val="auto"/>
        </w:rPr>
      </w:pPr>
      <w:r>
        <w:rPr>
          <w:rFonts w:hint="eastAsia"/>
          <w:color w:val="auto"/>
        </w:rPr>
        <w:t>★5.1容量：≥2000L。</w:t>
      </w:r>
    </w:p>
    <w:p>
      <w:pPr>
        <w:rPr>
          <w:color w:val="auto"/>
        </w:rPr>
      </w:pPr>
      <w:r>
        <w:rPr>
          <w:rFonts w:hint="eastAsia"/>
          <w:color w:val="auto"/>
        </w:rPr>
        <w:t>5.2 材质：304以上材质不锈钢。</w:t>
      </w:r>
    </w:p>
    <w:p>
      <w:pPr>
        <w:rPr>
          <w:color w:val="auto"/>
        </w:rPr>
      </w:pPr>
      <w:r>
        <w:rPr>
          <w:rFonts w:hint="eastAsia"/>
          <w:color w:val="auto"/>
        </w:rPr>
        <w:t>5.3型式：内藏式</w:t>
      </w:r>
    </w:p>
    <w:p>
      <w:pPr>
        <w:rPr>
          <w:color w:val="auto"/>
        </w:rPr>
      </w:pPr>
      <w:r>
        <w:rPr>
          <w:rFonts w:hint="eastAsia"/>
          <w:color w:val="auto"/>
        </w:rPr>
        <w:t>★5.4结构：内设纵隔防荡板，底部设托梁。</w:t>
      </w:r>
    </w:p>
    <w:p>
      <w:pPr>
        <w:rPr>
          <w:color w:val="auto"/>
        </w:rPr>
      </w:pPr>
      <w:r>
        <w:rPr>
          <w:rFonts w:hint="eastAsia"/>
          <w:color w:val="auto"/>
        </w:rPr>
        <w:t>5.5设有入罐人孔（直径≥500mm）≥1个；设有DN80的水罐溢流口≥1个；设有罐体出液口≥1个，配备DN65手动球阀控制开关；设有DN65外注水口≥1个；设有与洗消帐篷的连接管路。</w:t>
      </w:r>
    </w:p>
    <w:p>
      <w:pPr>
        <w:rPr>
          <w:color w:val="auto"/>
        </w:rPr>
      </w:pPr>
      <w:r>
        <w:rPr>
          <w:rFonts w:hint="eastAsia"/>
          <w:color w:val="auto"/>
        </w:rPr>
        <w:t>5.6具备地面消毒性能：地面洗消宽度（m）≥5；地面洗消密度（L/m²）≥1。</w:t>
      </w:r>
    </w:p>
    <w:p>
      <w:pPr>
        <w:rPr>
          <w:color w:val="auto"/>
        </w:rPr>
      </w:pPr>
      <w:r>
        <w:rPr>
          <w:rFonts w:hint="eastAsia"/>
          <w:color w:val="auto"/>
        </w:rPr>
        <w:t>5.7车体后部设置登车爬梯。</w:t>
      </w:r>
    </w:p>
    <w:p>
      <w:pPr>
        <w:rPr>
          <w:color w:val="auto"/>
        </w:rPr>
      </w:pPr>
      <w:r>
        <w:rPr>
          <w:rFonts w:hint="eastAsia"/>
          <w:color w:val="auto"/>
        </w:rPr>
        <w:t>6.洗消设备</w:t>
      </w:r>
    </w:p>
    <w:p>
      <w:pPr>
        <w:rPr>
          <w:color w:val="auto"/>
        </w:rPr>
      </w:pPr>
      <w:r>
        <w:rPr>
          <w:rFonts w:hint="eastAsia"/>
          <w:color w:val="auto"/>
        </w:rPr>
        <w:t>★6.1加热温度≥60℃，平均加温速率≥0.7℃/min；锅炉带有温度控制器，可设置温度。</w:t>
      </w:r>
    </w:p>
    <w:p>
      <w:pPr>
        <w:rPr>
          <w:color w:val="auto"/>
        </w:rPr>
      </w:pPr>
      <w:r>
        <w:rPr>
          <w:rFonts w:hint="eastAsia"/>
          <w:color w:val="auto"/>
        </w:rPr>
        <w:t>6.2流量：≥10L/min。</w:t>
      </w:r>
    </w:p>
    <w:p>
      <w:pPr>
        <w:rPr>
          <w:color w:val="auto"/>
        </w:rPr>
      </w:pPr>
      <w:r>
        <w:rPr>
          <w:rFonts w:hint="eastAsia"/>
          <w:color w:val="auto"/>
        </w:rPr>
        <w:t>6.3工作压力≥8MPa。</w:t>
      </w:r>
    </w:p>
    <w:p>
      <w:pPr>
        <w:rPr>
          <w:color w:val="auto"/>
        </w:rPr>
      </w:pPr>
      <w:r>
        <w:rPr>
          <w:rFonts w:hint="eastAsia"/>
          <w:color w:val="auto"/>
        </w:rPr>
        <w:t>6.4.洗消系统至少应包含：公众洗消帐篷、单人洗消帐篷、手动隔膜抽吸泵、洗消排污泵、洗消加热供水泵、移动式高压洗消泵、高压热水清洗机、洗消液均混罐、储水袋、集污袋、围油栏、吸附垫、有毒物质密封桶各一套。</w:t>
      </w:r>
    </w:p>
    <w:p>
      <w:pPr>
        <w:rPr>
          <w:color w:val="auto"/>
        </w:rPr>
      </w:pPr>
      <w:r>
        <w:rPr>
          <w:rFonts w:hint="eastAsia"/>
          <w:color w:val="auto"/>
        </w:rPr>
        <w:t>6.4.1单人洗消帐篷</w:t>
      </w:r>
    </w:p>
    <w:p>
      <w:pPr>
        <w:rPr>
          <w:color w:val="auto"/>
        </w:rPr>
      </w:pPr>
      <w:r>
        <w:rPr>
          <w:rFonts w:hint="eastAsia"/>
          <w:color w:val="auto"/>
        </w:rPr>
        <w:t>★6.4.1.1 国家或行业标准：《应急物资编码与属性描述 第2部分：洗消器材及设备》（GB/T 41205.2-2021）</w:t>
      </w:r>
    </w:p>
    <w:p>
      <w:pPr>
        <w:rPr>
          <w:color w:val="auto"/>
        </w:rPr>
      </w:pPr>
      <w:r>
        <w:rPr>
          <w:rFonts w:hint="eastAsia"/>
          <w:color w:val="auto"/>
        </w:rPr>
        <w:t>6.4.1.2. 组成：内挂防水布帘，下面含有气囊储水池，顶部配喷淋装置，供水管路可与供水系统连接，与65mm卡式水带接口匹配，配有充排气泵，喷淋、照明等辅助装备，1个携带包。</w:t>
      </w:r>
    </w:p>
    <w:p>
      <w:pPr>
        <w:rPr>
          <w:color w:val="auto"/>
        </w:rPr>
      </w:pPr>
      <w:r>
        <w:rPr>
          <w:rFonts w:hint="eastAsia"/>
          <w:color w:val="auto"/>
        </w:rPr>
        <w:t>★6.4.3.充排气泵为电动泵，功率≥600W，配备1个可配套使用的脚踏泵。</w:t>
      </w:r>
    </w:p>
    <w:p>
      <w:pPr>
        <w:rPr>
          <w:color w:val="auto"/>
        </w:rPr>
      </w:pPr>
      <w:r>
        <w:rPr>
          <w:rFonts w:hint="eastAsia"/>
          <w:color w:val="auto"/>
        </w:rPr>
        <w:t>6.4.1.4.帐篷材质为PVC涂层气密布，防弱酸、碱、耐老化、耐寒、耐汽油性能。</w:t>
      </w:r>
    </w:p>
    <w:p>
      <w:pPr>
        <w:rPr>
          <w:color w:val="auto"/>
        </w:rPr>
      </w:pPr>
      <w:r>
        <w:rPr>
          <w:rFonts w:hint="eastAsia"/>
          <w:color w:val="auto"/>
        </w:rPr>
        <w:t>★6.4.1.5.规格≥4㎡；充气架设时间≤10min，充气压力：15-20kpa。</w:t>
      </w:r>
    </w:p>
    <w:p>
      <w:pPr>
        <w:rPr>
          <w:color w:val="auto"/>
        </w:rPr>
      </w:pPr>
      <w:r>
        <w:rPr>
          <w:rFonts w:hint="eastAsia"/>
          <w:color w:val="auto"/>
        </w:rPr>
        <w:t>★6.4.1.6.帐篷展开尺寸（m，长*宽*高）：≥2*2*2.3，洗消面积：≥1.6m*1.6m。</w:t>
      </w:r>
    </w:p>
    <w:p>
      <w:pPr>
        <w:rPr>
          <w:color w:val="auto"/>
        </w:rPr>
      </w:pPr>
      <w:r>
        <w:rPr>
          <w:rFonts w:hint="eastAsia"/>
          <w:color w:val="auto"/>
        </w:rPr>
        <w:t>6.4.2 公众洗消帐篷</w:t>
      </w:r>
    </w:p>
    <w:p>
      <w:pPr>
        <w:rPr>
          <w:color w:val="auto"/>
        </w:rPr>
      </w:pPr>
      <w:r>
        <w:rPr>
          <w:rFonts w:hint="eastAsia"/>
          <w:color w:val="auto"/>
        </w:rPr>
        <w:t>6.4.2.1.符合国家相关标准要求，提供对应国家级检测中心检测报告。</w:t>
      </w:r>
    </w:p>
    <w:p>
      <w:pPr>
        <w:rPr>
          <w:color w:val="auto"/>
        </w:rPr>
      </w:pPr>
      <w:r>
        <w:rPr>
          <w:rFonts w:hint="eastAsia"/>
          <w:color w:val="auto"/>
        </w:rPr>
        <w:t>6.4.2.2.主要构成：洗消帐篷、电动充排气泵、全自动洗消一体机（集供水、供压、升温、洗消液配比，排污于一体），暖风发生器、喷淋系统、洗消废水回收袋、自升式水袋等，各部件之间采用模块化装配与设计，可以快速的组建整套系统，所有管路配备统一快接接头，可临时相互转换，组建时间≤10分钟，帐篷面积≥30㎡。</w:t>
      </w:r>
    </w:p>
    <w:p>
      <w:pPr>
        <w:rPr>
          <w:color w:val="auto"/>
        </w:rPr>
      </w:pPr>
      <w:r>
        <w:rPr>
          <w:rFonts w:hint="eastAsia"/>
          <w:color w:val="auto"/>
        </w:rPr>
        <w:t>★6.4.2.3.帐篷为双通道，帐篷内部安装洗消喷淋系统、进排水系统、照明系统。框架材料：PVC气柱。喷淋区设有药剂喷淋头≥6个，清水淋浴头≥2个，两路喷淋系统配合洗消水加热器独立运行。洗消加热器，流量：500 L/h、最高供水温度：60 ℃，出水流量：10～50L/min，工作压力≥120 bar，发热功率：≥85KW。排污泵，排污流量：≥50L/min，排污功率：≥1.2KW。</w:t>
      </w:r>
    </w:p>
    <w:p>
      <w:pPr>
        <w:rPr>
          <w:color w:val="auto"/>
        </w:rPr>
      </w:pPr>
      <w:r>
        <w:rPr>
          <w:rFonts w:hint="eastAsia"/>
          <w:color w:val="auto"/>
        </w:rPr>
        <w:t>6.4.2.4.洗消废水回收袋：配备进出水口，进水口能与排污泵快速连接使用。安全阀门方便废水的回收与排放，容量≥250L。</w:t>
      </w:r>
    </w:p>
    <w:p>
      <w:pPr>
        <w:rPr>
          <w:color w:val="auto"/>
        </w:rPr>
      </w:pPr>
      <w:r>
        <w:rPr>
          <w:rFonts w:hint="eastAsia"/>
          <w:color w:val="auto"/>
        </w:rPr>
        <w:t>★6.4.2.5.自升式水袋：可与洗消供水泵快速连接使用，接头2卡式快速接头可直接对接供水泵，容量≥1000L</w:t>
      </w:r>
    </w:p>
    <w:p>
      <w:pPr>
        <w:rPr>
          <w:color w:val="auto"/>
        </w:rPr>
      </w:pPr>
      <w:r>
        <w:rPr>
          <w:rFonts w:hint="eastAsia"/>
          <w:color w:val="auto"/>
        </w:rPr>
        <w:t>6.4.2.6.管路连接：所有管路均为2卡式接头，无需多余的工具辅助连接。全部管路都可以自由对接。</w:t>
      </w:r>
    </w:p>
    <w:p>
      <w:pPr>
        <w:rPr>
          <w:color w:val="auto"/>
        </w:rPr>
      </w:pPr>
      <w:r>
        <w:rPr>
          <w:rFonts w:hint="eastAsia"/>
          <w:color w:val="auto"/>
        </w:rPr>
        <w:t>6.4.2.7.帐篷篷布材料断裂拉力为（径向≥2000N；纬向≥1200N），帐篷气柱材料断裂拉力为（径向≥3000N；纬向≥2500N）。</w:t>
      </w:r>
    </w:p>
    <w:p>
      <w:pPr>
        <w:rPr>
          <w:color w:val="auto"/>
        </w:rPr>
      </w:pPr>
      <w:r>
        <w:rPr>
          <w:rFonts w:hint="eastAsia"/>
          <w:color w:val="auto"/>
        </w:rPr>
        <w:t xml:space="preserve">6.4.2.8.固定喷嘴：≥3个。 </w:t>
      </w:r>
    </w:p>
    <w:p>
      <w:pPr>
        <w:rPr>
          <w:color w:val="auto"/>
        </w:rPr>
      </w:pPr>
      <w:r>
        <w:rPr>
          <w:rFonts w:hint="eastAsia"/>
          <w:color w:val="auto"/>
        </w:rPr>
        <w:t xml:space="preserve">6.4.2.9.手持喷头：≥1 个（备用1个）。 </w:t>
      </w:r>
    </w:p>
    <w:p>
      <w:pPr>
        <w:rPr>
          <w:color w:val="auto"/>
        </w:rPr>
      </w:pPr>
      <w:r>
        <w:rPr>
          <w:rFonts w:hint="eastAsia"/>
          <w:color w:val="auto"/>
        </w:rPr>
        <w:t>6.4.2.10.帐篷重量：≤50KG。</w:t>
      </w:r>
    </w:p>
    <w:p>
      <w:pPr>
        <w:rPr>
          <w:color w:val="auto"/>
        </w:rPr>
      </w:pPr>
      <w:r>
        <w:rPr>
          <w:rFonts w:hint="eastAsia"/>
          <w:color w:val="auto"/>
        </w:rPr>
        <w:t>6.4.3.手动隔膜抽吸泵。</w:t>
      </w:r>
    </w:p>
    <w:p>
      <w:pPr>
        <w:rPr>
          <w:color w:val="auto"/>
        </w:rPr>
      </w:pPr>
      <w:r>
        <w:rPr>
          <w:rFonts w:hint="eastAsia"/>
          <w:color w:val="auto"/>
        </w:rPr>
        <w:t xml:space="preserve">6.4.3.1.符合国家相关标准要求。 </w:t>
      </w:r>
    </w:p>
    <w:p>
      <w:pPr>
        <w:rPr>
          <w:color w:val="auto"/>
        </w:rPr>
      </w:pPr>
      <w:r>
        <w:rPr>
          <w:rFonts w:hint="eastAsia"/>
          <w:color w:val="auto"/>
        </w:rPr>
        <w:t>6.4.3.1.2.由泵体、传动杆、吸液管、出液管、吸液器等部件构成。</w:t>
      </w:r>
    </w:p>
    <w:p>
      <w:pPr>
        <w:rPr>
          <w:color w:val="auto"/>
        </w:rPr>
      </w:pPr>
      <w:r>
        <w:rPr>
          <w:rFonts w:hint="eastAsia"/>
          <w:color w:val="auto"/>
        </w:rPr>
        <w:t>★6.4.3.1.3.最大吸入颗粒直径：≥8mm。</w:t>
      </w:r>
    </w:p>
    <w:p>
      <w:pPr>
        <w:rPr>
          <w:color w:val="auto"/>
        </w:rPr>
      </w:pPr>
      <w:r>
        <w:rPr>
          <w:rFonts w:hint="eastAsia"/>
          <w:color w:val="auto"/>
        </w:rPr>
        <w:t>★6.4.3.1.4.每分钟可抽取液体：≥100L。</w:t>
      </w:r>
    </w:p>
    <w:p>
      <w:pPr>
        <w:rPr>
          <w:color w:val="auto"/>
        </w:rPr>
      </w:pPr>
      <w:r>
        <w:rPr>
          <w:rFonts w:hint="eastAsia"/>
          <w:color w:val="auto"/>
        </w:rPr>
        <w:t>★6.4.3.1.5.抽吸和排出高度：≥5m。</w:t>
      </w:r>
    </w:p>
    <w:p>
      <w:pPr>
        <w:rPr>
          <w:color w:val="auto"/>
        </w:rPr>
      </w:pPr>
      <w:r>
        <w:rPr>
          <w:rFonts w:hint="eastAsia"/>
          <w:color w:val="auto"/>
        </w:rPr>
        <w:t>6.4.3.1.6.吸液管：长度≥5m，管头带滤渣罐。</w:t>
      </w:r>
    </w:p>
    <w:p>
      <w:pPr>
        <w:rPr>
          <w:color w:val="auto"/>
        </w:rPr>
      </w:pPr>
      <w:r>
        <w:rPr>
          <w:rFonts w:hint="eastAsia"/>
          <w:color w:val="auto"/>
        </w:rPr>
        <w:t>6.4.3.1.7.出液管：长度≥5m。</w:t>
      </w:r>
    </w:p>
    <w:p>
      <w:pPr>
        <w:rPr>
          <w:color w:val="auto"/>
        </w:rPr>
      </w:pPr>
      <w:r>
        <w:rPr>
          <w:rFonts w:hint="eastAsia"/>
          <w:color w:val="auto"/>
        </w:rPr>
        <w:t>6.4.4.吸附垫</w:t>
      </w:r>
    </w:p>
    <w:p>
      <w:pPr>
        <w:rPr>
          <w:color w:val="auto"/>
        </w:rPr>
      </w:pPr>
      <w:r>
        <w:rPr>
          <w:rFonts w:hint="eastAsia"/>
          <w:color w:val="auto"/>
        </w:rPr>
        <w:t>6.4.4.1.吸附垫尺寸≥40*50cm；</w:t>
      </w:r>
    </w:p>
    <w:p>
      <w:pPr>
        <w:rPr>
          <w:color w:val="auto"/>
        </w:rPr>
      </w:pPr>
      <w:r>
        <w:rPr>
          <w:rFonts w:hint="eastAsia"/>
          <w:color w:val="auto"/>
        </w:rPr>
        <w:t>6.4.4.2.每件吸附垫体积不低于0.5m³。</w:t>
      </w:r>
    </w:p>
    <w:p>
      <w:pPr>
        <w:rPr>
          <w:color w:val="auto"/>
        </w:rPr>
      </w:pPr>
      <w:r>
        <w:rPr>
          <w:rFonts w:hint="eastAsia"/>
          <w:color w:val="auto"/>
        </w:rPr>
        <w:t>★6.4.4.3.数量：≥1500片。</w:t>
      </w:r>
    </w:p>
    <w:p>
      <w:pPr>
        <w:rPr>
          <w:color w:val="auto"/>
        </w:rPr>
      </w:pPr>
      <w:r>
        <w:rPr>
          <w:rFonts w:hint="eastAsia"/>
          <w:color w:val="auto"/>
        </w:rPr>
        <w:t>6.4.5.有毒物质密封桶</w:t>
      </w:r>
    </w:p>
    <w:p>
      <w:pPr>
        <w:rPr>
          <w:color w:val="auto"/>
        </w:rPr>
      </w:pPr>
      <w:r>
        <w:rPr>
          <w:rFonts w:hint="eastAsia"/>
          <w:color w:val="auto"/>
        </w:rPr>
        <w:t>6.4.5.1.材质为高密度聚乙烯，有较强的抗化学性能，包括酸性和腐蚀性等物质；</w:t>
      </w:r>
    </w:p>
    <w:p>
      <w:pPr>
        <w:rPr>
          <w:color w:val="auto"/>
        </w:rPr>
      </w:pPr>
      <w:r>
        <w:rPr>
          <w:rFonts w:hint="eastAsia"/>
          <w:color w:val="auto"/>
        </w:rPr>
        <w:t>★6.4.5.2.容量：≥200L。</w:t>
      </w:r>
    </w:p>
    <w:p>
      <w:pPr>
        <w:rPr>
          <w:color w:val="auto"/>
        </w:rPr>
      </w:pPr>
      <w:r>
        <w:rPr>
          <w:rFonts w:hint="eastAsia"/>
          <w:color w:val="auto"/>
        </w:rPr>
        <w:t>6.4.5.3.螺纹式密封盖及桶体有提手。</w:t>
      </w:r>
    </w:p>
    <w:p>
      <w:pPr>
        <w:rPr>
          <w:color w:val="auto"/>
        </w:rPr>
      </w:pPr>
      <w:r>
        <w:rPr>
          <w:rFonts w:hint="eastAsia"/>
          <w:color w:val="auto"/>
        </w:rPr>
        <w:t>6.4.5.4.配备折叠式运输手推车，载重≥250kg。</w:t>
      </w:r>
    </w:p>
    <w:p>
      <w:pPr>
        <w:rPr>
          <w:color w:val="auto"/>
        </w:rPr>
      </w:pPr>
      <w:r>
        <w:rPr>
          <w:rFonts w:hint="eastAsia"/>
          <w:color w:val="auto"/>
        </w:rPr>
        <w:t>6.4.5.5.符合国家相关技术标准，经检验合格产品。</w:t>
      </w:r>
    </w:p>
    <w:p>
      <w:pPr>
        <w:rPr>
          <w:color w:val="auto"/>
        </w:rPr>
      </w:pPr>
      <w:r>
        <w:rPr>
          <w:rFonts w:hint="eastAsia"/>
          <w:color w:val="auto"/>
        </w:rPr>
        <w:t>6.4.6.集污袋</w:t>
      </w:r>
    </w:p>
    <w:p>
      <w:pPr>
        <w:rPr>
          <w:color w:val="auto"/>
        </w:rPr>
      </w:pPr>
      <w:r>
        <w:rPr>
          <w:rFonts w:hint="eastAsia"/>
          <w:color w:val="auto"/>
        </w:rPr>
        <w:t>6.4.6.1.用于收集不同的污染液体；</w:t>
      </w:r>
    </w:p>
    <w:p>
      <w:pPr>
        <w:rPr>
          <w:color w:val="auto"/>
        </w:rPr>
      </w:pPr>
      <w:r>
        <w:rPr>
          <w:rFonts w:hint="eastAsia"/>
          <w:color w:val="auto"/>
        </w:rPr>
        <w:t>6.4.6.2.重量轻，可折叠，使用寿命长，维护简单；</w:t>
      </w:r>
    </w:p>
    <w:p>
      <w:pPr>
        <w:rPr>
          <w:color w:val="auto"/>
        </w:rPr>
      </w:pPr>
      <w:r>
        <w:rPr>
          <w:rFonts w:hint="eastAsia"/>
          <w:color w:val="auto"/>
        </w:rPr>
        <w:t>6.4.6.3.污水袋上配有一个进水阀，一个出水阀；</w:t>
      </w:r>
    </w:p>
    <w:p>
      <w:pPr>
        <w:rPr>
          <w:color w:val="auto"/>
        </w:rPr>
      </w:pPr>
      <w:r>
        <w:rPr>
          <w:rFonts w:hint="eastAsia"/>
          <w:color w:val="auto"/>
        </w:rPr>
        <w:t>★6.4.6.4.容量≥250L；</w:t>
      </w:r>
    </w:p>
    <w:p>
      <w:pPr>
        <w:rPr>
          <w:color w:val="auto"/>
        </w:rPr>
      </w:pPr>
      <w:r>
        <w:rPr>
          <w:rFonts w:hint="eastAsia"/>
          <w:color w:val="auto"/>
        </w:rPr>
        <w:t>6.4.6.5.采用PVC材质；</w:t>
      </w:r>
    </w:p>
    <w:p>
      <w:pPr>
        <w:rPr>
          <w:color w:val="auto"/>
        </w:rPr>
      </w:pPr>
      <w:r>
        <w:rPr>
          <w:rFonts w:hint="eastAsia"/>
          <w:color w:val="auto"/>
        </w:rPr>
        <w:t>6.4.6.6.设置加强提拉吊带，便于提升转运；</w:t>
      </w:r>
    </w:p>
    <w:p>
      <w:pPr>
        <w:rPr>
          <w:color w:val="auto"/>
        </w:rPr>
      </w:pPr>
      <w:r>
        <w:rPr>
          <w:rFonts w:hint="eastAsia"/>
          <w:color w:val="auto"/>
        </w:rPr>
        <w:t>6.4.7.围油栏</w:t>
      </w:r>
    </w:p>
    <w:p>
      <w:pPr>
        <w:rPr>
          <w:color w:val="auto"/>
        </w:rPr>
      </w:pPr>
      <w:r>
        <w:rPr>
          <w:rFonts w:hint="eastAsia"/>
          <w:color w:val="auto"/>
        </w:rPr>
        <w:t>6.4.7.1.防腐材质；采用PVC防腐材料；</w:t>
      </w:r>
    </w:p>
    <w:p>
      <w:pPr>
        <w:rPr>
          <w:color w:val="auto"/>
        </w:rPr>
      </w:pPr>
      <w:r>
        <w:rPr>
          <w:rFonts w:hint="eastAsia"/>
          <w:color w:val="auto"/>
        </w:rPr>
        <w:t>★6.4.7.2.可充气、充水两用型，配备导管;</w:t>
      </w:r>
    </w:p>
    <w:p>
      <w:pPr>
        <w:rPr>
          <w:color w:val="auto"/>
        </w:rPr>
      </w:pPr>
      <w:r>
        <w:rPr>
          <w:rFonts w:hint="eastAsia"/>
          <w:color w:val="auto"/>
        </w:rPr>
        <w:t>6.4.7.3.每套≥50 米；</w:t>
      </w:r>
    </w:p>
    <w:p>
      <w:pPr>
        <w:rPr>
          <w:color w:val="auto"/>
        </w:rPr>
      </w:pPr>
      <w:r>
        <w:rPr>
          <w:rFonts w:hint="eastAsia"/>
          <w:color w:val="auto"/>
        </w:rPr>
        <w:t>6.4.7.4.单个浮子长度≥1m；</w:t>
      </w:r>
    </w:p>
    <w:p>
      <w:pPr>
        <w:rPr>
          <w:color w:val="auto"/>
        </w:rPr>
      </w:pPr>
      <w:r>
        <w:rPr>
          <w:rFonts w:hint="eastAsia"/>
          <w:color w:val="auto"/>
        </w:rPr>
        <w:t>★6.4.7.5.浮力≥1000N；</w:t>
      </w:r>
    </w:p>
    <w:p>
      <w:pPr>
        <w:rPr>
          <w:color w:val="auto"/>
        </w:rPr>
      </w:pPr>
      <w:r>
        <w:rPr>
          <w:rFonts w:hint="eastAsia"/>
          <w:color w:val="auto"/>
        </w:rPr>
        <w:t>6.4.7.6.工作温度：≥-20摄氏度~50摄氏度；</w:t>
      </w:r>
    </w:p>
    <w:p>
      <w:pPr>
        <w:rPr>
          <w:color w:val="auto"/>
        </w:rPr>
      </w:pPr>
      <w:r>
        <w:rPr>
          <w:rFonts w:hint="eastAsia"/>
          <w:color w:val="auto"/>
        </w:rPr>
        <w:t>6.4.7.7.浮子与浮子之间采用安全扣连接，可自由组合长度。</w:t>
      </w:r>
    </w:p>
    <w:p>
      <w:pPr>
        <w:rPr>
          <w:color w:val="auto"/>
        </w:rPr>
      </w:pPr>
      <w:r>
        <w:rPr>
          <w:rFonts w:hint="eastAsia"/>
          <w:color w:val="auto"/>
        </w:rPr>
        <w:t>7.整车涂装及标识：按消防救援车辆外观制式涂装要求进行涂装。车辆涂装符合《国家综合性消防救援车辆外观制式涂装规范》。</w:t>
      </w:r>
    </w:p>
    <w:p>
      <w:pPr>
        <w:rPr>
          <w:color w:val="auto"/>
        </w:rPr>
      </w:pPr>
      <w:r>
        <w:rPr>
          <w:rFonts w:hint="eastAsia"/>
          <w:color w:val="auto"/>
        </w:rPr>
        <w:t>8.随车资料（均为中文材料）</w:t>
      </w:r>
    </w:p>
    <w:p>
      <w:pPr>
        <w:rPr>
          <w:color w:val="auto"/>
        </w:rPr>
      </w:pPr>
      <w:r>
        <w:rPr>
          <w:rFonts w:hint="eastAsia"/>
          <w:color w:val="auto"/>
        </w:rPr>
        <w:t>附底盘使用手册2份；底盘维护手册2份；上装使用维护手册2份；车辆零件目录2份；安全操作光盘2张；底盘电气原理图1套；随车工具、备胎等常用随车器材（明确随车工具的名称、数量）；发动机号和底盘号拓印件2套；底盘保修卡1份；底盘合格证1份、车辆一致性证书1份等。</w:t>
      </w:r>
    </w:p>
    <w:p>
      <w:pPr>
        <w:rPr>
          <w:color w:val="auto"/>
        </w:rPr>
      </w:pPr>
      <w:r>
        <w:rPr>
          <w:rFonts w:hint="eastAsia"/>
          <w:color w:val="auto"/>
        </w:rPr>
        <w:t>★9.随车器材（≥下列标准）：干粉灭火器1只（8 kg，ABC 类灭火器），护带桥2副，水带包布4件，电动充、排气泵1台，洗消喷淋器1套，洗消废水回收袋10个，洗消喷枪2支，洗消粉5袋（≥三种类洗消粉，每种≥20KG），残液收集桶1只。</w:t>
      </w:r>
      <w:r>
        <w:rPr>
          <w:rFonts w:hint="eastAsia"/>
          <w:color w:val="auto"/>
        </w:rPr>
        <w:tab/>
      </w:r>
      <w:r>
        <w:rPr>
          <w:rFonts w:hint="eastAsia"/>
          <w:color w:val="auto"/>
        </w:rPr>
        <w:br w:type="page"/>
      </w:r>
    </w:p>
    <w:p>
      <w:pPr>
        <w:ind w:firstLine="482"/>
        <w:rPr>
          <w:b/>
          <w:bCs/>
          <w:color w:val="auto"/>
          <w:sz w:val="24"/>
          <w:szCs w:val="24"/>
        </w:rPr>
      </w:pPr>
      <w:r>
        <w:rPr>
          <w:rFonts w:hint="eastAsia"/>
          <w:b/>
          <w:bCs/>
          <w:color w:val="auto"/>
          <w:sz w:val="24"/>
          <w:szCs w:val="24"/>
        </w:rPr>
        <w:t>3标包，1辆器材消防车，预算价：39万元</w:t>
      </w:r>
    </w:p>
    <w:p>
      <w:pPr>
        <w:rPr>
          <w:color w:val="auto"/>
        </w:rPr>
      </w:pPr>
      <w:r>
        <w:rPr>
          <w:rFonts w:hint="eastAsia"/>
          <w:color w:val="auto"/>
        </w:rPr>
        <w:t>1.基本要求</w:t>
      </w:r>
    </w:p>
    <w:p>
      <w:pPr>
        <w:rPr>
          <w:color w:val="auto"/>
        </w:rPr>
      </w:pPr>
      <w:r>
        <w:rPr>
          <w:rFonts w:hint="eastAsia"/>
          <w:color w:val="auto"/>
        </w:rPr>
        <w:t>1.1国产二类底盘；</w:t>
      </w:r>
    </w:p>
    <w:p>
      <w:pPr>
        <w:rPr>
          <w:color w:val="auto"/>
        </w:rPr>
      </w:pPr>
      <w:r>
        <w:rPr>
          <w:rFonts w:hint="eastAsia"/>
          <w:color w:val="auto"/>
        </w:rPr>
        <w:t>1.2执行标准：GB7956.1--2014《消防车第1部分：通用技术条件》；</w:t>
      </w:r>
    </w:p>
    <w:p>
      <w:pPr>
        <w:rPr>
          <w:color w:val="auto"/>
        </w:rPr>
      </w:pPr>
      <w:r>
        <w:rPr>
          <w:rFonts w:hint="eastAsia"/>
          <w:color w:val="auto"/>
        </w:rPr>
        <w:t>1.3车型：中型厢式货车；</w:t>
      </w:r>
    </w:p>
    <w:p>
      <w:pPr>
        <w:rPr>
          <w:color w:val="auto"/>
        </w:rPr>
      </w:pPr>
      <w:r>
        <w:rPr>
          <w:rFonts w:hint="eastAsia"/>
          <w:color w:val="auto"/>
        </w:rPr>
        <w:t>1.4最高车速：≥90km/h；</w:t>
      </w:r>
    </w:p>
    <w:p>
      <w:pPr>
        <w:rPr>
          <w:color w:val="auto"/>
        </w:rPr>
      </w:pPr>
      <w:r>
        <w:rPr>
          <w:rFonts w:hint="eastAsia"/>
          <w:color w:val="auto"/>
        </w:rPr>
        <w:t xml:space="preserve">1.5排放标准：不低于中国国家机动车现行排放标准；                                                                                                                                                                                                  1.6变速箱：手动变速箱；                                                                                                                                                                                                   </w:t>
      </w:r>
    </w:p>
    <w:p>
      <w:pPr>
        <w:rPr>
          <w:color w:val="auto"/>
        </w:rPr>
      </w:pPr>
      <w:r>
        <w:rPr>
          <w:rFonts w:hint="eastAsia"/>
          <w:color w:val="auto"/>
        </w:rPr>
        <w:t>1.7指示标牌、操作说明、安全警示必须为中文，仪表计量单位必须为中国法定计量单位。</w:t>
      </w:r>
    </w:p>
    <w:p>
      <w:pPr>
        <w:rPr>
          <w:color w:val="auto"/>
        </w:rPr>
      </w:pPr>
      <w:r>
        <w:rPr>
          <w:rFonts w:hint="eastAsia"/>
          <w:color w:val="auto"/>
        </w:rPr>
        <w:t>2.底盘</w:t>
      </w:r>
    </w:p>
    <w:p>
      <w:pPr>
        <w:rPr>
          <w:color w:val="auto"/>
        </w:rPr>
      </w:pPr>
      <w:r>
        <w:rPr>
          <w:rFonts w:hint="eastAsia"/>
          <w:color w:val="auto"/>
        </w:rPr>
        <w:t>2.1驱动形式：4×2；</w:t>
      </w:r>
    </w:p>
    <w:p>
      <w:pPr>
        <w:rPr>
          <w:color w:val="auto"/>
        </w:rPr>
      </w:pPr>
      <w:r>
        <w:rPr>
          <w:rFonts w:hint="eastAsia"/>
          <w:color w:val="auto"/>
        </w:rPr>
        <w:t>★2.2发动机功率：≥170kw；</w:t>
      </w:r>
    </w:p>
    <w:p>
      <w:pPr>
        <w:rPr>
          <w:color w:val="auto"/>
        </w:rPr>
      </w:pPr>
      <w:r>
        <w:rPr>
          <w:rFonts w:hint="eastAsia"/>
          <w:color w:val="auto"/>
        </w:rPr>
        <w:t>2.3转向：液压助力，方向盘高度和倾角可调；</w:t>
      </w:r>
    </w:p>
    <w:p>
      <w:pPr>
        <w:rPr>
          <w:color w:val="auto"/>
        </w:rPr>
      </w:pPr>
      <w:r>
        <w:rPr>
          <w:rFonts w:hint="eastAsia"/>
          <w:color w:val="auto"/>
        </w:rPr>
        <w:t xml:space="preserve">2.4制动：前盘后鼓式制动，ABS（防抱死系统）行车制动，配备液力缓速器功能；                                                                                                                         </w:t>
      </w:r>
    </w:p>
    <w:p>
      <w:pPr>
        <w:rPr>
          <w:color w:val="auto"/>
        </w:rPr>
      </w:pPr>
      <w:r>
        <w:rPr>
          <w:rFonts w:hint="eastAsia"/>
          <w:color w:val="auto"/>
        </w:rPr>
        <w:t>★2.5载重：≥8吨</w:t>
      </w:r>
    </w:p>
    <w:p>
      <w:pPr>
        <w:rPr>
          <w:color w:val="auto"/>
        </w:rPr>
      </w:pPr>
      <w:r>
        <w:rPr>
          <w:rFonts w:hint="eastAsia"/>
          <w:color w:val="auto"/>
        </w:rPr>
        <w:t>2.6驾驶室：平头一排半结构，乘座人数≥2人（含驾驶员），电动液压翻转机构；</w:t>
      </w:r>
    </w:p>
    <w:p>
      <w:pPr>
        <w:rPr>
          <w:color w:val="auto"/>
        </w:rPr>
      </w:pPr>
      <w:r>
        <w:rPr>
          <w:rFonts w:hint="eastAsia"/>
          <w:color w:val="auto"/>
        </w:rPr>
        <w:t>2.7门窗：中控门锁，可电动升降的安全玻璃；</w:t>
      </w:r>
    </w:p>
    <w:p>
      <w:pPr>
        <w:rPr>
          <w:color w:val="auto"/>
        </w:rPr>
      </w:pPr>
      <w:r>
        <w:rPr>
          <w:rFonts w:hint="eastAsia"/>
          <w:color w:val="auto"/>
        </w:rPr>
        <w:t>2.8空调：配独立通风冷暖空调；</w:t>
      </w:r>
    </w:p>
    <w:p>
      <w:pPr>
        <w:rPr>
          <w:color w:val="auto"/>
        </w:rPr>
      </w:pPr>
      <w:r>
        <w:rPr>
          <w:rFonts w:hint="eastAsia"/>
          <w:color w:val="auto"/>
        </w:rPr>
        <w:t>2.9设备：安装360度全景影像，含前后可视行车记录仪，含倒车雷达，存储卡≥128G、高清显示屏≥9英寸；</w:t>
      </w:r>
    </w:p>
    <w:p>
      <w:pPr>
        <w:rPr>
          <w:color w:val="auto"/>
        </w:rPr>
      </w:pPr>
      <w:r>
        <w:rPr>
          <w:rFonts w:hint="eastAsia"/>
          <w:color w:val="auto"/>
        </w:rPr>
        <w:t>2.10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pPr>
        <w:rPr>
          <w:color w:val="auto"/>
        </w:rPr>
      </w:pPr>
      <w:r>
        <w:rPr>
          <w:rFonts w:hint="eastAsia"/>
          <w:color w:val="auto"/>
        </w:rPr>
        <w:t>2.11警灯：符合应急管理部相关标准，车厢两侧上部配≥2只的爆闪灯。</w:t>
      </w:r>
    </w:p>
    <w:p>
      <w:pPr>
        <w:rPr>
          <w:color w:val="auto"/>
        </w:rPr>
      </w:pPr>
      <w:r>
        <w:rPr>
          <w:rFonts w:hint="eastAsia"/>
          <w:color w:val="auto"/>
        </w:rPr>
        <w:t>3.厢体</w:t>
      </w:r>
    </w:p>
    <w:p>
      <w:pPr>
        <w:rPr>
          <w:color w:val="auto"/>
        </w:rPr>
      </w:pPr>
      <w:r>
        <w:rPr>
          <w:rFonts w:hint="eastAsia"/>
          <w:color w:val="auto"/>
        </w:rPr>
        <w:t>★3.1厢体尺寸：长≥6.7m，宽≥2.4m，高≥2.2m;</w:t>
      </w:r>
    </w:p>
    <w:p>
      <w:pPr>
        <w:rPr>
          <w:color w:val="auto"/>
        </w:rPr>
      </w:pPr>
      <w:r>
        <w:rPr>
          <w:rFonts w:hint="eastAsia"/>
          <w:color w:val="auto"/>
        </w:rPr>
        <w:t>3.2蒙板材质：车厢骨架为优质钢材，外蒙皮为钢或铝合金材质，底板为≥1.5cm的瓦楞板，且经过防腐处理；</w:t>
      </w:r>
    </w:p>
    <w:p>
      <w:pPr>
        <w:rPr>
          <w:color w:val="auto"/>
        </w:rPr>
      </w:pPr>
      <w:r>
        <w:rPr>
          <w:rFonts w:hint="eastAsia"/>
          <w:color w:val="auto"/>
        </w:rPr>
        <w:t>3.3布局：车厢副梁经加固处理；</w:t>
      </w:r>
    </w:p>
    <w:p>
      <w:pPr>
        <w:rPr>
          <w:color w:val="auto"/>
        </w:rPr>
      </w:pPr>
      <w:r>
        <w:rPr>
          <w:rFonts w:hint="eastAsia"/>
          <w:color w:val="auto"/>
        </w:rPr>
        <w:t>3.4骨架型式：内部货架按需求方要求进行设计制作；</w:t>
      </w:r>
    </w:p>
    <w:p>
      <w:pPr>
        <w:rPr>
          <w:color w:val="auto"/>
        </w:rPr>
      </w:pPr>
      <w:r>
        <w:rPr>
          <w:rFonts w:hint="eastAsia"/>
          <w:color w:val="auto"/>
        </w:rPr>
        <w:t>3.5厢门形式：厢体尾部及两侧设置厢门(两侧厢门可根据采购人需求设置飞翼厢门、全开门、侧拉门、推拉门)，厢门采用厚度≥1.5cm的瓦楞板，上部设有排水槽，内外表面光滑平整，防水防尘。</w:t>
      </w:r>
    </w:p>
    <w:p>
      <w:pPr>
        <w:rPr>
          <w:color w:val="auto"/>
        </w:rPr>
      </w:pPr>
      <w:r>
        <w:rPr>
          <w:rFonts w:hint="eastAsia"/>
          <w:color w:val="auto"/>
        </w:rPr>
        <w:t>3.6 照明：顶部配有自动LED照明灯，任意一道厢门开启式自动点亮；</w:t>
      </w:r>
    </w:p>
    <w:p>
      <w:pPr>
        <w:rPr>
          <w:color w:val="auto"/>
        </w:rPr>
      </w:pPr>
      <w:r>
        <w:rPr>
          <w:rFonts w:hint="eastAsia"/>
          <w:color w:val="auto"/>
        </w:rPr>
        <w:t>3.7 货厢四角安装LED爆闪灯。</w:t>
      </w:r>
    </w:p>
    <w:p>
      <w:pPr>
        <w:rPr>
          <w:color w:val="auto"/>
        </w:rPr>
      </w:pPr>
      <w:r>
        <w:rPr>
          <w:rFonts w:hint="eastAsia"/>
          <w:color w:val="auto"/>
        </w:rPr>
        <w:t>4. 尾板</w:t>
      </w:r>
    </w:p>
    <w:p>
      <w:pPr>
        <w:rPr>
          <w:color w:val="auto"/>
        </w:rPr>
      </w:pPr>
      <w:r>
        <w:rPr>
          <w:rFonts w:hint="eastAsia"/>
          <w:color w:val="auto"/>
        </w:rPr>
        <w:t>★4.1形式：后部加装悬臂式电动液压尾板，尾板符合JT/T 962-2015《车用起重尾板加装与使用技术要求》；</w:t>
      </w:r>
    </w:p>
    <w:p>
      <w:pPr>
        <w:rPr>
          <w:color w:val="auto"/>
        </w:rPr>
      </w:pPr>
      <w:r>
        <w:rPr>
          <w:rFonts w:hint="eastAsia"/>
          <w:color w:val="auto"/>
        </w:rPr>
        <w:t>4.2尺寸：与车厢宽度匹配；</w:t>
      </w:r>
    </w:p>
    <w:p>
      <w:pPr>
        <w:rPr>
          <w:color w:val="auto"/>
        </w:rPr>
      </w:pPr>
      <w:r>
        <w:rPr>
          <w:rFonts w:hint="eastAsia"/>
          <w:color w:val="auto"/>
        </w:rPr>
        <w:t>★4.3起重质量：≥2000kg；</w:t>
      </w:r>
    </w:p>
    <w:p>
      <w:pPr>
        <w:rPr>
          <w:color w:val="auto"/>
        </w:rPr>
      </w:pPr>
      <w:r>
        <w:rPr>
          <w:rFonts w:hint="eastAsia"/>
          <w:color w:val="auto"/>
        </w:rPr>
        <w:t>4.4升降速度：≥70mm/s；</w:t>
      </w:r>
    </w:p>
    <w:p>
      <w:pPr>
        <w:rPr>
          <w:color w:val="auto"/>
        </w:rPr>
      </w:pPr>
      <w:r>
        <w:rPr>
          <w:rFonts w:hint="eastAsia"/>
          <w:color w:val="auto"/>
        </w:rPr>
        <w:t>4.5保护系统：当尾板升至与车厢平齐时，电路自动切断。</w:t>
      </w:r>
    </w:p>
    <w:p>
      <w:pPr>
        <w:rPr>
          <w:color w:val="auto"/>
        </w:rPr>
      </w:pPr>
      <w:r>
        <w:rPr>
          <w:rFonts w:hint="eastAsia"/>
          <w:color w:val="auto"/>
        </w:rPr>
        <w:t>5.整车标识：按应急管理部最新外观统型标准，消防救援车辆外观制式涂装要求进行涂装。车辆涂装符合《国家综合性消防救援车辆外观制式涂装规范》。</w:t>
      </w:r>
    </w:p>
    <w:p>
      <w:pPr>
        <w:rPr>
          <w:color w:val="auto"/>
        </w:rPr>
      </w:pPr>
      <w:r>
        <w:rPr>
          <w:rFonts w:hint="eastAsia"/>
          <w:color w:val="auto"/>
        </w:rPr>
        <w:t>6.随车资料：附底盘使用手册2份；底盘维护手册2份；底盘电气原理图1套；随车工具、备胎等常用随车器材；发动机号和底盘号拓印件2套；底盘保修卡1份；车辆一致性证书1份、底盘合格证1份等。</w:t>
      </w:r>
      <w:r>
        <w:rPr>
          <w:rFonts w:hint="eastAsia"/>
          <w:color w:val="auto"/>
        </w:rPr>
        <w:br w:type="page"/>
      </w:r>
    </w:p>
    <w:p>
      <w:pPr>
        <w:ind w:firstLine="482"/>
        <w:rPr>
          <w:b/>
          <w:bCs/>
          <w:color w:val="auto"/>
          <w:sz w:val="24"/>
          <w:szCs w:val="24"/>
        </w:rPr>
      </w:pPr>
      <w:r>
        <w:rPr>
          <w:rFonts w:hint="eastAsia"/>
          <w:b/>
          <w:bCs/>
          <w:color w:val="auto"/>
          <w:sz w:val="24"/>
          <w:szCs w:val="24"/>
        </w:rPr>
        <w:t>4标包，1辆照明消防车，预算价：208万元</w:t>
      </w:r>
    </w:p>
    <w:p>
      <w:pPr>
        <w:rPr>
          <w:color w:val="auto"/>
        </w:rPr>
      </w:pPr>
      <w:r>
        <w:rPr>
          <w:color w:val="auto"/>
        </w:rPr>
        <w:t>1.基本要求</w:t>
      </w:r>
    </w:p>
    <w:p>
      <w:pPr>
        <w:rPr>
          <w:color w:val="auto"/>
        </w:rPr>
      </w:pPr>
      <w:r>
        <w:rPr>
          <w:color w:val="auto"/>
        </w:rPr>
        <w:t>1.1进口底盘</w:t>
      </w:r>
      <w:r>
        <w:rPr>
          <w:rFonts w:hint="eastAsia"/>
          <w:color w:val="auto"/>
        </w:rPr>
        <w:t>（此为符合性审查标准，非进口底盘投标的，将不通过符合性审查）</w:t>
      </w:r>
      <w:r>
        <w:rPr>
          <w:color w:val="auto"/>
        </w:rPr>
        <w:t>，国内消防车制造厂产品。</w:t>
      </w:r>
    </w:p>
    <w:p>
      <w:pPr>
        <w:rPr>
          <w:color w:val="auto"/>
        </w:rPr>
      </w:pPr>
      <w:r>
        <w:rPr>
          <w:color w:val="auto"/>
        </w:rPr>
        <w:t>1.2执行标准：《消防车 第1部分：通用技术标准》（GB 7956.1-2014）《消防车 第16部分：照明消防车》（GB 7956.16-2019）</w:t>
      </w:r>
    </w:p>
    <w:p>
      <w:pPr>
        <w:rPr>
          <w:color w:val="auto"/>
        </w:rPr>
      </w:pPr>
      <w:r>
        <w:rPr>
          <w:color w:val="auto"/>
        </w:rPr>
        <w:t>1.3最高车速：≥90km/h。</w:t>
      </w:r>
    </w:p>
    <w:p>
      <w:pPr>
        <w:rPr>
          <w:color w:val="auto"/>
        </w:rPr>
      </w:pPr>
      <w:r>
        <w:rPr>
          <w:color w:val="auto"/>
        </w:rPr>
        <w:t>★1.4排放标准：不低于中国国家机动车现行排放标准。</w:t>
      </w:r>
    </w:p>
    <w:p>
      <w:pPr>
        <w:rPr>
          <w:color w:val="auto"/>
        </w:rPr>
      </w:pPr>
      <w:r>
        <w:rPr>
          <w:color w:val="auto"/>
        </w:rPr>
        <w:t>★1.5比功率：≥12kw/t。</w:t>
      </w:r>
    </w:p>
    <w:p>
      <w:pPr>
        <w:rPr>
          <w:color w:val="auto"/>
        </w:rPr>
      </w:pPr>
      <w:r>
        <w:rPr>
          <w:color w:val="auto"/>
        </w:rPr>
        <w:t>1.6车辆资质：取得我国国家级检测机构出具的整车检验合格报告。</w:t>
      </w:r>
    </w:p>
    <w:p>
      <w:pPr>
        <w:rPr>
          <w:color w:val="auto"/>
        </w:rPr>
      </w:pPr>
      <w:r>
        <w:rPr>
          <w:color w:val="auto"/>
        </w:rPr>
        <w:t>1.7外形尺寸(mm，长×宽×高)：≤9500×2550×3900。</w:t>
      </w:r>
    </w:p>
    <w:p>
      <w:pPr>
        <w:rPr>
          <w:color w:val="auto"/>
        </w:rPr>
      </w:pPr>
      <w:r>
        <w:rPr>
          <w:color w:val="auto"/>
        </w:rPr>
        <w:t>2.底盘</w:t>
      </w:r>
    </w:p>
    <w:p>
      <w:pPr>
        <w:rPr>
          <w:color w:val="auto"/>
        </w:rPr>
      </w:pPr>
      <w:r>
        <w:rPr>
          <w:color w:val="auto"/>
        </w:rPr>
        <w:t>2.1驱动形式：4×2。</w:t>
      </w:r>
    </w:p>
    <w:p>
      <w:pPr>
        <w:rPr>
          <w:color w:val="auto"/>
        </w:rPr>
      </w:pPr>
      <w:r>
        <w:rPr>
          <w:color w:val="auto"/>
        </w:rPr>
        <w:t>2.2底盘负载能力≥13t。</w:t>
      </w:r>
    </w:p>
    <w:p>
      <w:pPr>
        <w:rPr>
          <w:color w:val="auto"/>
        </w:rPr>
      </w:pPr>
      <w:r>
        <w:rPr>
          <w:color w:val="auto"/>
        </w:rPr>
        <w:t>★2.3额定功率≥210kW。</w:t>
      </w:r>
    </w:p>
    <w:p>
      <w:pPr>
        <w:rPr>
          <w:color w:val="auto"/>
        </w:rPr>
      </w:pPr>
      <w:r>
        <w:rPr>
          <w:color w:val="auto"/>
        </w:rPr>
        <w:t>2.4发动机：涡轮增压柴油发动机。</w:t>
      </w:r>
    </w:p>
    <w:p>
      <w:pPr>
        <w:rPr>
          <w:color w:val="auto"/>
        </w:rPr>
      </w:pPr>
      <w:r>
        <w:rPr>
          <w:color w:val="auto"/>
        </w:rPr>
        <w:t>2.5转向：液压助力，方向盘高度和倾角可调。</w:t>
      </w:r>
    </w:p>
    <w:p>
      <w:pPr>
        <w:rPr>
          <w:color w:val="auto"/>
        </w:rPr>
      </w:pPr>
      <w:r>
        <w:rPr>
          <w:color w:val="auto"/>
        </w:rPr>
        <w:t>2.6制动：配备独立式双回路压缩空气制动系统缸内制动系统及液力缓速器；前盘后鼓式制动，带ABS。</w:t>
      </w:r>
    </w:p>
    <w:p>
      <w:pPr>
        <w:rPr>
          <w:color w:val="auto"/>
        </w:rPr>
      </w:pPr>
      <w:r>
        <w:rPr>
          <w:color w:val="auto"/>
        </w:rPr>
        <w:t>2.7变速箱：自动或手动换挡变速箱。</w:t>
      </w:r>
    </w:p>
    <w:p>
      <w:pPr>
        <w:rPr>
          <w:color w:val="auto"/>
        </w:rPr>
      </w:pPr>
      <w:r>
        <w:rPr>
          <w:color w:val="auto"/>
        </w:rPr>
        <w:t>2.8蓄电池：24V直流，容积≥160Ah；在驾驶室内设有电路总开关。1套翻盖式充电系统，带外部电源插座（220V），不用时防水挡板应盖住插口，当消防车启动时能使充电插头自动脱落。</w:t>
      </w:r>
    </w:p>
    <w:p>
      <w:pPr>
        <w:rPr>
          <w:color w:val="auto"/>
        </w:rPr>
      </w:pPr>
      <w:r>
        <w:rPr>
          <w:color w:val="auto"/>
        </w:rPr>
        <w:t>2.9油料箱≥150L，根据需求方要求设置副油箱（油箱注入口带滤网、油箱盖带锁）。</w:t>
      </w:r>
    </w:p>
    <w:p>
      <w:pPr>
        <w:rPr>
          <w:color w:val="auto"/>
        </w:rPr>
      </w:pPr>
      <w:r>
        <w:rPr>
          <w:color w:val="auto"/>
        </w:rPr>
        <w:t>3.驾驶室</w:t>
      </w:r>
    </w:p>
    <w:p>
      <w:pPr>
        <w:rPr>
          <w:color w:val="auto"/>
        </w:rPr>
      </w:pPr>
      <w:r>
        <w:rPr>
          <w:color w:val="auto"/>
        </w:rPr>
        <w:t>3.1结构：平头，原装两门或四门，电动升降车窗，带液压翻转机构。</w:t>
      </w:r>
    </w:p>
    <w:p>
      <w:pPr>
        <w:rPr>
          <w:color w:val="auto"/>
        </w:rPr>
      </w:pPr>
      <w:r>
        <w:rPr>
          <w:color w:val="auto"/>
        </w:rPr>
        <w:t>3.2警灯：符合应急管理部相关标准。</w:t>
      </w:r>
    </w:p>
    <w:p>
      <w:pPr>
        <w:rPr>
          <w:color w:val="auto"/>
        </w:rPr>
      </w:pPr>
      <w:r>
        <w:rPr>
          <w:color w:val="auto"/>
        </w:rPr>
        <w:t>3.3 设备：安装360度全景影像，含前后可视行车记录仪，含倒车雷达，存储卡≥128G、高清显示屏≥9英寸。</w:t>
      </w:r>
      <w:r>
        <w:rPr>
          <w:color w:val="auto"/>
        </w:rPr>
        <w:br w:type="textWrapping"/>
      </w:r>
      <w:r>
        <w:rPr>
          <w:color w:val="auto"/>
        </w:rPr>
        <w:t xml:space="preserve">    3.4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pPr>
        <w:rPr>
          <w:color w:val="auto"/>
        </w:rPr>
      </w:pPr>
      <w:r>
        <w:rPr>
          <w:color w:val="auto"/>
        </w:rPr>
        <w:t>3.5仪表及感应器：驾驶室内设有电源总开关、取力器开关、警报警灯开关，配备电源逆变器，警灯显示器、警报器开关显示、喊话器等。</w:t>
      </w:r>
    </w:p>
    <w:p>
      <w:pPr>
        <w:rPr>
          <w:color w:val="auto"/>
        </w:rPr>
      </w:pPr>
      <w:r>
        <w:rPr>
          <w:color w:val="auto"/>
        </w:rPr>
        <w:t>3.6其他设备：驾驶室内部照明、冷暖空调、卷帘门警告指示灯、电源连接插接座。</w:t>
      </w:r>
    </w:p>
    <w:p>
      <w:pPr>
        <w:rPr>
          <w:color w:val="auto"/>
        </w:rPr>
      </w:pPr>
      <w:r>
        <w:rPr>
          <w:color w:val="auto"/>
        </w:rPr>
        <w:t>3.7驾乘室座椅数≥2人，采用1+1或2+4布局，主驾位置采用气动悬浮座椅、座椅可调节。所有座椅需配置3点式安全带，若采用2+4布局，后排座椅设置空气呼吸器支架，适用于6.8-9L空气呼吸器（带气瓶保护套），座椅下方应设置储物柜，带锁，防止自动打开。</w:t>
      </w:r>
    </w:p>
    <w:p>
      <w:pPr>
        <w:rPr>
          <w:color w:val="auto"/>
        </w:rPr>
      </w:pPr>
      <w:r>
        <w:rPr>
          <w:color w:val="auto"/>
        </w:rPr>
        <w:t>4.发电机组（国际知名品牌）</w:t>
      </w:r>
    </w:p>
    <w:p>
      <w:pPr>
        <w:rPr>
          <w:color w:val="auto"/>
        </w:rPr>
      </w:pPr>
      <w:r>
        <w:rPr>
          <w:color w:val="auto"/>
        </w:rPr>
        <w:t>★4.1发电机最大功率≥80kW ；频率：50Hz；电压：220-230V/380-400V；连续工作时间≥12小时。</w:t>
      </w:r>
    </w:p>
    <w:p>
      <w:pPr>
        <w:rPr>
          <w:color w:val="auto"/>
        </w:rPr>
      </w:pPr>
      <w:r>
        <w:rPr>
          <w:color w:val="auto"/>
        </w:rPr>
        <w:t xml:space="preserve">5.照明系统   </w:t>
      </w:r>
    </w:p>
    <w:p>
      <w:pPr>
        <w:rPr>
          <w:color w:val="auto"/>
        </w:rPr>
      </w:pPr>
      <w:r>
        <w:rPr>
          <w:color w:val="auto"/>
        </w:rPr>
        <w:t>★5.1主照明系统：主照明灯功率≥16kW、主照明灯≥8盏；主照明灯照度：100m 处各测试点照度≥5勒克斯；灯头防水防震，LED或金卤灯。主照明灯光通量：≥140万lm。</w:t>
      </w:r>
    </w:p>
    <w:p>
      <w:pPr>
        <w:rPr>
          <w:color w:val="auto"/>
        </w:rPr>
      </w:pPr>
      <w:r>
        <w:rPr>
          <w:color w:val="auto"/>
        </w:rPr>
        <w:t>5.2工作高度≥15m，工作灯架水平旋转角≥±360°、俯仰角≥-60～﹢60°。</w:t>
      </w:r>
    </w:p>
    <w:p>
      <w:pPr>
        <w:rPr>
          <w:color w:val="auto"/>
        </w:rPr>
      </w:pPr>
      <w:r>
        <w:rPr>
          <w:color w:val="auto"/>
        </w:rPr>
        <w:t>5.3配电柜：配电柜总荷载≥80kw，设有AC220V输出接口≥3个和AC380V输出接口≥3个，每个带一个极性转换开关、安培表和微型电路断路器。设有过载保护系统和监视仪表，各操作按钮均标有明显的操作标识，并带有漏电保护、短路保护和接地保护装置。</w:t>
      </w:r>
    </w:p>
    <w:p>
      <w:pPr>
        <w:rPr>
          <w:color w:val="auto"/>
        </w:rPr>
      </w:pPr>
      <w:r>
        <w:rPr>
          <w:color w:val="auto"/>
        </w:rPr>
        <w:t>5.4辅助照明：功率≥4kw。</w:t>
      </w:r>
    </w:p>
    <w:p>
      <w:pPr>
        <w:rPr>
          <w:color w:val="auto"/>
        </w:rPr>
      </w:pPr>
      <w:r>
        <w:rPr>
          <w:color w:val="auto"/>
        </w:rPr>
        <w:t>6.配备移动照明灯具</w:t>
      </w:r>
    </w:p>
    <w:p>
      <w:pPr>
        <w:rPr>
          <w:color w:val="auto"/>
        </w:rPr>
      </w:pPr>
      <w:r>
        <w:rPr>
          <w:color w:val="auto"/>
        </w:rPr>
        <w:t>6.1数量：2套，1套功率≥1000W，灯架举升高度≥2.5米，1套功率≥4kw，举升高度≥5米。</w:t>
      </w:r>
    </w:p>
    <w:p>
      <w:pPr>
        <w:rPr>
          <w:color w:val="auto"/>
        </w:rPr>
      </w:pPr>
      <w:r>
        <w:rPr>
          <w:color w:val="auto"/>
        </w:rPr>
        <w:t>6.2电缆线盘：电压：220V/380V、频率：50Hz、数量：30米（220V）≥6盘，30米（380V）≥4盘。</w:t>
      </w:r>
    </w:p>
    <w:p>
      <w:pPr>
        <w:rPr>
          <w:color w:val="auto"/>
        </w:rPr>
      </w:pPr>
      <w:r>
        <w:rPr>
          <w:color w:val="auto"/>
        </w:rPr>
        <w:t>7.臂架举升系统</w:t>
      </w:r>
    </w:p>
    <w:p>
      <w:pPr>
        <w:rPr>
          <w:color w:val="auto"/>
        </w:rPr>
      </w:pPr>
      <w:r>
        <w:rPr>
          <w:color w:val="auto"/>
        </w:rPr>
        <w:t>7.1臂架结构：3节伸缩臂或三节折叠臂，H型支腿，设置水平仪、配备控制面板、遥控器智能控制系统、备用动力应急泵、液压油箱应设置温度油位计，标明限位，有风速风向检测装置和报警系统。</w:t>
      </w:r>
    </w:p>
    <w:p>
      <w:pPr>
        <w:rPr>
          <w:color w:val="auto"/>
        </w:rPr>
      </w:pPr>
      <w:r>
        <w:rPr>
          <w:color w:val="auto"/>
        </w:rPr>
        <w:t>★7.2伸缩臂：臂架：俯仰角≥-90°～60°，旋转角≥±170°，最大举升高度≥15米，工作压力≥15MPa，抗风等级≥6级。</w:t>
      </w:r>
    </w:p>
    <w:p>
      <w:pPr>
        <w:rPr>
          <w:color w:val="auto"/>
        </w:rPr>
      </w:pPr>
      <w:r>
        <w:rPr>
          <w:color w:val="auto"/>
        </w:rPr>
        <w:t>7.3上装车厢结构：全铝合金结构，车厢采用低重心设计。</w:t>
      </w:r>
    </w:p>
    <w:p>
      <w:pPr>
        <w:rPr>
          <w:color w:val="auto"/>
        </w:rPr>
      </w:pPr>
      <w:r>
        <w:rPr>
          <w:color w:val="auto"/>
        </w:rPr>
        <w:t>7.4器材箱：器材箱采用轻质铝合金卷帘门，器材箱内部配有自动LED照明灯，器材箱内部应采用旋转门、拖拉架、翻板、器材盒等固定。</w:t>
      </w:r>
    </w:p>
    <w:p>
      <w:pPr>
        <w:rPr>
          <w:color w:val="auto"/>
        </w:rPr>
      </w:pPr>
      <w:r>
        <w:rPr>
          <w:color w:val="auto"/>
        </w:rPr>
        <w:t>7.5车顶：车厢顶部防腐防滑防水处理。车尾配备1个爬梯。</w:t>
      </w:r>
    </w:p>
    <w:p>
      <w:pPr>
        <w:rPr>
          <w:color w:val="auto"/>
        </w:rPr>
      </w:pPr>
      <w:r>
        <w:rPr>
          <w:color w:val="auto"/>
        </w:rPr>
        <w:t>7.6脚踏板：车厢两侧设有脚踏板，防滑设计，带有安全锁，单个踏板承重≥200kg，踏板边缘应设置有黄色警示灯或黄色警示灯带。</w:t>
      </w:r>
    </w:p>
    <w:p>
      <w:pPr>
        <w:rPr>
          <w:color w:val="auto"/>
        </w:rPr>
      </w:pPr>
      <w:r>
        <w:rPr>
          <w:color w:val="auto"/>
        </w:rPr>
        <w:t>8.照明设备：器材箱内部安装自动LED照明灯，上下车踏板处安装照明装置，乘员室内部安装照明设备。</w:t>
      </w:r>
    </w:p>
    <w:p>
      <w:pPr>
        <w:rPr>
          <w:color w:val="auto"/>
        </w:rPr>
      </w:pPr>
      <w:r>
        <w:rPr>
          <w:color w:val="auto"/>
        </w:rPr>
        <w:t>9.外观和标识：按照《消防救援局关于做好消防救援车辆外观制式涂装工作的通知》等文件要求执行。</w:t>
      </w:r>
    </w:p>
    <w:p>
      <w:pPr>
        <w:rPr>
          <w:color w:val="auto"/>
        </w:rPr>
      </w:pPr>
      <w:r>
        <w:rPr>
          <w:color w:val="auto"/>
        </w:rPr>
        <w:t>10、随车资料（均为中文材料）</w:t>
      </w:r>
    </w:p>
    <w:p>
      <w:pPr>
        <w:rPr>
          <w:color w:val="auto"/>
        </w:rPr>
      </w:pPr>
      <w:r>
        <w:rPr>
          <w:color w:val="auto"/>
        </w:rPr>
        <w:t>附底盘使用手册2份；底盘维护手册2份；上装使用维护手册2份；车辆零件目录2份；安全操作光盘2张；底盘电气原理图1套；随车工具、全尺寸备胎等常用随车器材；发动机号和底盘号拓印件2套；底盘保修卡1份；其他进口装备货物证明1份、车辆一致性证书1份、底盘合格证1份等。</w:t>
      </w:r>
    </w:p>
    <w:p>
      <w:pPr>
        <w:rPr>
          <w:color w:val="auto"/>
        </w:rPr>
      </w:pPr>
      <w:r>
        <w:rPr>
          <w:color w:val="auto"/>
        </w:rPr>
        <w:t>11、随车器材清单（≥下列标准，并符合国家相关技术标准、消防产品认证证书）：备用移动线盘30米：220V，4盘；备用移动线盘30米：380V，2盘；备用移动照明灯支架：4套；主照明备用灯管：8支；移动照明备用灯管：1000W，4支；令克棒：10KVA，1套；专用输入专用电缆：30m，1根；专用输出专用电缆：30m，1根；专用组合工具：1套；专用万用表：1套；绝缘手套：2副；绝缘鞋：2双；绝缘垫：2张；安全接地棒：2个；4kg灭火器：2个；底盘随车维修工具：1套。</w:t>
      </w:r>
    </w:p>
    <w:p>
      <w:pPr>
        <w:rPr>
          <w:color w:val="auto"/>
        </w:rPr>
      </w:pPr>
      <w:r>
        <w:rPr>
          <w:color w:val="auto"/>
        </w:rPr>
        <w:br w:type="page"/>
      </w:r>
    </w:p>
    <w:p>
      <w:pPr>
        <w:ind w:firstLine="482"/>
        <w:rPr>
          <w:b/>
          <w:bCs/>
          <w:color w:val="auto"/>
          <w:sz w:val="24"/>
          <w:szCs w:val="24"/>
        </w:rPr>
      </w:pPr>
      <w:r>
        <w:rPr>
          <w:rFonts w:hint="eastAsia"/>
          <w:b/>
          <w:bCs/>
          <w:color w:val="auto"/>
          <w:sz w:val="24"/>
          <w:szCs w:val="24"/>
        </w:rPr>
        <w:t>5标包，2辆泡沫输转消防车，预算价：540万元</w:t>
      </w:r>
    </w:p>
    <w:p>
      <w:pPr>
        <w:rPr>
          <w:color w:val="auto"/>
        </w:rPr>
      </w:pPr>
      <w:r>
        <w:rPr>
          <w:rFonts w:hint="eastAsia"/>
          <w:color w:val="auto"/>
        </w:rPr>
        <w:t>1.基本要求</w:t>
      </w:r>
    </w:p>
    <w:p>
      <w:pPr>
        <w:rPr>
          <w:color w:val="auto"/>
        </w:rPr>
      </w:pPr>
      <w:r>
        <w:rPr>
          <w:rFonts w:hint="eastAsia"/>
          <w:color w:val="auto"/>
        </w:rPr>
        <w:t>1.1进口底盘（此为符合性审查标准，非进口底盘投标的，将不通过符合性审查），国内消防车制造厂产品。</w:t>
      </w:r>
    </w:p>
    <w:p>
      <w:pPr>
        <w:rPr>
          <w:color w:val="auto"/>
        </w:rPr>
      </w:pPr>
      <w:r>
        <w:rPr>
          <w:rFonts w:hint="eastAsia"/>
          <w:color w:val="auto"/>
        </w:rPr>
        <w:t>1.2执行标准：GB 7956.1-2014 消防车 第1部分：通用技术条件、GB 7956.2-2014 消防车 第2部分：水罐消防车、GB 7956.3-2014 消防车 第3部分：泡沫消防车。</w:t>
      </w:r>
    </w:p>
    <w:p>
      <w:pPr>
        <w:rPr>
          <w:color w:val="auto"/>
        </w:rPr>
      </w:pPr>
      <w:r>
        <w:rPr>
          <w:rFonts w:hint="eastAsia"/>
          <w:color w:val="auto"/>
        </w:rPr>
        <w:t>1.3取得消防产品认证证书。</w:t>
      </w:r>
    </w:p>
    <w:p>
      <w:pPr>
        <w:rPr>
          <w:color w:val="auto"/>
        </w:rPr>
      </w:pPr>
      <w:r>
        <w:rPr>
          <w:rFonts w:hint="eastAsia"/>
          <w:color w:val="auto"/>
        </w:rPr>
        <w:t>1.4最高车速：≥90km/h。</w:t>
      </w:r>
    </w:p>
    <w:p>
      <w:pPr>
        <w:rPr>
          <w:color w:val="auto"/>
        </w:rPr>
      </w:pPr>
      <w:r>
        <w:rPr>
          <w:rFonts w:hint="eastAsia"/>
          <w:color w:val="auto"/>
        </w:rPr>
        <w:t>1.5排放标准：不低于中国国家机动车现行排放标准。</w:t>
      </w:r>
    </w:p>
    <w:p>
      <w:pPr>
        <w:rPr>
          <w:color w:val="auto"/>
        </w:rPr>
      </w:pPr>
      <w:r>
        <w:rPr>
          <w:rFonts w:hint="eastAsia"/>
          <w:color w:val="auto"/>
        </w:rPr>
        <w:t>1.6比功率：≥8Kw/t。</w:t>
      </w:r>
    </w:p>
    <w:p>
      <w:pPr>
        <w:rPr>
          <w:color w:val="auto"/>
        </w:rPr>
      </w:pPr>
      <w:r>
        <w:rPr>
          <w:rFonts w:hint="eastAsia"/>
          <w:color w:val="auto"/>
        </w:rPr>
        <w:t>1.7指示标牌、操作说明、安全警示必须为中文，仪表计量单位必须为中国法定计量单位。</w:t>
      </w:r>
    </w:p>
    <w:p>
      <w:pPr>
        <w:rPr>
          <w:color w:val="auto"/>
        </w:rPr>
      </w:pPr>
      <w:r>
        <w:rPr>
          <w:rFonts w:hint="eastAsia"/>
          <w:color w:val="auto"/>
        </w:rPr>
        <w:t>1.8整车外型尺寸：≤12000mm×2500mm×3800mm。</w:t>
      </w:r>
    </w:p>
    <w:p>
      <w:pPr>
        <w:rPr>
          <w:color w:val="auto"/>
        </w:rPr>
      </w:pPr>
      <w:r>
        <w:rPr>
          <w:rFonts w:hint="eastAsia"/>
          <w:color w:val="auto"/>
        </w:rPr>
        <w:t>2.底盘</w:t>
      </w:r>
    </w:p>
    <w:p>
      <w:pPr>
        <w:rPr>
          <w:color w:val="auto"/>
        </w:rPr>
      </w:pPr>
      <w:r>
        <w:rPr>
          <w:rFonts w:hint="eastAsia"/>
          <w:color w:val="auto"/>
        </w:rPr>
        <w:t>2.1驱动形式：8×4。</w:t>
      </w:r>
    </w:p>
    <w:p>
      <w:pPr>
        <w:rPr>
          <w:color w:val="auto"/>
        </w:rPr>
      </w:pPr>
      <w:r>
        <w:rPr>
          <w:rFonts w:hint="eastAsia"/>
          <w:color w:val="auto"/>
        </w:rPr>
        <w:t>2.2发动机：直列6缸涡轮增压柴油发动机。</w:t>
      </w:r>
    </w:p>
    <w:p>
      <w:pPr>
        <w:rPr>
          <w:color w:val="auto"/>
        </w:rPr>
      </w:pPr>
      <w:r>
        <w:rPr>
          <w:rFonts w:hint="eastAsia"/>
          <w:color w:val="auto"/>
        </w:rPr>
        <w:t>★2.3发动机功率：≥340kw。</w:t>
      </w:r>
    </w:p>
    <w:p>
      <w:pPr>
        <w:rPr>
          <w:color w:val="auto"/>
        </w:rPr>
      </w:pPr>
      <w:r>
        <w:rPr>
          <w:rFonts w:hint="eastAsia"/>
          <w:color w:val="auto"/>
        </w:rPr>
        <w:t>2.4取力器：全功率取力器。</w:t>
      </w:r>
    </w:p>
    <w:p>
      <w:pPr>
        <w:rPr>
          <w:color w:val="auto"/>
        </w:rPr>
      </w:pPr>
      <w:r>
        <w:rPr>
          <w:rFonts w:hint="eastAsia"/>
          <w:color w:val="auto"/>
        </w:rPr>
        <w:t>2.5转向：液压助力，方向盘高度和倾角可调。</w:t>
      </w:r>
    </w:p>
    <w:p>
      <w:pPr>
        <w:rPr>
          <w:color w:val="auto"/>
        </w:rPr>
      </w:pPr>
      <w:r>
        <w:rPr>
          <w:rFonts w:hint="eastAsia"/>
          <w:color w:val="auto"/>
        </w:rPr>
        <w:t>2.6制动：独立式双回路压缩空气制动系统， ABS（防抱死系统）行车制动，配备液力缓速器功能。</w:t>
      </w:r>
    </w:p>
    <w:p>
      <w:pPr>
        <w:rPr>
          <w:color w:val="auto"/>
        </w:rPr>
      </w:pPr>
      <w:r>
        <w:rPr>
          <w:rFonts w:hint="eastAsia"/>
          <w:color w:val="auto"/>
        </w:rPr>
        <w:t xml:space="preserve">    2.7变速箱：手动变速箱优先。</w:t>
      </w:r>
    </w:p>
    <w:p>
      <w:pPr>
        <w:rPr>
          <w:color w:val="auto"/>
        </w:rPr>
      </w:pPr>
      <w:r>
        <w:rPr>
          <w:rFonts w:hint="eastAsia"/>
          <w:color w:val="auto"/>
        </w:rPr>
        <w:t xml:space="preserve">    3.驾驶室和乘员室</w:t>
      </w:r>
    </w:p>
    <w:p>
      <w:pPr>
        <w:rPr>
          <w:color w:val="auto"/>
        </w:rPr>
      </w:pPr>
      <w:r>
        <w:rPr>
          <w:rFonts w:hint="eastAsia"/>
          <w:color w:val="auto"/>
        </w:rPr>
        <w:t xml:space="preserve">    3.1座椅：座位数≥2人，驾驶员座椅采用气动悬浮，多角度可调；所有座椅必须配备安全带。</w:t>
      </w:r>
    </w:p>
    <w:p>
      <w:pPr>
        <w:rPr>
          <w:color w:val="auto"/>
        </w:rPr>
      </w:pPr>
      <w:r>
        <w:rPr>
          <w:rFonts w:hint="eastAsia"/>
          <w:color w:val="auto"/>
        </w:rPr>
        <w:t xml:space="preserve">    3.2结构：驾驶室经过安全碰撞试验，车窗玻璃采用加强型防爆玻璃。</w:t>
      </w:r>
    </w:p>
    <w:p>
      <w:pPr>
        <w:rPr>
          <w:color w:val="auto"/>
        </w:rPr>
      </w:pPr>
      <w:r>
        <w:rPr>
          <w:rFonts w:hint="eastAsia"/>
          <w:color w:val="auto"/>
        </w:rPr>
        <w:t xml:space="preserve">    3.3门窗：中控门锁，可电动升降的安全玻璃。</w:t>
      </w:r>
    </w:p>
    <w:p>
      <w:pPr>
        <w:rPr>
          <w:color w:val="auto"/>
        </w:rPr>
      </w:pPr>
      <w:r>
        <w:rPr>
          <w:rFonts w:hint="eastAsia"/>
          <w:color w:val="auto"/>
        </w:rPr>
        <w:t xml:space="preserve">    3.4空调：配独立通风冷暖空调。</w:t>
      </w:r>
    </w:p>
    <w:p>
      <w:pPr>
        <w:rPr>
          <w:color w:val="auto"/>
        </w:rPr>
      </w:pPr>
      <w:r>
        <w:rPr>
          <w:rFonts w:hint="eastAsia"/>
          <w:color w:val="auto"/>
        </w:rPr>
        <w:t xml:space="preserve">    3.5设备：安装360度全景影像，含前后可视行车记录仪，含倒车雷达，存储卡≥128G、高清显示屏≥9英寸。</w:t>
      </w:r>
    </w:p>
    <w:p>
      <w:pPr>
        <w:rPr>
          <w:color w:val="auto"/>
        </w:rPr>
      </w:pPr>
      <w:r>
        <w:rPr>
          <w:rFonts w:hint="eastAsia"/>
          <w:color w:val="auto"/>
        </w:rPr>
        <w:t xml:space="preserve">    3.6其他：设置快速充电口（220V）。</w:t>
      </w:r>
    </w:p>
    <w:p>
      <w:pPr>
        <w:rPr>
          <w:color w:val="auto"/>
        </w:rPr>
      </w:pPr>
      <w:r>
        <w:rPr>
          <w:rFonts w:hint="eastAsia"/>
          <w:color w:val="auto"/>
        </w:rPr>
        <w:t>4上装</w:t>
      </w:r>
    </w:p>
    <w:p>
      <w:pPr>
        <w:rPr>
          <w:color w:val="auto"/>
        </w:rPr>
      </w:pPr>
      <w:r>
        <w:rPr>
          <w:rFonts w:hint="eastAsia"/>
          <w:color w:val="auto"/>
        </w:rPr>
        <w:t>4.1器材箱和踏板</w:t>
      </w:r>
    </w:p>
    <w:p>
      <w:pPr>
        <w:rPr>
          <w:color w:val="auto"/>
        </w:rPr>
      </w:pPr>
      <w:r>
        <w:rPr>
          <w:rFonts w:hint="eastAsia"/>
          <w:color w:val="auto"/>
        </w:rPr>
        <w:t>4.1.1材质：高强度金属材质，满足满负荷承载能力。</w:t>
      </w:r>
    </w:p>
    <w:p>
      <w:pPr>
        <w:rPr>
          <w:color w:val="auto"/>
        </w:rPr>
      </w:pPr>
      <w:r>
        <w:rPr>
          <w:rFonts w:hint="eastAsia"/>
          <w:color w:val="auto"/>
        </w:rPr>
        <w:t>4.1.2箱内：无骨架板式联接，设有排水孔/槽，按需求方要求进行空间设计。</w:t>
      </w:r>
    </w:p>
    <w:p>
      <w:pPr>
        <w:rPr>
          <w:color w:val="auto"/>
        </w:rPr>
      </w:pPr>
      <w:r>
        <w:rPr>
          <w:rFonts w:hint="eastAsia"/>
          <w:color w:val="auto"/>
        </w:rPr>
        <w:t>4.1.3箱门：高强度铝合金型材料，箱门关闭后密封、防水，箱门关闭时自动锁闭，在三级道路以60Km/h行驶时器材箱门不会自动开启，所有帘子门可以用一把钥匙开启。</w:t>
      </w:r>
    </w:p>
    <w:p>
      <w:pPr>
        <w:rPr>
          <w:color w:val="auto"/>
        </w:rPr>
      </w:pPr>
      <w:r>
        <w:rPr>
          <w:rFonts w:hint="eastAsia"/>
          <w:color w:val="auto"/>
        </w:rPr>
        <w:t>4.1.4箱内照明：LED自动照明。</w:t>
      </w:r>
    </w:p>
    <w:p>
      <w:pPr>
        <w:rPr>
          <w:color w:val="auto"/>
        </w:rPr>
      </w:pPr>
      <w:r>
        <w:rPr>
          <w:rFonts w:hint="eastAsia"/>
          <w:color w:val="auto"/>
        </w:rPr>
        <w:t>4.1.5翻门踏板：防滑设计，承载重量≥150kg。</w:t>
      </w:r>
    </w:p>
    <w:p>
      <w:pPr>
        <w:rPr>
          <w:color w:val="auto"/>
        </w:rPr>
      </w:pPr>
      <w:r>
        <w:rPr>
          <w:rFonts w:hint="eastAsia"/>
          <w:color w:val="auto"/>
        </w:rPr>
        <w:t>4.2供液系统及管路</w:t>
      </w:r>
    </w:p>
    <w:p>
      <w:pPr>
        <w:rPr>
          <w:color w:val="auto"/>
        </w:rPr>
      </w:pPr>
      <w:r>
        <w:rPr>
          <w:rFonts w:hint="eastAsia"/>
          <w:color w:val="auto"/>
        </w:rPr>
        <w:t>4.2.1泡沫泵</w:t>
      </w:r>
    </w:p>
    <w:p>
      <w:pPr>
        <w:rPr>
          <w:color w:val="auto"/>
        </w:rPr>
      </w:pPr>
      <w:r>
        <w:rPr>
          <w:rFonts w:hint="eastAsia"/>
          <w:color w:val="auto"/>
        </w:rPr>
        <w:t>★4.2.1.1采用2台转子消防泵，可同时吸液和供液或1台吸液1台供液。</w:t>
      </w:r>
    </w:p>
    <w:p>
      <w:pPr>
        <w:rPr>
          <w:color w:val="auto"/>
        </w:rPr>
      </w:pPr>
      <w:r>
        <w:rPr>
          <w:rFonts w:hint="eastAsia"/>
          <w:color w:val="auto"/>
        </w:rPr>
        <w:t>★4.2.1.2流量和压力：额定工作压力：1.0MPa，单台泵吸液供液流量≥1500L/min，2台泵同时工作吸液供液流量≥3000L/min。</w:t>
      </w:r>
    </w:p>
    <w:p>
      <w:pPr>
        <w:rPr>
          <w:color w:val="auto"/>
        </w:rPr>
      </w:pPr>
      <w:r>
        <w:rPr>
          <w:rFonts w:hint="eastAsia"/>
          <w:color w:val="auto"/>
        </w:rPr>
        <w:t>4.2.1.3吸液深度：≥2m（机械臂至泡沫桶液面）。</w:t>
      </w:r>
    </w:p>
    <w:p>
      <w:pPr>
        <w:rPr>
          <w:color w:val="auto"/>
        </w:rPr>
      </w:pPr>
      <w:r>
        <w:rPr>
          <w:rFonts w:hint="eastAsia"/>
          <w:color w:val="auto"/>
        </w:rPr>
        <w:t>4.3吸液系统</w:t>
      </w:r>
    </w:p>
    <w:p>
      <w:pPr>
        <w:rPr>
          <w:color w:val="auto"/>
        </w:rPr>
      </w:pPr>
      <w:r>
        <w:rPr>
          <w:rFonts w:hint="eastAsia"/>
          <w:color w:val="auto"/>
        </w:rPr>
        <w:t>4.3.1吸液系统由回转台、吸液臂、吸液管、遥控台等组成。</w:t>
      </w:r>
    </w:p>
    <w:p>
      <w:pPr>
        <w:rPr>
          <w:color w:val="auto"/>
        </w:rPr>
      </w:pPr>
      <w:r>
        <w:rPr>
          <w:rFonts w:hint="eastAsia"/>
          <w:color w:val="auto"/>
        </w:rPr>
        <w:t>4.3.2吸液臂水平回转角度：≥90°，仰角≥30°。</w:t>
      </w:r>
    </w:p>
    <w:p>
      <w:pPr>
        <w:rPr>
          <w:color w:val="auto"/>
        </w:rPr>
      </w:pPr>
      <w:r>
        <w:rPr>
          <w:rFonts w:hint="eastAsia"/>
          <w:color w:val="auto"/>
        </w:rPr>
        <w:t>★4.3.3配备转接头，可使用单个125mm吸液管或转换多个100mm、40mm吸液管吸液。</w:t>
      </w:r>
    </w:p>
    <w:p>
      <w:pPr>
        <w:rPr>
          <w:color w:val="auto"/>
        </w:rPr>
      </w:pPr>
      <w:r>
        <w:rPr>
          <w:rFonts w:hint="eastAsia"/>
          <w:color w:val="auto"/>
        </w:rPr>
        <w:t>4.3.4控制方式：遥控控制。</w:t>
      </w:r>
    </w:p>
    <w:p>
      <w:pPr>
        <w:rPr>
          <w:color w:val="auto"/>
        </w:rPr>
      </w:pPr>
      <w:r>
        <w:rPr>
          <w:rFonts w:hint="eastAsia"/>
          <w:color w:val="auto"/>
        </w:rPr>
        <w:t>4.4消防管路系统</w:t>
      </w:r>
    </w:p>
    <w:p>
      <w:pPr>
        <w:rPr>
          <w:color w:val="auto"/>
        </w:rPr>
      </w:pPr>
      <w:r>
        <w:rPr>
          <w:rFonts w:hint="eastAsia"/>
          <w:color w:val="auto"/>
        </w:rPr>
        <w:t>4.4.1管路及法兰等配件采用304以上材质不锈钢制造，耐压≥1.6MPa。</w:t>
      </w:r>
    </w:p>
    <w:p>
      <w:pPr>
        <w:rPr>
          <w:color w:val="auto"/>
        </w:rPr>
      </w:pPr>
      <w:r>
        <w:rPr>
          <w:rFonts w:hint="eastAsia"/>
          <w:color w:val="auto"/>
        </w:rPr>
        <w:t>4.4.2吸液管路：泵房两侧各设吸液口≥2个，DN80mm。</w:t>
      </w:r>
    </w:p>
    <w:p>
      <w:pPr>
        <w:rPr>
          <w:color w:val="auto"/>
        </w:rPr>
      </w:pPr>
      <w:r>
        <w:rPr>
          <w:rFonts w:hint="eastAsia"/>
          <w:color w:val="auto"/>
        </w:rPr>
        <w:t>4.4.3出液管路：泵房两侧各设出液口≥2个，DN80mm。</w:t>
      </w:r>
    </w:p>
    <w:p>
      <w:pPr>
        <w:rPr>
          <w:color w:val="auto"/>
        </w:rPr>
      </w:pPr>
      <w:r>
        <w:rPr>
          <w:rFonts w:hint="eastAsia"/>
          <w:color w:val="auto"/>
        </w:rPr>
        <w:t>4.4.4设置泵及管路冲洗系统。</w:t>
      </w:r>
    </w:p>
    <w:p>
      <w:pPr>
        <w:rPr>
          <w:color w:val="auto"/>
        </w:rPr>
      </w:pPr>
      <w:r>
        <w:rPr>
          <w:rFonts w:hint="eastAsia"/>
          <w:color w:val="auto"/>
        </w:rPr>
        <w:t>4.5液罐</w:t>
      </w:r>
    </w:p>
    <w:p>
      <w:pPr>
        <w:rPr>
          <w:color w:val="auto"/>
        </w:rPr>
      </w:pPr>
      <w:r>
        <w:rPr>
          <w:rFonts w:hint="eastAsia"/>
          <w:color w:val="auto"/>
        </w:rPr>
        <w:t>4.5.1载液量：≥20吨；同时可装载3种泡沫液（按照2:2:1分割），3种泡沫液可手动切换；具有循环搅拌功能。</w:t>
      </w:r>
    </w:p>
    <w:p>
      <w:pPr>
        <w:rPr>
          <w:color w:val="auto"/>
        </w:rPr>
      </w:pPr>
      <w:r>
        <w:rPr>
          <w:rFonts w:hint="eastAsia"/>
          <w:color w:val="auto"/>
        </w:rPr>
        <w:t>4.5.2 材质：采用高分子抗腐合成材料制作厚度≥20mm或采用304以上高强度不锈钢材料制作厚度≥3mm。</w:t>
      </w:r>
    </w:p>
    <w:p>
      <w:pPr>
        <w:rPr>
          <w:color w:val="auto"/>
        </w:rPr>
      </w:pPr>
      <w:r>
        <w:rPr>
          <w:rFonts w:hint="eastAsia"/>
          <w:color w:val="auto"/>
        </w:rPr>
        <w:t>4.5.3 人孔：2个，450mm内径，主体采用高强度玻璃钢制作，弹簧加载快速打开盖，自动泄压设计。</w:t>
      </w:r>
    </w:p>
    <w:p>
      <w:pPr>
        <w:rPr>
          <w:color w:val="auto"/>
        </w:rPr>
      </w:pPr>
      <w:r>
        <w:rPr>
          <w:rFonts w:hint="eastAsia"/>
          <w:color w:val="auto"/>
        </w:rPr>
        <w:t>4.5.4 溢流通风口：2个，带黄色的溢流管管帽，满足罐体溢流及通气要求。</w:t>
      </w:r>
    </w:p>
    <w:p>
      <w:pPr>
        <w:rPr>
          <w:color w:val="auto"/>
        </w:rPr>
      </w:pPr>
      <w:r>
        <w:rPr>
          <w:rFonts w:hint="eastAsia"/>
          <w:color w:val="auto"/>
        </w:rPr>
        <w:t>4.5.5 液位系统：3套，分别在驾驶室和泵室控制面板上通过液位表显示。</w:t>
      </w:r>
    </w:p>
    <w:p>
      <w:pPr>
        <w:rPr>
          <w:color w:val="auto"/>
        </w:rPr>
      </w:pPr>
      <w:r>
        <w:rPr>
          <w:rFonts w:hint="eastAsia"/>
          <w:color w:val="auto"/>
        </w:rPr>
        <w:t>4.6 泵控制面板：控制面板设有夜间操作照明灯；控制面板上所有手柄、按钮、开关和指示灯均标注有中文标识；管路布置图及操作、维护说明均固化在控制面板上适当位置。</w:t>
      </w:r>
    </w:p>
    <w:p>
      <w:pPr>
        <w:rPr>
          <w:color w:val="auto"/>
        </w:rPr>
      </w:pPr>
      <w:r>
        <w:rPr>
          <w:rFonts w:hint="eastAsia"/>
          <w:color w:val="auto"/>
        </w:rPr>
        <w:t>4.7泡沫比例混合器：混合比例：1%-10%，全自动。</w:t>
      </w:r>
    </w:p>
    <w:p>
      <w:pPr>
        <w:rPr>
          <w:color w:val="auto"/>
        </w:rPr>
      </w:pPr>
      <w:r>
        <w:rPr>
          <w:rFonts w:hint="eastAsia"/>
          <w:color w:val="auto"/>
        </w:rPr>
        <w:t>5外观颜色及标识</w:t>
      </w:r>
    </w:p>
    <w:p>
      <w:pPr>
        <w:rPr>
          <w:color w:val="auto"/>
        </w:rPr>
      </w:pPr>
      <w:r>
        <w:rPr>
          <w:rFonts w:hint="eastAsia"/>
          <w:color w:val="auto"/>
        </w:rPr>
        <w:t xml:space="preserve">    5.1整车标识：涂装符合《国家综合性消防救援车辆外观制式涂装规范》。</w:t>
      </w:r>
    </w:p>
    <w:p>
      <w:pPr>
        <w:rPr>
          <w:color w:val="auto"/>
        </w:rPr>
      </w:pPr>
      <w:r>
        <w:rPr>
          <w:rFonts w:hint="eastAsia"/>
          <w:color w:val="auto"/>
        </w:rPr>
        <w:t xml:space="preserve">    5.2警灯：符合应急管理部警灯要求。</w:t>
      </w:r>
    </w:p>
    <w:p>
      <w:pPr>
        <w:rPr>
          <w:color w:val="auto"/>
        </w:rPr>
      </w:pPr>
      <w:r>
        <w:rPr>
          <w:rFonts w:hint="eastAsia"/>
          <w:color w:val="auto"/>
        </w:rPr>
        <w:t>6.随车资料（均为中文材料）</w:t>
      </w:r>
    </w:p>
    <w:p>
      <w:pPr>
        <w:rPr>
          <w:color w:val="auto"/>
        </w:rPr>
      </w:pPr>
      <w:r>
        <w:rPr>
          <w:rFonts w:hint="eastAsia"/>
          <w:color w:val="auto"/>
        </w:rPr>
        <w:t>附底盘使用手册2份；底盘维护手册2份；上装使用维护手册2份；车辆零件目录2份；安全操作光盘2张；底盘电气原理图1套；随车工具、备胎等常用随车器材；发动机号和底盘号拓印件2套；底盘保修卡1份；车辆一致性证书1份、底盘合格证1份等。</w:t>
      </w:r>
    </w:p>
    <w:p>
      <w:pPr>
        <w:rPr>
          <w:b/>
          <w:bCs/>
          <w:color w:val="auto"/>
        </w:rPr>
      </w:pPr>
      <w:r>
        <w:rPr>
          <w:rFonts w:hint="eastAsia"/>
          <w:color w:val="auto"/>
        </w:rPr>
        <w:t>★7.随车器材（≥下列标准，且符合相关国家技术标准）：DN125转2个DN100异径接口≥2个，DN100转4个DN40异径接口≥3个，吸液枪≥1把，水带护桥≥1副，水带挂钩≥2个，水带包布≥4块，移动泡沫输转泵（流量≥120L/min）≥1台。</w:t>
      </w:r>
      <w:r>
        <w:rPr>
          <w:rFonts w:hint="eastAsia"/>
          <w:b/>
          <w:bCs/>
          <w:color w:val="auto"/>
        </w:rPr>
        <w:br w:type="page"/>
      </w:r>
    </w:p>
    <w:p>
      <w:pPr>
        <w:ind w:firstLine="482"/>
        <w:rPr>
          <w:b/>
          <w:bCs/>
          <w:color w:val="auto"/>
          <w:sz w:val="24"/>
          <w:szCs w:val="24"/>
        </w:rPr>
      </w:pPr>
      <w:r>
        <w:rPr>
          <w:rFonts w:hint="eastAsia"/>
          <w:b/>
          <w:bCs/>
          <w:color w:val="auto"/>
          <w:sz w:val="24"/>
          <w:szCs w:val="24"/>
        </w:rPr>
        <w:t>6标包，1辆指挥方舱车，预算价：350万元</w:t>
      </w:r>
    </w:p>
    <w:p>
      <w:pPr>
        <w:rPr>
          <w:color w:val="auto"/>
        </w:rPr>
      </w:pPr>
      <w:r>
        <w:rPr>
          <w:rFonts w:hint="eastAsia"/>
          <w:color w:val="auto"/>
        </w:rPr>
        <w:t>指挥方舱车应满足：</w:t>
      </w:r>
    </w:p>
    <w:p>
      <w:pPr>
        <w:rPr>
          <w:color w:val="auto"/>
        </w:rPr>
      </w:pPr>
      <w:r>
        <w:rPr>
          <w:rFonts w:hint="eastAsia"/>
          <w:color w:val="auto"/>
        </w:rPr>
        <w:t>★1.国家或行业标准：《消防车 第1部分：通用技术标准》（GB 7956.1-2014）《移动消防指挥中心通用技术要求》（GB/T25113-2010）。</w:t>
      </w:r>
    </w:p>
    <w:p>
      <w:pPr>
        <w:rPr>
          <w:color w:val="auto"/>
        </w:rPr>
      </w:pPr>
      <w:r>
        <w:rPr>
          <w:rFonts w:hint="eastAsia"/>
          <w:color w:val="auto"/>
        </w:rPr>
        <w:t>★2.整车主要功能：车辆主要用于快速和准确地实现事故现场数据信息的采集工作，通过多种信息传输方式实现灵活机动的灭火救援工作。</w:t>
      </w:r>
    </w:p>
    <w:p>
      <w:pPr>
        <w:rPr>
          <w:color w:val="auto"/>
        </w:rPr>
      </w:pPr>
      <w:r>
        <w:rPr>
          <w:rFonts w:hint="eastAsia"/>
          <w:color w:val="auto"/>
        </w:rPr>
        <w:t>★3.底盘主要技术要求：驱动形式：6*4（等同或优于），机动性强，通过性能好。</w:t>
      </w:r>
    </w:p>
    <w:p>
      <w:pPr>
        <w:rPr>
          <w:color w:val="auto"/>
        </w:rPr>
      </w:pPr>
      <w:r>
        <w:rPr>
          <w:rFonts w:hint="eastAsia"/>
          <w:color w:val="auto"/>
        </w:rPr>
        <w:t>★4.主要技术要求：会议室展开面积≥20㎡。</w:t>
      </w:r>
    </w:p>
    <w:p>
      <w:pPr>
        <w:rPr>
          <w:color w:val="auto"/>
        </w:rPr>
      </w:pPr>
      <w:r>
        <w:rPr>
          <w:rFonts w:hint="eastAsia"/>
          <w:color w:val="auto"/>
        </w:rPr>
        <w:t>★5.其他要求：具有卫星通信、视频会议、摄录系统、照明、发电等功能。</w:t>
      </w:r>
    </w:p>
    <w:p>
      <w:pPr>
        <w:rPr>
          <w:color w:val="auto"/>
        </w:rPr>
      </w:pPr>
    </w:p>
    <w:p>
      <w:pPr>
        <w:rPr>
          <w:color w:val="auto"/>
        </w:rPr>
      </w:pPr>
      <w:r>
        <w:rPr>
          <w:rFonts w:hint="eastAsia"/>
          <w:color w:val="auto"/>
        </w:rPr>
        <w:t>主要技术参数</w:t>
      </w:r>
    </w:p>
    <w:p>
      <w:pPr>
        <w:rPr>
          <w:color w:val="auto"/>
        </w:rPr>
      </w:pPr>
      <w:r>
        <w:rPr>
          <w:rFonts w:hint="eastAsia"/>
          <w:color w:val="auto"/>
        </w:rPr>
        <w:t>1.基本要求</w:t>
      </w:r>
    </w:p>
    <w:p>
      <w:pPr>
        <w:rPr>
          <w:color w:val="auto"/>
        </w:rPr>
      </w:pPr>
      <w:r>
        <w:rPr>
          <w:rFonts w:hint="eastAsia"/>
          <w:color w:val="auto"/>
        </w:rPr>
        <w:t>★1.1底盘尺寸：长≥11700mm；宽≥2400mm；高≥3300mm，轴距（mm）：≥5900+1400；</w:t>
      </w:r>
    </w:p>
    <w:p>
      <w:pPr>
        <w:rPr>
          <w:color w:val="auto"/>
        </w:rPr>
      </w:pPr>
      <w:r>
        <w:rPr>
          <w:rFonts w:hint="eastAsia"/>
          <w:color w:val="auto"/>
        </w:rPr>
        <w:t>1.2驱动形式：6×4（或优于）；</w:t>
      </w:r>
    </w:p>
    <w:p>
      <w:pPr>
        <w:rPr>
          <w:color w:val="auto"/>
        </w:rPr>
      </w:pPr>
      <w:r>
        <w:rPr>
          <w:rFonts w:hint="eastAsia"/>
          <w:color w:val="auto"/>
        </w:rPr>
        <w:t>1.3排放标准：符合中国国家机动车现行排放标准；</w:t>
      </w:r>
    </w:p>
    <w:p>
      <w:pPr>
        <w:rPr>
          <w:color w:val="auto"/>
        </w:rPr>
      </w:pPr>
      <w:r>
        <w:rPr>
          <w:rFonts w:hint="eastAsia"/>
          <w:color w:val="auto"/>
        </w:rPr>
        <w:t>★1.4最大额定功率：≥390kW；</w:t>
      </w:r>
    </w:p>
    <w:p>
      <w:pPr>
        <w:rPr>
          <w:color w:val="auto"/>
        </w:rPr>
      </w:pPr>
      <w:r>
        <w:rPr>
          <w:rFonts w:hint="eastAsia"/>
          <w:color w:val="auto"/>
        </w:rPr>
        <w:t>1.5车辆允许总质量（GVW）≥25000kg；整备质量≤9500kg</w:t>
      </w:r>
    </w:p>
    <w:p>
      <w:pPr>
        <w:rPr>
          <w:color w:val="auto"/>
        </w:rPr>
      </w:pPr>
      <w:r>
        <w:rPr>
          <w:rFonts w:hint="eastAsia"/>
          <w:color w:val="auto"/>
        </w:rPr>
        <w:t>1.6最高车速：≥110km/h；</w:t>
      </w:r>
    </w:p>
    <w:p>
      <w:pPr>
        <w:rPr>
          <w:color w:val="auto"/>
        </w:rPr>
      </w:pPr>
      <w:r>
        <w:rPr>
          <w:rFonts w:hint="eastAsia"/>
          <w:color w:val="auto"/>
        </w:rPr>
        <w:t>1.7悬挂形式：前后空气悬架；</w:t>
      </w:r>
    </w:p>
    <w:p>
      <w:pPr>
        <w:rPr>
          <w:color w:val="auto"/>
        </w:rPr>
      </w:pPr>
      <w:r>
        <w:rPr>
          <w:rFonts w:hint="eastAsia"/>
          <w:color w:val="auto"/>
        </w:rPr>
        <w:t>★1.8变速箱：自动变速箱；</w:t>
      </w:r>
    </w:p>
    <w:p>
      <w:pPr>
        <w:rPr>
          <w:color w:val="auto"/>
        </w:rPr>
      </w:pPr>
      <w:r>
        <w:rPr>
          <w:rFonts w:hint="eastAsia"/>
          <w:color w:val="auto"/>
        </w:rPr>
        <w:t>1.9驾驶室：单排双门布局，主驾气囊减震座椅+副驾简易型座椅，主副驾电动升降车窗。</w:t>
      </w:r>
    </w:p>
    <w:p>
      <w:pPr>
        <w:rPr>
          <w:color w:val="auto"/>
        </w:rPr>
      </w:pPr>
      <w:r>
        <w:rPr>
          <w:rFonts w:hint="eastAsia"/>
          <w:color w:val="auto"/>
        </w:rPr>
        <w:t>★1.10安全辅助：EBS（电子制动系统）+ESC(电子防侧翻系统)、液力缓速器、转向轮爆胎应急装置、胎压监测系统(全轮位)、专用车寒区包、保险杠(全金属)、导流罩、电动电加热后视镜；</w:t>
      </w:r>
    </w:p>
    <w:p>
      <w:pPr>
        <w:rPr>
          <w:color w:val="auto"/>
        </w:rPr>
      </w:pPr>
      <w:r>
        <w:rPr>
          <w:rFonts w:hint="eastAsia"/>
          <w:color w:val="auto"/>
        </w:rPr>
        <w:t>1.11设备：安装360度全景影像，含前后可视行车记录仪，含倒车雷达，存储卡≥128G、高清显示屏≥9英寸。</w:t>
      </w:r>
    </w:p>
    <w:p>
      <w:pPr>
        <w:rPr>
          <w:color w:val="auto"/>
        </w:rPr>
      </w:pPr>
      <w:r>
        <w:rPr>
          <w:rFonts w:hint="eastAsia"/>
          <w:color w:val="auto"/>
        </w:rPr>
        <w:t>1.12整车标识：涂装符合《国家综合性消防救援车辆外观制式涂装规范》。</w:t>
      </w:r>
    </w:p>
    <w:p>
      <w:pPr>
        <w:rPr>
          <w:color w:val="auto"/>
        </w:rPr>
      </w:pPr>
      <w:r>
        <w:rPr>
          <w:rFonts w:hint="eastAsia"/>
          <w:color w:val="auto"/>
        </w:rPr>
        <w:t>1.13警灯：符合应急管理部警灯要求。</w:t>
      </w:r>
    </w:p>
    <w:p>
      <w:pPr>
        <w:rPr>
          <w:color w:val="auto"/>
        </w:rPr>
      </w:pPr>
      <w:r>
        <w:rPr>
          <w:rFonts w:hint="eastAsia"/>
          <w:color w:val="auto"/>
        </w:rPr>
        <w:t>1.14空调系统：顶置独立空调；</w:t>
      </w:r>
    </w:p>
    <w:p>
      <w:pPr>
        <w:rPr>
          <w:color w:val="auto"/>
        </w:rPr>
      </w:pPr>
      <w:r>
        <w:rPr>
          <w:rFonts w:hint="eastAsia"/>
          <w:color w:val="auto"/>
        </w:rPr>
        <w:t>1.15配备的移动通信设备符合GB15842的相关规定；配备的无线电发射设备符合GB9159的相关规定。</w:t>
      </w:r>
    </w:p>
    <w:p>
      <w:pPr>
        <w:rPr>
          <w:color w:val="auto"/>
        </w:rPr>
      </w:pPr>
      <w:r>
        <w:rPr>
          <w:rFonts w:hint="eastAsia"/>
          <w:color w:val="auto"/>
        </w:rPr>
        <w:t>2.车载卫星通信系统</w:t>
      </w:r>
    </w:p>
    <w:p>
      <w:pPr>
        <w:rPr>
          <w:color w:val="auto"/>
        </w:rPr>
      </w:pPr>
      <w:r>
        <w:rPr>
          <w:rFonts w:hint="eastAsia"/>
          <w:color w:val="auto"/>
        </w:rPr>
        <w:t>2.1卫星天线1套</w:t>
      </w:r>
    </w:p>
    <w:p>
      <w:pPr>
        <w:rPr>
          <w:color w:val="auto"/>
        </w:rPr>
      </w:pPr>
      <w:r>
        <w:rPr>
          <w:rFonts w:hint="eastAsia"/>
          <w:color w:val="auto"/>
        </w:rPr>
        <w:t>2.1.1天线类型：单偏置天线；</w:t>
      </w:r>
    </w:p>
    <w:p>
      <w:pPr>
        <w:rPr>
          <w:color w:val="auto"/>
        </w:rPr>
      </w:pPr>
      <w:r>
        <w:rPr>
          <w:rFonts w:hint="eastAsia"/>
          <w:color w:val="auto"/>
        </w:rPr>
        <w:t>★2.1.2等效口径：≥1.5米；</w:t>
      </w:r>
    </w:p>
    <w:p>
      <w:pPr>
        <w:rPr>
          <w:color w:val="auto"/>
        </w:rPr>
      </w:pPr>
      <w:r>
        <w:rPr>
          <w:rFonts w:hint="eastAsia"/>
          <w:color w:val="auto"/>
        </w:rPr>
        <w:t>2.1.3工作频率：RX:10.70—12.75GHz，TX:13.75—14.5GHz；</w:t>
      </w:r>
    </w:p>
    <w:p>
      <w:pPr>
        <w:rPr>
          <w:color w:val="auto"/>
        </w:rPr>
      </w:pPr>
      <w:r>
        <w:rPr>
          <w:rFonts w:hint="eastAsia"/>
          <w:color w:val="auto"/>
        </w:rPr>
        <w:t>2.1.4反射面材料：碳纤维；</w:t>
      </w:r>
    </w:p>
    <w:p>
      <w:pPr>
        <w:rPr>
          <w:color w:val="auto"/>
        </w:rPr>
      </w:pPr>
      <w:r>
        <w:rPr>
          <w:rFonts w:hint="eastAsia"/>
          <w:color w:val="auto"/>
        </w:rPr>
        <w:t>2.1.5天线增益：RX≥43.5dBi@12.5GHz，TX≥44.5dBi@14.25GHz；</w:t>
      </w:r>
    </w:p>
    <w:p>
      <w:pPr>
        <w:rPr>
          <w:color w:val="auto"/>
        </w:rPr>
      </w:pPr>
      <w:r>
        <w:rPr>
          <w:rFonts w:hint="eastAsia"/>
          <w:color w:val="auto"/>
        </w:rPr>
        <w:t>2.1.6极化方式：双线性极化；</w:t>
      </w:r>
    </w:p>
    <w:p>
      <w:pPr>
        <w:rPr>
          <w:color w:val="auto"/>
        </w:rPr>
      </w:pPr>
      <w:r>
        <w:rPr>
          <w:rFonts w:hint="eastAsia"/>
          <w:color w:val="auto"/>
        </w:rPr>
        <w:t>2.1.7隔离度：收发隔离度≥85dB，极化隔离度≥30dB (轴向)；</w:t>
      </w:r>
    </w:p>
    <w:p>
      <w:pPr>
        <w:rPr>
          <w:color w:val="auto"/>
        </w:rPr>
      </w:pPr>
      <w:r>
        <w:rPr>
          <w:rFonts w:hint="eastAsia"/>
          <w:color w:val="auto"/>
        </w:rPr>
        <w:t>2.1.8天线支持信标、DVB和参考星寻星，具有倾斜对星、极化自动补偿、参数记忆和任意方位寻星功能；</w:t>
      </w:r>
    </w:p>
    <w:p>
      <w:pPr>
        <w:rPr>
          <w:color w:val="auto"/>
        </w:rPr>
      </w:pPr>
      <w:r>
        <w:rPr>
          <w:rFonts w:hint="eastAsia"/>
          <w:color w:val="auto"/>
        </w:rPr>
        <w:t>2.1.9对星时间：≤3min；</w:t>
      </w:r>
    </w:p>
    <w:p>
      <w:pPr>
        <w:rPr>
          <w:color w:val="auto"/>
        </w:rPr>
      </w:pPr>
      <w:r>
        <w:rPr>
          <w:rFonts w:hint="eastAsia"/>
          <w:color w:val="auto"/>
        </w:rPr>
        <w:t>2.1.10天线指向范围：方位：≥±200°，俯仰：≥10°- 95°；</w:t>
      </w:r>
    </w:p>
    <w:p>
      <w:pPr>
        <w:rPr>
          <w:color w:val="auto"/>
        </w:rPr>
      </w:pPr>
      <w:r>
        <w:rPr>
          <w:rFonts w:hint="eastAsia"/>
          <w:color w:val="auto"/>
        </w:rPr>
        <w:t>2.1.11极化：≥±95°；</w:t>
      </w:r>
    </w:p>
    <w:p>
      <w:pPr>
        <w:rPr>
          <w:color w:val="auto"/>
        </w:rPr>
      </w:pPr>
      <w:r>
        <w:rPr>
          <w:rFonts w:hint="eastAsia"/>
          <w:color w:val="auto"/>
        </w:rPr>
        <w:t>2.1.12控制终端：标准1U，配置自寻星控制系统软件，具备良好的全中文操作界面，可实现一键对星；</w:t>
      </w:r>
    </w:p>
    <w:p>
      <w:pPr>
        <w:rPr>
          <w:color w:val="auto"/>
        </w:rPr>
      </w:pPr>
      <w:r>
        <w:rPr>
          <w:rFonts w:hint="eastAsia"/>
          <w:color w:val="auto"/>
        </w:rPr>
        <w:t>2.1.13支持标准Ku和亚太Ku高通量卫星双模式，可内置亚太6D高通量卫星专用调制解调器，一键切换传统卫星和高通量卫星，无需切换射频电缆即可实现自由切换；</w:t>
      </w:r>
    </w:p>
    <w:p>
      <w:pPr>
        <w:rPr>
          <w:color w:val="auto"/>
        </w:rPr>
      </w:pPr>
      <w:r>
        <w:rPr>
          <w:rFonts w:hint="eastAsia"/>
          <w:color w:val="auto"/>
        </w:rPr>
        <w:t>2.1.14天线收藏尺寸：≤2220mm×1500mm×450mm；</w:t>
      </w:r>
    </w:p>
    <w:p>
      <w:pPr>
        <w:rPr>
          <w:color w:val="auto"/>
        </w:rPr>
      </w:pPr>
      <w:r>
        <w:rPr>
          <w:rFonts w:hint="eastAsia"/>
          <w:color w:val="auto"/>
        </w:rPr>
        <w:t>2.1.15天线净重：≤120kg；</w:t>
      </w:r>
    </w:p>
    <w:p>
      <w:pPr>
        <w:rPr>
          <w:color w:val="auto"/>
        </w:rPr>
      </w:pPr>
      <w:r>
        <w:rPr>
          <w:rFonts w:hint="eastAsia"/>
          <w:color w:val="auto"/>
        </w:rPr>
        <w:t>2.1.16供电：90–264 VAC, 47–63 Hz；</w:t>
      </w:r>
    </w:p>
    <w:p>
      <w:pPr>
        <w:rPr>
          <w:color w:val="auto"/>
        </w:rPr>
      </w:pPr>
      <w:r>
        <w:rPr>
          <w:rFonts w:hint="eastAsia"/>
          <w:color w:val="auto"/>
        </w:rPr>
        <w:t>2.1.17峰值功耗：≤260W，平均功耗：≤160W；</w:t>
      </w:r>
    </w:p>
    <w:p>
      <w:pPr>
        <w:rPr>
          <w:color w:val="auto"/>
        </w:rPr>
      </w:pPr>
      <w:r>
        <w:rPr>
          <w:rFonts w:hint="eastAsia"/>
          <w:color w:val="auto"/>
        </w:rPr>
        <w:t>2.1.18工作温度：-40℃～+55℃；</w:t>
      </w:r>
    </w:p>
    <w:p>
      <w:pPr>
        <w:rPr>
          <w:color w:val="auto"/>
        </w:rPr>
      </w:pPr>
      <w:r>
        <w:rPr>
          <w:rFonts w:hint="eastAsia"/>
          <w:color w:val="auto"/>
        </w:rPr>
        <w:t>2.1.19存储温度：-50℃～+70℃；</w:t>
      </w:r>
    </w:p>
    <w:p>
      <w:pPr>
        <w:rPr>
          <w:color w:val="auto"/>
        </w:rPr>
      </w:pPr>
      <w:r>
        <w:rPr>
          <w:rFonts w:hint="eastAsia"/>
          <w:color w:val="auto"/>
        </w:rPr>
        <w:t>2.1.20抗风：工作风速：20m/s、保全风速（展开）：27m/s、保全风速（收藏）：50m/s。</w:t>
      </w:r>
    </w:p>
    <w:p>
      <w:pPr>
        <w:rPr>
          <w:color w:val="auto"/>
        </w:rPr>
      </w:pPr>
      <w:r>
        <w:rPr>
          <w:rFonts w:hint="eastAsia"/>
          <w:color w:val="auto"/>
        </w:rPr>
        <w:t>2.2卫星功放（BUC）</w:t>
      </w:r>
    </w:p>
    <w:p>
      <w:pPr>
        <w:rPr>
          <w:color w:val="auto"/>
        </w:rPr>
      </w:pPr>
      <w:r>
        <w:rPr>
          <w:rFonts w:hint="eastAsia"/>
          <w:color w:val="auto"/>
        </w:rPr>
        <w:t>2.2.1射频输出频率：14-14.5 GHz；</w:t>
      </w:r>
    </w:p>
    <w:p>
      <w:pPr>
        <w:rPr>
          <w:color w:val="auto"/>
        </w:rPr>
      </w:pPr>
      <w:r>
        <w:rPr>
          <w:rFonts w:hint="eastAsia"/>
          <w:color w:val="auto"/>
        </w:rPr>
        <w:t>2.2.2中频输入频率：950-1450 MHz；</w:t>
      </w:r>
    </w:p>
    <w:p>
      <w:pPr>
        <w:rPr>
          <w:color w:val="auto"/>
        </w:rPr>
      </w:pPr>
      <w:r>
        <w:rPr>
          <w:rFonts w:hint="eastAsia"/>
          <w:color w:val="auto"/>
        </w:rPr>
        <w:t>2.2.3输出功率：≥49 dBm；</w:t>
      </w:r>
    </w:p>
    <w:p>
      <w:pPr>
        <w:rPr>
          <w:color w:val="auto"/>
        </w:rPr>
      </w:pPr>
      <w:r>
        <w:rPr>
          <w:rFonts w:hint="eastAsia"/>
          <w:color w:val="auto"/>
        </w:rPr>
        <w:t>2.2.4增益：≥70 dB；</w:t>
      </w:r>
    </w:p>
    <w:p>
      <w:pPr>
        <w:rPr>
          <w:color w:val="auto"/>
        </w:rPr>
      </w:pPr>
      <w:r>
        <w:rPr>
          <w:rFonts w:hint="eastAsia"/>
          <w:color w:val="auto"/>
        </w:rPr>
        <w:t>2.2.5增益调整范围和步进：50-70 dB，步进0.1 dB；</w:t>
      </w:r>
    </w:p>
    <w:p>
      <w:pPr>
        <w:rPr>
          <w:color w:val="auto"/>
        </w:rPr>
      </w:pPr>
      <w:r>
        <w:rPr>
          <w:rFonts w:hint="eastAsia"/>
          <w:color w:val="auto"/>
        </w:rPr>
        <w:t>2.2.6 220 VAC供电；</w:t>
      </w:r>
    </w:p>
    <w:p>
      <w:pPr>
        <w:rPr>
          <w:color w:val="auto"/>
        </w:rPr>
      </w:pPr>
      <w:r>
        <w:rPr>
          <w:rFonts w:hint="eastAsia"/>
          <w:color w:val="auto"/>
        </w:rPr>
        <w:t>2.2.7功耗：&lt;420W；</w:t>
      </w:r>
    </w:p>
    <w:p>
      <w:pPr>
        <w:rPr>
          <w:color w:val="auto"/>
        </w:rPr>
      </w:pPr>
      <w:r>
        <w:rPr>
          <w:rFonts w:hint="eastAsia"/>
          <w:color w:val="auto"/>
        </w:rPr>
        <w:t>2.2.8重量：&lt;5 Kg；</w:t>
      </w:r>
    </w:p>
    <w:p>
      <w:pPr>
        <w:rPr>
          <w:color w:val="auto"/>
        </w:rPr>
      </w:pPr>
      <w:r>
        <w:rPr>
          <w:rFonts w:hint="eastAsia"/>
          <w:color w:val="auto"/>
        </w:rPr>
        <w:t>2.2.9M&amp;C监控：支持RS232和RS485/RS422和以太网（Web GUI）；</w:t>
      </w:r>
    </w:p>
    <w:p>
      <w:pPr>
        <w:rPr>
          <w:color w:val="auto"/>
        </w:rPr>
      </w:pPr>
      <w:r>
        <w:rPr>
          <w:rFonts w:hint="eastAsia"/>
          <w:color w:val="auto"/>
        </w:rPr>
        <w:t>2.2.10支持1:1 冗余系统，内嵌控制器（无需额外控制器）；</w:t>
      </w:r>
    </w:p>
    <w:p>
      <w:pPr>
        <w:rPr>
          <w:color w:val="auto"/>
        </w:rPr>
      </w:pPr>
      <w:r>
        <w:rPr>
          <w:rFonts w:hint="eastAsia"/>
          <w:color w:val="auto"/>
        </w:rPr>
        <w:t>2.3低噪声变频器（LNB）</w:t>
      </w:r>
    </w:p>
    <w:p>
      <w:pPr>
        <w:rPr>
          <w:color w:val="auto"/>
        </w:rPr>
      </w:pPr>
      <w:r>
        <w:rPr>
          <w:rFonts w:hint="eastAsia"/>
          <w:color w:val="auto"/>
        </w:rPr>
        <w:t>2.3.1射频频率：12.25 GHz～12.75GHz；</w:t>
      </w:r>
    </w:p>
    <w:p>
      <w:pPr>
        <w:rPr>
          <w:color w:val="auto"/>
        </w:rPr>
      </w:pPr>
      <w:r>
        <w:rPr>
          <w:rFonts w:hint="eastAsia"/>
          <w:color w:val="auto"/>
        </w:rPr>
        <w:t>2.3.2输出频率范围：950MHz～1450MHz；</w:t>
      </w:r>
    </w:p>
    <w:p>
      <w:pPr>
        <w:rPr>
          <w:color w:val="auto"/>
        </w:rPr>
      </w:pPr>
      <w:r>
        <w:rPr>
          <w:rFonts w:hint="eastAsia"/>
          <w:color w:val="auto"/>
        </w:rPr>
        <w:t>2.3.3本振频率：11.3GHz；</w:t>
      </w:r>
    </w:p>
    <w:p>
      <w:pPr>
        <w:rPr>
          <w:color w:val="auto"/>
        </w:rPr>
      </w:pPr>
      <w:r>
        <w:rPr>
          <w:rFonts w:hint="eastAsia"/>
          <w:color w:val="auto"/>
        </w:rPr>
        <w:t>2.3.4频率稳定度：±10MHz；</w:t>
      </w:r>
    </w:p>
    <w:p>
      <w:pPr>
        <w:rPr>
          <w:color w:val="auto"/>
        </w:rPr>
      </w:pPr>
      <w:r>
        <w:rPr>
          <w:rFonts w:hint="eastAsia"/>
          <w:color w:val="auto"/>
        </w:rPr>
        <w:t>2.3.5噪声系数：≤0.8dB；</w:t>
      </w:r>
    </w:p>
    <w:p>
      <w:pPr>
        <w:rPr>
          <w:color w:val="auto"/>
        </w:rPr>
      </w:pPr>
      <w:r>
        <w:rPr>
          <w:rFonts w:hint="eastAsia"/>
          <w:color w:val="auto"/>
        </w:rPr>
        <w:t>2.3.6线性增益：典型值≥60dB。</w:t>
      </w:r>
    </w:p>
    <w:p>
      <w:pPr>
        <w:rPr>
          <w:color w:val="auto"/>
        </w:rPr>
      </w:pPr>
      <w:r>
        <w:rPr>
          <w:rFonts w:hint="eastAsia"/>
          <w:color w:val="auto"/>
        </w:rPr>
        <w:t>2.4消防专网业务调制解调器1台</w:t>
      </w:r>
    </w:p>
    <w:p>
      <w:pPr>
        <w:rPr>
          <w:color w:val="auto"/>
        </w:rPr>
      </w:pPr>
      <w:r>
        <w:rPr>
          <w:rFonts w:hint="eastAsia"/>
          <w:color w:val="auto"/>
        </w:rPr>
        <w:t>★2.4.1能够接入国家消防救援局新网管系统（提供承诺函），界面为中文；</w:t>
      </w:r>
    </w:p>
    <w:p>
      <w:pPr>
        <w:rPr>
          <w:color w:val="auto"/>
        </w:rPr>
      </w:pPr>
      <w:r>
        <w:rPr>
          <w:rFonts w:hint="eastAsia"/>
          <w:color w:val="auto"/>
        </w:rPr>
        <w:t>2.4.2频率范围：950 ~ 1950 MHz, 100 Hz 分辨率；</w:t>
      </w:r>
    </w:p>
    <w:p>
      <w:pPr>
        <w:rPr>
          <w:color w:val="auto"/>
        </w:rPr>
      </w:pPr>
      <w:r>
        <w:rPr>
          <w:rFonts w:hint="eastAsia"/>
          <w:color w:val="auto"/>
        </w:rPr>
        <w:t>2.4.3调制方式：≥BPSK、QPSK、8PSK、16APSK；</w:t>
      </w:r>
    </w:p>
    <w:p>
      <w:pPr>
        <w:rPr>
          <w:color w:val="auto"/>
        </w:rPr>
      </w:pPr>
      <w:r>
        <w:rPr>
          <w:rFonts w:hint="eastAsia"/>
          <w:color w:val="auto"/>
        </w:rPr>
        <w:t>2.4.4输入/输出阻抗和接头：发射：50Ω( N 型阴头) 接收：50Ω (N 型阴头)；</w:t>
      </w:r>
    </w:p>
    <w:p>
      <w:pPr>
        <w:rPr>
          <w:color w:val="auto"/>
        </w:rPr>
      </w:pPr>
      <w:r>
        <w:rPr>
          <w:rFonts w:hint="eastAsia"/>
          <w:color w:val="auto"/>
        </w:rPr>
        <w:t>2.4.5数据接口：10/100 Base-T 以太网接口， V.35， RS-232，支持VNO 管理；</w:t>
      </w:r>
    </w:p>
    <w:p>
      <w:pPr>
        <w:rPr>
          <w:color w:val="auto"/>
        </w:rPr>
      </w:pPr>
      <w:r>
        <w:rPr>
          <w:rFonts w:hint="eastAsia"/>
          <w:color w:val="auto"/>
        </w:rPr>
        <w:t>2.4.6服务质量保证：Quality of Service (4 Level Priority)；</w:t>
      </w:r>
    </w:p>
    <w:p>
      <w:pPr>
        <w:rPr>
          <w:color w:val="auto"/>
        </w:rPr>
      </w:pPr>
      <w:r>
        <w:rPr>
          <w:rFonts w:hint="eastAsia"/>
          <w:color w:val="auto"/>
        </w:rPr>
        <w:t>2.4.7 IP 模块标准特性：支持Managed Switch 模式和路由模式，支持单播和多播的静态IP 路由，支持SNMP, Web 或Telnet 的管理，支持组播协议IGMP v1 和v2，支持对称与非对称传输，实现最大的带宽效率； M&amp;C 监控接口：EIA-232，EIA-485 (2-或4-线)，以太网Ethernet 10/100 Base T；</w:t>
      </w:r>
    </w:p>
    <w:p>
      <w:pPr>
        <w:rPr>
          <w:color w:val="auto"/>
        </w:rPr>
      </w:pPr>
      <w:r>
        <w:rPr>
          <w:rFonts w:hint="eastAsia"/>
          <w:color w:val="auto"/>
        </w:rPr>
        <w:t>2.5高通量业务调制解调器1台</w:t>
      </w:r>
    </w:p>
    <w:p>
      <w:pPr>
        <w:rPr>
          <w:color w:val="auto"/>
        </w:rPr>
      </w:pPr>
      <w:r>
        <w:rPr>
          <w:rFonts w:hint="eastAsia"/>
          <w:color w:val="auto"/>
        </w:rPr>
        <w:t>2.5.1可接入Ku频段高通量国产卫星的国产卫星通信系统；</w:t>
      </w:r>
    </w:p>
    <w:p>
      <w:pPr>
        <w:rPr>
          <w:color w:val="auto"/>
        </w:rPr>
      </w:pPr>
      <w:r>
        <w:rPr>
          <w:rFonts w:hint="eastAsia"/>
          <w:color w:val="auto"/>
        </w:rPr>
        <w:t>2.5.2DVB-S2（最高45 Msps）/ DVB-S2X（最高100 Msps）出境</w:t>
      </w:r>
    </w:p>
    <w:p>
      <w:pPr>
        <w:rPr>
          <w:color w:val="auto"/>
        </w:rPr>
      </w:pPr>
      <w:r>
        <w:rPr>
          <w:rFonts w:hint="eastAsia"/>
          <w:color w:val="auto"/>
        </w:rPr>
        <w:t>2.5.3全系列DVB-S2X支持高达256APSK的编码方式</w:t>
      </w:r>
    </w:p>
    <w:p>
      <w:pPr>
        <w:rPr>
          <w:color w:val="auto"/>
        </w:rPr>
      </w:pPr>
      <w:r>
        <w:rPr>
          <w:rFonts w:hint="eastAsia"/>
          <w:color w:val="auto"/>
        </w:rPr>
        <w:t>2.5.4自适应TDMA最高15 Msps，16QAM</w:t>
      </w:r>
    </w:p>
    <w:p>
      <w:pPr>
        <w:rPr>
          <w:color w:val="auto"/>
        </w:rPr>
      </w:pPr>
      <w:r>
        <w:rPr>
          <w:rFonts w:hint="eastAsia"/>
          <w:color w:val="auto"/>
        </w:rPr>
        <w:t xml:space="preserve">2.5.5适应于固定和移动站 </w:t>
      </w:r>
    </w:p>
    <w:p>
      <w:pPr>
        <w:rPr>
          <w:color w:val="auto"/>
        </w:rPr>
      </w:pPr>
      <w:r>
        <w:rPr>
          <w:rFonts w:hint="eastAsia"/>
          <w:color w:val="auto"/>
        </w:rPr>
        <w:t>2.5.6具有256位AES链接加密的安全功能</w:t>
      </w:r>
    </w:p>
    <w:p>
      <w:pPr>
        <w:rPr>
          <w:color w:val="auto"/>
        </w:rPr>
      </w:pPr>
      <w:r>
        <w:rPr>
          <w:rFonts w:hint="eastAsia"/>
          <w:color w:val="auto"/>
        </w:rPr>
        <w:t>2.5.7提供BUC兼容10和50 MHz参考信号</w:t>
      </w:r>
    </w:p>
    <w:p>
      <w:pPr>
        <w:rPr>
          <w:color w:val="auto"/>
        </w:rPr>
      </w:pPr>
      <w:r>
        <w:rPr>
          <w:rFonts w:hint="eastAsia"/>
          <w:color w:val="auto"/>
        </w:rPr>
        <w:t xml:space="preserve">2.5.8兼容OpenAMIP协议，易于集成 </w:t>
      </w:r>
    </w:p>
    <w:p>
      <w:pPr>
        <w:rPr>
          <w:color w:val="auto"/>
        </w:rPr>
      </w:pPr>
      <w:r>
        <w:rPr>
          <w:rFonts w:hint="eastAsia"/>
          <w:color w:val="auto"/>
        </w:rPr>
        <w:t>2.5.9中频频率：≥ 950MHz～2150MHz 的范围；</w:t>
      </w:r>
    </w:p>
    <w:p>
      <w:pPr>
        <w:rPr>
          <w:color w:val="auto"/>
        </w:rPr>
      </w:pPr>
      <w:r>
        <w:rPr>
          <w:rFonts w:hint="eastAsia"/>
          <w:color w:val="auto"/>
        </w:rPr>
        <w:t>2.5.10输出电平：≥-50dBm～0dBm 的范围；</w:t>
      </w:r>
    </w:p>
    <w:p>
      <w:pPr>
        <w:rPr>
          <w:color w:val="auto"/>
        </w:rPr>
      </w:pPr>
      <w:r>
        <w:rPr>
          <w:rFonts w:hint="eastAsia"/>
          <w:color w:val="auto"/>
        </w:rPr>
        <w:t>2.5.11输出杂散：优于-55dBc/4kHz；</w:t>
      </w:r>
    </w:p>
    <w:p>
      <w:pPr>
        <w:rPr>
          <w:color w:val="auto"/>
        </w:rPr>
      </w:pPr>
      <w:r>
        <w:rPr>
          <w:rFonts w:hint="eastAsia"/>
          <w:color w:val="auto"/>
        </w:rPr>
        <w:t xml:space="preserve">2.5.12调制解调方式：前返向载波都至少包含 BPSK、QPSK、8PSK、16APSK； </w:t>
      </w:r>
    </w:p>
    <w:p>
      <w:pPr>
        <w:rPr>
          <w:color w:val="auto"/>
        </w:rPr>
      </w:pPr>
      <w:r>
        <w:rPr>
          <w:rFonts w:hint="eastAsia"/>
          <w:color w:val="auto"/>
        </w:rPr>
        <w:t>2.5.13最高数据速率：前返向最大速率均≥50Mbps；</w:t>
      </w:r>
    </w:p>
    <w:p>
      <w:pPr>
        <w:rPr>
          <w:color w:val="auto"/>
        </w:rPr>
      </w:pPr>
      <w:r>
        <w:rPr>
          <w:rFonts w:hint="eastAsia"/>
          <w:color w:val="auto"/>
        </w:rPr>
        <w:t>2.5.14外形尺寸：标准1U上架机箱；</w:t>
      </w:r>
    </w:p>
    <w:p>
      <w:pPr>
        <w:rPr>
          <w:color w:val="auto"/>
        </w:rPr>
      </w:pPr>
      <w:r>
        <w:rPr>
          <w:rFonts w:hint="eastAsia"/>
          <w:color w:val="auto"/>
        </w:rPr>
        <w:t>2.5.15温度范围：工作温度≥-40～60°C；储存温度≥-50～85°C；</w:t>
      </w:r>
    </w:p>
    <w:p>
      <w:pPr>
        <w:rPr>
          <w:color w:val="auto"/>
        </w:rPr>
      </w:pPr>
      <w:r>
        <w:rPr>
          <w:rFonts w:hint="eastAsia"/>
          <w:color w:val="auto"/>
        </w:rPr>
        <w:t>★2.5.16含3年不限流量通信费用。</w:t>
      </w:r>
      <w:r>
        <w:rPr>
          <w:rFonts w:hint="eastAsia"/>
          <w:color w:val="auto"/>
        </w:rPr>
        <w:tab/>
      </w:r>
    </w:p>
    <w:p>
      <w:pPr>
        <w:rPr>
          <w:color w:val="auto"/>
        </w:rPr>
      </w:pPr>
      <w:r>
        <w:rPr>
          <w:rFonts w:hint="eastAsia"/>
          <w:color w:val="auto"/>
        </w:rPr>
        <w:t>2.6射频功分器1台</w:t>
      </w:r>
    </w:p>
    <w:p>
      <w:pPr>
        <w:rPr>
          <w:color w:val="auto"/>
        </w:rPr>
      </w:pPr>
      <w:r>
        <w:rPr>
          <w:rFonts w:hint="eastAsia"/>
          <w:color w:val="auto"/>
        </w:rPr>
        <w:t>2.6.1类型：1分4路，4合1各一；</w:t>
      </w:r>
    </w:p>
    <w:p>
      <w:pPr>
        <w:rPr>
          <w:color w:val="auto"/>
        </w:rPr>
      </w:pPr>
      <w:r>
        <w:rPr>
          <w:rFonts w:hint="eastAsia"/>
          <w:color w:val="auto"/>
        </w:rPr>
        <w:t>2.6.2频率范围：950～1450MHz；</w:t>
      </w:r>
    </w:p>
    <w:p>
      <w:pPr>
        <w:rPr>
          <w:color w:val="auto"/>
        </w:rPr>
      </w:pPr>
      <w:r>
        <w:rPr>
          <w:rFonts w:hint="eastAsia"/>
          <w:color w:val="auto"/>
        </w:rPr>
        <w:t>2.6.3阻抗：≤50欧姆；</w:t>
      </w:r>
    </w:p>
    <w:p>
      <w:pPr>
        <w:rPr>
          <w:color w:val="auto"/>
        </w:rPr>
      </w:pPr>
      <w:r>
        <w:rPr>
          <w:rFonts w:hint="eastAsia"/>
          <w:color w:val="auto"/>
        </w:rPr>
        <w:t>2.6.4插损：0.6～0.8dB；</w:t>
      </w:r>
    </w:p>
    <w:p>
      <w:pPr>
        <w:rPr>
          <w:color w:val="auto"/>
        </w:rPr>
      </w:pPr>
      <w:r>
        <w:rPr>
          <w:rFonts w:hint="eastAsia"/>
          <w:color w:val="auto"/>
        </w:rPr>
        <w:t>2.6.5隔离度：≥20dB；</w:t>
      </w:r>
    </w:p>
    <w:p>
      <w:pPr>
        <w:rPr>
          <w:color w:val="auto"/>
        </w:rPr>
      </w:pPr>
      <w:r>
        <w:rPr>
          <w:rFonts w:hint="eastAsia"/>
          <w:color w:val="auto"/>
        </w:rPr>
        <w:t>2.6.6其他：含接收端供电。</w:t>
      </w:r>
    </w:p>
    <w:p>
      <w:pPr>
        <w:rPr>
          <w:color w:val="auto"/>
        </w:rPr>
      </w:pPr>
      <w:r>
        <w:rPr>
          <w:rFonts w:hint="eastAsia"/>
          <w:color w:val="auto"/>
        </w:rPr>
        <w:t>3.1专网语音通信系统</w:t>
      </w:r>
    </w:p>
    <w:p>
      <w:pPr>
        <w:rPr>
          <w:color w:val="auto"/>
        </w:rPr>
      </w:pPr>
      <w:r>
        <w:rPr>
          <w:rFonts w:hint="eastAsia"/>
          <w:color w:val="auto"/>
        </w:rPr>
        <w:t>3.1.1车载台1台（驾驶室内）。</w:t>
      </w:r>
    </w:p>
    <w:p>
      <w:pPr>
        <w:rPr>
          <w:color w:val="auto"/>
        </w:rPr>
      </w:pPr>
      <w:r>
        <w:rPr>
          <w:rFonts w:hint="eastAsia"/>
          <w:color w:val="auto"/>
        </w:rPr>
        <w:t>3.1.2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pPr>
        <w:rPr>
          <w:color w:val="auto"/>
        </w:rPr>
      </w:pPr>
      <w:r>
        <w:rPr>
          <w:rFonts w:hint="eastAsia"/>
          <w:color w:val="auto"/>
        </w:rPr>
        <w:t>3.1.3屏幕尺寸≥1.8英寸，TFT 彩色显示屏，不低于25万色；通过信道切换旋钮/音量调节旋钮即可实现工作模式的切换；</w:t>
      </w:r>
    </w:p>
    <w:p>
      <w:pPr>
        <w:rPr>
          <w:color w:val="auto"/>
        </w:rPr>
      </w:pPr>
      <w:r>
        <w:rPr>
          <w:rFonts w:hint="eastAsia"/>
          <w:color w:val="auto"/>
        </w:rPr>
        <w:t>3.1.4发射功率：高功率:25W，低功率:5W；</w:t>
      </w:r>
    </w:p>
    <w:p>
      <w:pPr>
        <w:rPr>
          <w:color w:val="auto"/>
        </w:rPr>
      </w:pPr>
      <w:r>
        <w:rPr>
          <w:rFonts w:hint="eastAsia"/>
          <w:color w:val="auto"/>
        </w:rPr>
        <w:t>3.1.5内置蓝牙模块，能够支持蓝牙耳机、手咪等多种配件，蓝牙协议版本不低于4.0；</w:t>
      </w:r>
    </w:p>
    <w:p>
      <w:pPr>
        <w:rPr>
          <w:color w:val="auto"/>
        </w:rPr>
      </w:pPr>
      <w:r>
        <w:rPr>
          <w:rFonts w:hint="eastAsia"/>
          <w:color w:val="auto"/>
        </w:rPr>
        <w:t>3.1.6需提供有效期内无线电发射设备型号核准证；</w:t>
      </w:r>
    </w:p>
    <w:p>
      <w:pPr>
        <w:rPr>
          <w:color w:val="auto"/>
        </w:rPr>
      </w:pPr>
      <w:r>
        <w:rPr>
          <w:rFonts w:hint="eastAsia"/>
          <w:color w:val="auto"/>
        </w:rPr>
        <w:t>3.1.7应具有良好的可靠性及耐用性，符合国军标GJB150A-2009，能够在各种恶劣的工作环境中发挥优异性能。</w:t>
      </w:r>
    </w:p>
    <w:p>
      <w:pPr>
        <w:rPr>
          <w:color w:val="auto"/>
        </w:rPr>
      </w:pPr>
      <w:r>
        <w:rPr>
          <w:rFonts w:hint="eastAsia"/>
          <w:color w:val="auto"/>
        </w:rPr>
        <w:t>3.2 PDT转信台1台</w:t>
      </w:r>
    </w:p>
    <w:p>
      <w:pPr>
        <w:rPr>
          <w:color w:val="auto"/>
        </w:rPr>
      </w:pPr>
      <w:r>
        <w:rPr>
          <w:rFonts w:hint="eastAsia"/>
          <w:color w:val="auto"/>
        </w:rPr>
        <w:t>3.2.1频率：350-400MHz；</w:t>
      </w:r>
    </w:p>
    <w:p>
      <w:pPr>
        <w:rPr>
          <w:color w:val="auto"/>
        </w:rPr>
      </w:pPr>
      <w:r>
        <w:rPr>
          <w:rFonts w:hint="eastAsia"/>
          <w:color w:val="auto"/>
        </w:rPr>
        <w:t>3.2.2信道容量：＞1000；</w:t>
      </w:r>
    </w:p>
    <w:p>
      <w:pPr>
        <w:rPr>
          <w:color w:val="auto"/>
        </w:rPr>
      </w:pPr>
      <w:r>
        <w:rPr>
          <w:rFonts w:hint="eastAsia"/>
          <w:color w:val="auto"/>
        </w:rPr>
        <w:t>3.2.3支持数字和模拟两种模式，可根据收到的信号类别智能选择工作信道；</w:t>
      </w:r>
    </w:p>
    <w:p>
      <w:pPr>
        <w:rPr>
          <w:color w:val="auto"/>
        </w:rPr>
      </w:pPr>
      <w:r>
        <w:rPr>
          <w:rFonts w:hint="eastAsia"/>
          <w:color w:val="auto"/>
        </w:rPr>
        <w:t>3.2.3 256位数字加密技术，可以防止通话内容被他人非法窃听；</w:t>
      </w:r>
    </w:p>
    <w:p>
      <w:pPr>
        <w:rPr>
          <w:color w:val="auto"/>
        </w:rPr>
      </w:pPr>
      <w:r>
        <w:rPr>
          <w:rFonts w:hint="eastAsia"/>
          <w:color w:val="auto"/>
        </w:rPr>
        <w:t>3.2.4外形尺寸：≤2RU、19英寸机柜式设计；</w:t>
      </w:r>
    </w:p>
    <w:p>
      <w:pPr>
        <w:rPr>
          <w:color w:val="auto"/>
        </w:rPr>
      </w:pPr>
      <w:r>
        <w:rPr>
          <w:rFonts w:hint="eastAsia"/>
          <w:color w:val="auto"/>
        </w:rPr>
        <w:t>3.2.5具有模拟数字自动切换功能；</w:t>
      </w:r>
    </w:p>
    <w:p>
      <w:pPr>
        <w:rPr>
          <w:color w:val="auto"/>
        </w:rPr>
      </w:pPr>
      <w:r>
        <w:rPr>
          <w:rFonts w:hint="eastAsia"/>
          <w:color w:val="auto"/>
        </w:rPr>
        <w:t>3.2.6支持IP互联功能；</w:t>
      </w:r>
    </w:p>
    <w:p>
      <w:pPr>
        <w:rPr>
          <w:color w:val="auto"/>
        </w:rPr>
      </w:pPr>
      <w:r>
        <w:rPr>
          <w:rFonts w:hint="eastAsia"/>
          <w:color w:val="auto"/>
        </w:rPr>
        <w:t>3.2.7灵敏度：模拟≥0.3μV，数字≥0.3uV/BER5%；</w:t>
      </w:r>
    </w:p>
    <w:p>
      <w:pPr>
        <w:rPr>
          <w:color w:val="auto"/>
        </w:rPr>
      </w:pPr>
      <w:r>
        <w:rPr>
          <w:rFonts w:hint="eastAsia"/>
          <w:color w:val="auto"/>
        </w:rPr>
        <w:t>3.2.8额定音频失真：&lt;3%；</w:t>
      </w:r>
    </w:p>
    <w:p>
      <w:pPr>
        <w:rPr>
          <w:color w:val="auto"/>
        </w:rPr>
      </w:pPr>
      <w:r>
        <w:rPr>
          <w:rFonts w:hint="eastAsia"/>
          <w:color w:val="auto"/>
        </w:rPr>
        <w:t>3.2.9传导发射杂散：&lt;-57 dBm</w:t>
      </w:r>
    </w:p>
    <w:p>
      <w:pPr>
        <w:rPr>
          <w:color w:val="auto"/>
        </w:rPr>
      </w:pPr>
      <w:r>
        <w:rPr>
          <w:rFonts w:hint="eastAsia"/>
          <w:color w:val="auto"/>
        </w:rPr>
        <w:t>3.2.10配置手柄话筒1个；</w:t>
      </w:r>
    </w:p>
    <w:p>
      <w:pPr>
        <w:rPr>
          <w:color w:val="auto"/>
        </w:rPr>
      </w:pPr>
      <w:r>
        <w:rPr>
          <w:rFonts w:hint="eastAsia"/>
          <w:color w:val="auto"/>
        </w:rPr>
        <w:t>3.2.11配置双工器。</w:t>
      </w:r>
    </w:p>
    <w:p>
      <w:pPr>
        <w:rPr>
          <w:color w:val="auto"/>
        </w:rPr>
      </w:pPr>
      <w:r>
        <w:rPr>
          <w:rFonts w:hint="eastAsia"/>
          <w:color w:val="auto"/>
        </w:rPr>
        <w:t>3.3对讲机排充1个</w:t>
      </w:r>
    </w:p>
    <w:p>
      <w:pPr>
        <w:rPr>
          <w:color w:val="auto"/>
        </w:rPr>
      </w:pPr>
      <w:r>
        <w:rPr>
          <w:rFonts w:hint="eastAsia"/>
          <w:color w:val="auto"/>
        </w:rPr>
        <w:t>3.3.1可同时为六台手持台充电，手持台型号由使用单位提供。</w:t>
      </w:r>
    </w:p>
    <w:p>
      <w:pPr>
        <w:rPr>
          <w:color w:val="auto"/>
        </w:rPr>
      </w:pPr>
      <w:r>
        <w:rPr>
          <w:rFonts w:hint="eastAsia"/>
          <w:color w:val="auto"/>
        </w:rPr>
        <w:t>3.3.2满足同时对六台对讲机或六块电池进行快速充电。</w:t>
      </w:r>
    </w:p>
    <w:p>
      <w:pPr>
        <w:rPr>
          <w:color w:val="auto"/>
        </w:rPr>
      </w:pPr>
      <w:r>
        <w:rPr>
          <w:rFonts w:hint="eastAsia"/>
          <w:color w:val="auto"/>
        </w:rPr>
        <w:t>3.4天通卫星电话1部</w:t>
      </w:r>
    </w:p>
    <w:p>
      <w:pPr>
        <w:rPr>
          <w:color w:val="auto"/>
        </w:rPr>
      </w:pPr>
      <w:r>
        <w:rPr>
          <w:rFonts w:hint="eastAsia"/>
          <w:color w:val="auto"/>
        </w:rPr>
        <w:t>3.4.1基本功能：天通卫星移动通信话音、短信功能；支持地面移动网络2G、3G、4G，联通2G网络话音、短信和数据功能，支持单北斗定位功能；</w:t>
      </w:r>
    </w:p>
    <w:p>
      <w:pPr>
        <w:rPr>
          <w:color w:val="auto"/>
        </w:rPr>
      </w:pPr>
      <w:r>
        <w:rPr>
          <w:rFonts w:hint="eastAsia"/>
          <w:color w:val="auto"/>
        </w:rPr>
        <w:t>3.4.2显示单元：≥5英寸显示屏，支持触摸屏功能；</w:t>
      </w:r>
    </w:p>
    <w:p>
      <w:pPr>
        <w:rPr>
          <w:color w:val="auto"/>
        </w:rPr>
      </w:pPr>
      <w:r>
        <w:rPr>
          <w:rFonts w:hint="eastAsia"/>
          <w:color w:val="auto"/>
        </w:rPr>
        <w:t>3.4.3存储单元：运行内存：≥2GB RAM，机身内存：≥16GB ROM，最大存储扩展≥32GB；</w:t>
      </w:r>
    </w:p>
    <w:p>
      <w:pPr>
        <w:rPr>
          <w:color w:val="auto"/>
        </w:rPr>
      </w:pPr>
      <w:r>
        <w:rPr>
          <w:rFonts w:hint="eastAsia"/>
          <w:color w:val="auto"/>
        </w:rPr>
        <w:t>3.4.4终端电池：采用额定电压7.4V/5700mAh锂电池供电；</w:t>
      </w:r>
    </w:p>
    <w:p>
      <w:pPr>
        <w:rPr>
          <w:color w:val="auto"/>
        </w:rPr>
      </w:pPr>
      <w:r>
        <w:rPr>
          <w:rFonts w:hint="eastAsia"/>
          <w:color w:val="auto"/>
        </w:rPr>
        <w:t>3.4.5工作时长： 待机时长：≥150小时，工作时长：≥8小时；</w:t>
      </w:r>
    </w:p>
    <w:p>
      <w:pPr>
        <w:rPr>
          <w:color w:val="auto"/>
        </w:rPr>
      </w:pPr>
      <w:r>
        <w:rPr>
          <w:rFonts w:hint="eastAsia"/>
          <w:color w:val="auto"/>
        </w:rPr>
        <w:t>3.4.6外部接口：支持USB TYPE-C接口；支持RJ9话柄接口、RJ11二线话接口；支持TNC卫星天线接口、SMA定位天线接口；支持TF卡存储扩展接口、支持天通和地面双SIM卡接口；支持外部9V～12V和A型USB供电接口，支持网口、串口和PBX接口等。</w:t>
      </w:r>
    </w:p>
    <w:p>
      <w:pPr>
        <w:rPr>
          <w:color w:val="auto"/>
        </w:rPr>
      </w:pPr>
      <w:r>
        <w:rPr>
          <w:rFonts w:hint="eastAsia"/>
          <w:color w:val="auto"/>
        </w:rPr>
        <w:t>3.5语音网关1部</w:t>
      </w:r>
    </w:p>
    <w:p>
      <w:pPr>
        <w:rPr>
          <w:color w:val="auto"/>
        </w:rPr>
      </w:pPr>
      <w:r>
        <w:rPr>
          <w:rFonts w:hint="eastAsia"/>
          <w:color w:val="auto"/>
        </w:rPr>
        <w:t>3.5.1语音端口数目：≥4路FXS；</w:t>
      </w:r>
    </w:p>
    <w:p>
      <w:pPr>
        <w:rPr>
          <w:color w:val="auto"/>
        </w:rPr>
      </w:pPr>
      <w:r>
        <w:rPr>
          <w:rFonts w:hint="eastAsia"/>
          <w:color w:val="auto"/>
        </w:rPr>
        <w:t>3.5.2支持SIP 协议；</w:t>
      </w:r>
    </w:p>
    <w:p>
      <w:pPr>
        <w:rPr>
          <w:color w:val="auto"/>
        </w:rPr>
      </w:pPr>
      <w:r>
        <w:rPr>
          <w:rFonts w:hint="eastAsia"/>
          <w:color w:val="auto"/>
        </w:rPr>
        <w:t>3.5.3支持≥G.723.1(5.3K)、G.723.1(6.3K)、G.729(A/B/AB)、G.711Alaw/Ulaw语音编码；</w:t>
      </w:r>
    </w:p>
    <w:p>
      <w:pPr>
        <w:rPr>
          <w:color w:val="auto"/>
        </w:rPr>
      </w:pPr>
      <w:r>
        <w:rPr>
          <w:rFonts w:hint="eastAsia"/>
          <w:color w:val="auto"/>
        </w:rPr>
        <w:t>3.5.4音频接口采用RJ11；</w:t>
      </w:r>
    </w:p>
    <w:p>
      <w:pPr>
        <w:rPr>
          <w:color w:val="auto"/>
        </w:rPr>
      </w:pPr>
      <w:r>
        <w:rPr>
          <w:rFonts w:hint="eastAsia"/>
          <w:color w:val="auto"/>
        </w:rPr>
        <w:t>3.5.5可进行TOS值设置；</w:t>
      </w:r>
    </w:p>
    <w:p>
      <w:pPr>
        <w:rPr>
          <w:color w:val="auto"/>
        </w:rPr>
      </w:pPr>
      <w:r>
        <w:rPr>
          <w:rFonts w:hint="eastAsia"/>
          <w:color w:val="auto"/>
        </w:rPr>
        <w:t>3.5.6二线电话2部；</w:t>
      </w:r>
    </w:p>
    <w:p>
      <w:pPr>
        <w:rPr>
          <w:color w:val="auto"/>
        </w:rPr>
      </w:pPr>
      <w:r>
        <w:rPr>
          <w:rFonts w:hint="eastAsia"/>
          <w:color w:val="auto"/>
        </w:rPr>
        <w:t>3.6 天线倒伏机构1套</w:t>
      </w:r>
    </w:p>
    <w:p>
      <w:pPr>
        <w:rPr>
          <w:color w:val="auto"/>
        </w:rPr>
      </w:pPr>
      <w:r>
        <w:rPr>
          <w:rFonts w:hint="eastAsia"/>
          <w:color w:val="auto"/>
        </w:rPr>
        <w:t>3.6.1工作温度：-40℃～ +55℃；</w:t>
      </w:r>
    </w:p>
    <w:p>
      <w:pPr>
        <w:rPr>
          <w:color w:val="auto"/>
        </w:rPr>
      </w:pPr>
      <w:r>
        <w:rPr>
          <w:rFonts w:hint="eastAsia"/>
          <w:color w:val="auto"/>
        </w:rPr>
        <w:t>3.6.2工作转矩：≥ 3kg.m；</w:t>
      </w:r>
    </w:p>
    <w:p>
      <w:pPr>
        <w:rPr>
          <w:color w:val="auto"/>
        </w:rPr>
      </w:pPr>
      <w:r>
        <w:rPr>
          <w:rFonts w:hint="eastAsia"/>
          <w:color w:val="auto"/>
        </w:rPr>
        <w:t>3.6.3最大工作耗流：≤ 3A；</w:t>
      </w:r>
    </w:p>
    <w:p>
      <w:pPr>
        <w:rPr>
          <w:color w:val="auto"/>
        </w:rPr>
      </w:pPr>
      <w:r>
        <w:rPr>
          <w:rFonts w:hint="eastAsia"/>
          <w:color w:val="auto"/>
        </w:rPr>
        <w:t>3.6.4倒下或竖直时间：≤ 12s。</w:t>
      </w:r>
    </w:p>
    <w:p>
      <w:pPr>
        <w:rPr>
          <w:color w:val="auto"/>
        </w:rPr>
      </w:pPr>
      <w:r>
        <w:rPr>
          <w:rFonts w:hint="eastAsia"/>
          <w:color w:val="auto"/>
        </w:rPr>
        <w:t>4聚合通信系统</w:t>
      </w:r>
    </w:p>
    <w:p>
      <w:pPr>
        <w:rPr>
          <w:color w:val="auto"/>
        </w:rPr>
      </w:pPr>
      <w:r>
        <w:rPr>
          <w:rFonts w:hint="eastAsia"/>
          <w:color w:val="auto"/>
        </w:rPr>
        <w:t>4.1 5G聚合路由器1台。</w:t>
      </w:r>
    </w:p>
    <w:p>
      <w:pPr>
        <w:rPr>
          <w:color w:val="auto"/>
        </w:rPr>
      </w:pPr>
      <w:r>
        <w:rPr>
          <w:rFonts w:hint="eastAsia"/>
          <w:color w:val="auto"/>
        </w:rPr>
        <w:t>4.1.1≥1个5G 数据卡（5天线）和4个4G 数据卡（双天线）设计；</w:t>
      </w:r>
    </w:p>
    <w:p>
      <w:pPr>
        <w:rPr>
          <w:color w:val="auto"/>
        </w:rPr>
      </w:pPr>
      <w:r>
        <w:rPr>
          <w:rFonts w:hint="eastAsia"/>
          <w:color w:val="auto"/>
        </w:rPr>
        <w:t>4.1.2支持移动、联通、电信SIM卡热拔插，进入某运营商信号盲区，可无缝切换到其它运营商，轻松应对各种4G/5G 网络变化；</w:t>
      </w:r>
    </w:p>
    <w:p>
      <w:pPr>
        <w:rPr>
          <w:color w:val="auto"/>
        </w:rPr>
      </w:pPr>
      <w:r>
        <w:rPr>
          <w:rFonts w:hint="eastAsia"/>
          <w:color w:val="auto"/>
        </w:rPr>
        <w:t>4.1.3支持5卡聚合，在各种复杂的网络环境下能提供稳定传输链路；</w:t>
      </w:r>
    </w:p>
    <w:p>
      <w:pPr>
        <w:rPr>
          <w:color w:val="auto"/>
        </w:rPr>
      </w:pPr>
      <w:r>
        <w:rPr>
          <w:rFonts w:hint="eastAsia"/>
          <w:color w:val="auto"/>
        </w:rPr>
        <w:t>4.1.4 4G+5G高带宽聚合技术；</w:t>
      </w:r>
    </w:p>
    <w:p>
      <w:pPr>
        <w:rPr>
          <w:color w:val="auto"/>
        </w:rPr>
      </w:pPr>
      <w:r>
        <w:rPr>
          <w:rFonts w:hint="eastAsia"/>
          <w:color w:val="auto"/>
        </w:rPr>
        <w:t>4.1.5 U机架式,外置SMA天线接口，最多可接8根LTE天线，便于更换高增益天线；</w:t>
      </w:r>
    </w:p>
    <w:p>
      <w:pPr>
        <w:rPr>
          <w:color w:val="auto"/>
        </w:rPr>
      </w:pPr>
      <w:r>
        <w:rPr>
          <w:rFonts w:hint="eastAsia"/>
          <w:color w:val="auto"/>
        </w:rPr>
        <w:t>4.1.6 支持WIFI2.4G、5.8G多频覆盖；</w:t>
      </w:r>
    </w:p>
    <w:p>
      <w:pPr>
        <w:rPr>
          <w:color w:val="auto"/>
        </w:rPr>
      </w:pPr>
      <w:r>
        <w:rPr>
          <w:rFonts w:hint="eastAsia"/>
          <w:color w:val="auto"/>
        </w:rPr>
        <w:t>4.1.7 4×1000MbpsLAN口，1×1000Mbps WAN口，支持WAN口聚合功能，支持802 11b/g/n；</w:t>
      </w:r>
    </w:p>
    <w:p>
      <w:pPr>
        <w:rPr>
          <w:color w:val="auto"/>
        </w:rPr>
      </w:pPr>
      <w:r>
        <w:rPr>
          <w:rFonts w:hint="eastAsia"/>
          <w:color w:val="auto"/>
        </w:rPr>
        <w:t>4.1.8聚合路由器专网卡5张（移动2、联通1、电信2张）。自项目终验之日起算，所有卡服务期3年。</w:t>
      </w:r>
    </w:p>
    <w:p>
      <w:pPr>
        <w:rPr>
          <w:color w:val="auto"/>
        </w:rPr>
      </w:pPr>
      <w:r>
        <w:rPr>
          <w:rFonts w:hint="eastAsia"/>
          <w:color w:val="auto"/>
        </w:rPr>
        <w:t>5.高清视频会议系统</w:t>
      </w:r>
    </w:p>
    <w:p>
      <w:pPr>
        <w:rPr>
          <w:color w:val="auto"/>
        </w:rPr>
      </w:pPr>
      <w:r>
        <w:rPr>
          <w:rFonts w:hint="eastAsia"/>
          <w:color w:val="auto"/>
        </w:rPr>
        <w:t>5.1高清视频指挥终端2台</w:t>
      </w:r>
    </w:p>
    <w:p>
      <w:pPr>
        <w:rPr>
          <w:color w:val="auto"/>
        </w:rPr>
      </w:pPr>
      <w:r>
        <w:rPr>
          <w:rFonts w:hint="eastAsia"/>
          <w:color w:val="auto"/>
        </w:rPr>
        <w:t>★5.1. 1可无缝接入消防图像综合管理平台，指挥中心通过视频终端可调度平台设备图像，进行视频会商调度；</w:t>
      </w:r>
    </w:p>
    <w:p>
      <w:pPr>
        <w:rPr>
          <w:color w:val="auto"/>
        </w:rPr>
      </w:pPr>
      <w:r>
        <w:rPr>
          <w:rFonts w:hint="eastAsia"/>
          <w:color w:val="auto"/>
        </w:rPr>
        <w:t>5.1.2 终端为分体式视频终端，摄像机与视频终端可分离部署，终端系统应为嵌入式操作系统，确保终端长时间稳定可靠运行；</w:t>
      </w:r>
    </w:p>
    <w:p>
      <w:pPr>
        <w:rPr>
          <w:color w:val="auto"/>
        </w:rPr>
      </w:pPr>
      <w:r>
        <w:rPr>
          <w:rFonts w:hint="eastAsia"/>
          <w:color w:val="auto"/>
        </w:rPr>
        <w:t>5.1.3 视频标准：H.263+、H.264、H.264 High Profile；音频标准：G.711/G722/G.722.1/G.729/G.719/OPUS；</w:t>
      </w:r>
    </w:p>
    <w:p>
      <w:pPr>
        <w:rPr>
          <w:color w:val="auto"/>
        </w:rPr>
      </w:pPr>
      <w:r>
        <w:rPr>
          <w:rFonts w:hint="eastAsia"/>
          <w:color w:val="auto"/>
        </w:rPr>
        <w:t>5.1.4 视频分辨率支持1080P、1080i、720P、VGA、AUTO可选；</w:t>
      </w:r>
    </w:p>
    <w:p>
      <w:pPr>
        <w:rPr>
          <w:color w:val="auto"/>
        </w:rPr>
      </w:pPr>
      <w:r>
        <w:rPr>
          <w:rFonts w:hint="eastAsia"/>
          <w:color w:val="auto"/>
        </w:rPr>
        <w:t>5.1.5 视频码率支持64Kbps～6Mbps可选，图像帧率支持5～60可选；音频码率支持8Kbps、24Kbps、48Kbps可选；</w:t>
      </w:r>
    </w:p>
    <w:p>
      <w:pPr>
        <w:rPr>
          <w:color w:val="auto"/>
        </w:rPr>
      </w:pPr>
      <w:r>
        <w:rPr>
          <w:rFonts w:hint="eastAsia"/>
          <w:color w:val="auto"/>
        </w:rPr>
        <w:t>5.1.6 视频输入接口：≥2/4路，至少1/2×SDI，1/2×HDMI；</w:t>
      </w:r>
    </w:p>
    <w:p>
      <w:pPr>
        <w:rPr>
          <w:color w:val="auto"/>
        </w:rPr>
      </w:pPr>
      <w:r>
        <w:rPr>
          <w:rFonts w:hint="eastAsia"/>
          <w:color w:val="auto"/>
        </w:rPr>
        <w:t>5.1.7 视频输出接口：≥3路，至少1×DVI，1×HDMI，1×VGA；支持三显输出；</w:t>
      </w:r>
    </w:p>
    <w:p>
      <w:pPr>
        <w:rPr>
          <w:color w:val="auto"/>
        </w:rPr>
      </w:pPr>
      <w:r>
        <w:rPr>
          <w:rFonts w:hint="eastAsia"/>
          <w:color w:val="auto"/>
        </w:rPr>
        <w:t>5.1.8 音频输入接口：≥2路；至少1组RCA左右声道接口；</w:t>
      </w:r>
    </w:p>
    <w:p>
      <w:pPr>
        <w:rPr>
          <w:color w:val="auto"/>
        </w:rPr>
      </w:pPr>
      <w:r>
        <w:rPr>
          <w:rFonts w:hint="eastAsia"/>
          <w:color w:val="auto"/>
        </w:rPr>
        <w:t>5.1.9 音频输出接口：≥2路；至少1组RCA左右声道接口；</w:t>
      </w:r>
    </w:p>
    <w:p>
      <w:pPr>
        <w:rPr>
          <w:color w:val="auto"/>
        </w:rPr>
      </w:pPr>
      <w:r>
        <w:rPr>
          <w:rFonts w:hint="eastAsia"/>
          <w:color w:val="auto"/>
        </w:rPr>
        <w:t>5.1.10 其他接口：1×VISCA，4×USB，1×DC12V输出，1×100M/1000M 快速自适应以太网口；</w:t>
      </w:r>
    </w:p>
    <w:p>
      <w:pPr>
        <w:rPr>
          <w:color w:val="auto"/>
        </w:rPr>
      </w:pPr>
      <w:r>
        <w:rPr>
          <w:rFonts w:hint="eastAsia"/>
          <w:color w:val="auto"/>
        </w:rPr>
        <w:t>5.1.11 支持视音频、协议全适配，支持不同速率、不同编码协议、不同分辨率的终端混合会议；支持每个会议都有多画面，多画面显示个数≥16；</w:t>
      </w:r>
    </w:p>
    <w:p>
      <w:pPr>
        <w:rPr>
          <w:color w:val="auto"/>
        </w:rPr>
      </w:pPr>
      <w:r>
        <w:rPr>
          <w:rFonts w:hint="eastAsia"/>
          <w:color w:val="auto"/>
        </w:rPr>
        <w:t>5.1.12 支持分屏输出，每个输出屏可以同时显示≥16个视频图像，支持数据和视频混合排列，配合视频轮询功能，可对分会场实时轮询监控；</w:t>
      </w:r>
    </w:p>
    <w:p>
      <w:pPr>
        <w:rPr>
          <w:color w:val="auto"/>
        </w:rPr>
      </w:pPr>
      <w:r>
        <w:rPr>
          <w:rFonts w:hint="eastAsia"/>
          <w:color w:val="auto"/>
        </w:rPr>
        <w:t>5.1.13 支持远程摄像机控制，可进行左右转动、拉近/远、调焦、光圈等进行全方位的控制和预置位设置。</w:t>
      </w:r>
    </w:p>
    <w:p>
      <w:pPr>
        <w:rPr>
          <w:color w:val="auto"/>
        </w:rPr>
      </w:pPr>
      <w:r>
        <w:rPr>
          <w:rFonts w:hint="eastAsia"/>
          <w:color w:val="auto"/>
        </w:rPr>
        <w:t>6.可视化指挥调度系统</w:t>
      </w:r>
    </w:p>
    <w:p>
      <w:pPr>
        <w:rPr>
          <w:color w:val="auto"/>
        </w:rPr>
      </w:pPr>
      <w:r>
        <w:rPr>
          <w:rFonts w:hint="eastAsia"/>
          <w:color w:val="auto"/>
        </w:rPr>
        <w:t>6.1音视频综合一体机1台</w:t>
      </w:r>
    </w:p>
    <w:p>
      <w:pPr>
        <w:rPr>
          <w:color w:val="auto"/>
        </w:rPr>
      </w:pPr>
      <w:r>
        <w:rPr>
          <w:rFonts w:hint="eastAsia"/>
          <w:color w:val="auto"/>
        </w:rPr>
        <w:t>6.1.1 音视频综合一体机具备音频处理器、视频矩阵、录播编解码、视频会议终端、多方互动MCU、可编程中控等功能，应符合指挥车标准化装机需求，采用纯嵌入式架构；</w:t>
      </w:r>
    </w:p>
    <w:p>
      <w:pPr>
        <w:rPr>
          <w:color w:val="auto"/>
        </w:rPr>
      </w:pPr>
      <w:r>
        <w:rPr>
          <w:rFonts w:hint="eastAsia"/>
          <w:color w:val="auto"/>
        </w:rPr>
        <w:t>6.1.2 主机支持标准机柜安装，设备高度不高于4U。采用电信级拔插式结构设计，输入输出板卡采用可自由配置方式，支持带电插拔升级维护。前面板支持不低于7英寸液晶触摸显示屏，可以视频预览和触控操作菜单；</w:t>
      </w:r>
    </w:p>
    <w:p>
      <w:pPr>
        <w:rPr>
          <w:color w:val="auto"/>
        </w:rPr>
      </w:pPr>
      <w:r>
        <w:rPr>
          <w:rFonts w:hint="eastAsia"/>
          <w:color w:val="auto"/>
        </w:rPr>
        <w:t>6.1.3 视频接口卡需满足：输入槽位≥4个,输出槽位≥4个，单卡不低于4路接口，主机满载不低于16路输入、16路输出，视频输入板卡支持hdmi/DVI/VGA/SDI/CVBS/YPbPr/HDBaseT/光纤等各类信号接口卡，hdmi接口支持数字音频同步输入输出。</w:t>
      </w:r>
    </w:p>
    <w:p>
      <w:pPr>
        <w:rPr>
          <w:color w:val="auto"/>
        </w:rPr>
      </w:pPr>
      <w:r>
        <w:rPr>
          <w:rFonts w:hint="eastAsia"/>
          <w:color w:val="auto"/>
        </w:rPr>
        <w:t>6.1.4 音频接口卡需满足：麦克风输入（需带48V幻象供电）≥12路；立体声线路输入≥6路；远程解码音频输入≥4路；平衡音频输出≥8路。</w:t>
      </w:r>
    </w:p>
    <w:p>
      <w:pPr>
        <w:rPr>
          <w:color w:val="auto"/>
        </w:rPr>
      </w:pPr>
      <w:r>
        <w:rPr>
          <w:rFonts w:hint="eastAsia"/>
          <w:color w:val="auto"/>
        </w:rPr>
        <w:t>6.1.5 支持内置16*16Dante模块，数字音频输入输出≥16路。</w:t>
      </w:r>
    </w:p>
    <w:p>
      <w:pPr>
        <w:rPr>
          <w:color w:val="auto"/>
        </w:rPr>
      </w:pPr>
      <w:r>
        <w:rPr>
          <w:rFonts w:hint="eastAsia"/>
          <w:color w:val="auto"/>
        </w:rPr>
        <w:t>6.1.6 控制接口卡满足：RS232串口≥8路、RS485接口≥1路、RS422接口≥1路、红外发射接口≥8路、红外学习接口≥1路、I/O接口≥8路。USB接口≥2路，可USB外置光驱进行音视频实时刻录，键盘鼠标操作GUI管理界面，U盘文件下载。</w:t>
      </w:r>
    </w:p>
    <w:p>
      <w:pPr>
        <w:rPr>
          <w:color w:val="auto"/>
        </w:rPr>
      </w:pPr>
      <w:r>
        <w:rPr>
          <w:rFonts w:hint="eastAsia"/>
          <w:color w:val="auto"/>
        </w:rPr>
        <w:t>6.1.7 支持H.265,H.264视频压缩算法，支持音频G.711A/G.711U/AAC音频压缩算法；编码分辨率、码率、采样率可调。</w:t>
      </w:r>
    </w:p>
    <w:p>
      <w:pPr>
        <w:rPr>
          <w:color w:val="auto"/>
        </w:rPr>
      </w:pPr>
      <w:r>
        <w:rPr>
          <w:rFonts w:hint="eastAsia"/>
          <w:color w:val="auto"/>
        </w:rPr>
        <w:t>6.1.8 音视频编码≥8路，每路支持双流；音视频解码≥4路。</w:t>
      </w:r>
    </w:p>
    <w:p>
      <w:pPr>
        <w:rPr>
          <w:color w:val="auto"/>
        </w:rPr>
      </w:pPr>
      <w:r>
        <w:rPr>
          <w:rFonts w:hint="eastAsia"/>
          <w:color w:val="auto"/>
        </w:rPr>
        <w:t>6.1.9 主机具备音频处理功能，应支持回声消除AEC，反馈抑制AFC，环境噪声抑制ANS，均衡调节等功能；麦克风变声保护等音效处理功能。</w:t>
      </w:r>
    </w:p>
    <w:p>
      <w:pPr>
        <w:rPr>
          <w:color w:val="auto"/>
        </w:rPr>
      </w:pPr>
      <w:r>
        <w:rPr>
          <w:rFonts w:hint="eastAsia"/>
          <w:color w:val="auto"/>
        </w:rPr>
        <w:t>6.1.10 主机支持语音激励功能，支持设置MIC语音激励调取摄像机画面、导播特写。语音激励关系支持保存为预案场景。</w:t>
      </w:r>
    </w:p>
    <w:p>
      <w:pPr>
        <w:rPr>
          <w:color w:val="auto"/>
        </w:rPr>
      </w:pPr>
      <w:r>
        <w:rPr>
          <w:rFonts w:hint="eastAsia"/>
          <w:color w:val="auto"/>
        </w:rPr>
        <w:t>6.1.11 支持H.323/SIP协议，实现设备与设备、设备与手机、设备与市场主流视频会议终端和MCU之间一键交互。</w:t>
      </w:r>
    </w:p>
    <w:p>
      <w:pPr>
        <w:rPr>
          <w:color w:val="auto"/>
        </w:rPr>
      </w:pPr>
      <w:r>
        <w:rPr>
          <w:rFonts w:hint="eastAsia"/>
          <w:color w:val="auto"/>
        </w:rPr>
        <w:t>6.1.12 主机具备录播功能，内置不低于2T容量硬盘，可扩展至8T；音视频码流实时存储≥8路。</w:t>
      </w:r>
    </w:p>
    <w:p>
      <w:pPr>
        <w:rPr>
          <w:color w:val="auto"/>
        </w:rPr>
      </w:pPr>
      <w:r>
        <w:rPr>
          <w:rFonts w:hint="eastAsia"/>
          <w:color w:val="auto"/>
        </w:rPr>
        <w:t>6.1.13 满足不低于2路画面合成；合成模式≥20种，支持2/4/6/8等分屏模式；不低于12种切换特效,擦除/收缩/淡入淡出等；合成分辨率≥4K，且可设置。</w:t>
      </w:r>
    </w:p>
    <w:p>
      <w:pPr>
        <w:rPr>
          <w:color w:val="auto"/>
        </w:rPr>
      </w:pPr>
      <w:r>
        <w:rPr>
          <w:rFonts w:hint="eastAsia"/>
          <w:color w:val="auto"/>
        </w:rPr>
        <w:t>6.1.14 主机支持字幕叠加、台标叠加，支持图像画面移动检测实现自动视频切换。</w:t>
      </w:r>
    </w:p>
    <w:p>
      <w:pPr>
        <w:rPr>
          <w:color w:val="auto"/>
        </w:rPr>
      </w:pPr>
      <w:r>
        <w:rPr>
          <w:rFonts w:hint="eastAsia"/>
          <w:color w:val="auto"/>
        </w:rPr>
        <w:t>6.1.15 产品支持FTP手动/定时/结束自动上传模式；支持手动/定时预约/开机录制；支持网络直播/点播/文件查看、下载、删除等管理；支持多任务分时分录；支持硬盘文件本地视频输出端口直接回放。</w:t>
      </w:r>
    </w:p>
    <w:p>
      <w:pPr>
        <w:rPr>
          <w:color w:val="auto"/>
        </w:rPr>
      </w:pPr>
      <w:r>
        <w:rPr>
          <w:rFonts w:hint="eastAsia"/>
          <w:color w:val="auto"/>
        </w:rPr>
        <w:t>6.1.16 需支持设置和载入会议云台摄像机，不低于7个预置位；支持摄像机云台上、下、左、右方向旋转，支持归位操作；支持对摄像头的焦距进行调节、推近、拉远。</w:t>
      </w:r>
    </w:p>
    <w:p>
      <w:pPr>
        <w:rPr>
          <w:color w:val="auto"/>
        </w:rPr>
      </w:pPr>
      <w:r>
        <w:rPr>
          <w:rFonts w:hint="eastAsia"/>
          <w:color w:val="auto"/>
        </w:rPr>
        <w:t>6.1.17 主机需具备中控接口，支持红外学习、串口和网络数据传输。客户端软件支持自定义中控按钮编程，如灯光、大屏、环境控制等，支持导入可编程中控界面。</w:t>
      </w:r>
    </w:p>
    <w:p>
      <w:pPr>
        <w:rPr>
          <w:color w:val="auto"/>
        </w:rPr>
      </w:pPr>
      <w:r>
        <w:rPr>
          <w:rFonts w:hint="eastAsia"/>
          <w:color w:val="auto"/>
        </w:rPr>
        <w:t>6.1.18 需支持TCP/UDP/RTSP/RTP/RTMP/ONVIF/H.323/SIP/HTTP等协议。</w:t>
      </w:r>
    </w:p>
    <w:p>
      <w:pPr>
        <w:rPr>
          <w:color w:val="auto"/>
        </w:rPr>
      </w:pPr>
      <w:r>
        <w:rPr>
          <w:rFonts w:hint="eastAsia"/>
          <w:color w:val="auto"/>
        </w:rPr>
        <w:t>6.1.19 主机支持B/S、GUI可视化集控操作界面，具备场景一键调用、视频可视化预览及拖拽切换。并支持C/S客户端APP，实现安卓、Windwos以及国产化中标麒麟等系统客户端可视化管理。</w:t>
      </w:r>
    </w:p>
    <w:p>
      <w:pPr>
        <w:rPr>
          <w:color w:val="auto"/>
        </w:rPr>
      </w:pPr>
      <w:r>
        <w:rPr>
          <w:rFonts w:hint="eastAsia"/>
          <w:color w:val="auto"/>
        </w:rPr>
        <w:t>6.1.20 C/S可视化集控端,应具备可编程自定义功能，根据不同应用场景实现自定义界面。</w:t>
      </w:r>
    </w:p>
    <w:p>
      <w:pPr>
        <w:rPr>
          <w:color w:val="auto"/>
        </w:rPr>
      </w:pPr>
      <w:r>
        <w:rPr>
          <w:rFonts w:hint="eastAsia"/>
          <w:color w:val="auto"/>
        </w:rPr>
        <w:t>6.1.21 要求主机设备平均无故障运行时间MTBF≥100000小时。</w:t>
      </w:r>
    </w:p>
    <w:p>
      <w:pPr>
        <w:rPr>
          <w:color w:val="auto"/>
        </w:rPr>
      </w:pPr>
      <w:r>
        <w:rPr>
          <w:rFonts w:hint="eastAsia"/>
          <w:color w:val="auto"/>
        </w:rPr>
        <w:t>6.2音视频融合调度指挥系统1套</w:t>
      </w:r>
    </w:p>
    <w:p>
      <w:pPr>
        <w:rPr>
          <w:color w:val="auto"/>
        </w:rPr>
      </w:pPr>
      <w:r>
        <w:rPr>
          <w:rFonts w:hint="eastAsia"/>
          <w:color w:val="auto"/>
        </w:rPr>
        <w:t>6.2.1 平台需具备视频监视、视频切换、云台控制、可编程中控、音频调节、直播、录播控制、互动拨号呼叫、系统管理等功能。</w:t>
      </w:r>
    </w:p>
    <w:p>
      <w:pPr>
        <w:rPr>
          <w:color w:val="auto"/>
        </w:rPr>
      </w:pPr>
      <w:r>
        <w:rPr>
          <w:rFonts w:hint="eastAsia"/>
          <w:color w:val="auto"/>
        </w:rPr>
        <w:t>6.2.2 平台需支持 B/S、C/S、GUI 等管理及控制方式。支持安卓、windows系统。</w:t>
      </w:r>
    </w:p>
    <w:p>
      <w:pPr>
        <w:rPr>
          <w:color w:val="auto"/>
        </w:rPr>
      </w:pPr>
      <w:r>
        <w:rPr>
          <w:rFonts w:hint="eastAsia"/>
          <w:color w:val="auto"/>
        </w:rPr>
        <w:t>6.2.3 系统应能实时显示录播画面、显示会议信息、录制时间和硬盘容量、剩余硬盘空间、网络连接状态等实时信息。</w:t>
      </w:r>
    </w:p>
    <w:p>
      <w:pPr>
        <w:rPr>
          <w:color w:val="auto"/>
        </w:rPr>
      </w:pPr>
      <w:r>
        <w:rPr>
          <w:rFonts w:hint="eastAsia"/>
          <w:color w:val="auto"/>
        </w:rPr>
        <w:t>6.2.4 应支持第三方流媒体平台直播推流，同时支持互联网二维码一键直播应用，实现互联网直播。（需提供互联网直播界面截图证明）</w:t>
      </w:r>
    </w:p>
    <w:p>
      <w:pPr>
        <w:rPr>
          <w:color w:val="auto"/>
        </w:rPr>
      </w:pPr>
      <w:r>
        <w:rPr>
          <w:rFonts w:hint="eastAsia"/>
          <w:color w:val="auto"/>
        </w:rPr>
        <w:t>6.2.5 应支持≥ 7 路高清视频的实时预览显示，支持视频通道拖拽式切换；支持输出视频通道预览放大。</w:t>
      </w:r>
    </w:p>
    <w:p>
      <w:pPr>
        <w:rPr>
          <w:color w:val="auto"/>
        </w:rPr>
      </w:pPr>
      <w:r>
        <w:rPr>
          <w:rFonts w:hint="eastAsia"/>
          <w:color w:val="auto"/>
        </w:rPr>
        <w:t>6.2.6 平台需支持输入输出音频控制，以音柱实时显示音频大小，采用推拉式音量调节；</w:t>
      </w:r>
    </w:p>
    <w:p>
      <w:pPr>
        <w:rPr>
          <w:color w:val="auto"/>
        </w:rPr>
      </w:pPr>
      <w:r>
        <w:rPr>
          <w:rFonts w:hint="eastAsia"/>
          <w:color w:val="auto"/>
        </w:rPr>
        <w:t>6.2.7 中控界面可编程页面在线编辑，支持图片，文字，按键等编程应用，实现中控的集中控制管理。</w:t>
      </w:r>
    </w:p>
    <w:p>
      <w:pPr>
        <w:rPr>
          <w:color w:val="auto"/>
        </w:rPr>
      </w:pPr>
      <w:r>
        <w:rPr>
          <w:rFonts w:hint="eastAsia"/>
          <w:color w:val="auto"/>
        </w:rPr>
        <w:t>6.2.8 需支持本地画面，远程交互画面合成布局，具备≥23 种合成布局模式。</w:t>
      </w:r>
    </w:p>
    <w:p>
      <w:pPr>
        <w:rPr>
          <w:color w:val="auto"/>
        </w:rPr>
      </w:pPr>
      <w:r>
        <w:rPr>
          <w:rFonts w:hint="eastAsia"/>
          <w:color w:val="auto"/>
        </w:rPr>
        <w:t>6.2.9 平台需具备录制、暂停、停止、录制通道选择、直播推送控制功能。</w:t>
      </w:r>
    </w:p>
    <w:p>
      <w:pPr>
        <w:rPr>
          <w:color w:val="auto"/>
        </w:rPr>
      </w:pPr>
      <w:r>
        <w:rPr>
          <w:rFonts w:hint="eastAsia"/>
          <w:color w:val="auto"/>
        </w:rPr>
        <w:t>6.2.10 需支持视频文件在线点播 VOD，需支持录像文件下载、FTP 上传管理。</w:t>
      </w:r>
    </w:p>
    <w:p>
      <w:pPr>
        <w:rPr>
          <w:color w:val="auto"/>
        </w:rPr>
      </w:pPr>
      <w:r>
        <w:rPr>
          <w:rFonts w:hint="eastAsia"/>
          <w:color w:val="auto"/>
        </w:rPr>
        <w:t>6.2.11 需支持值班模式、工作模式、演习模式、休息模式等场景保存，一键调取场景预案。</w:t>
      </w:r>
    </w:p>
    <w:p>
      <w:pPr>
        <w:rPr>
          <w:color w:val="auto"/>
        </w:rPr>
      </w:pPr>
      <w:r>
        <w:rPr>
          <w:rFonts w:hint="eastAsia"/>
          <w:color w:val="auto"/>
        </w:rPr>
        <w:t>6.3 移动式控制终端1台</w:t>
      </w:r>
    </w:p>
    <w:p>
      <w:pPr>
        <w:rPr>
          <w:color w:val="auto"/>
        </w:rPr>
      </w:pPr>
      <w:r>
        <w:rPr>
          <w:rFonts w:hint="eastAsia"/>
          <w:color w:val="auto"/>
        </w:rPr>
        <w:t>6.3.1屏幕尺寸≥11英寸OLED屏，分辨率≥2.5K（2560*1600），刷新率≥120Hz，亮度≥600nit，RAM+ROM≥8+256GB，支持WIFI，电池容量不低于8200mAh。</w:t>
      </w:r>
    </w:p>
    <w:p>
      <w:pPr>
        <w:rPr>
          <w:color w:val="auto"/>
        </w:rPr>
      </w:pPr>
      <w:r>
        <w:rPr>
          <w:rFonts w:hint="eastAsia"/>
          <w:color w:val="auto"/>
        </w:rPr>
        <w:t>7.音视频系统</w:t>
      </w:r>
    </w:p>
    <w:p>
      <w:pPr>
        <w:rPr>
          <w:color w:val="auto"/>
        </w:rPr>
      </w:pPr>
      <w:r>
        <w:rPr>
          <w:rFonts w:hint="eastAsia"/>
          <w:color w:val="auto"/>
        </w:rPr>
        <w:t>7.1.1 车内高清摄像机2台</w:t>
      </w:r>
    </w:p>
    <w:p>
      <w:pPr>
        <w:rPr>
          <w:color w:val="auto"/>
        </w:rPr>
      </w:pPr>
      <w:r>
        <w:rPr>
          <w:rFonts w:hint="eastAsia"/>
          <w:color w:val="auto"/>
        </w:rPr>
        <w:t>7.1.2 成像器件:1/2.8" CMOS 2.13MP；</w:t>
      </w:r>
    </w:p>
    <w:p>
      <w:pPr>
        <w:rPr>
          <w:color w:val="auto"/>
        </w:rPr>
      </w:pPr>
      <w:r>
        <w:rPr>
          <w:rFonts w:hint="eastAsia"/>
          <w:color w:val="auto"/>
        </w:rPr>
        <w:t>7.1.3 光学变焦：≥30X；</w:t>
      </w:r>
    </w:p>
    <w:p>
      <w:pPr>
        <w:rPr>
          <w:color w:val="auto"/>
        </w:rPr>
      </w:pPr>
      <w:r>
        <w:rPr>
          <w:rFonts w:hint="eastAsia"/>
          <w:color w:val="auto"/>
        </w:rPr>
        <w:t>7.1.4 数字变倍：≥12X；</w:t>
      </w:r>
    </w:p>
    <w:p>
      <w:pPr>
        <w:rPr>
          <w:color w:val="auto"/>
        </w:rPr>
      </w:pPr>
      <w:r>
        <w:rPr>
          <w:rFonts w:hint="eastAsia"/>
          <w:color w:val="auto"/>
        </w:rPr>
        <w:t>7.1.5 水平角度：水平±175°；</w:t>
      </w:r>
    </w:p>
    <w:p>
      <w:pPr>
        <w:rPr>
          <w:color w:val="auto"/>
        </w:rPr>
      </w:pPr>
      <w:r>
        <w:rPr>
          <w:rFonts w:hint="eastAsia"/>
          <w:color w:val="auto"/>
        </w:rPr>
        <w:t>7.1.6 垂直角度：垂直+90°～-30°；</w:t>
      </w:r>
    </w:p>
    <w:p>
      <w:pPr>
        <w:rPr>
          <w:color w:val="auto"/>
        </w:rPr>
      </w:pPr>
      <w:r>
        <w:rPr>
          <w:rFonts w:hint="eastAsia"/>
          <w:color w:val="auto"/>
        </w:rPr>
        <w:t>7.1.7 预置位:≥128个（调用速度：150°/S）；</w:t>
      </w:r>
    </w:p>
    <w:p>
      <w:pPr>
        <w:rPr>
          <w:color w:val="auto"/>
        </w:rPr>
      </w:pPr>
      <w:r>
        <w:rPr>
          <w:rFonts w:hint="eastAsia"/>
          <w:color w:val="auto"/>
        </w:rPr>
        <w:t>7.1.8 镜头:4.3～129mm；</w:t>
      </w:r>
    </w:p>
    <w:p>
      <w:pPr>
        <w:rPr>
          <w:color w:val="auto"/>
        </w:rPr>
      </w:pPr>
      <w:r>
        <w:rPr>
          <w:rFonts w:hint="eastAsia"/>
          <w:color w:val="auto"/>
        </w:rPr>
        <w:t>7.1.9 视场角:63.7°(W)～2.3°(T)；</w:t>
      </w:r>
    </w:p>
    <w:p>
      <w:pPr>
        <w:rPr>
          <w:color w:val="auto"/>
        </w:rPr>
      </w:pPr>
      <w:r>
        <w:rPr>
          <w:rFonts w:hint="eastAsia"/>
          <w:color w:val="auto"/>
        </w:rPr>
        <w:t>7.1.10 光圈:F1.6（W)～F4.7（T)；</w:t>
      </w:r>
    </w:p>
    <w:p>
      <w:pPr>
        <w:rPr>
          <w:color w:val="auto"/>
        </w:rPr>
      </w:pPr>
      <w:r>
        <w:rPr>
          <w:rFonts w:hint="eastAsia"/>
          <w:color w:val="auto"/>
        </w:rPr>
        <w:t>7.1.12 视频输出（HDMI）:1080P 60/59.94/50/30/29.97/25，1080i 60/59.94/50，720P 60/59.94/50/30/25；</w:t>
      </w:r>
    </w:p>
    <w:p>
      <w:pPr>
        <w:rPr>
          <w:color w:val="auto"/>
        </w:rPr>
      </w:pPr>
      <w:r>
        <w:rPr>
          <w:rFonts w:hint="eastAsia"/>
          <w:color w:val="auto"/>
        </w:rPr>
        <w:t>7.1.13 输出接口:3G-SDI、HDMI；</w:t>
      </w:r>
    </w:p>
    <w:p>
      <w:pPr>
        <w:rPr>
          <w:color w:val="auto"/>
        </w:rPr>
      </w:pPr>
      <w:r>
        <w:rPr>
          <w:rFonts w:hint="eastAsia"/>
          <w:color w:val="auto"/>
        </w:rPr>
        <w:t>7.1.14 控制方式 :RS232、RS422/485，红外遥控；</w:t>
      </w:r>
    </w:p>
    <w:p>
      <w:pPr>
        <w:rPr>
          <w:color w:val="auto"/>
        </w:rPr>
      </w:pPr>
      <w:r>
        <w:rPr>
          <w:rFonts w:hint="eastAsia"/>
          <w:color w:val="auto"/>
        </w:rPr>
        <w:t>7.1.15 控制协议 :VISCA、PELCO P/D。</w:t>
      </w:r>
    </w:p>
    <w:p>
      <w:pPr>
        <w:rPr>
          <w:color w:val="auto"/>
        </w:rPr>
      </w:pPr>
      <w:r>
        <w:rPr>
          <w:rFonts w:hint="eastAsia"/>
          <w:color w:val="auto"/>
        </w:rPr>
        <w:t>7.2 车顶高清T型云台摄像机/车头1套</w:t>
      </w:r>
    </w:p>
    <w:p>
      <w:pPr>
        <w:rPr>
          <w:color w:val="auto"/>
        </w:rPr>
      </w:pPr>
      <w:r>
        <w:rPr>
          <w:rFonts w:hint="eastAsia"/>
          <w:color w:val="auto"/>
        </w:rPr>
        <w:t>7.2.1 高清红外车载云台摄像机，360度无限位旋转、仰视180度无盲点；</w:t>
      </w:r>
    </w:p>
    <w:p>
      <w:pPr>
        <w:rPr>
          <w:color w:val="auto"/>
        </w:rPr>
      </w:pPr>
      <w:r>
        <w:rPr>
          <w:rFonts w:hint="eastAsia"/>
          <w:color w:val="auto"/>
        </w:rPr>
        <w:t>7.2.2 激光夜视距离300米、白天距离500米，最快速度120°/s；</w:t>
      </w:r>
    </w:p>
    <w:p>
      <w:pPr>
        <w:rPr>
          <w:color w:val="auto"/>
        </w:rPr>
      </w:pPr>
      <w:r>
        <w:rPr>
          <w:rFonts w:hint="eastAsia"/>
          <w:color w:val="auto"/>
        </w:rPr>
        <w:t>7.2.3 超强抗震特性，双层遮阳设计，带雨刷功能；</w:t>
      </w:r>
    </w:p>
    <w:p>
      <w:pPr>
        <w:rPr>
          <w:color w:val="auto"/>
        </w:rPr>
      </w:pPr>
      <w:r>
        <w:rPr>
          <w:rFonts w:hint="eastAsia"/>
          <w:color w:val="auto"/>
        </w:rPr>
        <w:t>7.2.4 ≥128个预置位；</w:t>
      </w:r>
    </w:p>
    <w:p>
      <w:pPr>
        <w:rPr>
          <w:color w:val="auto"/>
        </w:rPr>
      </w:pPr>
      <w:r>
        <w:rPr>
          <w:rFonts w:hint="eastAsia"/>
          <w:color w:val="auto"/>
        </w:rPr>
        <w:t>7.2.5 1/2.8 英寸CMOS；</w:t>
      </w:r>
    </w:p>
    <w:p>
      <w:pPr>
        <w:rPr>
          <w:color w:val="auto"/>
        </w:rPr>
      </w:pPr>
      <w:r>
        <w:rPr>
          <w:rFonts w:hint="eastAsia"/>
          <w:color w:val="auto"/>
        </w:rPr>
        <w:t>7.2.6 内置4.7～124mm30倍光学变倍一体化摄象机；</w:t>
      </w:r>
    </w:p>
    <w:p>
      <w:pPr>
        <w:rPr>
          <w:color w:val="auto"/>
        </w:rPr>
      </w:pPr>
      <w:r>
        <w:rPr>
          <w:rFonts w:hint="eastAsia"/>
          <w:color w:val="auto"/>
        </w:rPr>
        <w:t>7.2.7 210万像素，强光抑制功能，彩色黑白自动转换，自动移动红外滤光片，1080P全实时高清；</w:t>
      </w:r>
    </w:p>
    <w:p>
      <w:pPr>
        <w:rPr>
          <w:color w:val="auto"/>
        </w:rPr>
      </w:pPr>
      <w:r>
        <w:rPr>
          <w:rFonts w:hint="eastAsia"/>
          <w:color w:val="auto"/>
        </w:rPr>
        <w:t>7.2.8 具有HDMI或SDI视频输出,具有网络视频输出。</w:t>
      </w:r>
    </w:p>
    <w:p>
      <w:pPr>
        <w:rPr>
          <w:color w:val="auto"/>
        </w:rPr>
      </w:pPr>
      <w:r>
        <w:rPr>
          <w:rFonts w:hint="eastAsia"/>
          <w:color w:val="auto"/>
        </w:rPr>
        <w:t>7.3 升降杆高倍红外枪机1套</w:t>
      </w:r>
    </w:p>
    <w:p>
      <w:pPr>
        <w:rPr>
          <w:color w:val="auto"/>
        </w:rPr>
      </w:pPr>
      <w:r>
        <w:rPr>
          <w:rFonts w:hint="eastAsia"/>
          <w:color w:val="auto"/>
        </w:rPr>
        <w:t>7.3.1 成像器件：1/2.8 CMOS传感器，不低于 200 万像素(16:9)；</w:t>
      </w:r>
    </w:p>
    <w:p>
      <w:pPr>
        <w:rPr>
          <w:color w:val="auto"/>
        </w:rPr>
      </w:pPr>
      <w:r>
        <w:rPr>
          <w:rFonts w:hint="eastAsia"/>
          <w:color w:val="auto"/>
        </w:rPr>
        <w:t>7.3.2 镜头：≥30倍光学变焦，10倍数字变焦；</w:t>
      </w:r>
    </w:p>
    <w:p>
      <w:pPr>
        <w:rPr>
          <w:color w:val="auto"/>
        </w:rPr>
      </w:pPr>
      <w:r>
        <w:rPr>
          <w:rFonts w:hint="eastAsia"/>
          <w:color w:val="auto"/>
        </w:rPr>
        <w:t>7.3.3 视频输出：SDI、LAN、A-IN、RS485；</w:t>
      </w:r>
    </w:p>
    <w:p>
      <w:pPr>
        <w:rPr>
          <w:color w:val="auto"/>
        </w:rPr>
      </w:pPr>
      <w:r>
        <w:rPr>
          <w:rFonts w:hint="eastAsia"/>
          <w:color w:val="auto"/>
        </w:rPr>
        <w:t>7.3.4 控制协议：VISCA/Pelco-D/Pelco-P；</w:t>
      </w:r>
    </w:p>
    <w:p>
      <w:pPr>
        <w:rPr>
          <w:color w:val="auto"/>
        </w:rPr>
      </w:pPr>
      <w:r>
        <w:rPr>
          <w:rFonts w:hint="eastAsia"/>
          <w:color w:val="auto"/>
        </w:rPr>
        <w:t>7.3.5 全主体：铝合金；</w:t>
      </w:r>
    </w:p>
    <w:p>
      <w:pPr>
        <w:rPr>
          <w:color w:val="auto"/>
        </w:rPr>
      </w:pPr>
      <w:r>
        <w:rPr>
          <w:rFonts w:hint="eastAsia"/>
          <w:color w:val="auto"/>
        </w:rPr>
        <w:t>7.3.6 视窗：透明玻璃，可选光学玻璃；</w:t>
      </w:r>
    </w:p>
    <w:p>
      <w:pPr>
        <w:rPr>
          <w:color w:val="auto"/>
        </w:rPr>
      </w:pPr>
      <w:r>
        <w:rPr>
          <w:rFonts w:hint="eastAsia"/>
          <w:color w:val="auto"/>
        </w:rPr>
        <w:t>7.3.7 锁扣：不锈钢；</w:t>
      </w:r>
    </w:p>
    <w:p>
      <w:pPr>
        <w:rPr>
          <w:color w:val="auto"/>
        </w:rPr>
      </w:pPr>
      <w:r>
        <w:rPr>
          <w:rFonts w:hint="eastAsia"/>
          <w:color w:val="auto"/>
        </w:rPr>
        <w:t>7.3.8 配置加热器、风扇、遮阳罩、光学玻璃、雨刷器 ；</w:t>
      </w:r>
    </w:p>
    <w:p>
      <w:pPr>
        <w:rPr>
          <w:color w:val="auto"/>
        </w:rPr>
      </w:pPr>
      <w:r>
        <w:rPr>
          <w:rFonts w:hint="eastAsia"/>
          <w:color w:val="auto"/>
        </w:rPr>
        <w:t>7.3.9 防护等级：符合IP66标准。</w:t>
      </w:r>
    </w:p>
    <w:p>
      <w:pPr>
        <w:rPr>
          <w:color w:val="auto"/>
        </w:rPr>
      </w:pPr>
      <w:r>
        <w:rPr>
          <w:rFonts w:hint="eastAsia"/>
          <w:color w:val="auto"/>
        </w:rPr>
        <w:t>7.4 遥控键盘1套</w:t>
      </w:r>
    </w:p>
    <w:p>
      <w:pPr>
        <w:rPr>
          <w:color w:val="auto"/>
        </w:rPr>
      </w:pPr>
      <w:r>
        <w:rPr>
          <w:rFonts w:hint="eastAsia"/>
          <w:color w:val="auto"/>
        </w:rPr>
        <w:t>7.4.1 带显示屏网络高清控制键盘；</w:t>
      </w:r>
    </w:p>
    <w:p>
      <w:pPr>
        <w:rPr>
          <w:color w:val="auto"/>
        </w:rPr>
      </w:pPr>
      <w:r>
        <w:rPr>
          <w:rFonts w:hint="eastAsia"/>
          <w:color w:val="auto"/>
        </w:rPr>
        <w:t>7.4.2 提供1个网络高清视频输入接口；</w:t>
      </w:r>
    </w:p>
    <w:p>
      <w:pPr>
        <w:rPr>
          <w:color w:val="auto"/>
        </w:rPr>
      </w:pPr>
      <w:r>
        <w:rPr>
          <w:rFonts w:hint="eastAsia"/>
          <w:color w:val="auto"/>
        </w:rPr>
        <w:t>7.4.3 支持多路网络高清摄像机接入；</w:t>
      </w:r>
    </w:p>
    <w:p>
      <w:pPr>
        <w:rPr>
          <w:color w:val="auto"/>
        </w:rPr>
      </w:pPr>
      <w:r>
        <w:rPr>
          <w:rFonts w:hint="eastAsia"/>
          <w:color w:val="auto"/>
        </w:rPr>
        <w:t>7.4.4 单画面全屏显示；</w:t>
      </w:r>
    </w:p>
    <w:p>
      <w:pPr>
        <w:rPr>
          <w:color w:val="auto"/>
        </w:rPr>
      </w:pPr>
      <w:r>
        <w:rPr>
          <w:rFonts w:hint="eastAsia"/>
          <w:color w:val="auto"/>
        </w:rPr>
        <w:t>7.4.5 支持多个摄像机图像切换；</w:t>
      </w:r>
    </w:p>
    <w:p>
      <w:pPr>
        <w:rPr>
          <w:color w:val="auto"/>
        </w:rPr>
      </w:pPr>
      <w:r>
        <w:rPr>
          <w:rFonts w:hint="eastAsia"/>
          <w:color w:val="auto"/>
        </w:rPr>
        <w:t>7.4.6  5.0"LED高清液晶显示屏，支持ONVIF2.4，与网络摄像机无缝连接；</w:t>
      </w:r>
    </w:p>
    <w:p>
      <w:pPr>
        <w:rPr>
          <w:color w:val="auto"/>
        </w:rPr>
      </w:pPr>
      <w:r>
        <w:rPr>
          <w:rFonts w:hint="eastAsia"/>
          <w:color w:val="auto"/>
        </w:rPr>
        <w:t>7.4.7 支持1路HDMI接口输出，可通过HDMI接入高清大屏，实现键盘与大屏画面的同步切换；</w:t>
      </w:r>
    </w:p>
    <w:p>
      <w:pPr>
        <w:rPr>
          <w:color w:val="auto"/>
        </w:rPr>
      </w:pPr>
      <w:r>
        <w:rPr>
          <w:rFonts w:hint="eastAsia"/>
          <w:color w:val="auto"/>
        </w:rPr>
        <w:t>7.4.8  DC12V供电。</w:t>
      </w:r>
    </w:p>
    <w:p>
      <w:pPr>
        <w:rPr>
          <w:color w:val="auto"/>
        </w:rPr>
      </w:pPr>
      <w:r>
        <w:rPr>
          <w:rFonts w:hint="eastAsia"/>
          <w:color w:val="auto"/>
        </w:rPr>
        <w:t>7.5 主显示屏1台。</w:t>
      </w:r>
    </w:p>
    <w:p>
      <w:pPr>
        <w:rPr>
          <w:color w:val="auto"/>
        </w:rPr>
      </w:pPr>
      <w:r>
        <w:rPr>
          <w:rFonts w:hint="eastAsia"/>
          <w:color w:val="auto"/>
        </w:rPr>
        <w:t>7.5.1 屏幕尺寸（英寸）：≥75"；</w:t>
      </w:r>
    </w:p>
    <w:p>
      <w:pPr>
        <w:rPr>
          <w:color w:val="auto"/>
        </w:rPr>
      </w:pPr>
      <w:r>
        <w:rPr>
          <w:rFonts w:hint="eastAsia"/>
          <w:color w:val="auto"/>
        </w:rPr>
        <w:t>7.5.2 背光类型：D-LED；</w:t>
      </w:r>
    </w:p>
    <w:p>
      <w:pPr>
        <w:rPr>
          <w:color w:val="auto"/>
        </w:rPr>
      </w:pPr>
      <w:r>
        <w:rPr>
          <w:rFonts w:hint="eastAsia"/>
          <w:color w:val="auto"/>
        </w:rPr>
        <w:t>7.5.3 显示比例：16：9；</w:t>
      </w:r>
    </w:p>
    <w:p>
      <w:pPr>
        <w:rPr>
          <w:color w:val="auto"/>
        </w:rPr>
      </w:pPr>
      <w:r>
        <w:rPr>
          <w:rFonts w:hint="eastAsia"/>
          <w:color w:val="auto"/>
        </w:rPr>
        <w:t>7.5.4 分辨率：≥3840*2160（真4K）；</w:t>
      </w:r>
    </w:p>
    <w:p>
      <w:pPr>
        <w:rPr>
          <w:color w:val="auto"/>
        </w:rPr>
      </w:pPr>
      <w:r>
        <w:rPr>
          <w:rFonts w:hint="eastAsia"/>
          <w:color w:val="auto"/>
        </w:rPr>
        <w:t>7.5.5 对比度：≥1200：1；</w:t>
      </w:r>
    </w:p>
    <w:p>
      <w:pPr>
        <w:rPr>
          <w:color w:val="auto"/>
        </w:rPr>
      </w:pPr>
      <w:r>
        <w:rPr>
          <w:rFonts w:hint="eastAsia"/>
          <w:color w:val="auto"/>
        </w:rPr>
        <w:t>7.5.6 UI界面：4KUI，高清晰度；</w:t>
      </w:r>
    </w:p>
    <w:p>
      <w:pPr>
        <w:rPr>
          <w:color w:val="auto"/>
        </w:rPr>
      </w:pPr>
      <w:r>
        <w:rPr>
          <w:rFonts w:hint="eastAsia"/>
          <w:color w:val="auto"/>
        </w:rPr>
        <w:t>7.5.7 运行内存≥8GB；</w:t>
      </w:r>
    </w:p>
    <w:p>
      <w:pPr>
        <w:rPr>
          <w:color w:val="auto"/>
        </w:rPr>
      </w:pPr>
      <w:r>
        <w:rPr>
          <w:rFonts w:hint="eastAsia"/>
          <w:color w:val="auto"/>
        </w:rPr>
        <w:t>7.5.8 书写精度：不低于±1mm；</w:t>
      </w:r>
    </w:p>
    <w:p>
      <w:pPr>
        <w:rPr>
          <w:color w:val="auto"/>
        </w:rPr>
      </w:pPr>
      <w:r>
        <w:rPr>
          <w:rFonts w:hint="eastAsia"/>
          <w:color w:val="auto"/>
        </w:rPr>
        <w:t>7.5.9  CPU核数≥四核，整体性能优于海思V811(双核A73+双核A53)；</w:t>
      </w:r>
    </w:p>
    <w:p>
      <w:pPr>
        <w:rPr>
          <w:color w:val="auto"/>
        </w:rPr>
      </w:pPr>
      <w:r>
        <w:rPr>
          <w:rFonts w:hint="eastAsia"/>
          <w:color w:val="auto"/>
        </w:rPr>
        <w:t>7.5.10 智能书写：支持中英文、11种图形识别；</w:t>
      </w:r>
    </w:p>
    <w:p>
      <w:pPr>
        <w:rPr>
          <w:color w:val="auto"/>
        </w:rPr>
      </w:pPr>
      <w:r>
        <w:rPr>
          <w:rFonts w:hint="eastAsia"/>
          <w:color w:val="auto"/>
        </w:rPr>
        <w:t>7.5.11 功能：支持无线有线投屏、书写、会议。</w:t>
      </w:r>
    </w:p>
    <w:p>
      <w:pPr>
        <w:rPr>
          <w:color w:val="auto"/>
        </w:rPr>
      </w:pPr>
      <w:r>
        <w:rPr>
          <w:rFonts w:hint="eastAsia"/>
          <w:color w:val="auto"/>
        </w:rPr>
        <w:t>7.6高清辅监视器2台</w:t>
      </w:r>
    </w:p>
    <w:p>
      <w:pPr>
        <w:rPr>
          <w:color w:val="auto"/>
        </w:rPr>
      </w:pPr>
      <w:r>
        <w:rPr>
          <w:rFonts w:hint="eastAsia"/>
          <w:color w:val="auto"/>
        </w:rPr>
        <w:t>7.6.1  屏幕尺寸：≥40英寸,厚度≤15mm，可嵌入厢体安装；</w:t>
      </w:r>
    </w:p>
    <w:p>
      <w:pPr>
        <w:rPr>
          <w:color w:val="auto"/>
        </w:rPr>
      </w:pPr>
      <w:r>
        <w:rPr>
          <w:rFonts w:hint="eastAsia"/>
          <w:color w:val="auto"/>
        </w:rPr>
        <w:t>7.6.2 屏幕分辨率：≥4K；</w:t>
      </w:r>
    </w:p>
    <w:p>
      <w:pPr>
        <w:rPr>
          <w:color w:val="auto"/>
        </w:rPr>
      </w:pPr>
      <w:r>
        <w:rPr>
          <w:rFonts w:hint="eastAsia"/>
          <w:color w:val="auto"/>
        </w:rPr>
        <w:t>7.6.3 屏幕比例：16：9；</w:t>
      </w:r>
    </w:p>
    <w:p>
      <w:pPr>
        <w:rPr>
          <w:color w:val="auto"/>
        </w:rPr>
      </w:pPr>
      <w:r>
        <w:rPr>
          <w:rFonts w:hint="eastAsia"/>
          <w:color w:val="auto"/>
        </w:rPr>
        <w:t>7.6.4 刷屏率：60HZ；</w:t>
      </w:r>
    </w:p>
    <w:p>
      <w:pPr>
        <w:rPr>
          <w:color w:val="auto"/>
        </w:rPr>
      </w:pPr>
      <w:r>
        <w:rPr>
          <w:rFonts w:hint="eastAsia"/>
          <w:color w:val="auto"/>
        </w:rPr>
        <w:t>7.6.5 亮度：≥300尼特；</w:t>
      </w:r>
    </w:p>
    <w:p>
      <w:pPr>
        <w:rPr>
          <w:color w:val="auto"/>
        </w:rPr>
      </w:pPr>
      <w:r>
        <w:rPr>
          <w:rFonts w:hint="eastAsia"/>
          <w:color w:val="auto"/>
        </w:rPr>
        <w:t>7.6.6 运行内存≥1GB。</w:t>
      </w:r>
    </w:p>
    <w:p>
      <w:pPr>
        <w:rPr>
          <w:color w:val="auto"/>
        </w:rPr>
      </w:pPr>
      <w:r>
        <w:rPr>
          <w:rFonts w:hint="eastAsia"/>
          <w:color w:val="auto"/>
        </w:rPr>
        <w:t>7.7  机柜监视器3台。</w:t>
      </w:r>
    </w:p>
    <w:p>
      <w:pPr>
        <w:rPr>
          <w:color w:val="auto"/>
        </w:rPr>
      </w:pPr>
      <w:r>
        <w:rPr>
          <w:rFonts w:hint="eastAsia"/>
          <w:color w:val="auto"/>
        </w:rPr>
        <w:t>7.7.1  ≥17英寸；</w:t>
      </w:r>
    </w:p>
    <w:p>
      <w:pPr>
        <w:rPr>
          <w:color w:val="auto"/>
        </w:rPr>
      </w:pPr>
      <w:r>
        <w:rPr>
          <w:rFonts w:hint="eastAsia"/>
          <w:color w:val="auto"/>
        </w:rPr>
        <w:t>7.7.2 显示比例：16:9；</w:t>
      </w:r>
    </w:p>
    <w:p>
      <w:pPr>
        <w:rPr>
          <w:color w:val="auto"/>
        </w:rPr>
      </w:pPr>
      <w:r>
        <w:rPr>
          <w:rFonts w:hint="eastAsia"/>
          <w:color w:val="auto"/>
        </w:rPr>
        <w:t>7.7.3 分辨率：≥1280*1024；</w:t>
      </w:r>
    </w:p>
    <w:p>
      <w:pPr>
        <w:rPr>
          <w:color w:val="auto"/>
        </w:rPr>
      </w:pPr>
      <w:r>
        <w:rPr>
          <w:rFonts w:hint="eastAsia"/>
          <w:color w:val="auto"/>
        </w:rPr>
        <w:t>7.7.4 亮度：350cd/m；</w:t>
      </w:r>
    </w:p>
    <w:p>
      <w:pPr>
        <w:rPr>
          <w:color w:val="auto"/>
        </w:rPr>
      </w:pPr>
      <w:r>
        <w:rPr>
          <w:rFonts w:hint="eastAsia"/>
          <w:color w:val="auto"/>
        </w:rPr>
        <w:t>7.7.5 对比度400：1；</w:t>
      </w:r>
    </w:p>
    <w:p>
      <w:pPr>
        <w:rPr>
          <w:color w:val="auto"/>
        </w:rPr>
      </w:pPr>
      <w:r>
        <w:rPr>
          <w:rFonts w:hint="eastAsia"/>
          <w:color w:val="auto"/>
        </w:rPr>
        <w:t>7.8 车内音响6个</w:t>
      </w:r>
    </w:p>
    <w:p>
      <w:pPr>
        <w:rPr>
          <w:color w:val="auto"/>
        </w:rPr>
      </w:pPr>
      <w:r>
        <w:rPr>
          <w:rFonts w:hint="eastAsia"/>
          <w:color w:val="auto"/>
        </w:rPr>
        <w:t>7.8.1  车内高保真视频会议音响，会议室内视频会议语音及轻音乐播放需效果良好，语言清晰、无失真、声压余量充分、声场分布均匀、无啸叫，声像定位正确；</w:t>
      </w:r>
    </w:p>
    <w:p>
      <w:pPr>
        <w:rPr>
          <w:color w:val="auto"/>
        </w:rPr>
      </w:pPr>
      <w:r>
        <w:rPr>
          <w:rFonts w:hint="eastAsia"/>
          <w:color w:val="auto"/>
        </w:rPr>
        <w:t>7.8.2  功率：≥6W；</w:t>
      </w:r>
    </w:p>
    <w:p>
      <w:pPr>
        <w:rPr>
          <w:color w:val="auto"/>
        </w:rPr>
      </w:pPr>
      <w:r>
        <w:rPr>
          <w:rFonts w:hint="eastAsia"/>
          <w:color w:val="auto"/>
        </w:rPr>
        <w:t>7.8.3  灵敏度不低于90dB；</w:t>
      </w:r>
    </w:p>
    <w:p>
      <w:pPr>
        <w:rPr>
          <w:color w:val="auto"/>
        </w:rPr>
      </w:pPr>
      <w:r>
        <w:rPr>
          <w:rFonts w:hint="eastAsia"/>
          <w:color w:val="auto"/>
        </w:rPr>
        <w:t>7.8.4  频率响应：不低于90～18KHz；</w:t>
      </w:r>
    </w:p>
    <w:p>
      <w:pPr>
        <w:rPr>
          <w:color w:val="auto"/>
        </w:rPr>
      </w:pPr>
      <w:r>
        <w:rPr>
          <w:rFonts w:hint="eastAsia"/>
          <w:color w:val="auto"/>
        </w:rPr>
        <w:t>7.8.5  单元阻抗：≥3.3KΩ（白）、1.7KΩ（红）；</w:t>
      </w:r>
    </w:p>
    <w:p>
      <w:pPr>
        <w:rPr>
          <w:color w:val="auto"/>
        </w:rPr>
      </w:pPr>
      <w:r>
        <w:rPr>
          <w:rFonts w:hint="eastAsia"/>
          <w:color w:val="auto"/>
        </w:rPr>
        <w:t>7.8.6  监听级音质。</w:t>
      </w:r>
    </w:p>
    <w:p>
      <w:pPr>
        <w:rPr>
          <w:color w:val="auto"/>
        </w:rPr>
      </w:pPr>
      <w:r>
        <w:rPr>
          <w:rFonts w:hint="eastAsia"/>
          <w:color w:val="auto"/>
        </w:rPr>
        <w:t>7.9  无线话筒1套</w:t>
      </w:r>
    </w:p>
    <w:p>
      <w:pPr>
        <w:rPr>
          <w:color w:val="auto"/>
        </w:rPr>
      </w:pPr>
      <w:r>
        <w:rPr>
          <w:rFonts w:hint="eastAsia"/>
          <w:color w:val="auto"/>
        </w:rPr>
        <w:t>7.9.1  频率范围至少支持UHF600MHz～700MHz；</w:t>
      </w:r>
    </w:p>
    <w:p>
      <w:pPr>
        <w:rPr>
          <w:color w:val="auto"/>
        </w:rPr>
      </w:pPr>
      <w:r>
        <w:rPr>
          <w:rFonts w:hint="eastAsia"/>
          <w:color w:val="auto"/>
        </w:rPr>
        <w:t>7.9.2  频率稳定性≥10PPM；</w:t>
      </w:r>
    </w:p>
    <w:p>
      <w:pPr>
        <w:rPr>
          <w:color w:val="auto"/>
        </w:rPr>
      </w:pPr>
      <w:r>
        <w:rPr>
          <w:rFonts w:hint="eastAsia"/>
          <w:color w:val="auto"/>
        </w:rPr>
        <w:t>7.9.3  频率响应：40Hz-18KHz；</w:t>
      </w:r>
    </w:p>
    <w:p>
      <w:pPr>
        <w:rPr>
          <w:color w:val="auto"/>
        </w:rPr>
      </w:pPr>
      <w:r>
        <w:rPr>
          <w:rFonts w:hint="eastAsia"/>
          <w:color w:val="auto"/>
        </w:rPr>
        <w:t>7.9.4  本机噪声：≤25dB；</w:t>
      </w:r>
    </w:p>
    <w:p>
      <w:pPr>
        <w:rPr>
          <w:color w:val="auto"/>
        </w:rPr>
      </w:pPr>
      <w:r>
        <w:rPr>
          <w:rFonts w:hint="eastAsia"/>
          <w:color w:val="auto"/>
        </w:rPr>
        <w:t>7.9.5  调制方式：DQPSK；</w:t>
      </w:r>
    </w:p>
    <w:p>
      <w:pPr>
        <w:rPr>
          <w:color w:val="auto"/>
        </w:rPr>
      </w:pPr>
      <w:r>
        <w:rPr>
          <w:rFonts w:hint="eastAsia"/>
          <w:color w:val="auto"/>
        </w:rPr>
        <w:t>7.9.6  信噪比：≥105dB；</w:t>
      </w:r>
    </w:p>
    <w:p>
      <w:pPr>
        <w:rPr>
          <w:color w:val="auto"/>
        </w:rPr>
      </w:pPr>
      <w:r>
        <w:rPr>
          <w:rFonts w:hint="eastAsia"/>
          <w:color w:val="auto"/>
        </w:rPr>
        <w:t>7.9.7  失真度：≤0.5%@1KHz；</w:t>
      </w:r>
    </w:p>
    <w:p>
      <w:pPr>
        <w:rPr>
          <w:color w:val="auto"/>
        </w:rPr>
      </w:pPr>
      <w:r>
        <w:rPr>
          <w:rFonts w:hint="eastAsia"/>
          <w:color w:val="auto"/>
        </w:rPr>
        <w:t>7.9.8  接收灵敏度：≥105dBM；</w:t>
      </w:r>
    </w:p>
    <w:p>
      <w:pPr>
        <w:rPr>
          <w:color w:val="auto"/>
        </w:rPr>
      </w:pPr>
      <w:r>
        <w:rPr>
          <w:rFonts w:hint="eastAsia"/>
          <w:color w:val="auto"/>
        </w:rPr>
        <w:t>7.9.9  含4支无线话筒终端。</w:t>
      </w:r>
    </w:p>
    <w:p>
      <w:pPr>
        <w:rPr>
          <w:color w:val="auto"/>
        </w:rPr>
      </w:pPr>
      <w:r>
        <w:rPr>
          <w:rFonts w:hint="eastAsia"/>
          <w:color w:val="auto"/>
        </w:rPr>
        <w:t>7.10 高保真有线话筒5只</w:t>
      </w:r>
    </w:p>
    <w:p>
      <w:pPr>
        <w:rPr>
          <w:color w:val="auto"/>
        </w:rPr>
      </w:pPr>
      <w:r>
        <w:rPr>
          <w:rFonts w:hint="eastAsia"/>
          <w:color w:val="auto"/>
        </w:rPr>
        <w:t>7.10.1  拾音距离≥1.8M；</w:t>
      </w:r>
    </w:p>
    <w:p>
      <w:pPr>
        <w:rPr>
          <w:color w:val="auto"/>
        </w:rPr>
      </w:pPr>
      <w:r>
        <w:rPr>
          <w:rFonts w:hint="eastAsia"/>
          <w:color w:val="auto"/>
        </w:rPr>
        <w:t>7.10.2  频率响应：20—20000Hz；</w:t>
      </w:r>
    </w:p>
    <w:p>
      <w:pPr>
        <w:rPr>
          <w:color w:val="auto"/>
        </w:rPr>
      </w:pPr>
      <w:r>
        <w:rPr>
          <w:rFonts w:hint="eastAsia"/>
          <w:color w:val="auto"/>
        </w:rPr>
        <w:t>7.10.3  信噪比：&gt;80dBA；</w:t>
      </w:r>
    </w:p>
    <w:p>
      <w:pPr>
        <w:rPr>
          <w:color w:val="auto"/>
        </w:rPr>
      </w:pPr>
      <w:r>
        <w:rPr>
          <w:rFonts w:hint="eastAsia"/>
          <w:color w:val="auto"/>
        </w:rPr>
        <w:t>7.10.4  通道串音：&gt;80dB；</w:t>
      </w:r>
    </w:p>
    <w:p>
      <w:pPr>
        <w:rPr>
          <w:color w:val="auto"/>
        </w:rPr>
      </w:pPr>
      <w:r>
        <w:rPr>
          <w:rFonts w:hint="eastAsia"/>
          <w:color w:val="auto"/>
        </w:rPr>
        <w:t>7.10.5  动态范围：&gt;94dB；</w:t>
      </w:r>
    </w:p>
    <w:p>
      <w:pPr>
        <w:rPr>
          <w:color w:val="auto"/>
        </w:rPr>
      </w:pPr>
      <w:r>
        <w:rPr>
          <w:rFonts w:hint="eastAsia"/>
          <w:color w:val="auto"/>
        </w:rPr>
        <w:t>7.10.6  总谐波失真：&lt;0.05%；</w:t>
      </w:r>
    </w:p>
    <w:p>
      <w:pPr>
        <w:rPr>
          <w:color w:val="auto"/>
        </w:rPr>
      </w:pPr>
      <w:r>
        <w:rPr>
          <w:rFonts w:hint="eastAsia"/>
          <w:color w:val="auto"/>
        </w:rPr>
        <w:t>7.10.7  输出负载：=&gt;1kΩ。</w:t>
      </w:r>
    </w:p>
    <w:p>
      <w:pPr>
        <w:rPr>
          <w:color w:val="auto"/>
        </w:rPr>
      </w:pPr>
      <w:r>
        <w:rPr>
          <w:rFonts w:hint="eastAsia"/>
          <w:color w:val="auto"/>
        </w:rPr>
        <w:t>7.11  车外防水音柱4个</w:t>
      </w:r>
    </w:p>
    <w:p>
      <w:pPr>
        <w:rPr>
          <w:color w:val="auto"/>
        </w:rPr>
      </w:pPr>
      <w:r>
        <w:rPr>
          <w:rFonts w:hint="eastAsia"/>
          <w:color w:val="auto"/>
        </w:rPr>
        <w:t>7.11.1  功率：≥100W；</w:t>
      </w:r>
    </w:p>
    <w:p>
      <w:pPr>
        <w:rPr>
          <w:color w:val="auto"/>
        </w:rPr>
      </w:pPr>
      <w:r>
        <w:rPr>
          <w:rFonts w:hint="eastAsia"/>
          <w:color w:val="auto"/>
        </w:rPr>
        <w:t>7.11.2  额定阻抗：≥8Ω；</w:t>
      </w:r>
    </w:p>
    <w:p>
      <w:pPr>
        <w:rPr>
          <w:color w:val="auto"/>
        </w:rPr>
      </w:pPr>
      <w:r>
        <w:rPr>
          <w:rFonts w:hint="eastAsia"/>
          <w:color w:val="auto"/>
        </w:rPr>
        <w:t>7.11.3  频响：≥200Hz～5KHz；</w:t>
      </w:r>
    </w:p>
    <w:p>
      <w:pPr>
        <w:rPr>
          <w:color w:val="auto"/>
        </w:rPr>
      </w:pPr>
      <w:r>
        <w:rPr>
          <w:rFonts w:hint="eastAsia"/>
          <w:color w:val="auto"/>
        </w:rPr>
        <w:t>7.11.4  防水防尘，支持室外安装。</w:t>
      </w:r>
    </w:p>
    <w:p>
      <w:pPr>
        <w:rPr>
          <w:color w:val="auto"/>
        </w:rPr>
      </w:pPr>
      <w:r>
        <w:rPr>
          <w:rFonts w:hint="eastAsia"/>
          <w:color w:val="auto"/>
        </w:rPr>
        <w:t>7.12  车外功放1台</w:t>
      </w:r>
    </w:p>
    <w:p>
      <w:pPr>
        <w:rPr>
          <w:color w:val="auto"/>
        </w:rPr>
      </w:pPr>
      <w:r>
        <w:rPr>
          <w:rFonts w:hint="eastAsia"/>
          <w:color w:val="auto"/>
        </w:rPr>
        <w:t>7.12.1  19寸标准工业机箱设计，2路话筒输入、3路线路输入、1路辅助输出；</w:t>
      </w:r>
    </w:p>
    <w:p>
      <w:pPr>
        <w:rPr>
          <w:color w:val="auto"/>
        </w:rPr>
      </w:pPr>
      <w:r>
        <w:rPr>
          <w:rFonts w:hint="eastAsia"/>
          <w:color w:val="auto"/>
        </w:rPr>
        <w:t>7.12.2  各路信号输入有独立音量控制及总音量调节；</w:t>
      </w:r>
    </w:p>
    <w:p>
      <w:pPr>
        <w:rPr>
          <w:color w:val="auto"/>
        </w:rPr>
      </w:pPr>
      <w:r>
        <w:rPr>
          <w:rFonts w:hint="eastAsia"/>
          <w:color w:val="auto"/>
        </w:rPr>
        <w:t>7.12.3  具有高低音调节功能；</w:t>
      </w:r>
    </w:p>
    <w:p>
      <w:pPr>
        <w:rPr>
          <w:color w:val="auto"/>
        </w:rPr>
      </w:pPr>
      <w:r>
        <w:rPr>
          <w:rFonts w:hint="eastAsia"/>
          <w:color w:val="auto"/>
        </w:rPr>
        <w:t>7.12.4  额定功率：≥2×300W/8Ω，≥2×450W/4Ω；</w:t>
      </w:r>
    </w:p>
    <w:p>
      <w:pPr>
        <w:rPr>
          <w:color w:val="auto"/>
        </w:rPr>
      </w:pPr>
      <w:r>
        <w:rPr>
          <w:rFonts w:hint="eastAsia"/>
          <w:color w:val="auto"/>
        </w:rPr>
        <w:t>7.12.5  频率响应：20Hz～20KHz±1dB；</w:t>
      </w:r>
    </w:p>
    <w:p>
      <w:pPr>
        <w:rPr>
          <w:color w:val="auto"/>
        </w:rPr>
      </w:pPr>
      <w:r>
        <w:rPr>
          <w:rFonts w:hint="eastAsia"/>
          <w:color w:val="auto"/>
        </w:rPr>
        <w:t>7.12.6  输入灵敏度：0dB（775mv）；</w:t>
      </w:r>
    </w:p>
    <w:p>
      <w:pPr>
        <w:rPr>
          <w:color w:val="auto"/>
        </w:rPr>
      </w:pPr>
      <w:r>
        <w:rPr>
          <w:rFonts w:hint="eastAsia"/>
          <w:color w:val="auto"/>
        </w:rPr>
        <w:t>7.12.7  输入阻抗：平衡20KΩ，不平衡10KΩ。</w:t>
      </w:r>
    </w:p>
    <w:p>
      <w:pPr>
        <w:rPr>
          <w:color w:val="auto"/>
        </w:rPr>
      </w:pPr>
      <w:r>
        <w:rPr>
          <w:rFonts w:hint="eastAsia"/>
          <w:color w:val="auto"/>
        </w:rPr>
        <w:t>8  指挥作业系统</w:t>
      </w:r>
    </w:p>
    <w:p>
      <w:pPr>
        <w:rPr>
          <w:color w:val="auto"/>
        </w:rPr>
      </w:pPr>
      <w:r>
        <w:rPr>
          <w:rFonts w:hint="eastAsia"/>
          <w:color w:val="auto"/>
        </w:rPr>
        <w:t>8.1 车载加固工控机1台</w:t>
      </w:r>
    </w:p>
    <w:p>
      <w:pPr>
        <w:rPr>
          <w:color w:val="auto"/>
        </w:rPr>
      </w:pPr>
      <w:r>
        <w:rPr>
          <w:rFonts w:hint="eastAsia"/>
          <w:color w:val="auto"/>
        </w:rPr>
        <w:t>8.1.1  标准机架安装，处理器≥12核心CPU，主频≥2.3GHz，不低于20线程；</w:t>
      </w:r>
    </w:p>
    <w:p>
      <w:pPr>
        <w:rPr>
          <w:color w:val="auto"/>
        </w:rPr>
      </w:pPr>
      <w:r>
        <w:rPr>
          <w:rFonts w:hint="eastAsia"/>
          <w:color w:val="auto"/>
        </w:rPr>
        <w:t>8.1.2  三级缓存≥24MB；</w:t>
      </w:r>
    </w:p>
    <w:p>
      <w:pPr>
        <w:rPr>
          <w:color w:val="auto"/>
        </w:rPr>
      </w:pPr>
      <w:r>
        <w:rPr>
          <w:rFonts w:hint="eastAsia"/>
          <w:color w:val="auto"/>
        </w:rPr>
        <w:t>8.1.3  内存≥16G；</w:t>
      </w:r>
    </w:p>
    <w:p>
      <w:pPr>
        <w:rPr>
          <w:color w:val="auto"/>
        </w:rPr>
      </w:pPr>
      <w:r>
        <w:rPr>
          <w:rFonts w:hint="eastAsia"/>
          <w:color w:val="auto"/>
        </w:rPr>
        <w:t>8.1.4  固态硬盘≥240G+机械硬盘2T；</w:t>
      </w:r>
    </w:p>
    <w:p>
      <w:pPr>
        <w:rPr>
          <w:color w:val="auto"/>
        </w:rPr>
      </w:pPr>
      <w:r>
        <w:rPr>
          <w:rFonts w:hint="eastAsia"/>
          <w:color w:val="auto"/>
        </w:rPr>
        <w:t>8.1.5  显存≥4G；</w:t>
      </w:r>
    </w:p>
    <w:p>
      <w:pPr>
        <w:rPr>
          <w:color w:val="auto"/>
        </w:rPr>
      </w:pPr>
      <w:r>
        <w:rPr>
          <w:rFonts w:hint="eastAsia"/>
          <w:color w:val="auto"/>
        </w:rPr>
        <w:t>8.1.6  支持双网口。</w:t>
      </w:r>
    </w:p>
    <w:p>
      <w:pPr>
        <w:rPr>
          <w:color w:val="auto"/>
        </w:rPr>
      </w:pPr>
      <w:r>
        <w:rPr>
          <w:rFonts w:hint="eastAsia"/>
          <w:color w:val="auto"/>
        </w:rPr>
        <w:t>8.2无线键鼠2套</w:t>
      </w:r>
    </w:p>
    <w:p>
      <w:pPr>
        <w:rPr>
          <w:color w:val="auto"/>
        </w:rPr>
      </w:pPr>
      <w:r>
        <w:rPr>
          <w:rFonts w:hint="eastAsia"/>
          <w:color w:val="auto"/>
        </w:rPr>
        <w:t>8.2.1 连接距离不小于8米，蓝牙连接，键盘防水。</w:t>
      </w:r>
    </w:p>
    <w:p>
      <w:pPr>
        <w:rPr>
          <w:color w:val="auto"/>
        </w:rPr>
      </w:pPr>
      <w:r>
        <w:rPr>
          <w:rFonts w:hint="eastAsia"/>
          <w:color w:val="auto"/>
        </w:rPr>
        <w:t>8.3  三层交换机2台</w:t>
      </w:r>
    </w:p>
    <w:p>
      <w:pPr>
        <w:rPr>
          <w:color w:val="auto"/>
        </w:rPr>
      </w:pPr>
      <w:r>
        <w:rPr>
          <w:rFonts w:hint="eastAsia"/>
          <w:color w:val="auto"/>
        </w:rPr>
        <w:t>8.3.1  交换容量≥370Gbps；包转发率≥102Mpps；</w:t>
      </w:r>
    </w:p>
    <w:p>
      <w:pPr>
        <w:rPr>
          <w:color w:val="auto"/>
        </w:rPr>
      </w:pPr>
      <w:r>
        <w:rPr>
          <w:rFonts w:hint="eastAsia"/>
          <w:color w:val="auto"/>
        </w:rPr>
        <w:t>8.3.2  10/100/1000Base-T电接口≥24个；</w:t>
      </w:r>
    </w:p>
    <w:p>
      <w:pPr>
        <w:rPr>
          <w:color w:val="auto"/>
        </w:rPr>
      </w:pPr>
      <w:r>
        <w:rPr>
          <w:rFonts w:hint="eastAsia"/>
          <w:color w:val="auto"/>
        </w:rPr>
        <w:t>8.3.3  MAC表容量：≥128K；</w:t>
      </w:r>
    </w:p>
    <w:p>
      <w:pPr>
        <w:rPr>
          <w:color w:val="auto"/>
        </w:rPr>
      </w:pPr>
      <w:r>
        <w:rPr>
          <w:rFonts w:hint="eastAsia"/>
          <w:color w:val="auto"/>
        </w:rPr>
        <w:t>8.3.4  支持4K个VLAN，支持基于端口、MAC地址、IP子网、协议的VLAN；</w:t>
      </w:r>
    </w:p>
    <w:p>
      <w:pPr>
        <w:rPr>
          <w:color w:val="auto"/>
        </w:rPr>
      </w:pPr>
      <w:r>
        <w:rPr>
          <w:rFonts w:hint="eastAsia"/>
          <w:color w:val="auto"/>
        </w:rPr>
        <w:t>8.3.5  支持Console口登录管理、Telnet（VTY）远程管理、WEB管理。</w:t>
      </w:r>
    </w:p>
    <w:p>
      <w:pPr>
        <w:rPr>
          <w:color w:val="auto"/>
        </w:rPr>
      </w:pPr>
      <w:r>
        <w:rPr>
          <w:rFonts w:hint="eastAsia"/>
          <w:color w:val="auto"/>
        </w:rPr>
        <w:t>8.4  图形移动工作站1台</w:t>
      </w:r>
    </w:p>
    <w:p>
      <w:pPr>
        <w:rPr>
          <w:color w:val="auto"/>
        </w:rPr>
      </w:pPr>
      <w:r>
        <w:rPr>
          <w:rFonts w:hint="eastAsia"/>
          <w:color w:val="auto"/>
        </w:rPr>
        <w:t>8.4.1  高性能图形工作站，不低于以下配置：16英寸4K显示屏/20核28线程处理器/内存32G/2T固态硬盘/显存位宽384bit/显存≥16G/中文操作系统，配专用背包、无线鼠标。</w:t>
      </w:r>
    </w:p>
    <w:p>
      <w:pPr>
        <w:rPr>
          <w:color w:val="auto"/>
        </w:rPr>
      </w:pPr>
      <w:r>
        <w:rPr>
          <w:rFonts w:hint="eastAsia"/>
          <w:color w:val="auto"/>
        </w:rPr>
        <w:t>8.5  多功能一体机1台</w:t>
      </w:r>
    </w:p>
    <w:p>
      <w:pPr>
        <w:rPr>
          <w:color w:val="auto"/>
        </w:rPr>
      </w:pPr>
      <w:r>
        <w:rPr>
          <w:rFonts w:hint="eastAsia"/>
          <w:color w:val="auto"/>
        </w:rPr>
        <w:t>8.5.1  打印/复印/扫描/传真多功能一体机，激光打印，彩色，≥A4幅面，支持无线+有线接入。彩色模式最佳打印分辨率：≥600*600dpi；黑白模式最佳打印分辨率：≥600*600dpi；支持有线/无线网络打印。</w:t>
      </w:r>
    </w:p>
    <w:p>
      <w:pPr>
        <w:rPr>
          <w:color w:val="auto"/>
        </w:rPr>
      </w:pPr>
      <w:r>
        <w:rPr>
          <w:rFonts w:hint="eastAsia"/>
          <w:color w:val="auto"/>
        </w:rPr>
        <w:t>8.6 勤务有线对讲1套</w:t>
      </w:r>
    </w:p>
    <w:p>
      <w:pPr>
        <w:rPr>
          <w:color w:val="auto"/>
        </w:rPr>
      </w:pPr>
      <w:r>
        <w:rPr>
          <w:rFonts w:hint="eastAsia"/>
          <w:color w:val="auto"/>
        </w:rPr>
        <w:t>8.6.1 支持电池供电，通话语音清晰，用于操作架与驾驶室的直接对讲通话。</w:t>
      </w:r>
    </w:p>
    <w:p>
      <w:pPr>
        <w:rPr>
          <w:color w:val="auto"/>
        </w:rPr>
      </w:pPr>
      <w:r>
        <w:rPr>
          <w:rFonts w:hint="eastAsia"/>
          <w:color w:val="auto"/>
        </w:rPr>
        <w:t>8.7  大载重无人机1套</w:t>
      </w:r>
    </w:p>
    <w:p>
      <w:pPr>
        <w:rPr>
          <w:color w:val="auto"/>
        </w:rPr>
      </w:pPr>
      <w:r>
        <w:rPr>
          <w:rFonts w:hint="eastAsia"/>
          <w:color w:val="auto"/>
        </w:rPr>
        <w:t>8.7.1  空机重量：≤43千克（不含电池）；</w:t>
      </w:r>
    </w:p>
    <w:p>
      <w:pPr>
        <w:rPr>
          <w:color w:val="auto"/>
        </w:rPr>
      </w:pPr>
      <w:r>
        <w:rPr>
          <w:rFonts w:hint="eastAsia"/>
          <w:color w:val="auto"/>
        </w:rPr>
        <w:t>8.7.2  最大起飞重量≥95 千克，最大轴距：≤2200 毫米，最大悬停时间（空载）：≥29 分钟，最大飞行时间（满载30千克）：≥18分钟；最大飞行距离（满载30千克）：15千米；最大上升速度≥5米/秒；最大下降速度≥3 米/秒；图像传输距离≥20 公里（FCC）；最大水平飞行速度≥20米/秒；最大飞行海拔高度≥4000米（空载）；最大抗风速度≥12米/秒；</w:t>
      </w:r>
    </w:p>
    <w:p>
      <w:pPr>
        <w:rPr>
          <w:color w:val="auto"/>
        </w:rPr>
      </w:pPr>
      <w:r>
        <w:rPr>
          <w:rFonts w:hint="eastAsia"/>
          <w:color w:val="auto"/>
        </w:rPr>
        <w:t>8.7.3  悬停精度启用RTK定位：水平±10厘米，垂直±10厘米；未启用RTK定位：水平±60厘米，垂直±30厘米；</w:t>
      </w:r>
    </w:p>
    <w:p>
      <w:pPr>
        <w:rPr>
          <w:color w:val="auto"/>
        </w:rPr>
      </w:pPr>
      <w:r>
        <w:rPr>
          <w:rFonts w:hint="eastAsia"/>
          <w:color w:val="auto"/>
        </w:rPr>
        <w:t>8.7.4  防护等级≥IP55；具备安全降落伞：最大负载≤95千克；</w:t>
      </w:r>
    </w:p>
    <w:p>
      <w:pPr>
        <w:rPr>
          <w:color w:val="auto"/>
        </w:rPr>
      </w:pPr>
      <w:r>
        <w:rPr>
          <w:rFonts w:hint="eastAsia"/>
          <w:color w:val="auto"/>
        </w:rPr>
        <w:t>8.7.5  避障：具备有源相控阵旋转雷达；定高范围：1.5至200米；可感知距离（多向）：1.5至50米；</w:t>
      </w:r>
    </w:p>
    <w:p>
      <w:pPr>
        <w:rPr>
          <w:color w:val="auto"/>
        </w:rPr>
      </w:pPr>
      <w:r>
        <w:rPr>
          <w:rFonts w:hint="eastAsia"/>
          <w:color w:val="auto"/>
        </w:rPr>
        <w:t>8.7.6  软件支持：三维倾斜摄影叠加功能；无人机远程控制；无人机视频实时回传；图层标注、测量工具、自定义统计、数据管理、人员管理、设备管理、设备列表、地图管理、坡度AI计算；可以根据权限等级实现三维倾斜摄影照片一键上传自动拼接；</w:t>
      </w:r>
    </w:p>
    <w:p>
      <w:pPr>
        <w:rPr>
          <w:color w:val="auto"/>
        </w:rPr>
      </w:pPr>
      <w:r>
        <w:rPr>
          <w:rFonts w:hint="eastAsia"/>
          <w:color w:val="auto"/>
        </w:rPr>
        <w:t>8.7.7  匹配大载重无人机空吊系统一套：绳索式空中吊运系统，含卷扬机组件、配重块、运输脚架和延长绳索等配件，可实现快速安装，轻松应对复杂作业；匹配高性能飞行电池3块；匹配充电管家一套。</w:t>
      </w:r>
    </w:p>
    <w:p>
      <w:pPr>
        <w:rPr>
          <w:color w:val="auto"/>
        </w:rPr>
      </w:pPr>
      <w:r>
        <w:rPr>
          <w:rFonts w:hint="eastAsia"/>
          <w:color w:val="auto"/>
        </w:rPr>
        <w:t>8.8  文字处理终端1台</w:t>
      </w:r>
    </w:p>
    <w:p>
      <w:pPr>
        <w:rPr>
          <w:color w:val="auto"/>
        </w:rPr>
      </w:pPr>
      <w:r>
        <w:rPr>
          <w:rFonts w:hint="eastAsia"/>
          <w:color w:val="auto"/>
        </w:rPr>
        <w:t>8.8.1 轻薄笔记本电脑，不低于以下配置：14英寸2K显示屏/120Hz刷新率/亮度400尼特/14核20线程处理器/内存32G/1T固态硬盘/中文操作系统，配专用背包、无线鼠标。</w:t>
      </w:r>
    </w:p>
    <w:p>
      <w:pPr>
        <w:rPr>
          <w:color w:val="auto"/>
        </w:rPr>
      </w:pPr>
      <w:r>
        <w:rPr>
          <w:rFonts w:hint="eastAsia"/>
          <w:color w:val="auto"/>
        </w:rPr>
        <w:t>9  供电系统</w:t>
      </w:r>
    </w:p>
    <w:p>
      <w:pPr>
        <w:rPr>
          <w:color w:val="auto"/>
        </w:rPr>
      </w:pPr>
      <w:r>
        <w:rPr>
          <w:rFonts w:hint="eastAsia"/>
          <w:color w:val="auto"/>
        </w:rPr>
        <w:t>9.1 柴油发电机1台</w:t>
      </w:r>
    </w:p>
    <w:p>
      <w:pPr>
        <w:rPr>
          <w:color w:val="auto"/>
        </w:rPr>
      </w:pPr>
      <w:r>
        <w:rPr>
          <w:rFonts w:hint="eastAsia"/>
          <w:color w:val="auto"/>
        </w:rPr>
        <w:t>9.1.1  专业车载全水冷静音发电机组，水冷高压共轨四缸发动机、水冷发电机、水冷排气歧管、水冷消音器;单路水循环系统；</w:t>
      </w:r>
    </w:p>
    <w:p>
      <w:pPr>
        <w:rPr>
          <w:color w:val="auto"/>
        </w:rPr>
      </w:pPr>
      <w:r>
        <w:rPr>
          <w:rFonts w:hint="eastAsia"/>
          <w:color w:val="auto"/>
        </w:rPr>
        <w:t>9.1.2  发电机组输出功率（KW）≥20.5；</w:t>
      </w:r>
    </w:p>
    <w:p>
      <w:pPr>
        <w:rPr>
          <w:color w:val="auto"/>
        </w:rPr>
      </w:pPr>
      <w:r>
        <w:rPr>
          <w:rFonts w:hint="eastAsia"/>
          <w:color w:val="auto"/>
        </w:rPr>
        <w:t xml:space="preserve">9.1.3  主机尺寸（mm）≤1250×660×760，主机重量≤500kg; </w:t>
      </w:r>
    </w:p>
    <w:p>
      <w:pPr>
        <w:rPr>
          <w:color w:val="auto"/>
        </w:rPr>
      </w:pPr>
      <w:r>
        <w:rPr>
          <w:rFonts w:hint="eastAsia"/>
          <w:color w:val="auto"/>
        </w:rPr>
        <w:t xml:space="preserve">9.1.4  使用高效散热系统，散热器尺寸（mm）≤708×700×322，散热器重量≤42kg; </w:t>
      </w:r>
    </w:p>
    <w:p>
      <w:pPr>
        <w:rPr>
          <w:color w:val="auto"/>
        </w:rPr>
      </w:pPr>
      <w:r>
        <w:rPr>
          <w:rFonts w:hint="eastAsia"/>
          <w:color w:val="auto"/>
        </w:rPr>
        <w:t>9.1.5  噪音等级≤68/62/52dB(A) @ 1m/3m/7m；</w:t>
      </w:r>
    </w:p>
    <w:p>
      <w:pPr>
        <w:rPr>
          <w:color w:val="auto"/>
        </w:rPr>
      </w:pPr>
      <w:r>
        <w:rPr>
          <w:rFonts w:hint="eastAsia"/>
          <w:color w:val="auto"/>
        </w:rPr>
        <w:t>9.1.6  频率波动率≤0.05%；</w:t>
      </w:r>
    </w:p>
    <w:p>
      <w:pPr>
        <w:rPr>
          <w:color w:val="auto"/>
        </w:rPr>
      </w:pPr>
      <w:r>
        <w:rPr>
          <w:rFonts w:hint="eastAsia"/>
          <w:color w:val="auto"/>
        </w:rPr>
        <w:t>9.1.7  电压恢复时间（由额定负载突减至空载）≤0.25s；</w:t>
      </w:r>
    </w:p>
    <w:p>
      <w:pPr>
        <w:rPr>
          <w:color w:val="auto"/>
        </w:rPr>
      </w:pPr>
      <w:r>
        <w:rPr>
          <w:rFonts w:hint="eastAsia"/>
          <w:color w:val="auto"/>
        </w:rPr>
        <w:t>9.1.8  水冷发电机使用大型卧式消声器；</w:t>
      </w:r>
    </w:p>
    <w:p>
      <w:pPr>
        <w:rPr>
          <w:color w:val="auto"/>
        </w:rPr>
      </w:pPr>
      <w:r>
        <w:rPr>
          <w:rFonts w:hint="eastAsia"/>
          <w:color w:val="auto"/>
        </w:rPr>
        <w:t>9.1.9  油箱：不锈钢油箱，≥50L，含油量指示、油表、加油口带过滤。</w:t>
      </w:r>
    </w:p>
    <w:p>
      <w:pPr>
        <w:rPr>
          <w:color w:val="auto"/>
        </w:rPr>
      </w:pPr>
      <w:r>
        <w:rPr>
          <w:rFonts w:hint="eastAsia"/>
          <w:color w:val="auto"/>
        </w:rPr>
        <w:t>9.2  发电机舱减震降噪处理1套</w:t>
      </w:r>
    </w:p>
    <w:p>
      <w:pPr>
        <w:rPr>
          <w:color w:val="auto"/>
        </w:rPr>
      </w:pPr>
      <w:r>
        <w:rPr>
          <w:rFonts w:hint="eastAsia"/>
          <w:color w:val="auto"/>
        </w:rPr>
        <w:t>9.2.1 发电机舱舱体内应敷设冲孔隔音隔热材料，舱体内表面为冲孔铝板，以达到吸音降噪的要求，有效降低降低/隔绝发电机舱噪音及油机气味对操作间及会议室的影响。</w:t>
      </w:r>
    </w:p>
    <w:p>
      <w:pPr>
        <w:rPr>
          <w:color w:val="auto"/>
        </w:rPr>
      </w:pPr>
      <w:r>
        <w:rPr>
          <w:rFonts w:hint="eastAsia"/>
          <w:color w:val="auto"/>
        </w:rPr>
        <w:t>9.3  UPS电源1台</w:t>
      </w:r>
    </w:p>
    <w:p>
      <w:pPr>
        <w:rPr>
          <w:color w:val="auto"/>
        </w:rPr>
      </w:pPr>
      <w:r>
        <w:rPr>
          <w:rFonts w:hint="eastAsia"/>
          <w:color w:val="auto"/>
        </w:rPr>
        <w:t>9.3.1  额定输出容量：6000VA/5400W；</w:t>
      </w:r>
    </w:p>
    <w:p>
      <w:pPr>
        <w:rPr>
          <w:color w:val="auto"/>
        </w:rPr>
      </w:pPr>
      <w:r>
        <w:rPr>
          <w:rFonts w:hint="eastAsia"/>
          <w:color w:val="auto"/>
        </w:rPr>
        <w:t>9.3.2  额定电压：208/220/230/240VAC；</w:t>
      </w:r>
    </w:p>
    <w:p>
      <w:pPr>
        <w:rPr>
          <w:color w:val="auto"/>
        </w:rPr>
      </w:pPr>
      <w:r>
        <w:rPr>
          <w:rFonts w:hint="eastAsia"/>
          <w:color w:val="auto"/>
        </w:rPr>
        <w:t>9.3.3  输入电压范围：110VAC～276VAC；</w:t>
      </w:r>
    </w:p>
    <w:p>
      <w:pPr>
        <w:rPr>
          <w:color w:val="auto"/>
        </w:rPr>
      </w:pPr>
      <w:r>
        <w:rPr>
          <w:rFonts w:hint="eastAsia"/>
          <w:color w:val="auto"/>
        </w:rPr>
        <w:t>9.3.4  输入频率范围：40～70Hz；</w:t>
      </w:r>
    </w:p>
    <w:p>
      <w:pPr>
        <w:rPr>
          <w:color w:val="auto"/>
        </w:rPr>
      </w:pPr>
      <w:r>
        <w:rPr>
          <w:rFonts w:hint="eastAsia"/>
          <w:color w:val="auto"/>
        </w:rPr>
        <w:t>9.3.5  输入功因数：≥0.99；</w:t>
      </w:r>
    </w:p>
    <w:p>
      <w:pPr>
        <w:rPr>
          <w:color w:val="auto"/>
        </w:rPr>
      </w:pPr>
      <w:r>
        <w:rPr>
          <w:rFonts w:hint="eastAsia"/>
          <w:color w:val="auto"/>
        </w:rPr>
        <w:t>9.3.6  输入连接：单相三线（火线/零线/地线）；</w:t>
      </w:r>
    </w:p>
    <w:p>
      <w:pPr>
        <w:rPr>
          <w:color w:val="auto"/>
        </w:rPr>
      </w:pPr>
      <w:r>
        <w:rPr>
          <w:rFonts w:hint="eastAsia"/>
          <w:color w:val="auto"/>
        </w:rPr>
        <w:t>9.3.7  含电池包，工作时长≥15分钟。</w:t>
      </w:r>
    </w:p>
    <w:p>
      <w:pPr>
        <w:rPr>
          <w:color w:val="auto"/>
        </w:rPr>
      </w:pPr>
      <w:r>
        <w:rPr>
          <w:rFonts w:hint="eastAsia"/>
          <w:color w:val="auto"/>
        </w:rPr>
        <w:t>9.4 辅助蓄电池2块</w:t>
      </w:r>
    </w:p>
    <w:p>
      <w:pPr>
        <w:rPr>
          <w:color w:val="auto"/>
        </w:rPr>
      </w:pPr>
      <w:r>
        <w:rPr>
          <w:rFonts w:hint="eastAsia"/>
          <w:color w:val="auto"/>
        </w:rPr>
        <w:t>9.4.1单块：12VDC, ≥100AH。</w:t>
      </w:r>
    </w:p>
    <w:p>
      <w:pPr>
        <w:rPr>
          <w:color w:val="auto"/>
        </w:rPr>
      </w:pPr>
      <w:r>
        <w:rPr>
          <w:rFonts w:hint="eastAsia"/>
          <w:color w:val="auto"/>
        </w:rPr>
        <w:t>9.5充电机1台</w:t>
      </w:r>
      <w:r>
        <w:rPr>
          <w:rFonts w:hint="eastAsia"/>
          <w:color w:val="auto"/>
        </w:rPr>
        <w:tab/>
      </w:r>
    </w:p>
    <w:p>
      <w:pPr>
        <w:rPr>
          <w:color w:val="auto"/>
        </w:rPr>
      </w:pPr>
      <w:r>
        <w:rPr>
          <w:rFonts w:hint="eastAsia"/>
          <w:color w:val="auto"/>
        </w:rPr>
        <w:t>9.5.1输入电压：220V，充电程式：恒流-均充减流-涡流浮充。</w:t>
      </w:r>
    </w:p>
    <w:p>
      <w:pPr>
        <w:rPr>
          <w:color w:val="auto"/>
        </w:rPr>
      </w:pPr>
      <w:r>
        <w:rPr>
          <w:rFonts w:hint="eastAsia"/>
          <w:color w:val="auto"/>
        </w:rPr>
        <w:t>9.6  配电控制器1台</w:t>
      </w:r>
    </w:p>
    <w:p>
      <w:pPr>
        <w:rPr>
          <w:color w:val="auto"/>
        </w:rPr>
      </w:pPr>
      <w:r>
        <w:rPr>
          <w:rFonts w:hint="eastAsia"/>
          <w:color w:val="auto"/>
        </w:rPr>
        <w:t>9.6.1  支持市电输入、发电机输入、UPS输入切换功能；</w:t>
      </w:r>
    </w:p>
    <w:p>
      <w:pPr>
        <w:rPr>
          <w:color w:val="auto"/>
        </w:rPr>
      </w:pPr>
      <w:r>
        <w:rPr>
          <w:rFonts w:hint="eastAsia"/>
          <w:color w:val="auto"/>
        </w:rPr>
        <w:t>9.6.2  具有漏电、过载、欠压保护功能，可实现用电设备分路加电控制；</w:t>
      </w:r>
    </w:p>
    <w:p>
      <w:pPr>
        <w:rPr>
          <w:color w:val="auto"/>
        </w:rPr>
      </w:pPr>
      <w:r>
        <w:rPr>
          <w:rFonts w:hint="eastAsia"/>
          <w:color w:val="auto"/>
        </w:rPr>
        <w:t>9.6.3  按照市电优先的原则切换三相市电、单相市电及柴油发电机；</w:t>
      </w:r>
    </w:p>
    <w:p>
      <w:pPr>
        <w:rPr>
          <w:color w:val="auto"/>
        </w:rPr>
      </w:pPr>
      <w:r>
        <w:rPr>
          <w:rFonts w:hint="eastAsia"/>
          <w:color w:val="auto"/>
        </w:rPr>
        <w:t>9.6.4  具有自动切换（ATS）并方便手动切换功能；</w:t>
      </w:r>
    </w:p>
    <w:p>
      <w:pPr>
        <w:rPr>
          <w:color w:val="auto"/>
        </w:rPr>
      </w:pPr>
      <w:r>
        <w:rPr>
          <w:rFonts w:hint="eastAsia"/>
          <w:color w:val="auto"/>
        </w:rPr>
        <w:t>9.6.5  输入输出接口全部为航空接插件；</w:t>
      </w:r>
    </w:p>
    <w:p>
      <w:pPr>
        <w:rPr>
          <w:color w:val="auto"/>
        </w:rPr>
      </w:pPr>
      <w:r>
        <w:rPr>
          <w:rFonts w:hint="eastAsia"/>
          <w:color w:val="auto"/>
        </w:rPr>
        <w:t>9.6.6  LCD液晶屏实时显示电流、电压数据及报警信息。</w:t>
      </w:r>
    </w:p>
    <w:p>
      <w:pPr>
        <w:rPr>
          <w:color w:val="auto"/>
        </w:rPr>
      </w:pPr>
      <w:r>
        <w:rPr>
          <w:rFonts w:hint="eastAsia"/>
          <w:color w:val="auto"/>
        </w:rPr>
        <w:t>9.7  避雷设施1套</w:t>
      </w:r>
    </w:p>
    <w:p>
      <w:pPr>
        <w:rPr>
          <w:color w:val="auto"/>
        </w:rPr>
      </w:pPr>
      <w:r>
        <w:rPr>
          <w:rFonts w:hint="eastAsia"/>
          <w:color w:val="auto"/>
        </w:rPr>
        <w:t>9.7.1电源防雷器、数据接口防雷器、天馈接口避雷。</w:t>
      </w:r>
    </w:p>
    <w:p>
      <w:pPr>
        <w:rPr>
          <w:color w:val="auto"/>
        </w:rPr>
      </w:pPr>
      <w:r>
        <w:rPr>
          <w:rFonts w:hint="eastAsia"/>
          <w:color w:val="auto"/>
        </w:rPr>
        <w:t>9.8  接地设施1套</w:t>
      </w:r>
    </w:p>
    <w:p>
      <w:pPr>
        <w:rPr>
          <w:color w:val="auto"/>
        </w:rPr>
      </w:pPr>
      <w:r>
        <w:rPr>
          <w:rFonts w:hint="eastAsia"/>
          <w:color w:val="auto"/>
        </w:rPr>
        <w:t>9.8.1蛇皮扁平接地线30m，1.5米铜质接地棒。</w:t>
      </w:r>
    </w:p>
    <w:p>
      <w:pPr>
        <w:rPr>
          <w:color w:val="auto"/>
        </w:rPr>
      </w:pPr>
      <w:r>
        <w:rPr>
          <w:rFonts w:hint="eastAsia"/>
          <w:color w:val="auto"/>
        </w:rPr>
        <w:t>9.9  等电位连接器1套</w:t>
      </w:r>
    </w:p>
    <w:p>
      <w:pPr>
        <w:rPr>
          <w:color w:val="auto"/>
        </w:rPr>
      </w:pPr>
      <w:r>
        <w:rPr>
          <w:rFonts w:hint="eastAsia"/>
          <w:color w:val="auto"/>
        </w:rPr>
        <w:t>9.9.1 机柜之间等电位连接。</w:t>
      </w:r>
    </w:p>
    <w:p>
      <w:pPr>
        <w:rPr>
          <w:color w:val="auto"/>
        </w:rPr>
      </w:pPr>
      <w:r>
        <w:rPr>
          <w:rFonts w:hint="eastAsia"/>
          <w:color w:val="auto"/>
        </w:rPr>
        <w:t>10 环境控制系统</w:t>
      </w:r>
    </w:p>
    <w:p>
      <w:pPr>
        <w:rPr>
          <w:color w:val="auto"/>
        </w:rPr>
      </w:pPr>
      <w:r>
        <w:rPr>
          <w:rFonts w:hint="eastAsia"/>
          <w:color w:val="auto"/>
        </w:rPr>
        <w:t>10.1 操作间空调1台</w:t>
      </w:r>
    </w:p>
    <w:p>
      <w:pPr>
        <w:rPr>
          <w:color w:val="auto"/>
        </w:rPr>
      </w:pPr>
      <w:r>
        <w:rPr>
          <w:rFonts w:hint="eastAsia"/>
          <w:color w:val="auto"/>
        </w:rPr>
        <w:t>10.1.1  制冷量: ≥3500W；</w:t>
      </w:r>
    </w:p>
    <w:p>
      <w:pPr>
        <w:rPr>
          <w:color w:val="auto"/>
        </w:rPr>
      </w:pPr>
      <w:r>
        <w:rPr>
          <w:rFonts w:hint="eastAsia"/>
          <w:color w:val="auto"/>
        </w:rPr>
        <w:t>10.1.2  制热量：≥4100W；</w:t>
      </w:r>
    </w:p>
    <w:p>
      <w:pPr>
        <w:rPr>
          <w:color w:val="auto"/>
        </w:rPr>
      </w:pPr>
      <w:r>
        <w:rPr>
          <w:rFonts w:hint="eastAsia"/>
          <w:color w:val="auto"/>
        </w:rPr>
        <w:t>10.1.3  使用环境温度：-25℃～55℃；</w:t>
      </w:r>
    </w:p>
    <w:p>
      <w:pPr>
        <w:rPr>
          <w:color w:val="auto"/>
        </w:rPr>
      </w:pPr>
      <w:r>
        <w:rPr>
          <w:rFonts w:hint="eastAsia"/>
          <w:color w:val="auto"/>
        </w:rPr>
        <w:t>10.1.4  电源：220V/50Hz。</w:t>
      </w:r>
    </w:p>
    <w:p>
      <w:pPr>
        <w:rPr>
          <w:color w:val="auto"/>
        </w:rPr>
      </w:pPr>
      <w:r>
        <w:rPr>
          <w:rFonts w:hint="eastAsia"/>
          <w:color w:val="auto"/>
        </w:rPr>
        <w:t>10.2  会议间空调1台</w:t>
      </w:r>
    </w:p>
    <w:p>
      <w:pPr>
        <w:rPr>
          <w:color w:val="auto"/>
        </w:rPr>
      </w:pPr>
      <w:r>
        <w:rPr>
          <w:rFonts w:hint="eastAsia"/>
          <w:color w:val="auto"/>
        </w:rPr>
        <w:t>10.2.1  制冷量（W）：≥10000；</w:t>
      </w:r>
    </w:p>
    <w:p>
      <w:pPr>
        <w:rPr>
          <w:color w:val="auto"/>
        </w:rPr>
      </w:pPr>
      <w:r>
        <w:rPr>
          <w:rFonts w:hint="eastAsia"/>
          <w:color w:val="auto"/>
        </w:rPr>
        <w:t>10.2.2  制热量（W）：≥12000；</w:t>
      </w:r>
    </w:p>
    <w:p>
      <w:pPr>
        <w:rPr>
          <w:color w:val="auto"/>
        </w:rPr>
      </w:pPr>
      <w:r>
        <w:rPr>
          <w:rFonts w:hint="eastAsia"/>
          <w:color w:val="auto"/>
        </w:rPr>
        <w:t>10.2.3  制冷消耗功率(W)：≤2500 ；</w:t>
      </w:r>
    </w:p>
    <w:p>
      <w:pPr>
        <w:rPr>
          <w:color w:val="auto"/>
        </w:rPr>
      </w:pPr>
      <w:r>
        <w:rPr>
          <w:rFonts w:hint="eastAsia"/>
          <w:color w:val="auto"/>
        </w:rPr>
        <w:t xml:space="preserve">10.2.4  使用环境温度：-20℃～55℃； </w:t>
      </w:r>
    </w:p>
    <w:p>
      <w:pPr>
        <w:rPr>
          <w:color w:val="auto"/>
        </w:rPr>
      </w:pPr>
      <w:r>
        <w:rPr>
          <w:rFonts w:hint="eastAsia"/>
          <w:color w:val="auto"/>
        </w:rPr>
        <w:t>10.2.5  电源：220 V /50 Hz；</w:t>
      </w:r>
    </w:p>
    <w:p>
      <w:pPr>
        <w:rPr>
          <w:color w:val="auto"/>
        </w:rPr>
      </w:pPr>
      <w:r>
        <w:rPr>
          <w:rFonts w:hint="eastAsia"/>
          <w:color w:val="auto"/>
        </w:rPr>
        <w:t>10.2.6  室内机：≥2台，制冷量（W）≥4500，制热量（W）≥5500。</w:t>
      </w:r>
    </w:p>
    <w:p>
      <w:pPr>
        <w:rPr>
          <w:color w:val="auto"/>
        </w:rPr>
      </w:pPr>
      <w:r>
        <w:rPr>
          <w:rFonts w:hint="eastAsia"/>
          <w:color w:val="auto"/>
        </w:rPr>
        <w:t>10.3车载饮水机1台</w:t>
      </w:r>
    </w:p>
    <w:p>
      <w:pPr>
        <w:rPr>
          <w:color w:val="auto"/>
        </w:rPr>
      </w:pPr>
      <w:r>
        <w:rPr>
          <w:rFonts w:hint="eastAsia"/>
          <w:color w:val="auto"/>
        </w:rPr>
        <w:t>10.3.1车载型，净水桶底部放置。</w:t>
      </w:r>
    </w:p>
    <w:p>
      <w:pPr>
        <w:rPr>
          <w:color w:val="auto"/>
        </w:rPr>
      </w:pPr>
      <w:r>
        <w:rPr>
          <w:rFonts w:hint="eastAsia"/>
          <w:color w:val="auto"/>
        </w:rPr>
        <w:t>10.4 电动幕布背景墙1套</w:t>
      </w:r>
    </w:p>
    <w:p>
      <w:pPr>
        <w:rPr>
          <w:color w:val="auto"/>
        </w:rPr>
      </w:pPr>
      <w:r>
        <w:rPr>
          <w:rFonts w:hint="eastAsia"/>
          <w:color w:val="auto"/>
        </w:rPr>
        <w:t>10.4.1 电动幕布背景墙，可作为会议时背景使用，≥四个背景设置，长≥2米，深度≥1.5米，支持集中控制系统控制。</w:t>
      </w:r>
    </w:p>
    <w:p>
      <w:pPr>
        <w:rPr>
          <w:color w:val="auto"/>
        </w:rPr>
      </w:pPr>
      <w:r>
        <w:rPr>
          <w:rFonts w:hint="eastAsia"/>
          <w:color w:val="auto"/>
        </w:rPr>
        <w:t>11  照明系统</w:t>
      </w:r>
    </w:p>
    <w:p>
      <w:pPr>
        <w:rPr>
          <w:color w:val="auto"/>
        </w:rPr>
      </w:pPr>
      <w:r>
        <w:rPr>
          <w:rFonts w:hint="eastAsia"/>
          <w:color w:val="auto"/>
        </w:rPr>
        <w:t>11.1 场地照明1套</w:t>
      </w:r>
    </w:p>
    <w:p>
      <w:pPr>
        <w:rPr>
          <w:color w:val="auto"/>
        </w:rPr>
      </w:pPr>
      <w:r>
        <w:rPr>
          <w:rFonts w:hint="eastAsia"/>
          <w:color w:val="auto"/>
        </w:rPr>
        <w:t>11.1.1  用于车身周边照明，便于人员夜间工作；</w:t>
      </w:r>
    </w:p>
    <w:p>
      <w:pPr>
        <w:rPr>
          <w:color w:val="auto"/>
        </w:rPr>
      </w:pPr>
      <w:r>
        <w:rPr>
          <w:rFonts w:hint="eastAsia"/>
          <w:color w:val="auto"/>
        </w:rPr>
        <w:t>11.1.2 LED照明灯，功率≥30W，数量≥4只，防水、防尘，安装在车两侧，实现夜间场地照明；</w:t>
      </w:r>
    </w:p>
    <w:p>
      <w:pPr>
        <w:rPr>
          <w:color w:val="auto"/>
        </w:rPr>
      </w:pPr>
      <w:r>
        <w:rPr>
          <w:rFonts w:hint="eastAsia"/>
          <w:color w:val="auto"/>
        </w:rPr>
        <w:t>11.1.3 工作电压220V；</w:t>
      </w:r>
    </w:p>
    <w:p>
      <w:pPr>
        <w:rPr>
          <w:color w:val="auto"/>
        </w:rPr>
      </w:pPr>
      <w:r>
        <w:rPr>
          <w:rFonts w:hint="eastAsia"/>
          <w:color w:val="auto"/>
        </w:rPr>
        <w:t>11.1.4 照明度≥200lux。</w:t>
      </w:r>
    </w:p>
    <w:p>
      <w:pPr>
        <w:rPr>
          <w:color w:val="auto"/>
        </w:rPr>
      </w:pPr>
      <w:r>
        <w:rPr>
          <w:rFonts w:hint="eastAsia"/>
          <w:color w:val="auto"/>
        </w:rPr>
        <w:t>11.2  车外升降照明灯1套</w:t>
      </w:r>
    </w:p>
    <w:p>
      <w:pPr>
        <w:rPr>
          <w:color w:val="auto"/>
        </w:rPr>
      </w:pPr>
      <w:r>
        <w:rPr>
          <w:rFonts w:hint="eastAsia"/>
          <w:color w:val="auto"/>
        </w:rPr>
        <w:t>11.2.1  电动升降杆；</w:t>
      </w:r>
    </w:p>
    <w:p>
      <w:pPr>
        <w:rPr>
          <w:color w:val="auto"/>
        </w:rPr>
      </w:pPr>
      <w:r>
        <w:rPr>
          <w:rFonts w:hint="eastAsia"/>
          <w:color w:val="auto"/>
        </w:rPr>
        <w:t>11.2.2  展开高度：≥8000 mm；</w:t>
      </w:r>
    </w:p>
    <w:p>
      <w:pPr>
        <w:rPr>
          <w:color w:val="auto"/>
        </w:rPr>
      </w:pPr>
      <w:r>
        <w:rPr>
          <w:rFonts w:hint="eastAsia"/>
          <w:color w:val="auto"/>
        </w:rPr>
        <w:t>11.2.3  闭合高度：≥1970 mm；</w:t>
      </w:r>
    </w:p>
    <w:p>
      <w:pPr>
        <w:rPr>
          <w:color w:val="auto"/>
        </w:rPr>
      </w:pPr>
      <w:r>
        <w:rPr>
          <w:rFonts w:hint="eastAsia"/>
          <w:color w:val="auto"/>
        </w:rPr>
        <w:t>11.2.4  节数：≥6；</w:t>
      </w:r>
    </w:p>
    <w:p>
      <w:pPr>
        <w:rPr>
          <w:color w:val="auto"/>
        </w:rPr>
      </w:pPr>
      <w:r>
        <w:rPr>
          <w:rFonts w:hint="eastAsia"/>
          <w:color w:val="auto"/>
        </w:rPr>
        <w:t>11.2.5  最大外管径：≤Φ170 mm；</w:t>
      </w:r>
    </w:p>
    <w:p>
      <w:pPr>
        <w:rPr>
          <w:color w:val="auto"/>
        </w:rPr>
      </w:pPr>
      <w:r>
        <w:rPr>
          <w:rFonts w:hint="eastAsia"/>
          <w:color w:val="auto"/>
        </w:rPr>
        <w:t>11.2.6  自重：≤110Kg；</w:t>
      </w:r>
    </w:p>
    <w:p>
      <w:pPr>
        <w:rPr>
          <w:color w:val="auto"/>
        </w:rPr>
      </w:pPr>
      <w:r>
        <w:rPr>
          <w:rFonts w:hint="eastAsia"/>
          <w:color w:val="auto"/>
        </w:rPr>
        <w:t>11.2.7  转角精度：≤±2°；</w:t>
      </w:r>
    </w:p>
    <w:p>
      <w:pPr>
        <w:rPr>
          <w:color w:val="auto"/>
        </w:rPr>
      </w:pPr>
      <w:r>
        <w:rPr>
          <w:rFonts w:hint="eastAsia"/>
          <w:color w:val="auto"/>
        </w:rPr>
        <w:t>11.2.8  升降速度：≥3.0 m/min；</w:t>
      </w:r>
    </w:p>
    <w:p>
      <w:pPr>
        <w:rPr>
          <w:color w:val="auto"/>
        </w:rPr>
      </w:pPr>
      <w:r>
        <w:rPr>
          <w:rFonts w:hint="eastAsia"/>
          <w:color w:val="auto"/>
        </w:rPr>
        <w:t>11.2.9  承载能力：≥65Kg；</w:t>
      </w:r>
    </w:p>
    <w:p>
      <w:pPr>
        <w:rPr>
          <w:color w:val="auto"/>
        </w:rPr>
      </w:pPr>
      <w:r>
        <w:rPr>
          <w:rFonts w:hint="eastAsia"/>
          <w:color w:val="auto"/>
        </w:rPr>
        <w:t>11.2.10  供电方式：220V，50Hz；</w:t>
      </w:r>
    </w:p>
    <w:p>
      <w:pPr>
        <w:rPr>
          <w:color w:val="auto"/>
        </w:rPr>
      </w:pPr>
      <w:r>
        <w:rPr>
          <w:rFonts w:hint="eastAsia"/>
          <w:color w:val="auto"/>
        </w:rPr>
        <w:t>11.2.11  灯具工作电压：12V；</w:t>
      </w:r>
    </w:p>
    <w:p>
      <w:pPr>
        <w:rPr>
          <w:color w:val="auto"/>
        </w:rPr>
      </w:pPr>
      <w:r>
        <w:rPr>
          <w:rFonts w:hint="eastAsia"/>
          <w:color w:val="auto"/>
        </w:rPr>
        <w:t>11.2.12  灯具功率：≥500W*2；</w:t>
      </w:r>
    </w:p>
    <w:p>
      <w:pPr>
        <w:rPr>
          <w:color w:val="auto"/>
        </w:rPr>
      </w:pPr>
      <w:r>
        <w:rPr>
          <w:rFonts w:hint="eastAsia"/>
          <w:color w:val="auto"/>
        </w:rPr>
        <w:t>11.2.13  灯具工作电流：≤25A；</w:t>
      </w:r>
    </w:p>
    <w:p>
      <w:pPr>
        <w:rPr>
          <w:color w:val="auto"/>
        </w:rPr>
      </w:pPr>
      <w:r>
        <w:rPr>
          <w:rFonts w:hint="eastAsia"/>
          <w:color w:val="auto"/>
        </w:rPr>
        <w:t>11.2.14  旋转工作电流：≤2A（max）；</w:t>
      </w:r>
    </w:p>
    <w:p>
      <w:pPr>
        <w:rPr>
          <w:color w:val="auto"/>
        </w:rPr>
      </w:pPr>
      <w:r>
        <w:rPr>
          <w:rFonts w:hint="eastAsia"/>
          <w:color w:val="auto"/>
        </w:rPr>
        <w:t>11.2.15  水平旋转角度：380°；</w:t>
      </w:r>
    </w:p>
    <w:p>
      <w:pPr>
        <w:rPr>
          <w:color w:val="auto"/>
        </w:rPr>
      </w:pPr>
      <w:r>
        <w:rPr>
          <w:rFonts w:hint="eastAsia"/>
          <w:color w:val="auto"/>
        </w:rPr>
        <w:t>11.2.16  垂直旋转角度：330°；</w:t>
      </w:r>
    </w:p>
    <w:p>
      <w:pPr>
        <w:rPr>
          <w:color w:val="auto"/>
        </w:rPr>
      </w:pPr>
      <w:r>
        <w:rPr>
          <w:rFonts w:hint="eastAsia"/>
          <w:color w:val="auto"/>
        </w:rPr>
        <w:t>11.2.17  水平、垂直旋转速度：4r/min；</w:t>
      </w:r>
    </w:p>
    <w:p>
      <w:pPr>
        <w:rPr>
          <w:color w:val="auto"/>
        </w:rPr>
      </w:pPr>
      <w:r>
        <w:rPr>
          <w:rFonts w:hint="eastAsia"/>
          <w:color w:val="auto"/>
        </w:rPr>
        <w:t>11.2.18  光通量：≥22600lm；</w:t>
      </w:r>
    </w:p>
    <w:p>
      <w:pPr>
        <w:rPr>
          <w:color w:val="auto"/>
        </w:rPr>
      </w:pPr>
      <w:r>
        <w:rPr>
          <w:rFonts w:hint="eastAsia"/>
          <w:color w:val="auto"/>
        </w:rPr>
        <w:t>11.2.19  工作环境温度：≥-30°～55°；</w:t>
      </w:r>
    </w:p>
    <w:p>
      <w:pPr>
        <w:rPr>
          <w:color w:val="auto"/>
        </w:rPr>
      </w:pPr>
      <w:r>
        <w:rPr>
          <w:rFonts w:hint="eastAsia"/>
          <w:color w:val="auto"/>
        </w:rPr>
        <w:t>11.2.20  灯具防护等级：IP67；</w:t>
      </w:r>
    </w:p>
    <w:p>
      <w:pPr>
        <w:rPr>
          <w:color w:val="auto"/>
        </w:rPr>
      </w:pPr>
      <w:r>
        <w:rPr>
          <w:rFonts w:hint="eastAsia"/>
          <w:color w:val="auto"/>
        </w:rPr>
        <w:t>11.2.21  灯具开关方式：两只灯具分别控制；</w:t>
      </w:r>
    </w:p>
    <w:p>
      <w:pPr>
        <w:rPr>
          <w:color w:val="auto"/>
        </w:rPr>
      </w:pPr>
      <w:r>
        <w:rPr>
          <w:rFonts w:hint="eastAsia"/>
          <w:color w:val="auto"/>
        </w:rPr>
        <w:t>11.2.22  灯具灯光形式：聚光；</w:t>
      </w:r>
    </w:p>
    <w:p>
      <w:pPr>
        <w:rPr>
          <w:color w:val="auto"/>
        </w:rPr>
      </w:pPr>
      <w:r>
        <w:rPr>
          <w:rFonts w:hint="eastAsia"/>
          <w:color w:val="auto"/>
        </w:rPr>
        <w:t>11.2.23  灯具光源类型：LED；</w:t>
      </w:r>
    </w:p>
    <w:p>
      <w:pPr>
        <w:rPr>
          <w:color w:val="auto"/>
        </w:rPr>
      </w:pPr>
      <w:r>
        <w:rPr>
          <w:rFonts w:hint="eastAsia"/>
          <w:color w:val="auto"/>
        </w:rPr>
        <w:t>11.2.24  控制方式：有线和无线控制；</w:t>
      </w:r>
    </w:p>
    <w:p>
      <w:pPr>
        <w:rPr>
          <w:color w:val="auto"/>
        </w:rPr>
      </w:pPr>
      <w:r>
        <w:rPr>
          <w:rFonts w:hint="eastAsia"/>
          <w:color w:val="auto"/>
        </w:rPr>
        <w:t>11.3  车内照明1套</w:t>
      </w:r>
    </w:p>
    <w:p>
      <w:pPr>
        <w:rPr>
          <w:color w:val="auto"/>
        </w:rPr>
      </w:pPr>
      <w:r>
        <w:rPr>
          <w:rFonts w:hint="eastAsia"/>
          <w:color w:val="auto"/>
        </w:rPr>
        <w:t>11.3.1  车内照明系统分为交流照明、直流照明，二者互为补充；</w:t>
      </w:r>
    </w:p>
    <w:p>
      <w:pPr>
        <w:rPr>
          <w:color w:val="auto"/>
        </w:rPr>
      </w:pPr>
      <w:r>
        <w:rPr>
          <w:rFonts w:hint="eastAsia"/>
          <w:color w:val="auto"/>
        </w:rPr>
        <w:t>11.3.2  车内照明包括车内LED灯源（发电机舱照明、裙箱照明、机柜照明、设备间照明、会议室照明）、触控屏、控制软件；</w:t>
      </w:r>
    </w:p>
    <w:p>
      <w:pPr>
        <w:rPr>
          <w:color w:val="auto"/>
        </w:rPr>
      </w:pPr>
      <w:r>
        <w:rPr>
          <w:rFonts w:hint="eastAsia"/>
          <w:color w:val="auto"/>
        </w:rPr>
        <w:t>11.3.3  LED灯源具备调色与调光功能，触控屏位置设置合理；</w:t>
      </w:r>
    </w:p>
    <w:p>
      <w:pPr>
        <w:rPr>
          <w:color w:val="auto"/>
        </w:rPr>
      </w:pPr>
      <w:r>
        <w:rPr>
          <w:rFonts w:hint="eastAsia"/>
          <w:color w:val="auto"/>
        </w:rPr>
        <w:t>11.3.4  会议室照明设计应充分考虑视频会议及工作照明的要求，具备分组控制功能；</w:t>
      </w:r>
    </w:p>
    <w:p>
      <w:pPr>
        <w:rPr>
          <w:color w:val="auto"/>
        </w:rPr>
      </w:pPr>
      <w:r>
        <w:rPr>
          <w:rFonts w:hint="eastAsia"/>
          <w:color w:val="auto"/>
        </w:rPr>
        <w:t>11.3.5  照度≥200lux。</w:t>
      </w:r>
    </w:p>
    <w:p>
      <w:pPr>
        <w:rPr>
          <w:color w:val="auto"/>
        </w:rPr>
      </w:pPr>
      <w:r>
        <w:rPr>
          <w:rFonts w:hint="eastAsia"/>
          <w:color w:val="auto"/>
        </w:rPr>
        <w:t>11.4 应急照明1套</w:t>
      </w:r>
    </w:p>
    <w:p>
      <w:pPr>
        <w:rPr>
          <w:color w:val="auto"/>
        </w:rPr>
      </w:pPr>
      <w:r>
        <w:rPr>
          <w:rFonts w:hint="eastAsia"/>
          <w:color w:val="auto"/>
        </w:rPr>
        <w:t>11.4.1 车内应急照明灯。</w:t>
      </w:r>
    </w:p>
    <w:p>
      <w:pPr>
        <w:rPr>
          <w:color w:val="auto"/>
        </w:rPr>
      </w:pPr>
      <w:r>
        <w:rPr>
          <w:rFonts w:hint="eastAsia"/>
          <w:color w:val="auto"/>
        </w:rPr>
        <w:t>12  配套设施</w:t>
      </w:r>
    </w:p>
    <w:p>
      <w:pPr>
        <w:rPr>
          <w:color w:val="auto"/>
        </w:rPr>
      </w:pPr>
      <w:r>
        <w:rPr>
          <w:rFonts w:hint="eastAsia"/>
          <w:color w:val="auto"/>
        </w:rPr>
        <w:t>12.1.  光缆盘1个</w:t>
      </w:r>
    </w:p>
    <w:p>
      <w:pPr>
        <w:rPr>
          <w:color w:val="auto"/>
        </w:rPr>
      </w:pPr>
      <w:r>
        <w:rPr>
          <w:rFonts w:hint="eastAsia"/>
          <w:color w:val="auto"/>
        </w:rPr>
        <w:t>12.1.1  野战2芯，单模光纤，≥1000m，含绕线盘及接头；</w:t>
      </w:r>
    </w:p>
    <w:p>
      <w:pPr>
        <w:rPr>
          <w:color w:val="auto"/>
        </w:rPr>
      </w:pPr>
      <w:r>
        <w:rPr>
          <w:rFonts w:hint="eastAsia"/>
          <w:color w:val="auto"/>
        </w:rPr>
        <w:t>12.1.2  光纤类型：G657A2；</w:t>
      </w:r>
    </w:p>
    <w:p>
      <w:pPr>
        <w:rPr>
          <w:color w:val="auto"/>
        </w:rPr>
      </w:pPr>
      <w:r>
        <w:rPr>
          <w:rFonts w:hint="eastAsia"/>
          <w:color w:val="auto"/>
        </w:rPr>
        <w:t>12.1.3  紧套外径：0.6mm；</w:t>
      </w:r>
    </w:p>
    <w:p>
      <w:pPr>
        <w:rPr>
          <w:color w:val="auto"/>
        </w:rPr>
      </w:pPr>
      <w:r>
        <w:rPr>
          <w:rFonts w:hint="eastAsia"/>
          <w:color w:val="auto"/>
        </w:rPr>
        <w:t>12.1.4  光纤颜色：2色（蓝/橙）；</w:t>
      </w:r>
    </w:p>
    <w:p>
      <w:pPr>
        <w:rPr>
          <w:color w:val="auto"/>
        </w:rPr>
      </w:pPr>
      <w:r>
        <w:rPr>
          <w:rFonts w:hint="eastAsia"/>
          <w:color w:val="auto"/>
        </w:rPr>
        <w:t>12.1.5  标称速率：2048Kbit/s，容差±50ppm；</w:t>
      </w:r>
    </w:p>
    <w:p>
      <w:pPr>
        <w:rPr>
          <w:color w:val="auto"/>
        </w:rPr>
      </w:pPr>
      <w:r>
        <w:rPr>
          <w:rFonts w:hint="eastAsia"/>
          <w:color w:val="auto"/>
        </w:rPr>
        <w:t>12.1.6  抗拉原件：凯夫拉；</w:t>
      </w:r>
    </w:p>
    <w:p>
      <w:pPr>
        <w:rPr>
          <w:color w:val="auto"/>
        </w:rPr>
      </w:pPr>
      <w:r>
        <w:rPr>
          <w:rFonts w:hint="eastAsia"/>
          <w:color w:val="auto"/>
        </w:rPr>
        <w:t>12.1.7  不锈钢软管：SUS200CU；</w:t>
      </w:r>
    </w:p>
    <w:p>
      <w:pPr>
        <w:rPr>
          <w:color w:val="auto"/>
        </w:rPr>
      </w:pPr>
      <w:r>
        <w:rPr>
          <w:rFonts w:hint="eastAsia"/>
          <w:color w:val="auto"/>
        </w:rPr>
        <w:t>12.1.8  外护套：TPU护套黑色；</w:t>
      </w:r>
    </w:p>
    <w:p>
      <w:pPr>
        <w:rPr>
          <w:color w:val="auto"/>
        </w:rPr>
      </w:pPr>
      <w:r>
        <w:rPr>
          <w:rFonts w:hint="eastAsia"/>
          <w:color w:val="auto"/>
        </w:rPr>
        <w:t>12.1.9  工作温度：≥-40~﹢85℃。</w:t>
      </w:r>
    </w:p>
    <w:p>
      <w:pPr>
        <w:rPr>
          <w:color w:val="auto"/>
        </w:rPr>
      </w:pPr>
      <w:r>
        <w:rPr>
          <w:rFonts w:hint="eastAsia"/>
          <w:color w:val="auto"/>
        </w:rPr>
        <w:t>12.2  电动线缆盘1套</w:t>
      </w:r>
    </w:p>
    <w:p>
      <w:pPr>
        <w:rPr>
          <w:color w:val="auto"/>
        </w:rPr>
      </w:pPr>
      <w:r>
        <w:rPr>
          <w:rFonts w:hint="eastAsia"/>
          <w:color w:val="auto"/>
        </w:rPr>
        <w:t>12.2.1 电动绕线盘，滑环类型碳刷铜环型，卷盘结构为双侧支撑型，防触电，耐拔插。配备≥50米线缆。</w:t>
      </w:r>
    </w:p>
    <w:p>
      <w:pPr>
        <w:rPr>
          <w:color w:val="auto"/>
        </w:rPr>
      </w:pPr>
      <w:r>
        <w:rPr>
          <w:rFonts w:hint="eastAsia"/>
          <w:color w:val="auto"/>
        </w:rPr>
        <w:t>12.3  手动线缆盘1套</w:t>
      </w:r>
    </w:p>
    <w:p>
      <w:pPr>
        <w:rPr>
          <w:color w:val="auto"/>
        </w:rPr>
      </w:pPr>
      <w:r>
        <w:rPr>
          <w:rFonts w:hint="eastAsia"/>
          <w:color w:val="auto"/>
        </w:rPr>
        <w:t>12.3.1 手动线缆盘，过热保护，4位10A五孔，接线规格30m/3*1.0mm2，完全退卷负载1750W。</w:t>
      </w:r>
    </w:p>
    <w:p>
      <w:pPr>
        <w:rPr>
          <w:color w:val="auto"/>
        </w:rPr>
      </w:pPr>
      <w:r>
        <w:rPr>
          <w:rFonts w:hint="eastAsia"/>
          <w:color w:val="auto"/>
        </w:rPr>
        <w:t>12.4 外接线缆1套</w:t>
      </w:r>
    </w:p>
    <w:p>
      <w:pPr>
        <w:rPr>
          <w:color w:val="auto"/>
        </w:rPr>
      </w:pPr>
      <w:r>
        <w:rPr>
          <w:rFonts w:hint="eastAsia"/>
          <w:color w:val="auto"/>
        </w:rPr>
        <w:t>12.4.1  ≥50米音视频线（含绕线盘）、电源线：≥30米（含绕线盘）。</w:t>
      </w:r>
    </w:p>
    <w:p>
      <w:pPr>
        <w:rPr>
          <w:color w:val="auto"/>
        </w:rPr>
      </w:pPr>
      <w:r>
        <w:rPr>
          <w:rFonts w:hint="eastAsia"/>
          <w:color w:val="auto"/>
        </w:rPr>
        <w:t>12.5 医疗急救箱1个</w:t>
      </w:r>
    </w:p>
    <w:p>
      <w:pPr>
        <w:rPr>
          <w:color w:val="auto"/>
        </w:rPr>
      </w:pPr>
      <w:r>
        <w:rPr>
          <w:rFonts w:hint="eastAsia"/>
          <w:color w:val="auto"/>
        </w:rPr>
        <w:t>12.5.1 铝合金便携式医疗急救箱 ，长宽高：≥405/220/230mm。</w:t>
      </w:r>
    </w:p>
    <w:p>
      <w:pPr>
        <w:rPr>
          <w:color w:val="auto"/>
        </w:rPr>
      </w:pPr>
      <w:r>
        <w:rPr>
          <w:rFonts w:hint="eastAsia"/>
          <w:color w:val="auto"/>
        </w:rPr>
        <w:t>12.6 土木工具1套</w:t>
      </w:r>
    </w:p>
    <w:p>
      <w:pPr>
        <w:rPr>
          <w:color w:val="auto"/>
        </w:rPr>
      </w:pPr>
      <w:r>
        <w:rPr>
          <w:rFonts w:hint="eastAsia"/>
          <w:color w:val="auto"/>
        </w:rPr>
        <w:t>12.6.1 含铁镐、铁锹、铁锤、多用斧头等。</w:t>
      </w:r>
    </w:p>
    <w:p>
      <w:pPr>
        <w:rPr>
          <w:color w:val="auto"/>
        </w:rPr>
      </w:pPr>
      <w:r>
        <w:rPr>
          <w:rFonts w:hint="eastAsia"/>
          <w:color w:val="auto"/>
        </w:rPr>
        <w:t>12.7维护工具1套</w:t>
      </w:r>
    </w:p>
    <w:p>
      <w:pPr>
        <w:rPr>
          <w:color w:val="auto"/>
        </w:rPr>
      </w:pPr>
      <w:r>
        <w:rPr>
          <w:rFonts w:hint="eastAsia"/>
          <w:color w:val="auto"/>
        </w:rPr>
        <w:t>12.7.1 包含万用表、电烙铁、电工胶布1卷、美工刀1把、内六角扳手5 把、6X100螺丝刀2把、尖嘴钳1把、3米卷尺1把、羊角锤1把，方便携带。</w:t>
      </w:r>
    </w:p>
    <w:p>
      <w:pPr>
        <w:rPr>
          <w:color w:val="auto"/>
        </w:rPr>
      </w:pPr>
      <w:r>
        <w:rPr>
          <w:rFonts w:hint="eastAsia"/>
          <w:color w:val="auto"/>
        </w:rPr>
        <w:t>13  车辆接口</w:t>
      </w:r>
    </w:p>
    <w:p>
      <w:pPr>
        <w:rPr>
          <w:color w:val="auto"/>
        </w:rPr>
      </w:pPr>
      <w:r>
        <w:rPr>
          <w:rFonts w:hint="eastAsia"/>
          <w:color w:val="auto"/>
        </w:rPr>
        <w:t>13.1  电源接口窗1个</w:t>
      </w:r>
    </w:p>
    <w:p>
      <w:pPr>
        <w:rPr>
          <w:color w:val="auto"/>
        </w:rPr>
      </w:pPr>
      <w:r>
        <w:rPr>
          <w:rFonts w:hint="eastAsia"/>
          <w:color w:val="auto"/>
        </w:rPr>
        <w:t>13.1.1 配380V电源输入接口≥1个；</w:t>
      </w:r>
    </w:p>
    <w:p>
      <w:pPr>
        <w:rPr>
          <w:color w:val="auto"/>
        </w:rPr>
      </w:pPr>
      <w:r>
        <w:rPr>
          <w:rFonts w:hint="eastAsia"/>
          <w:color w:val="auto"/>
        </w:rPr>
        <w:t>13.1.2  220V电源输入接口≥1个；</w:t>
      </w:r>
    </w:p>
    <w:p>
      <w:pPr>
        <w:rPr>
          <w:color w:val="auto"/>
        </w:rPr>
      </w:pPr>
      <w:r>
        <w:rPr>
          <w:rFonts w:hint="eastAsia"/>
          <w:color w:val="auto"/>
        </w:rPr>
        <w:t>13.1.3  220V输出接口≥2个；</w:t>
      </w:r>
    </w:p>
    <w:p>
      <w:pPr>
        <w:rPr>
          <w:color w:val="auto"/>
        </w:rPr>
      </w:pPr>
      <w:r>
        <w:rPr>
          <w:rFonts w:hint="eastAsia"/>
          <w:color w:val="auto"/>
        </w:rPr>
        <w:t>13.1.4  电源总开关≥1个；</w:t>
      </w:r>
    </w:p>
    <w:p>
      <w:pPr>
        <w:rPr>
          <w:color w:val="auto"/>
        </w:rPr>
      </w:pPr>
      <w:r>
        <w:rPr>
          <w:rFonts w:hint="eastAsia"/>
          <w:color w:val="auto"/>
        </w:rPr>
        <w:t>13.1.5  220V漏电保护模块≥1个；</w:t>
      </w:r>
    </w:p>
    <w:p>
      <w:pPr>
        <w:rPr>
          <w:color w:val="auto"/>
        </w:rPr>
      </w:pPr>
      <w:r>
        <w:rPr>
          <w:rFonts w:hint="eastAsia"/>
          <w:color w:val="auto"/>
        </w:rPr>
        <w:t>13.1.6  220V 防雷模块≥1个；</w:t>
      </w:r>
    </w:p>
    <w:p>
      <w:pPr>
        <w:rPr>
          <w:color w:val="auto"/>
        </w:rPr>
      </w:pPr>
      <w:r>
        <w:rPr>
          <w:rFonts w:hint="eastAsia"/>
          <w:color w:val="auto"/>
        </w:rPr>
        <w:t>13.1.7  符合国家相关标准。</w:t>
      </w:r>
    </w:p>
    <w:p>
      <w:pPr>
        <w:rPr>
          <w:color w:val="auto"/>
        </w:rPr>
      </w:pPr>
      <w:r>
        <w:rPr>
          <w:rFonts w:hint="eastAsia"/>
          <w:color w:val="auto"/>
        </w:rPr>
        <w:t>13.2 信息接口窗1个</w:t>
      </w:r>
    </w:p>
    <w:p>
      <w:pPr>
        <w:rPr>
          <w:color w:val="auto"/>
        </w:rPr>
      </w:pPr>
      <w:r>
        <w:rPr>
          <w:rFonts w:hint="eastAsia"/>
          <w:color w:val="auto"/>
        </w:rPr>
        <w:t>13.2.1  ≥2个网络接口、≥4组电话接口、≥2组音频输入输出接口、≥2组HDSDI视频输入输出接口、≥2组HDMI输入接口、≥2组光纤接口。符合国家相关接口。</w:t>
      </w:r>
    </w:p>
    <w:p>
      <w:pPr>
        <w:rPr>
          <w:color w:val="auto"/>
        </w:rPr>
      </w:pPr>
      <w:r>
        <w:rPr>
          <w:rFonts w:hint="eastAsia"/>
          <w:color w:val="auto"/>
        </w:rPr>
        <w:t>13.3 桌面接口窗2个</w:t>
      </w:r>
    </w:p>
    <w:p>
      <w:pPr>
        <w:rPr>
          <w:color w:val="auto"/>
        </w:rPr>
      </w:pPr>
      <w:r>
        <w:rPr>
          <w:rFonts w:hint="eastAsia"/>
          <w:color w:val="auto"/>
        </w:rPr>
        <w:t>13.3.1 模块化设计，配置接口≥2个网络接口、≥1个电话接口、≥1个5孔电源插座、≥2个音频输入接口、≥1个HDMI输入接口，符合国家相关接口。</w:t>
      </w:r>
    </w:p>
    <w:p>
      <w:pPr>
        <w:rPr>
          <w:color w:val="auto"/>
        </w:rPr>
      </w:pPr>
      <w:r>
        <w:rPr>
          <w:rFonts w:hint="eastAsia"/>
          <w:color w:val="auto"/>
        </w:rPr>
        <w:t>13.4 车内各开关、插座1套</w:t>
      </w:r>
    </w:p>
    <w:p>
      <w:pPr>
        <w:rPr>
          <w:color w:val="auto"/>
        </w:rPr>
      </w:pPr>
      <w:r>
        <w:rPr>
          <w:rFonts w:hint="eastAsia"/>
          <w:color w:val="auto"/>
        </w:rPr>
        <w:t>13.4.1 定制车内开关、插座、辅材等。</w:t>
      </w:r>
    </w:p>
    <w:p>
      <w:pPr>
        <w:rPr>
          <w:color w:val="auto"/>
        </w:rPr>
      </w:pPr>
      <w:r>
        <w:rPr>
          <w:rFonts w:hint="eastAsia"/>
          <w:color w:val="auto"/>
        </w:rPr>
        <w:t>13.5 线材接插件1套</w:t>
      </w:r>
    </w:p>
    <w:p>
      <w:pPr>
        <w:rPr>
          <w:color w:val="auto"/>
        </w:rPr>
      </w:pPr>
      <w:r>
        <w:rPr>
          <w:rFonts w:hint="eastAsia"/>
          <w:color w:val="auto"/>
        </w:rPr>
        <w:t>13.5.1 线缆选用符合国家3C要求的正规厂家产品，线缆选用应根据设备最大功耗选用合适的线径。</w:t>
      </w:r>
    </w:p>
    <w:p>
      <w:pPr>
        <w:rPr>
          <w:color w:val="auto"/>
        </w:rPr>
      </w:pPr>
      <w:r>
        <w:rPr>
          <w:rFonts w:hint="eastAsia"/>
          <w:color w:val="auto"/>
        </w:rPr>
        <w:t>14  扩展方舱及改装</w:t>
      </w:r>
    </w:p>
    <w:p>
      <w:pPr>
        <w:rPr>
          <w:color w:val="auto"/>
        </w:rPr>
      </w:pPr>
      <w:r>
        <w:rPr>
          <w:rFonts w:hint="eastAsia"/>
          <w:color w:val="auto"/>
        </w:rPr>
        <w:t>14.1底盘改制加固</w:t>
      </w:r>
    </w:p>
    <w:p>
      <w:pPr>
        <w:rPr>
          <w:color w:val="auto"/>
        </w:rPr>
      </w:pPr>
      <w:r>
        <w:rPr>
          <w:rFonts w:hint="eastAsia"/>
          <w:color w:val="auto"/>
        </w:rPr>
        <w:t>14.1.1 底盘附件根据需要进行移位，支撑腿、车厢副梁等连接处进行加强。</w:t>
      </w:r>
    </w:p>
    <w:p>
      <w:pPr>
        <w:rPr>
          <w:color w:val="auto"/>
        </w:rPr>
      </w:pPr>
      <w:r>
        <w:rPr>
          <w:rFonts w:hint="eastAsia"/>
          <w:color w:val="auto"/>
        </w:rPr>
        <w:t>14.2 底盘副车架1个</w:t>
      </w:r>
    </w:p>
    <w:p>
      <w:pPr>
        <w:rPr>
          <w:color w:val="auto"/>
        </w:rPr>
      </w:pPr>
      <w:r>
        <w:rPr>
          <w:rFonts w:hint="eastAsia"/>
          <w:color w:val="auto"/>
        </w:rPr>
        <w:t>14.2.1 采用厚钢板、矩形钢管、槽钢等组焊加工，开口封堵，焊后整体防锈喷涂处理。</w:t>
      </w:r>
    </w:p>
    <w:p>
      <w:pPr>
        <w:rPr>
          <w:color w:val="auto"/>
        </w:rPr>
      </w:pPr>
      <w:r>
        <w:rPr>
          <w:rFonts w:hint="eastAsia"/>
          <w:color w:val="auto"/>
        </w:rPr>
        <w:t>14.3 主车舱制作1个</w:t>
      </w:r>
    </w:p>
    <w:p>
      <w:pPr>
        <w:rPr>
          <w:color w:val="auto"/>
        </w:rPr>
      </w:pPr>
      <w:r>
        <w:rPr>
          <w:rFonts w:hint="eastAsia"/>
          <w:color w:val="auto"/>
        </w:rPr>
        <w:t>14.3.1 钢骨架，车厢外蒙板采用铝合金蒙皮，箱体板片采用复合大板制作技术，骨架由Q235方形钢管；板片骨架由钢制方管和铝型材切削加工制作，侧壁、底板、隔道、前后壁、顶壁均采用不低于δ1.5*40*40mm的钢制方管，板片蒙皮严格按专用工艺进行操作。厢体骨架电泳处理，厢体尺寸:8800mm≥长≥8650mm；2500≥宽≥2400mm；3400mm≥高≥3200mm，尾部设置后保险杠。</w:t>
      </w:r>
    </w:p>
    <w:p>
      <w:pPr>
        <w:rPr>
          <w:color w:val="auto"/>
        </w:rPr>
      </w:pPr>
      <w:r>
        <w:rPr>
          <w:rFonts w:hint="eastAsia"/>
          <w:color w:val="auto"/>
        </w:rPr>
        <w:t>14.4 侧拉舱体制作2个</w:t>
      </w:r>
    </w:p>
    <w:p>
      <w:pPr>
        <w:rPr>
          <w:color w:val="auto"/>
        </w:rPr>
      </w:pPr>
      <w:r>
        <w:rPr>
          <w:rFonts w:hint="eastAsia"/>
          <w:color w:val="auto"/>
        </w:rPr>
        <w:t>14.4.1 钢骨架，车厢外蒙板采用铝合金蒙皮，箱体板片采用复合大板制作技术，骨架由Q235方形钢管；板片骨架由钢制方管和铝型材切削加工制作，侧壁、底板、隔道、前后壁、顶壁均采用不低于δ1.5*40*40mm的钢制方管，板片蒙皮严格按专用工艺进行操作。厢体骨架电泳处理，左右各1套，4500mm≥长≥4230mm；1100mm≥宽≥1000mm；1950mm≥内高≥1850mm。</w:t>
      </w:r>
    </w:p>
    <w:p>
      <w:pPr>
        <w:rPr>
          <w:color w:val="auto"/>
        </w:rPr>
      </w:pPr>
      <w:r>
        <w:rPr>
          <w:rFonts w:hint="eastAsia"/>
          <w:color w:val="auto"/>
        </w:rPr>
        <w:t>14.5 裙边箱及舱体附件1套</w:t>
      </w:r>
    </w:p>
    <w:p>
      <w:pPr>
        <w:rPr>
          <w:color w:val="auto"/>
        </w:rPr>
      </w:pPr>
      <w:r>
        <w:rPr>
          <w:rFonts w:hint="eastAsia"/>
          <w:color w:val="auto"/>
        </w:rPr>
        <w:t>14.5.1  包括整车裙边箱、锁具及车顶不锈钢护栏、后爬梯等。</w:t>
      </w:r>
    </w:p>
    <w:p>
      <w:pPr>
        <w:rPr>
          <w:color w:val="auto"/>
        </w:rPr>
      </w:pPr>
      <w:r>
        <w:rPr>
          <w:rFonts w:hint="eastAsia"/>
          <w:color w:val="auto"/>
        </w:rPr>
        <w:t>14.6各类门体1套</w:t>
      </w:r>
    </w:p>
    <w:p>
      <w:pPr>
        <w:rPr>
          <w:color w:val="auto"/>
        </w:rPr>
      </w:pPr>
      <w:r>
        <w:rPr>
          <w:rFonts w:hint="eastAsia"/>
          <w:color w:val="auto"/>
        </w:rPr>
        <w:t>14.6.1  包括右侧登舱门1件，机柜检修门4件，发电机舱门左右各1件。</w:t>
      </w:r>
    </w:p>
    <w:p>
      <w:pPr>
        <w:rPr>
          <w:color w:val="auto"/>
        </w:rPr>
      </w:pPr>
      <w:r>
        <w:rPr>
          <w:rFonts w:hint="eastAsia"/>
          <w:color w:val="auto"/>
        </w:rPr>
        <w:t>14.7 采光窗1套</w:t>
      </w:r>
    </w:p>
    <w:p>
      <w:pPr>
        <w:rPr>
          <w:color w:val="auto"/>
        </w:rPr>
      </w:pPr>
      <w:r>
        <w:rPr>
          <w:rFonts w:hint="eastAsia"/>
          <w:color w:val="auto"/>
        </w:rPr>
        <w:t>14.7.1  汽车用钢化玻璃，推拉窗4件（826*576mm≥长*高≥700*450mm）。</w:t>
      </w:r>
    </w:p>
    <w:p>
      <w:pPr>
        <w:rPr>
          <w:color w:val="auto"/>
        </w:rPr>
      </w:pPr>
      <w:r>
        <w:rPr>
          <w:rFonts w:hint="eastAsia"/>
          <w:color w:val="auto"/>
        </w:rPr>
        <w:t>14.8 舱体密封1套</w:t>
      </w:r>
    </w:p>
    <w:p>
      <w:pPr>
        <w:rPr>
          <w:color w:val="auto"/>
        </w:rPr>
      </w:pPr>
      <w:r>
        <w:rPr>
          <w:rFonts w:hint="eastAsia"/>
          <w:color w:val="auto"/>
        </w:rPr>
        <w:t>14.8.1  舱体进行密封打胶处理，进行淋雨测试等。</w:t>
      </w:r>
    </w:p>
    <w:p>
      <w:pPr>
        <w:rPr>
          <w:color w:val="auto"/>
        </w:rPr>
      </w:pPr>
      <w:r>
        <w:rPr>
          <w:rFonts w:hint="eastAsia"/>
          <w:color w:val="auto"/>
        </w:rPr>
        <w:t>14.9扩展机构1套</w:t>
      </w:r>
    </w:p>
    <w:p>
      <w:pPr>
        <w:rPr>
          <w:color w:val="auto"/>
        </w:rPr>
      </w:pPr>
      <w:r>
        <w:rPr>
          <w:rFonts w:hint="eastAsia"/>
          <w:color w:val="auto"/>
        </w:rPr>
        <w:t>14.9.1  可扩展厢体尺寸：4230mm≤长≤4400mm，1000mm≤宽≤1100mm，双侧扩展，会议区侧拉厢传动机构、侧拉厢升降地板机构、侧拉厢控制系统，电动控制。</w:t>
      </w:r>
    </w:p>
    <w:p>
      <w:pPr>
        <w:rPr>
          <w:color w:val="auto"/>
        </w:rPr>
      </w:pPr>
      <w:r>
        <w:rPr>
          <w:rFonts w:hint="eastAsia"/>
          <w:color w:val="auto"/>
        </w:rPr>
        <w:t>15  舱内设施</w:t>
      </w:r>
    </w:p>
    <w:p>
      <w:pPr>
        <w:rPr>
          <w:color w:val="auto"/>
        </w:rPr>
      </w:pPr>
      <w:r>
        <w:rPr>
          <w:rFonts w:hint="eastAsia"/>
          <w:color w:val="auto"/>
        </w:rPr>
        <w:t>15.1  基础内饰1套。采用平板对厢体内部进行平整处理，舱顶进行木质造型吊顶，两侧加工空调风道，后侧加装设备区隔断，所有墙体表面贴米黄色皮料。</w:t>
      </w:r>
    </w:p>
    <w:p>
      <w:pPr>
        <w:rPr>
          <w:color w:val="auto"/>
        </w:rPr>
      </w:pPr>
      <w:r>
        <w:rPr>
          <w:rFonts w:hint="eastAsia"/>
          <w:color w:val="auto"/>
        </w:rPr>
        <w:t>15. 2 舱体地板1套。竹地板打底，会议区和操作区表面铺设仿木纹地板革，发电机区铺设花纹铝板。</w:t>
      </w:r>
    </w:p>
    <w:p>
      <w:pPr>
        <w:rPr>
          <w:color w:val="auto"/>
        </w:rPr>
      </w:pPr>
      <w:r>
        <w:rPr>
          <w:rFonts w:hint="eastAsia"/>
          <w:color w:val="auto"/>
        </w:rPr>
        <w:t>15.3  显示墙1个。采用钢骨架+铝板机构。钢管焊接骨架，铝板打底，铺设高档皮革软包造型，皮革与车辆内饰色彩协调，根据显示屏尺寸预留安装位，电视墙各显示屏采用内嵌式一体平面安装，显示屏带减震措施。软包尺寸：1100mm≤高≤1200mm；2200mm≤宽≤2500mm。</w:t>
      </w:r>
    </w:p>
    <w:p>
      <w:pPr>
        <w:rPr>
          <w:color w:val="auto"/>
        </w:rPr>
      </w:pPr>
      <w:r>
        <w:rPr>
          <w:rFonts w:hint="eastAsia"/>
          <w:color w:val="auto"/>
        </w:rPr>
        <w:t>15.4  长条会议桌1个。木质长条会议桌，表面光亮烤漆（3050*750*700≥长宽高尺寸≥3000*700*700mm）。</w:t>
      </w:r>
    </w:p>
    <w:p>
      <w:pPr>
        <w:rPr>
          <w:color w:val="auto"/>
        </w:rPr>
      </w:pPr>
      <w:r>
        <w:rPr>
          <w:rFonts w:hint="eastAsia"/>
          <w:color w:val="auto"/>
        </w:rPr>
        <w:t>15.5  会议座椅9个。定制，可旋转、前后调节，靠背和扶手可调，真皮面料（570*560≥长宽尺寸≥560*550mm）。</w:t>
      </w:r>
    </w:p>
    <w:p>
      <w:pPr>
        <w:rPr>
          <w:color w:val="auto"/>
        </w:rPr>
      </w:pPr>
      <w:r>
        <w:rPr>
          <w:rFonts w:hint="eastAsia"/>
          <w:color w:val="auto"/>
        </w:rPr>
        <w:t>15.6  折叠沙发椅4个。真皮面料，壁挂式安装沙发。长≥1800mm,宽≥450mm，采用金属骨架，内嵌高回弹海绵，外蒙优质高级皮质面料；沙发采用外高内低设计；沙发骨架可靠安装于扩展舱厢壁，支持约0-90°翻折，带锁紧装置防止意外展开，展开后带软包靠背。沙发颜色与内饰协调。沙发旁配AC220V和USB输出接口。</w:t>
      </w:r>
    </w:p>
    <w:p>
      <w:pPr>
        <w:rPr>
          <w:color w:val="auto"/>
        </w:rPr>
      </w:pPr>
      <w:r>
        <w:rPr>
          <w:rFonts w:hint="eastAsia"/>
          <w:color w:val="auto"/>
        </w:rPr>
        <w:t>15.7  折叠工作台，2套。实木，支持约0-90°翻折，承重≥20kg。</w:t>
      </w:r>
    </w:p>
    <w:p>
      <w:pPr>
        <w:rPr>
          <w:color w:val="auto"/>
        </w:rPr>
      </w:pPr>
      <w:r>
        <w:rPr>
          <w:rFonts w:hint="eastAsia"/>
          <w:color w:val="auto"/>
        </w:rPr>
        <w:t>15.8  生活柜1个。木质生活柜，柜体免漆板，台面光亮烤漆（620*280*700≥长宽高尺寸≥600*250*700mm）。</w:t>
      </w:r>
    </w:p>
    <w:p>
      <w:pPr>
        <w:rPr>
          <w:color w:val="auto"/>
        </w:rPr>
      </w:pPr>
      <w:r>
        <w:rPr>
          <w:rFonts w:hint="eastAsia"/>
          <w:color w:val="auto"/>
        </w:rPr>
        <w:t>15.9  标准设备机柜3组。19英寸标准机柜、整体式框架机构，机柜配置减震系统，需保证设备安装、维护、检修方便及散热问题；机柜空间满足全车设备安装并预留≥10U机柜空间以备后期功能升级。配置钢质导轨、阻尼器、导向套等附件。</w:t>
      </w:r>
    </w:p>
    <w:p>
      <w:pPr>
        <w:rPr>
          <w:color w:val="auto"/>
        </w:rPr>
      </w:pPr>
      <w:r>
        <w:rPr>
          <w:rFonts w:hint="eastAsia"/>
          <w:color w:val="auto"/>
        </w:rPr>
        <w:t>15.10  操作员座椅2个。可前后滑动，真皮面料（460*450≥长宽尺寸≥400*400mm）。</w:t>
      </w:r>
    </w:p>
    <w:p>
      <w:pPr>
        <w:rPr>
          <w:color w:val="auto"/>
        </w:rPr>
      </w:pPr>
      <w:r>
        <w:rPr>
          <w:rFonts w:hint="eastAsia"/>
          <w:color w:val="auto"/>
        </w:rPr>
        <w:t>15.11  工作台1套。木质工作台，表面光亮烤漆（1850*310≥长宽尺寸≥1800*300mm）。</w:t>
      </w:r>
    </w:p>
    <w:p>
      <w:pPr>
        <w:rPr>
          <w:color w:val="auto"/>
        </w:rPr>
      </w:pPr>
      <w:r>
        <w:rPr>
          <w:rFonts w:hint="eastAsia"/>
          <w:color w:val="auto"/>
        </w:rPr>
        <w:t>15.12  窗帘1套。下拉式窗帘。</w:t>
      </w:r>
    </w:p>
    <w:p>
      <w:pPr>
        <w:rPr>
          <w:color w:val="auto"/>
        </w:rPr>
      </w:pPr>
      <w:r>
        <w:rPr>
          <w:rFonts w:hint="eastAsia"/>
          <w:color w:val="auto"/>
        </w:rPr>
        <w:t>15.13  太阳膜1套。除前风挡及司机观察窗，其余侧窗玻璃贴深色太阳膜。</w:t>
      </w:r>
    </w:p>
    <w:p>
      <w:pPr>
        <w:rPr>
          <w:color w:val="auto"/>
        </w:rPr>
      </w:pPr>
      <w:r>
        <w:rPr>
          <w:rFonts w:hint="eastAsia"/>
          <w:color w:val="auto"/>
        </w:rPr>
        <w:t>16  舱外设施</w:t>
      </w:r>
    </w:p>
    <w:p>
      <w:pPr>
        <w:rPr>
          <w:color w:val="auto"/>
        </w:rPr>
      </w:pPr>
      <w:r>
        <w:rPr>
          <w:rFonts w:hint="eastAsia"/>
          <w:color w:val="auto"/>
        </w:rPr>
        <w:t>16.1  舱顶平台1套。平台内部安装预埋，表面粘贴整张无缝花纹铝板（850*2500mm≥长宽尺寸≥8500*2300mm）。</w:t>
      </w:r>
    </w:p>
    <w:p>
      <w:pPr>
        <w:rPr>
          <w:color w:val="auto"/>
        </w:rPr>
      </w:pPr>
      <w:r>
        <w:rPr>
          <w:rFonts w:hint="eastAsia"/>
          <w:color w:val="auto"/>
        </w:rPr>
        <w:t>16.2 护栏1套。无缝不锈钢管焊接（8700mm*Ф30尺寸≥8600mm*Ф30）。</w:t>
      </w:r>
    </w:p>
    <w:p>
      <w:pPr>
        <w:rPr>
          <w:color w:val="auto"/>
        </w:rPr>
      </w:pPr>
      <w:r>
        <w:rPr>
          <w:rFonts w:hint="eastAsia"/>
          <w:color w:val="auto"/>
        </w:rPr>
        <w:t>16.3 登顶梯1套。无缝不锈钢管焊接，踏板做翻边冲孔防滑处理（2700*320mm≥长宽尺寸≥2670*310）。</w:t>
      </w:r>
    </w:p>
    <w:p>
      <w:pPr>
        <w:rPr>
          <w:color w:val="auto"/>
        </w:rPr>
      </w:pPr>
      <w:r>
        <w:rPr>
          <w:rFonts w:hint="eastAsia"/>
          <w:color w:val="auto"/>
        </w:rPr>
        <w:t>16.4 频闪灯10只。透明外壳，红色LED光源。</w:t>
      </w:r>
    </w:p>
    <w:p>
      <w:pPr>
        <w:rPr>
          <w:color w:val="auto"/>
        </w:rPr>
      </w:pPr>
      <w:r>
        <w:rPr>
          <w:rFonts w:hint="eastAsia"/>
          <w:color w:val="auto"/>
        </w:rPr>
        <w:t>16.5 电动支撑腿1套</w:t>
      </w:r>
    </w:p>
    <w:p>
      <w:pPr>
        <w:rPr>
          <w:color w:val="auto"/>
        </w:rPr>
      </w:pPr>
      <w:r>
        <w:rPr>
          <w:rFonts w:hint="eastAsia"/>
          <w:color w:val="auto"/>
        </w:rPr>
        <w:t>16.5.1  单腿支撑重量≥总重量的1/2；</w:t>
      </w:r>
    </w:p>
    <w:p>
      <w:pPr>
        <w:rPr>
          <w:color w:val="auto"/>
        </w:rPr>
      </w:pPr>
      <w:r>
        <w:rPr>
          <w:rFonts w:hint="eastAsia"/>
          <w:color w:val="auto"/>
        </w:rPr>
        <w:t>16.5.2  支撑范围：4点；</w:t>
      </w:r>
    </w:p>
    <w:p>
      <w:pPr>
        <w:rPr>
          <w:color w:val="auto"/>
        </w:rPr>
      </w:pPr>
      <w:r>
        <w:rPr>
          <w:rFonts w:hint="eastAsia"/>
          <w:color w:val="auto"/>
        </w:rPr>
        <w:t>16.5.3  控制方式：配置水平传感器，全自动调平；</w:t>
      </w:r>
    </w:p>
    <w:p>
      <w:pPr>
        <w:rPr>
          <w:color w:val="auto"/>
        </w:rPr>
      </w:pPr>
      <w:r>
        <w:rPr>
          <w:rFonts w:hint="eastAsia"/>
          <w:color w:val="auto"/>
        </w:rPr>
        <w:t>16.5.4  支腿收起后离地高度不影响整车通过性；</w:t>
      </w:r>
    </w:p>
    <w:p>
      <w:pPr>
        <w:rPr>
          <w:color w:val="auto"/>
        </w:rPr>
      </w:pPr>
      <w:r>
        <w:rPr>
          <w:rFonts w:hint="eastAsia"/>
          <w:color w:val="auto"/>
        </w:rPr>
        <w:t>16.5.5  支撑腿支撑车辆时，车辆车轮可完全离地。</w:t>
      </w:r>
    </w:p>
    <w:p>
      <w:pPr>
        <w:rPr>
          <w:color w:val="auto"/>
        </w:rPr>
      </w:pPr>
      <w:r>
        <w:rPr>
          <w:rFonts w:hint="eastAsia"/>
          <w:color w:val="auto"/>
        </w:rPr>
        <w:t>16.6 抽拉平台2套。含登舱平台和不锈钢抽拉梯。</w:t>
      </w:r>
    </w:p>
    <w:p>
      <w:pPr>
        <w:rPr>
          <w:color w:val="auto"/>
        </w:rPr>
      </w:pPr>
      <w:r>
        <w:rPr>
          <w:rFonts w:hint="eastAsia"/>
          <w:color w:val="auto"/>
        </w:rPr>
        <w:t>16.7 电动遮阳帘1套。防水铝合金电动。</w:t>
      </w:r>
    </w:p>
    <w:p>
      <w:pPr>
        <w:rPr>
          <w:color w:val="auto"/>
        </w:rPr>
      </w:pPr>
      <w:r>
        <w:rPr>
          <w:rFonts w:hint="eastAsia"/>
          <w:color w:val="auto"/>
        </w:rPr>
        <w:t>16.8 行车安全灯具1套。示廓灯、侧标志灯、反光标识等，示廓灯前白后红，侧标志灯黄色，反光标识红白相间。</w:t>
      </w:r>
    </w:p>
    <w:p>
      <w:pPr>
        <w:rPr>
          <w:color w:val="auto"/>
        </w:rPr>
      </w:pPr>
      <w:r>
        <w:rPr>
          <w:rFonts w:hint="eastAsia"/>
          <w:color w:val="auto"/>
        </w:rPr>
        <w:t>16.9 灭火器3个。3kg干粉灭火器。</w:t>
      </w:r>
    </w:p>
    <w:p>
      <w:pPr>
        <w:rPr>
          <w:color w:val="auto"/>
        </w:rPr>
      </w:pPr>
      <w:r>
        <w:rPr>
          <w:rFonts w:hint="eastAsia"/>
          <w:color w:val="auto"/>
        </w:rPr>
        <w:t>17 整车集成</w:t>
      </w:r>
    </w:p>
    <w:p>
      <w:pPr>
        <w:rPr>
          <w:color w:val="auto"/>
        </w:rPr>
      </w:pPr>
      <w:r>
        <w:rPr>
          <w:rFonts w:hint="eastAsia"/>
          <w:color w:val="auto"/>
        </w:rPr>
        <w:t>17.1 综合布线</w:t>
      </w:r>
    </w:p>
    <w:p>
      <w:pPr>
        <w:rPr>
          <w:color w:val="auto"/>
        </w:rPr>
      </w:pPr>
      <w:r>
        <w:rPr>
          <w:rFonts w:hint="eastAsia"/>
          <w:color w:val="auto"/>
        </w:rPr>
        <w:t>17.1.1  全车线缆无明线，走线规范，整齐带标识，预埋线缆需穿管带保护；</w:t>
      </w:r>
    </w:p>
    <w:p>
      <w:pPr>
        <w:rPr>
          <w:color w:val="auto"/>
        </w:rPr>
      </w:pPr>
      <w:r>
        <w:rPr>
          <w:rFonts w:hint="eastAsia"/>
          <w:color w:val="auto"/>
        </w:rPr>
        <w:t>17.1.2  含整车高清视频线、高频馈线、网线、电源线、音频线等；</w:t>
      </w:r>
    </w:p>
    <w:p>
      <w:pPr>
        <w:rPr>
          <w:color w:val="auto"/>
        </w:rPr>
      </w:pPr>
      <w:r>
        <w:rPr>
          <w:rFonts w:hint="eastAsia"/>
          <w:color w:val="auto"/>
        </w:rPr>
        <w:t>17.1.3  强弱电分离布线。</w:t>
      </w:r>
    </w:p>
    <w:p>
      <w:pPr>
        <w:rPr>
          <w:color w:val="auto"/>
        </w:rPr>
      </w:pPr>
      <w:r>
        <w:rPr>
          <w:rFonts w:hint="eastAsia"/>
          <w:color w:val="auto"/>
        </w:rPr>
        <w:t>17.1.4  适当作冗余处理。</w:t>
      </w:r>
    </w:p>
    <w:p>
      <w:pPr>
        <w:rPr>
          <w:color w:val="auto"/>
        </w:rPr>
      </w:pPr>
      <w:r>
        <w:rPr>
          <w:rFonts w:hint="eastAsia"/>
          <w:color w:val="auto"/>
        </w:rPr>
        <w:t>17.2 系统集成</w:t>
      </w:r>
    </w:p>
    <w:p>
      <w:pPr>
        <w:rPr>
          <w:color w:val="auto"/>
        </w:rPr>
      </w:pPr>
      <w:r>
        <w:rPr>
          <w:rFonts w:hint="eastAsia"/>
          <w:color w:val="auto"/>
        </w:rPr>
        <w:t>17.2.1  包括卫星系统、专网通信系统、多链路聚合通信系统、可视化指挥调度系统、供电系统、安全防护、照明、接地与防雷系统等各个子系统的综合设计与集成。</w:t>
      </w:r>
    </w:p>
    <w:p>
      <w:pPr>
        <w:rPr>
          <w:color w:val="auto"/>
        </w:rPr>
      </w:pPr>
      <w:r>
        <w:rPr>
          <w:rFonts w:hint="eastAsia"/>
          <w:color w:val="auto"/>
        </w:rPr>
        <w:t>17.2.2  含指挥车的音视频数据通信、管理、视频会议、控制、调度等集成工作。指挥车须具备音视频数据信息的通信管理控制功能，可实现任务现场指挥调度、控制管理、各类音视频信息接入（如5G单兵、自组网终端、无人机、布控球等）、专网接入和公网接入等功能。</w:t>
      </w:r>
    </w:p>
    <w:p>
      <w:pPr>
        <w:rPr>
          <w:color w:val="auto"/>
        </w:rPr>
      </w:pPr>
      <w:r>
        <w:rPr>
          <w:rFonts w:hint="eastAsia"/>
          <w:color w:val="auto"/>
        </w:rPr>
        <w:t>17.2.3  可与各级指挥中心之间实现图像、数据和话音的互联互通。具有音视频综合调度和管理功能。具有各类车载摄像头、无人机、其他外接输入等音视频源的多合一传输功能，可选择2×2、3×3等拼接方式。</w:t>
      </w:r>
    </w:p>
    <w:p>
      <w:pPr>
        <w:rPr>
          <w:color w:val="auto"/>
        </w:rPr>
      </w:pPr>
      <w:r>
        <w:rPr>
          <w:rFonts w:hint="eastAsia"/>
          <w:color w:val="auto"/>
        </w:rPr>
        <w:t>17.2.4  支持定位信息上传，可在各级指挥中心的电子地图展示所处位置。具有短语音、文本信息的通信功能；</w:t>
      </w:r>
    </w:p>
    <w:p>
      <w:pPr>
        <w:rPr>
          <w:color w:val="auto"/>
        </w:rPr>
      </w:pPr>
      <w:r>
        <w:rPr>
          <w:rFonts w:hint="eastAsia"/>
          <w:color w:val="auto"/>
        </w:rPr>
        <w:t>18 随车资料（均为中文材料）。附底盘使用手册2份；底盘维护手册2份；上装使用维护手册2份；车辆零件目录2份；安全操作光盘2张；底盘电气原理图1套；随车工具、备胎等常用随车器材（明确随车工具的名称、数量）；发动机号和底盘号拓印件2套；底盘保修卡1份；底盘合格证1份、车辆一致性证书1份、通信设备说明书各1份等。</w:t>
      </w:r>
      <w:r>
        <w:rPr>
          <w:rFonts w:hint="eastAsia"/>
          <w:color w:val="auto"/>
        </w:rPr>
        <w:br w:type="page"/>
      </w:r>
    </w:p>
    <w:p>
      <w:pPr>
        <w:ind w:firstLine="482"/>
        <w:rPr>
          <w:b/>
          <w:bCs/>
          <w:color w:val="auto"/>
          <w:sz w:val="24"/>
          <w:szCs w:val="24"/>
        </w:rPr>
      </w:pPr>
      <w:r>
        <w:rPr>
          <w:rFonts w:hint="eastAsia"/>
          <w:b/>
          <w:bCs/>
          <w:color w:val="auto"/>
          <w:sz w:val="24"/>
          <w:szCs w:val="24"/>
        </w:rPr>
        <w:t>7标包，1辆破冰除雪车，预算价：170万元</w:t>
      </w:r>
    </w:p>
    <w:p>
      <w:pPr>
        <w:rPr>
          <w:color w:val="auto"/>
        </w:rPr>
      </w:pPr>
      <w:r>
        <w:rPr>
          <w:rFonts w:hint="eastAsia"/>
          <w:color w:val="auto"/>
        </w:rPr>
        <w:t>1.基本要求</w:t>
      </w:r>
    </w:p>
    <w:p>
      <w:pPr>
        <w:rPr>
          <w:color w:val="auto"/>
        </w:rPr>
      </w:pPr>
      <w:r>
        <w:rPr>
          <w:rFonts w:hint="eastAsia"/>
          <w:color w:val="auto"/>
        </w:rPr>
        <w:t>1.1国产底盘</w:t>
      </w:r>
    </w:p>
    <w:p>
      <w:pPr>
        <w:rPr>
          <w:color w:val="auto"/>
        </w:rPr>
      </w:pPr>
      <w:r>
        <w:rPr>
          <w:rFonts w:hint="eastAsia"/>
          <w:color w:val="auto"/>
        </w:rPr>
        <w:t>1.2执行标准：GB/T  25977-2022 除雪车</w:t>
      </w:r>
    </w:p>
    <w:p>
      <w:pPr>
        <w:rPr>
          <w:color w:val="auto"/>
        </w:rPr>
      </w:pPr>
      <w:r>
        <w:rPr>
          <w:rFonts w:hint="eastAsia"/>
          <w:color w:val="auto"/>
        </w:rPr>
        <w:t>1.3最高车速：≥90km/h</w:t>
      </w:r>
    </w:p>
    <w:p>
      <w:pPr>
        <w:rPr>
          <w:color w:val="auto"/>
        </w:rPr>
      </w:pPr>
      <w:r>
        <w:rPr>
          <w:rFonts w:hint="eastAsia"/>
          <w:color w:val="auto"/>
        </w:rPr>
        <w:t>1.4排放标准：不低于中国国家机动车现行排放标准</w:t>
      </w:r>
    </w:p>
    <w:p>
      <w:pPr>
        <w:rPr>
          <w:color w:val="auto"/>
        </w:rPr>
      </w:pPr>
      <w:r>
        <w:rPr>
          <w:rFonts w:hint="eastAsia"/>
          <w:color w:val="auto"/>
        </w:rPr>
        <w:t>★1.5比功率：≥10kw/t</w:t>
      </w:r>
    </w:p>
    <w:p>
      <w:pPr>
        <w:rPr>
          <w:color w:val="auto"/>
        </w:rPr>
      </w:pPr>
      <w:r>
        <w:rPr>
          <w:rFonts w:hint="eastAsia"/>
          <w:color w:val="auto"/>
        </w:rPr>
        <w:t>1.6整车外型尺寸（mm，长*宽*高）：≤10000*2550*3200</w:t>
      </w:r>
    </w:p>
    <w:p>
      <w:pPr>
        <w:rPr>
          <w:color w:val="auto"/>
        </w:rPr>
      </w:pPr>
      <w:r>
        <w:rPr>
          <w:rFonts w:hint="eastAsia"/>
          <w:color w:val="auto"/>
        </w:rPr>
        <w:t>2.底盘</w:t>
      </w:r>
    </w:p>
    <w:p>
      <w:pPr>
        <w:rPr>
          <w:color w:val="auto"/>
        </w:rPr>
      </w:pPr>
      <w:r>
        <w:rPr>
          <w:rFonts w:hint="eastAsia"/>
          <w:color w:val="auto"/>
        </w:rPr>
        <w:t>★2.1驱动形式：6×4。</w:t>
      </w:r>
    </w:p>
    <w:p>
      <w:pPr>
        <w:rPr>
          <w:color w:val="auto"/>
        </w:rPr>
      </w:pPr>
      <w:r>
        <w:rPr>
          <w:rFonts w:hint="eastAsia"/>
          <w:color w:val="auto"/>
        </w:rPr>
        <w:t>2.2发动机：涡轮增压柴油发动机</w:t>
      </w:r>
    </w:p>
    <w:p>
      <w:pPr>
        <w:rPr>
          <w:color w:val="auto"/>
        </w:rPr>
      </w:pPr>
      <w:r>
        <w:rPr>
          <w:rFonts w:hint="eastAsia"/>
          <w:color w:val="auto"/>
        </w:rPr>
        <w:t>★2.3发动机功率：≥250kw</w:t>
      </w:r>
    </w:p>
    <w:p>
      <w:pPr>
        <w:rPr>
          <w:color w:val="auto"/>
        </w:rPr>
      </w:pPr>
      <w:r>
        <w:rPr>
          <w:rFonts w:hint="eastAsia"/>
          <w:color w:val="auto"/>
        </w:rPr>
        <w:t>2.4取力器：全功率取力器</w:t>
      </w:r>
    </w:p>
    <w:p>
      <w:pPr>
        <w:rPr>
          <w:color w:val="auto"/>
        </w:rPr>
      </w:pPr>
      <w:r>
        <w:rPr>
          <w:rFonts w:hint="eastAsia"/>
          <w:color w:val="auto"/>
        </w:rPr>
        <w:t>2.5转向：液压助力，方向盘高度和倾角可调</w:t>
      </w:r>
    </w:p>
    <w:p>
      <w:pPr>
        <w:rPr>
          <w:color w:val="auto"/>
        </w:rPr>
      </w:pPr>
      <w:r>
        <w:rPr>
          <w:rFonts w:hint="eastAsia"/>
          <w:color w:val="auto"/>
        </w:rPr>
        <w:t>2.6制动：配有ABS防抱死系统及缸内制动系统、液力缓速器</w:t>
      </w:r>
    </w:p>
    <w:p>
      <w:pPr>
        <w:rPr>
          <w:color w:val="auto"/>
        </w:rPr>
      </w:pPr>
      <w:r>
        <w:rPr>
          <w:rFonts w:hint="eastAsia"/>
          <w:color w:val="auto"/>
        </w:rPr>
        <w:t>3.驾驶室和乘员室</w:t>
      </w:r>
    </w:p>
    <w:p>
      <w:pPr>
        <w:rPr>
          <w:color w:val="auto"/>
        </w:rPr>
      </w:pPr>
      <w:r>
        <w:rPr>
          <w:rFonts w:hint="eastAsia"/>
          <w:color w:val="auto"/>
        </w:rPr>
        <w:t>3.1座椅：座位数≥2人，驾驶员气动悬浮座椅、多角度可调；副驾驶座椅角度和前后位置可调；所有座椅必须配备安全带。</w:t>
      </w:r>
    </w:p>
    <w:p>
      <w:pPr>
        <w:rPr>
          <w:color w:val="auto"/>
        </w:rPr>
      </w:pPr>
      <w:r>
        <w:rPr>
          <w:rFonts w:hint="eastAsia"/>
          <w:color w:val="auto"/>
        </w:rPr>
        <w:t>3.2结构：双开门单排座</w:t>
      </w:r>
    </w:p>
    <w:p>
      <w:pPr>
        <w:rPr>
          <w:color w:val="auto"/>
        </w:rPr>
      </w:pPr>
      <w:r>
        <w:rPr>
          <w:rFonts w:hint="eastAsia"/>
          <w:color w:val="auto"/>
        </w:rPr>
        <w:t>3.3门窗：中控门锁，可电动升降的安全玻璃。</w:t>
      </w:r>
    </w:p>
    <w:p>
      <w:pPr>
        <w:rPr>
          <w:color w:val="auto"/>
        </w:rPr>
      </w:pPr>
      <w:r>
        <w:rPr>
          <w:rFonts w:hint="eastAsia"/>
          <w:color w:val="auto"/>
        </w:rPr>
        <w:t>3.4空调：配独立通风冷暖空调。</w:t>
      </w:r>
    </w:p>
    <w:p>
      <w:pPr>
        <w:rPr>
          <w:color w:val="auto"/>
        </w:rPr>
      </w:pPr>
      <w:r>
        <w:rPr>
          <w:rFonts w:hint="eastAsia"/>
          <w:color w:val="auto"/>
        </w:rPr>
        <w:t>3.5设备：安装360度全景影像，含前后可视行车记录仪，含倒车雷达，存储卡≥128G、高清显示屏≥9英寸。</w:t>
      </w:r>
    </w:p>
    <w:p>
      <w:pPr>
        <w:rPr>
          <w:color w:val="auto"/>
        </w:rPr>
      </w:pPr>
      <w:r>
        <w:rPr>
          <w:rFonts w:hint="eastAsia"/>
          <w:color w:val="auto"/>
        </w:rPr>
        <w:t>3.6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pPr>
        <w:rPr>
          <w:color w:val="auto"/>
        </w:rPr>
      </w:pPr>
      <w:r>
        <w:rPr>
          <w:rFonts w:hint="eastAsia"/>
          <w:color w:val="auto"/>
        </w:rPr>
        <w:t>4.作业装置</w:t>
      </w:r>
    </w:p>
    <w:p>
      <w:pPr>
        <w:rPr>
          <w:color w:val="auto"/>
        </w:rPr>
      </w:pPr>
      <w:r>
        <w:rPr>
          <w:rFonts w:hint="eastAsia"/>
          <w:color w:val="auto"/>
        </w:rPr>
        <w:t>4.1除雪铲：主要由雪铲部分、雪铲高度调整机构、活动架、固定支架、联接架、挂件、承重轮、警示灯、液压系统等组成</w:t>
      </w:r>
    </w:p>
    <w:p>
      <w:pPr>
        <w:rPr>
          <w:color w:val="auto"/>
        </w:rPr>
      </w:pPr>
      <w:r>
        <w:rPr>
          <w:rFonts w:hint="eastAsia"/>
          <w:color w:val="auto"/>
        </w:rPr>
        <w:t>4.1.1外形尺寸（mm长*宽*高）：≥3300×1400×1100；</w:t>
      </w:r>
    </w:p>
    <w:p>
      <w:pPr>
        <w:rPr>
          <w:color w:val="auto"/>
        </w:rPr>
      </w:pPr>
      <w:r>
        <w:rPr>
          <w:rFonts w:hint="eastAsia"/>
          <w:color w:val="auto"/>
        </w:rPr>
        <w:t>4.1.2铲刀材质：高强度耐候钢板≥16mm；</w:t>
      </w:r>
    </w:p>
    <w:p>
      <w:pPr>
        <w:rPr>
          <w:color w:val="auto"/>
        </w:rPr>
      </w:pPr>
      <w:r>
        <w:rPr>
          <w:rFonts w:hint="eastAsia"/>
          <w:color w:val="auto"/>
        </w:rPr>
        <w:t>4.1.3侧板材质：高强度耐候钢板≥4.5mm；</w:t>
      </w:r>
    </w:p>
    <w:p>
      <w:pPr>
        <w:rPr>
          <w:color w:val="auto"/>
        </w:rPr>
      </w:pPr>
      <w:r>
        <w:rPr>
          <w:rFonts w:hint="eastAsia"/>
          <w:color w:val="auto"/>
        </w:rPr>
        <w:t>4.1.4最大推雪宽度（mm）：≥3300；</w:t>
      </w:r>
    </w:p>
    <w:p>
      <w:pPr>
        <w:rPr>
          <w:color w:val="auto"/>
        </w:rPr>
      </w:pPr>
      <w:r>
        <w:rPr>
          <w:rFonts w:hint="eastAsia"/>
          <w:color w:val="auto"/>
        </w:rPr>
        <w:t>4.1.5最大倾角推雪宽度（mm）：≥3000；</w:t>
      </w:r>
    </w:p>
    <w:p>
      <w:pPr>
        <w:rPr>
          <w:color w:val="auto"/>
        </w:rPr>
      </w:pPr>
      <w:r>
        <w:rPr>
          <w:rFonts w:hint="eastAsia"/>
          <w:color w:val="auto"/>
        </w:rPr>
        <w:t>4.1.6左右摆角（°）：≥±30；</w:t>
      </w:r>
    </w:p>
    <w:p>
      <w:pPr>
        <w:rPr>
          <w:color w:val="auto"/>
        </w:rPr>
      </w:pPr>
      <w:r>
        <w:rPr>
          <w:rFonts w:hint="eastAsia"/>
          <w:color w:val="auto"/>
        </w:rPr>
        <w:t>4.1.7上下倾角（°）：≥±5；</w:t>
      </w:r>
    </w:p>
    <w:p>
      <w:pPr>
        <w:rPr>
          <w:color w:val="auto"/>
        </w:rPr>
      </w:pPr>
      <w:r>
        <w:rPr>
          <w:rFonts w:hint="eastAsia"/>
          <w:color w:val="auto"/>
        </w:rPr>
        <w:t>4.1.8避障高度（mm）：≥150；</w:t>
      </w:r>
    </w:p>
    <w:p>
      <w:pPr>
        <w:rPr>
          <w:color w:val="auto"/>
        </w:rPr>
      </w:pPr>
      <w:r>
        <w:rPr>
          <w:rFonts w:hint="eastAsia"/>
          <w:color w:val="auto"/>
        </w:rPr>
        <w:t>4.1.9作业速度（km/h）：≥30；</w:t>
      </w:r>
    </w:p>
    <w:p>
      <w:pPr>
        <w:rPr>
          <w:color w:val="auto"/>
        </w:rPr>
      </w:pPr>
      <w:r>
        <w:rPr>
          <w:rFonts w:hint="eastAsia"/>
          <w:color w:val="auto"/>
        </w:rPr>
        <w:t>4.1.10整机重量（Kg）：≥1000；</w:t>
      </w:r>
    </w:p>
    <w:p>
      <w:pPr>
        <w:rPr>
          <w:color w:val="auto"/>
        </w:rPr>
      </w:pPr>
      <w:r>
        <w:rPr>
          <w:rFonts w:hint="eastAsia"/>
          <w:color w:val="auto"/>
        </w:rPr>
        <w:t>4.1.11铲体高度（mm）：≥1000；</w:t>
      </w:r>
    </w:p>
    <w:p>
      <w:pPr>
        <w:rPr>
          <w:color w:val="auto"/>
        </w:rPr>
      </w:pPr>
      <w:r>
        <w:rPr>
          <w:rFonts w:hint="eastAsia"/>
          <w:color w:val="auto"/>
        </w:rPr>
        <w:t>4.1.12铲板厚度（mm）：≥5；</w:t>
      </w:r>
    </w:p>
    <w:p>
      <w:pPr>
        <w:rPr>
          <w:color w:val="auto"/>
        </w:rPr>
      </w:pPr>
      <w:r>
        <w:rPr>
          <w:rFonts w:hint="eastAsia"/>
          <w:color w:val="auto"/>
        </w:rPr>
        <w:t>4.1.13铲刃厚度（mm）：≥15；</w:t>
      </w:r>
    </w:p>
    <w:p>
      <w:pPr>
        <w:rPr>
          <w:color w:val="auto"/>
        </w:rPr>
      </w:pPr>
      <w:r>
        <w:rPr>
          <w:rFonts w:hint="eastAsia"/>
          <w:color w:val="auto"/>
        </w:rPr>
        <w:t>4.1.14离地最大间隙（mm）：≥300；</w:t>
      </w:r>
    </w:p>
    <w:p>
      <w:pPr>
        <w:rPr>
          <w:color w:val="auto"/>
        </w:rPr>
      </w:pPr>
      <w:r>
        <w:rPr>
          <w:rFonts w:hint="eastAsia"/>
          <w:color w:val="auto"/>
        </w:rPr>
        <w:t>4.2除雪滚：主要由防护罩、滚刷总成、旋转盘总成、滚刷横梁总成、行走轮总成、滚刷高度调整机构、活动架、固定支架、联接架、挂件、警示灯、液压系统等组成。</w:t>
      </w:r>
    </w:p>
    <w:p>
      <w:pPr>
        <w:rPr>
          <w:color w:val="auto"/>
        </w:rPr>
      </w:pPr>
      <w:r>
        <w:rPr>
          <w:rFonts w:hint="eastAsia"/>
          <w:color w:val="auto"/>
        </w:rPr>
        <w:t>4.2.1外形尺寸（mm）：≥3300*1200*800；</w:t>
      </w:r>
    </w:p>
    <w:p>
      <w:pPr>
        <w:rPr>
          <w:color w:val="auto"/>
        </w:rPr>
      </w:pPr>
      <w:r>
        <w:rPr>
          <w:rFonts w:hint="eastAsia"/>
          <w:color w:val="auto"/>
        </w:rPr>
        <w:t>4.2.2作业宽度（mm）：≥3000；</w:t>
      </w:r>
    </w:p>
    <w:p>
      <w:pPr>
        <w:rPr>
          <w:color w:val="auto"/>
        </w:rPr>
      </w:pPr>
      <w:r>
        <w:rPr>
          <w:rFonts w:hint="eastAsia"/>
          <w:color w:val="auto"/>
        </w:rPr>
        <w:t>4.2.3刷毛直径（mm）：≥700；</w:t>
      </w:r>
    </w:p>
    <w:p>
      <w:pPr>
        <w:rPr>
          <w:color w:val="auto"/>
        </w:rPr>
      </w:pPr>
      <w:r>
        <w:rPr>
          <w:rFonts w:hint="eastAsia"/>
          <w:color w:val="auto"/>
        </w:rPr>
        <w:t>4.2.4转速（r/min）：70-250；</w:t>
      </w:r>
    </w:p>
    <w:p>
      <w:pPr>
        <w:rPr>
          <w:color w:val="auto"/>
        </w:rPr>
      </w:pPr>
      <w:r>
        <w:rPr>
          <w:rFonts w:hint="eastAsia"/>
          <w:color w:val="auto"/>
        </w:rPr>
        <w:t>4.2.5左右摆角（°）：≥±30；</w:t>
      </w:r>
    </w:p>
    <w:p>
      <w:pPr>
        <w:rPr>
          <w:color w:val="auto"/>
        </w:rPr>
      </w:pPr>
      <w:r>
        <w:rPr>
          <w:rFonts w:hint="eastAsia"/>
          <w:color w:val="auto"/>
        </w:rPr>
        <w:t>4.2.6扫雪厚度（mm）：≥90；</w:t>
      </w:r>
    </w:p>
    <w:p>
      <w:pPr>
        <w:rPr>
          <w:color w:val="auto"/>
        </w:rPr>
      </w:pPr>
      <w:r>
        <w:rPr>
          <w:rFonts w:hint="eastAsia"/>
          <w:color w:val="auto"/>
        </w:rPr>
        <w:t>4.2.7作业速度（km/h）：≥20；</w:t>
      </w:r>
    </w:p>
    <w:p>
      <w:pPr>
        <w:rPr>
          <w:color w:val="auto"/>
        </w:rPr>
      </w:pPr>
      <w:r>
        <w:rPr>
          <w:rFonts w:hint="eastAsia"/>
          <w:color w:val="auto"/>
        </w:rPr>
        <w:t>4.2.8驾驶员在驾驶室内即可对除雪滚刷进行各种动作的操作，具备坡度自动调节功能；</w:t>
      </w:r>
    </w:p>
    <w:p>
      <w:pPr>
        <w:rPr>
          <w:color w:val="auto"/>
        </w:rPr>
      </w:pPr>
      <w:r>
        <w:rPr>
          <w:rFonts w:hint="eastAsia"/>
          <w:color w:val="auto"/>
        </w:rPr>
        <w:t>4.3融雪撒布机：主要由链条输送、大扭矩减速器、液压马达传动、电动防水布、V 型减压装置、料仓、过滤网、爬梯、照明灯等组成。</w:t>
      </w:r>
    </w:p>
    <w:p>
      <w:pPr>
        <w:rPr>
          <w:color w:val="auto"/>
        </w:rPr>
      </w:pPr>
      <w:r>
        <w:rPr>
          <w:rFonts w:hint="eastAsia"/>
          <w:color w:val="auto"/>
        </w:rPr>
        <w:t>4.3.1整机材质：采用碳钢板结构，三级防腐处理，刮板链条及抛盘采用不锈钢材质；</w:t>
      </w:r>
    </w:p>
    <w:p>
      <w:pPr>
        <w:rPr>
          <w:color w:val="auto"/>
        </w:rPr>
      </w:pPr>
      <w:r>
        <w:rPr>
          <w:rFonts w:hint="eastAsia"/>
          <w:color w:val="auto"/>
        </w:rPr>
        <w:t>4.3.2外形尺寸（mm，长*宽*高）：≥6000*2100*1750；</w:t>
      </w:r>
    </w:p>
    <w:p>
      <w:pPr>
        <w:rPr>
          <w:color w:val="auto"/>
        </w:rPr>
      </w:pPr>
      <w:r>
        <w:rPr>
          <w:rFonts w:hint="eastAsia"/>
          <w:color w:val="auto"/>
        </w:rPr>
        <w:t>4.3.3液压系统压力(Mpa)：≥16；</w:t>
      </w:r>
    </w:p>
    <w:p>
      <w:pPr>
        <w:rPr>
          <w:color w:val="auto"/>
        </w:rPr>
      </w:pPr>
      <w:r>
        <w:rPr>
          <w:rFonts w:hint="eastAsia"/>
          <w:color w:val="auto"/>
        </w:rPr>
        <w:t>4.3.4液压流量(L/min)：≥40；</w:t>
      </w:r>
    </w:p>
    <w:p>
      <w:pPr>
        <w:rPr>
          <w:color w:val="auto"/>
        </w:rPr>
      </w:pPr>
      <w:r>
        <w:rPr>
          <w:rFonts w:hint="eastAsia"/>
          <w:color w:val="auto"/>
        </w:rPr>
        <w:t>4.3.5融雪剂输送形式: 链条输送；</w:t>
      </w:r>
    </w:p>
    <w:p>
      <w:pPr>
        <w:rPr>
          <w:color w:val="auto"/>
        </w:rPr>
      </w:pPr>
      <w:r>
        <w:rPr>
          <w:rFonts w:hint="eastAsia"/>
          <w:color w:val="auto"/>
        </w:rPr>
        <w:t>4.3.6马达排量(ml/r)：≥420；</w:t>
      </w:r>
    </w:p>
    <w:p>
      <w:pPr>
        <w:rPr>
          <w:color w:val="auto"/>
        </w:rPr>
      </w:pPr>
      <w:r>
        <w:rPr>
          <w:rFonts w:hint="eastAsia"/>
          <w:color w:val="auto"/>
        </w:rPr>
        <w:t>4.3.7料仓容积(m³)：≥10；</w:t>
      </w:r>
    </w:p>
    <w:p>
      <w:pPr>
        <w:rPr>
          <w:color w:val="auto"/>
        </w:rPr>
      </w:pPr>
      <w:r>
        <w:rPr>
          <w:rFonts w:hint="eastAsia"/>
          <w:color w:val="auto"/>
        </w:rPr>
        <w:t>4.3.8撒布宽度(m)：≥5～16（可调）；</w:t>
      </w:r>
    </w:p>
    <w:p>
      <w:pPr>
        <w:rPr>
          <w:color w:val="auto"/>
        </w:rPr>
      </w:pPr>
      <w:r>
        <w:rPr>
          <w:rFonts w:hint="eastAsia"/>
          <w:color w:val="auto"/>
        </w:rPr>
        <w:t>4.3.9撒布量(g/㎡)：≥20～200（可调）；</w:t>
      </w:r>
    </w:p>
    <w:p>
      <w:pPr>
        <w:rPr>
          <w:color w:val="auto"/>
        </w:rPr>
      </w:pPr>
      <w:r>
        <w:rPr>
          <w:rFonts w:hint="eastAsia"/>
          <w:color w:val="auto"/>
        </w:rPr>
        <w:t>4.3.10转盘直径（mm）：≥500；</w:t>
      </w:r>
    </w:p>
    <w:p>
      <w:pPr>
        <w:rPr>
          <w:color w:val="auto"/>
        </w:rPr>
      </w:pPr>
      <w:r>
        <w:rPr>
          <w:rFonts w:hint="eastAsia"/>
          <w:color w:val="auto"/>
        </w:rPr>
        <w:t>4.3.11工作速度(km/h)：≥15～60（可调）；</w:t>
      </w:r>
    </w:p>
    <w:p>
      <w:pPr>
        <w:rPr>
          <w:color w:val="auto"/>
        </w:rPr>
      </w:pPr>
      <w:r>
        <w:rPr>
          <w:rFonts w:hint="eastAsia"/>
          <w:color w:val="auto"/>
        </w:rPr>
        <w:t>4.3.12附件：顶部设有防雨罩；</w:t>
      </w:r>
    </w:p>
    <w:p>
      <w:pPr>
        <w:rPr>
          <w:color w:val="auto"/>
        </w:rPr>
      </w:pPr>
      <w:r>
        <w:rPr>
          <w:rFonts w:hint="eastAsia"/>
          <w:color w:val="auto"/>
        </w:rPr>
        <w:t>4.3.13应有料仓震动器；</w:t>
      </w:r>
    </w:p>
    <w:p>
      <w:pPr>
        <w:rPr>
          <w:color w:val="auto"/>
        </w:rPr>
      </w:pPr>
      <w:r>
        <w:rPr>
          <w:rFonts w:hint="eastAsia"/>
          <w:color w:val="auto"/>
        </w:rPr>
        <w:t>4.3.14应有料仓观测摄像头；</w:t>
      </w:r>
    </w:p>
    <w:p>
      <w:pPr>
        <w:rPr>
          <w:color w:val="auto"/>
        </w:rPr>
      </w:pPr>
      <w:r>
        <w:rPr>
          <w:rFonts w:hint="eastAsia"/>
          <w:color w:val="auto"/>
        </w:rPr>
        <w:t>4.4路面随形破冰除雪机：主要由高强耐磨合金钢冰铲、弧形金属齿轮、弹簧系统等组成。</w:t>
      </w:r>
    </w:p>
    <w:p>
      <w:pPr>
        <w:rPr>
          <w:color w:val="auto"/>
        </w:rPr>
      </w:pPr>
      <w:r>
        <w:rPr>
          <w:rFonts w:hint="eastAsia"/>
          <w:color w:val="auto"/>
        </w:rPr>
        <w:t>4.4.1整机尺寸（mm，长*宽*高）：≥2500*2600*1000；</w:t>
      </w:r>
    </w:p>
    <w:p>
      <w:pPr>
        <w:rPr>
          <w:color w:val="auto"/>
        </w:rPr>
      </w:pPr>
      <w:r>
        <w:rPr>
          <w:rFonts w:hint="eastAsia"/>
          <w:color w:val="auto"/>
        </w:rPr>
        <w:t>4.4.2作业宽度（mm）：≥2400；</w:t>
      </w:r>
    </w:p>
    <w:p>
      <w:pPr>
        <w:rPr>
          <w:color w:val="auto"/>
        </w:rPr>
      </w:pPr>
      <w:r>
        <w:rPr>
          <w:rFonts w:hint="eastAsia"/>
          <w:color w:val="auto"/>
        </w:rPr>
        <w:t>4.4.3直径（mm）：≥370；</w:t>
      </w:r>
    </w:p>
    <w:p>
      <w:pPr>
        <w:rPr>
          <w:color w:val="auto"/>
        </w:rPr>
      </w:pPr>
      <w:r>
        <w:rPr>
          <w:rFonts w:hint="eastAsia"/>
          <w:color w:val="auto"/>
        </w:rPr>
        <w:t>4.4.4可破冰雪（mm）：≥5-200（可调）；</w:t>
      </w:r>
    </w:p>
    <w:p>
      <w:pPr>
        <w:rPr>
          <w:color w:val="auto"/>
        </w:rPr>
      </w:pPr>
      <w:r>
        <w:rPr>
          <w:rFonts w:hint="eastAsia"/>
          <w:color w:val="auto"/>
        </w:rPr>
        <w:t>4.4.5摆动角度（°）：≥30；</w:t>
      </w:r>
    </w:p>
    <w:p>
      <w:pPr>
        <w:rPr>
          <w:color w:val="auto"/>
        </w:rPr>
      </w:pPr>
      <w:r>
        <w:rPr>
          <w:rFonts w:hint="eastAsia"/>
          <w:color w:val="auto"/>
        </w:rPr>
        <w:t>4.4.6作业时速（km/h）：≥30；</w:t>
      </w:r>
    </w:p>
    <w:p>
      <w:pPr>
        <w:rPr>
          <w:color w:val="auto"/>
        </w:rPr>
      </w:pPr>
      <w:r>
        <w:rPr>
          <w:rFonts w:hint="eastAsia"/>
          <w:color w:val="auto"/>
        </w:rPr>
        <w:t>4.4.7破冰轮仿形能力（mm）：≥150；</w:t>
      </w:r>
    </w:p>
    <w:p>
      <w:pPr>
        <w:rPr>
          <w:color w:val="auto"/>
        </w:rPr>
      </w:pPr>
      <w:r>
        <w:rPr>
          <w:rFonts w:hint="eastAsia"/>
          <w:color w:val="auto"/>
        </w:rPr>
        <w:t>4.4.8浮动仿形破冰轮数量：≥12套（前后双排各≥6套交错布置）；</w:t>
      </w:r>
    </w:p>
    <w:p>
      <w:pPr>
        <w:rPr>
          <w:color w:val="auto"/>
        </w:rPr>
      </w:pPr>
      <w:r>
        <w:rPr>
          <w:rFonts w:hint="eastAsia"/>
          <w:color w:val="auto"/>
        </w:rPr>
        <w:t>4.4.9高度（mm）： ≥420；</w:t>
      </w:r>
    </w:p>
    <w:p>
      <w:pPr>
        <w:rPr>
          <w:color w:val="auto"/>
        </w:rPr>
      </w:pPr>
      <w:r>
        <w:rPr>
          <w:rFonts w:hint="eastAsia"/>
          <w:color w:val="auto"/>
        </w:rPr>
        <w:t>5.外观颜色及标识</w:t>
      </w:r>
    </w:p>
    <w:p>
      <w:pPr>
        <w:rPr>
          <w:color w:val="auto"/>
        </w:rPr>
      </w:pPr>
      <w:r>
        <w:rPr>
          <w:rFonts w:hint="eastAsia"/>
          <w:color w:val="auto"/>
        </w:rPr>
        <w:t>5.1整车标识：涂装符合《国家综合性消防救援车辆外观制式涂装规范》。</w:t>
      </w:r>
    </w:p>
    <w:p>
      <w:pPr>
        <w:rPr>
          <w:color w:val="auto"/>
        </w:rPr>
      </w:pPr>
      <w:r>
        <w:rPr>
          <w:rFonts w:hint="eastAsia"/>
          <w:color w:val="auto"/>
        </w:rPr>
        <w:t>5.2警灯：符合应急管理部警灯要求。</w:t>
      </w:r>
    </w:p>
    <w:p>
      <w:pPr>
        <w:rPr>
          <w:color w:val="auto"/>
        </w:rPr>
      </w:pPr>
      <w:r>
        <w:rPr>
          <w:rFonts w:hint="eastAsia"/>
          <w:color w:val="auto"/>
        </w:rPr>
        <w:t>6.随车资料（均为中文材料）</w:t>
      </w:r>
    </w:p>
    <w:p>
      <w:pPr>
        <w:rPr>
          <w:color w:val="auto"/>
        </w:rPr>
      </w:pPr>
      <w:r>
        <w:rPr>
          <w:rFonts w:hint="eastAsia"/>
          <w:color w:val="auto"/>
        </w:rPr>
        <w:t>附底盘使用手册2份；上装使用维护手册2份；底盘维护手册2份；车辆零件目录2份；上装维护手册、保养保修手册1份；发动机号和底盘号拓印件2套；底盘保修卡1份；整车合格证1份、工信部公告1份、一致性证书1份、环保清单1份。</w:t>
      </w:r>
      <w:r>
        <w:rPr>
          <w:rFonts w:hint="eastAsia"/>
          <w:color w:val="auto"/>
        </w:rPr>
        <w:br w:type="page"/>
      </w:r>
    </w:p>
    <w:p>
      <w:pPr>
        <w:ind w:firstLine="482"/>
        <w:rPr>
          <w:b/>
          <w:bCs/>
          <w:color w:val="auto"/>
          <w:sz w:val="24"/>
          <w:szCs w:val="24"/>
        </w:rPr>
      </w:pPr>
      <w:r>
        <w:rPr>
          <w:rFonts w:hint="eastAsia"/>
          <w:b/>
          <w:bCs/>
          <w:color w:val="auto"/>
          <w:sz w:val="24"/>
          <w:szCs w:val="24"/>
        </w:rPr>
        <w:t>8标包，1辆强臂破拆车，预算价：494万元</w:t>
      </w:r>
    </w:p>
    <w:p>
      <w:pPr>
        <w:rPr>
          <w:color w:val="auto"/>
        </w:rPr>
      </w:pPr>
      <w:r>
        <w:rPr>
          <w:rFonts w:hint="eastAsia"/>
          <w:color w:val="auto"/>
        </w:rPr>
        <w:t>1.基本要求</w:t>
      </w:r>
    </w:p>
    <w:p>
      <w:pPr>
        <w:rPr>
          <w:color w:val="auto"/>
        </w:rPr>
      </w:pPr>
      <w:r>
        <w:rPr>
          <w:rFonts w:hint="eastAsia"/>
          <w:color w:val="auto"/>
        </w:rPr>
        <w:t>1.1进口底盘（此为符合性审查标准，非进口底盘投标的，将不通过符合性审查），国内消防车制造厂产品。</w:t>
      </w:r>
    </w:p>
    <w:p>
      <w:pPr>
        <w:rPr>
          <w:color w:val="auto"/>
        </w:rPr>
      </w:pPr>
      <w:r>
        <w:rPr>
          <w:rFonts w:hint="eastAsia"/>
          <w:color w:val="auto"/>
        </w:rPr>
        <w:t>1.2执行标准：GB 7956.1-2015 消防车 第1部分：通用技术条件、GB 7956.1-2014 消防车 第12部分：举高消防车。</w:t>
      </w:r>
    </w:p>
    <w:p>
      <w:pPr>
        <w:rPr>
          <w:color w:val="auto"/>
        </w:rPr>
      </w:pPr>
      <w:r>
        <w:rPr>
          <w:rFonts w:hint="eastAsia"/>
          <w:color w:val="auto"/>
        </w:rPr>
        <w:t>1.3取得消防产品认证证书。</w:t>
      </w:r>
    </w:p>
    <w:p>
      <w:pPr>
        <w:rPr>
          <w:color w:val="auto"/>
        </w:rPr>
      </w:pPr>
      <w:r>
        <w:rPr>
          <w:rFonts w:hint="eastAsia"/>
          <w:color w:val="auto"/>
        </w:rPr>
        <w:t>1.4最高车速：≥85km/h。</w:t>
      </w:r>
    </w:p>
    <w:p>
      <w:pPr>
        <w:rPr>
          <w:color w:val="auto"/>
        </w:rPr>
      </w:pPr>
      <w:r>
        <w:rPr>
          <w:rFonts w:hint="eastAsia"/>
          <w:color w:val="auto"/>
        </w:rPr>
        <w:t>1.5排放标准：符合中国国家机动车现行排放标准。</w:t>
      </w:r>
    </w:p>
    <w:p>
      <w:pPr>
        <w:rPr>
          <w:color w:val="auto"/>
        </w:rPr>
      </w:pPr>
      <w:r>
        <w:rPr>
          <w:rFonts w:hint="eastAsia"/>
          <w:color w:val="auto"/>
        </w:rPr>
        <w:t>1.6满载质量：≥42000kg。</w:t>
      </w:r>
    </w:p>
    <w:p>
      <w:pPr>
        <w:rPr>
          <w:color w:val="auto"/>
        </w:rPr>
      </w:pPr>
      <w:r>
        <w:rPr>
          <w:rFonts w:hint="eastAsia"/>
          <w:color w:val="auto"/>
        </w:rPr>
        <w:t>1.7整车外型尺寸(mm，长*宽*高)：≤12000*2550*4000。</w:t>
      </w:r>
    </w:p>
    <w:p>
      <w:pPr>
        <w:rPr>
          <w:color w:val="auto"/>
        </w:rPr>
      </w:pPr>
      <w:r>
        <w:rPr>
          <w:rFonts w:hint="eastAsia"/>
          <w:color w:val="auto"/>
        </w:rPr>
        <w:t>2.底盘</w:t>
      </w:r>
    </w:p>
    <w:p>
      <w:pPr>
        <w:rPr>
          <w:color w:val="auto"/>
        </w:rPr>
      </w:pPr>
      <w:r>
        <w:rPr>
          <w:rFonts w:hint="eastAsia"/>
          <w:color w:val="auto"/>
        </w:rPr>
        <w:t>★2.1驱动形式：8×4。</w:t>
      </w:r>
    </w:p>
    <w:p>
      <w:pPr>
        <w:rPr>
          <w:color w:val="auto"/>
        </w:rPr>
      </w:pPr>
      <w:r>
        <w:rPr>
          <w:rFonts w:hint="eastAsia"/>
          <w:color w:val="auto"/>
        </w:rPr>
        <w:t>★2.2发动机：涡轮增压柴油发动机。</w:t>
      </w:r>
    </w:p>
    <w:p>
      <w:pPr>
        <w:rPr>
          <w:color w:val="auto"/>
        </w:rPr>
      </w:pPr>
      <w:r>
        <w:rPr>
          <w:rFonts w:hint="eastAsia"/>
          <w:color w:val="auto"/>
        </w:rPr>
        <w:t>★2.3发动机功率：≥400kw。</w:t>
      </w:r>
    </w:p>
    <w:p>
      <w:pPr>
        <w:rPr>
          <w:color w:val="auto"/>
        </w:rPr>
      </w:pPr>
      <w:r>
        <w:rPr>
          <w:rFonts w:hint="eastAsia"/>
          <w:color w:val="auto"/>
        </w:rPr>
        <w:t>2.4取力器：底盘原装进口变速箱侧取力器</w:t>
      </w:r>
    </w:p>
    <w:p>
      <w:pPr>
        <w:rPr>
          <w:color w:val="auto"/>
        </w:rPr>
      </w:pPr>
      <w:r>
        <w:rPr>
          <w:rFonts w:hint="eastAsia"/>
          <w:color w:val="auto"/>
        </w:rPr>
        <w:t>2.5转向：液压助力，方向盘高度和倾角可调。</w:t>
      </w:r>
    </w:p>
    <w:p>
      <w:pPr>
        <w:rPr>
          <w:color w:val="auto"/>
        </w:rPr>
      </w:pPr>
      <w:r>
        <w:rPr>
          <w:rFonts w:hint="eastAsia"/>
          <w:color w:val="auto"/>
        </w:rPr>
        <w:t>2.6制动：气压双回路；配置发动机制动(VEB+)、防抱死制动系统（ABS）、电控制动系统（EBS）、电子车身稳定系统（ESP）、驱动防滑系统（TCS）。</w:t>
      </w:r>
    </w:p>
    <w:p>
      <w:pPr>
        <w:rPr>
          <w:color w:val="auto"/>
        </w:rPr>
      </w:pPr>
      <w:r>
        <w:rPr>
          <w:rFonts w:hint="eastAsia"/>
          <w:color w:val="auto"/>
        </w:rPr>
        <w:t>2.7变速箱：全自动智能变速箱，≥12个前进档，≥4个倒档。</w:t>
      </w:r>
    </w:p>
    <w:p>
      <w:pPr>
        <w:rPr>
          <w:color w:val="auto"/>
        </w:rPr>
      </w:pPr>
      <w:r>
        <w:rPr>
          <w:rFonts w:hint="eastAsia"/>
          <w:color w:val="auto"/>
        </w:rPr>
        <w:t>3.驾驶室和乘员室</w:t>
      </w:r>
    </w:p>
    <w:p>
      <w:pPr>
        <w:rPr>
          <w:color w:val="auto"/>
        </w:rPr>
      </w:pPr>
      <w:r>
        <w:rPr>
          <w:rFonts w:hint="eastAsia"/>
          <w:color w:val="auto"/>
        </w:rPr>
        <w:t>3.1结构：平头，原装四门，4门电动升降车窗，带液压翻转机构。</w:t>
      </w:r>
    </w:p>
    <w:p>
      <w:pPr>
        <w:rPr>
          <w:color w:val="auto"/>
        </w:rPr>
      </w:pPr>
      <w:r>
        <w:rPr>
          <w:rFonts w:hint="eastAsia"/>
          <w:color w:val="auto"/>
        </w:rPr>
        <w:t>3.2警灯：符合应急管理部相关标准。</w:t>
      </w:r>
    </w:p>
    <w:p>
      <w:pPr>
        <w:rPr>
          <w:color w:val="auto"/>
        </w:rPr>
      </w:pPr>
      <w:r>
        <w:rPr>
          <w:rFonts w:hint="eastAsia"/>
          <w:color w:val="auto"/>
        </w:rPr>
        <w:t>3.3 设备：安装360度全景影像，含前后可视行车记录仪，含倒车雷达，存储卡≥128G、高清显示屏≥9英寸。</w:t>
      </w:r>
    </w:p>
    <w:p>
      <w:pPr>
        <w:rPr>
          <w:color w:val="auto"/>
        </w:rPr>
      </w:pPr>
      <w:r>
        <w:rPr>
          <w:rFonts w:hint="eastAsia"/>
          <w:color w:val="auto"/>
        </w:rPr>
        <w:t>3.4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pPr>
        <w:rPr>
          <w:color w:val="auto"/>
        </w:rPr>
      </w:pPr>
      <w:r>
        <w:rPr>
          <w:rFonts w:hint="eastAsia"/>
          <w:color w:val="auto"/>
        </w:rPr>
        <w:t>3.5其他设备：驾驶室内部配有照明、冷暖空调、卷帘门警告指示灯、电源连接插接座。</w:t>
      </w:r>
    </w:p>
    <w:p>
      <w:pPr>
        <w:rPr>
          <w:color w:val="auto"/>
        </w:rPr>
      </w:pPr>
      <w:r>
        <w:rPr>
          <w:rFonts w:hint="eastAsia"/>
          <w:color w:val="auto"/>
        </w:rPr>
        <w:t>3.6驾乘室座椅数≥6人，采用2+4布局，主驾位置采用气动悬浮座椅、座椅可调节。所有座椅需配置3点式安全带，后排座椅设置空气呼吸器支架，适用于6.8-9L空气呼吸器（带气瓶保护套），座椅下方应设置储物柜，带锁，防止自动打开。</w:t>
      </w:r>
    </w:p>
    <w:p>
      <w:pPr>
        <w:rPr>
          <w:color w:val="auto"/>
        </w:rPr>
      </w:pPr>
      <w:r>
        <w:rPr>
          <w:rFonts w:hint="eastAsia"/>
          <w:color w:val="auto"/>
        </w:rPr>
        <w:t>3.7其他：设置快速充电口（220V）；乘员室内所有扶手、内衬均经过防滑处理，配有防滑门阶。</w:t>
      </w:r>
    </w:p>
    <w:p>
      <w:pPr>
        <w:rPr>
          <w:color w:val="auto"/>
        </w:rPr>
      </w:pPr>
      <w:r>
        <w:rPr>
          <w:rFonts w:hint="eastAsia"/>
          <w:color w:val="auto"/>
        </w:rPr>
        <w:t>4.支撑系统</w:t>
      </w:r>
    </w:p>
    <w:p>
      <w:pPr>
        <w:rPr>
          <w:color w:val="auto"/>
        </w:rPr>
      </w:pPr>
      <w:r>
        <w:rPr>
          <w:rFonts w:hint="eastAsia"/>
          <w:color w:val="auto"/>
        </w:rPr>
        <w:t>4.1形式：H型</w:t>
      </w:r>
    </w:p>
    <w:p>
      <w:pPr>
        <w:rPr>
          <w:color w:val="auto"/>
        </w:rPr>
      </w:pPr>
      <w:r>
        <w:rPr>
          <w:rFonts w:hint="eastAsia"/>
          <w:color w:val="auto"/>
        </w:rPr>
        <w:t>4.2最大展开跨距（mm，纵向*横向）：≤7700*2300</w:t>
      </w:r>
    </w:p>
    <w:p>
      <w:pPr>
        <w:rPr>
          <w:color w:val="auto"/>
        </w:rPr>
      </w:pPr>
      <w:r>
        <w:rPr>
          <w:rFonts w:hint="eastAsia"/>
          <w:color w:val="auto"/>
        </w:rPr>
        <w:t>4.3支腿位置检测系统：前支腿及后支腿均带位置检测装置</w:t>
      </w:r>
    </w:p>
    <w:p>
      <w:pPr>
        <w:rPr>
          <w:color w:val="auto"/>
        </w:rPr>
      </w:pPr>
      <w:r>
        <w:rPr>
          <w:rFonts w:hint="eastAsia"/>
          <w:color w:val="auto"/>
        </w:rPr>
        <w:t>4.4支腿操作：一键自动展开调平，应急状态可以手动操作，配备应急操作系统。</w:t>
      </w:r>
    </w:p>
    <w:p>
      <w:pPr>
        <w:rPr>
          <w:color w:val="auto"/>
        </w:rPr>
      </w:pPr>
      <w:r>
        <w:rPr>
          <w:rFonts w:hint="eastAsia"/>
          <w:color w:val="auto"/>
        </w:rPr>
        <w:t>★4.5支腿展开和调平时间：≤30s</w:t>
      </w:r>
    </w:p>
    <w:p>
      <w:pPr>
        <w:rPr>
          <w:color w:val="auto"/>
        </w:rPr>
      </w:pPr>
      <w:r>
        <w:rPr>
          <w:rFonts w:hint="eastAsia"/>
          <w:color w:val="auto"/>
        </w:rPr>
        <w:t>5.臂架及转台系统</w:t>
      </w:r>
    </w:p>
    <w:p>
      <w:pPr>
        <w:rPr>
          <w:color w:val="auto"/>
        </w:rPr>
      </w:pPr>
      <w:r>
        <w:rPr>
          <w:rFonts w:hint="eastAsia"/>
          <w:color w:val="auto"/>
        </w:rPr>
        <w:t>5.1臂架节数/型式：折叠臂≥2节</w:t>
      </w:r>
    </w:p>
    <w:p>
      <w:pPr>
        <w:rPr>
          <w:color w:val="auto"/>
        </w:rPr>
      </w:pPr>
      <w:r>
        <w:rPr>
          <w:rFonts w:hint="eastAsia"/>
          <w:color w:val="auto"/>
        </w:rPr>
        <w:t>★5.2最大工作高度：≥20m</w:t>
      </w:r>
    </w:p>
    <w:p>
      <w:pPr>
        <w:rPr>
          <w:color w:val="auto"/>
        </w:rPr>
      </w:pPr>
      <w:r>
        <w:rPr>
          <w:rFonts w:hint="eastAsia"/>
          <w:color w:val="auto"/>
        </w:rPr>
        <w:t>5.3回转机构：液压马达驱动的回转机构布置在转台的右侧，可360°连续转动，一节臂变幅油缸置于转台中部。</w:t>
      </w:r>
    </w:p>
    <w:p>
      <w:pPr>
        <w:rPr>
          <w:color w:val="auto"/>
        </w:rPr>
      </w:pPr>
      <w:r>
        <w:rPr>
          <w:rFonts w:hint="eastAsia"/>
          <w:color w:val="auto"/>
        </w:rPr>
        <w:t>5.4臂架动作时间≤70秒（臂架举升到最大工作高度并转动90度）</w:t>
      </w:r>
    </w:p>
    <w:p>
      <w:pPr>
        <w:rPr>
          <w:color w:val="auto"/>
        </w:rPr>
      </w:pPr>
      <w:r>
        <w:rPr>
          <w:rFonts w:hint="eastAsia"/>
          <w:color w:val="auto"/>
        </w:rPr>
        <w:t>6.远程破拆系统：</w:t>
      </w:r>
    </w:p>
    <w:p>
      <w:pPr>
        <w:rPr>
          <w:color w:val="auto"/>
        </w:rPr>
      </w:pPr>
      <w:r>
        <w:rPr>
          <w:rFonts w:hint="eastAsia"/>
          <w:color w:val="auto"/>
        </w:rPr>
        <w:t>6.1单发可击穿≥30m处、厚度≥19mm的单层钢化玻璃；单发可击穿≥28m处、2块叠放的厚度≥40mm的中空钢化玻璃；</w:t>
      </w:r>
    </w:p>
    <w:p>
      <w:pPr>
        <w:rPr>
          <w:color w:val="auto"/>
        </w:rPr>
      </w:pPr>
      <w:r>
        <w:rPr>
          <w:rFonts w:hint="eastAsia"/>
          <w:color w:val="auto"/>
        </w:rPr>
        <w:t>6.2无线数字高清图传和遥控距离。</w:t>
      </w:r>
    </w:p>
    <w:p>
      <w:pPr>
        <w:rPr>
          <w:color w:val="auto"/>
        </w:rPr>
      </w:pPr>
      <w:r>
        <w:rPr>
          <w:rFonts w:hint="eastAsia"/>
          <w:color w:val="auto"/>
        </w:rPr>
        <w:t>6.2.1 无线传输距离≥100m（空旷地带）；</w:t>
      </w:r>
    </w:p>
    <w:p>
      <w:pPr>
        <w:rPr>
          <w:color w:val="auto"/>
        </w:rPr>
      </w:pPr>
      <w:r>
        <w:rPr>
          <w:rFonts w:hint="eastAsia"/>
          <w:color w:val="auto"/>
        </w:rPr>
        <w:t>6.2.2 图像延时≤90ms，可同步高清播放；</w:t>
      </w:r>
    </w:p>
    <w:p>
      <w:pPr>
        <w:rPr>
          <w:color w:val="auto"/>
        </w:rPr>
      </w:pPr>
      <w:r>
        <w:rPr>
          <w:rFonts w:hint="eastAsia"/>
          <w:color w:val="auto"/>
        </w:rPr>
        <w:t>6.2.3 接收机显示屏分辨率≥1080P；</w:t>
      </w:r>
    </w:p>
    <w:p>
      <w:pPr>
        <w:rPr>
          <w:color w:val="auto"/>
        </w:rPr>
      </w:pPr>
      <w:r>
        <w:rPr>
          <w:rFonts w:hint="eastAsia"/>
          <w:color w:val="auto"/>
        </w:rPr>
        <w:t>6.2.4 高清探头像素≥800万。</w:t>
      </w:r>
    </w:p>
    <w:p>
      <w:pPr>
        <w:rPr>
          <w:color w:val="auto"/>
        </w:rPr>
      </w:pPr>
      <w:r>
        <w:rPr>
          <w:rFonts w:hint="eastAsia"/>
          <w:color w:val="auto"/>
        </w:rPr>
        <w:t xml:space="preserve">7.消防系统  </w:t>
      </w:r>
    </w:p>
    <w:p>
      <w:pPr>
        <w:rPr>
          <w:color w:val="auto"/>
        </w:rPr>
      </w:pPr>
      <w:r>
        <w:rPr>
          <w:rFonts w:hint="eastAsia"/>
          <w:color w:val="auto"/>
        </w:rPr>
        <w:t>★7.1消防泵（国外知名品牌）:真空泵，1.0Mpa，额定流量：≥150L/s。</w:t>
      </w:r>
    </w:p>
    <w:p>
      <w:pPr>
        <w:rPr>
          <w:color w:val="auto"/>
        </w:rPr>
      </w:pPr>
      <w:r>
        <w:rPr>
          <w:rFonts w:hint="eastAsia"/>
          <w:color w:val="auto"/>
        </w:rPr>
        <w:t>7.1.1整车额定流量：≥110L/s，≥1.3MPa；</w:t>
      </w:r>
    </w:p>
    <w:p>
      <w:pPr>
        <w:rPr>
          <w:color w:val="auto"/>
        </w:rPr>
      </w:pPr>
      <w:r>
        <w:rPr>
          <w:rFonts w:hint="eastAsia"/>
          <w:color w:val="auto"/>
        </w:rPr>
        <w:t>7.1.2 真空泵：真空度≥85kPa；最大引水深度≥７m；</w:t>
      </w:r>
    </w:p>
    <w:p>
      <w:pPr>
        <w:rPr>
          <w:color w:val="auto"/>
        </w:rPr>
      </w:pPr>
      <w:r>
        <w:rPr>
          <w:rFonts w:hint="eastAsia"/>
          <w:color w:val="auto"/>
        </w:rPr>
        <w:t>7.1.3 泡沫系统：负压式全自动泡沫比例混合系统，混合比例不低于1%-10%；</w:t>
      </w:r>
    </w:p>
    <w:p>
      <w:pPr>
        <w:rPr>
          <w:color w:val="auto"/>
        </w:rPr>
      </w:pPr>
      <w:r>
        <w:rPr>
          <w:rFonts w:hint="eastAsia"/>
          <w:color w:val="auto"/>
        </w:rPr>
        <w:t>7.1.4水路系统：下车—铝合金水管；上车—铝合金管+消防回转接头；</w:t>
      </w:r>
    </w:p>
    <w:p>
      <w:pPr>
        <w:rPr>
          <w:color w:val="auto"/>
        </w:rPr>
      </w:pPr>
      <w:r>
        <w:rPr>
          <w:rFonts w:hint="eastAsia"/>
          <w:color w:val="auto"/>
        </w:rPr>
        <w:t>7.2消防炮（国外知名品牌）</w:t>
      </w:r>
    </w:p>
    <w:p>
      <w:pPr>
        <w:rPr>
          <w:color w:val="auto"/>
        </w:rPr>
      </w:pPr>
      <w:r>
        <w:rPr>
          <w:rFonts w:hint="eastAsia"/>
          <w:color w:val="auto"/>
        </w:rPr>
        <w:t>★7.2.1臂架举升至额定作业高度时消防炮流量：≥110L/S</w:t>
      </w:r>
    </w:p>
    <w:p>
      <w:pPr>
        <w:rPr>
          <w:color w:val="auto"/>
        </w:rPr>
      </w:pPr>
      <w:r>
        <w:rPr>
          <w:rFonts w:hint="eastAsia"/>
          <w:color w:val="auto"/>
        </w:rPr>
        <w:t>7.2.2臂架举升至额定作业高度时消防炮射程：水≥90m；泡沫≥85m</w:t>
      </w:r>
    </w:p>
    <w:p>
      <w:pPr>
        <w:rPr>
          <w:color w:val="auto"/>
        </w:rPr>
      </w:pPr>
      <w:r>
        <w:rPr>
          <w:rFonts w:hint="eastAsia"/>
          <w:color w:val="auto"/>
        </w:rPr>
        <w:t>7.2.3高喷炮加配可拆卸的发泡网格（缓释放）</w:t>
      </w:r>
    </w:p>
    <w:p>
      <w:pPr>
        <w:rPr>
          <w:color w:val="auto"/>
        </w:rPr>
      </w:pPr>
      <w:r>
        <w:rPr>
          <w:rFonts w:hint="eastAsia"/>
          <w:color w:val="auto"/>
        </w:rPr>
        <w:t>7.2.4水炮回转角≥150°，俯仰角≤-,60°～≥+30°</w:t>
      </w:r>
    </w:p>
    <w:p>
      <w:pPr>
        <w:rPr>
          <w:color w:val="auto"/>
        </w:rPr>
      </w:pPr>
      <w:r>
        <w:rPr>
          <w:rFonts w:hint="eastAsia"/>
          <w:color w:val="auto"/>
        </w:rPr>
        <w:t>7.2.5配备≥150m无线遥控操作</w:t>
      </w:r>
    </w:p>
    <w:p>
      <w:pPr>
        <w:rPr>
          <w:color w:val="auto"/>
        </w:rPr>
      </w:pPr>
      <w:r>
        <w:rPr>
          <w:rFonts w:hint="eastAsia"/>
          <w:color w:val="auto"/>
        </w:rPr>
        <w:t>7.3消防接口：设置外出水接口DN80≥8个、外吸水口DN150≥2个、泡沫系统外吸泡沫接口DN80≥1个。</w:t>
      </w:r>
    </w:p>
    <w:p>
      <w:pPr>
        <w:rPr>
          <w:color w:val="auto"/>
        </w:rPr>
      </w:pPr>
      <w:r>
        <w:rPr>
          <w:rFonts w:hint="eastAsia"/>
          <w:color w:val="auto"/>
        </w:rPr>
        <w:t>8.安全保护系统</w:t>
      </w:r>
    </w:p>
    <w:p>
      <w:pPr>
        <w:rPr>
          <w:color w:val="auto"/>
        </w:rPr>
      </w:pPr>
      <w:r>
        <w:rPr>
          <w:rFonts w:hint="eastAsia"/>
          <w:color w:val="auto"/>
        </w:rPr>
        <w:t>8.1上下车互锁：支腿未展开， 臂架不能离开支架；臂架离开支架，支腿不能动作。</w:t>
      </w:r>
    </w:p>
    <w:p>
      <w:pPr>
        <w:rPr>
          <w:color w:val="auto"/>
        </w:rPr>
      </w:pPr>
      <w:r>
        <w:rPr>
          <w:rFonts w:hint="eastAsia"/>
          <w:color w:val="auto"/>
        </w:rPr>
        <w:t>8.2臂架的缓冲保护：极限位置以及突然操作手柄，系统能自动实现加减速。</w:t>
      </w:r>
    </w:p>
    <w:p>
      <w:pPr>
        <w:rPr>
          <w:color w:val="auto"/>
        </w:rPr>
      </w:pPr>
      <w:r>
        <w:rPr>
          <w:rFonts w:hint="eastAsia"/>
          <w:color w:val="auto"/>
        </w:rPr>
        <w:t>8.3臂架限幅保护：根据不同的支腿支撑位置，程序自动限制臂架在允许的工作姿态下运动。</w:t>
      </w:r>
    </w:p>
    <w:p>
      <w:pPr>
        <w:rPr>
          <w:color w:val="auto"/>
        </w:rPr>
      </w:pPr>
      <w:r>
        <w:rPr>
          <w:rFonts w:hint="eastAsia"/>
          <w:color w:val="auto"/>
        </w:rPr>
        <w:t>8.4转台对中保护：臂架收车时，在接近回转中位时，自动降速；达到中位时，旋转停止，允许臂架下压。</w:t>
      </w:r>
    </w:p>
    <w:p>
      <w:pPr>
        <w:rPr>
          <w:color w:val="auto"/>
        </w:rPr>
      </w:pPr>
      <w:r>
        <w:rPr>
          <w:rFonts w:hint="eastAsia"/>
          <w:color w:val="auto"/>
        </w:rPr>
        <w:t>8.5水路超压保护：水路超过压力时，安全阀溢流。</w:t>
      </w:r>
    </w:p>
    <w:p>
      <w:pPr>
        <w:rPr>
          <w:color w:val="auto"/>
        </w:rPr>
      </w:pPr>
      <w:r>
        <w:rPr>
          <w:rFonts w:hint="eastAsia"/>
          <w:color w:val="auto"/>
        </w:rPr>
        <w:t>8.6水泵空转保护：防止水泵空转时损坏。</w:t>
      </w:r>
    </w:p>
    <w:p>
      <w:pPr>
        <w:rPr>
          <w:color w:val="auto"/>
        </w:rPr>
      </w:pPr>
      <w:r>
        <w:rPr>
          <w:rFonts w:hint="eastAsia"/>
          <w:color w:val="auto"/>
        </w:rPr>
        <w:t>★8.7软腿保护：当臂架在动作过程中， 若支腿出现离地，自动声光报警，并只允许臂架向安全方向运动。</w:t>
      </w:r>
    </w:p>
    <w:p>
      <w:pPr>
        <w:rPr>
          <w:color w:val="auto"/>
        </w:rPr>
      </w:pPr>
      <w:r>
        <w:rPr>
          <w:rFonts w:hint="eastAsia"/>
          <w:color w:val="auto"/>
        </w:rPr>
        <w:t>★8.8应急功能：所有液压阀都带有应急机械操作；系统带有应急动力单元，发动机、油泵出现故障时，用于收拢臂架和支腿。</w:t>
      </w:r>
    </w:p>
    <w:p>
      <w:pPr>
        <w:rPr>
          <w:color w:val="auto"/>
        </w:rPr>
      </w:pPr>
      <w:r>
        <w:rPr>
          <w:rFonts w:hint="eastAsia"/>
          <w:color w:val="auto"/>
        </w:rPr>
        <w:t>8.9臂架限制保护：臂架接近极限幅度时，能自动缓慢停止。</w:t>
      </w:r>
    </w:p>
    <w:p>
      <w:pPr>
        <w:rPr>
          <w:color w:val="auto"/>
        </w:rPr>
      </w:pPr>
      <w:r>
        <w:rPr>
          <w:rFonts w:hint="eastAsia"/>
          <w:color w:val="auto"/>
        </w:rPr>
        <w:t>8.10回转缓冲保护：回转突然停止时，系统能够有效实现缓冲。</w:t>
      </w:r>
    </w:p>
    <w:p>
      <w:pPr>
        <w:rPr>
          <w:color w:val="auto"/>
        </w:rPr>
      </w:pPr>
      <w:r>
        <w:rPr>
          <w:rFonts w:hint="eastAsia"/>
          <w:color w:val="auto"/>
        </w:rPr>
        <w:t>8.11臂架防干涉保护：对臂架可能发生相互干涉、与车体干涉的点进行固有程序限制，保证误操作时，不发生干涉与碰撞。</w:t>
      </w:r>
    </w:p>
    <w:p>
      <w:pPr>
        <w:rPr>
          <w:color w:val="auto"/>
        </w:rPr>
      </w:pPr>
      <w:r>
        <w:rPr>
          <w:rFonts w:hint="eastAsia"/>
          <w:color w:val="auto"/>
        </w:rPr>
        <w:t>8.12支腿动作报警：支腿动作时，声光自动报警，防止碰撞伤人。</w:t>
      </w:r>
    </w:p>
    <w:p>
      <w:pPr>
        <w:rPr>
          <w:color w:val="auto"/>
        </w:rPr>
      </w:pPr>
      <w:r>
        <w:rPr>
          <w:rFonts w:hint="eastAsia"/>
          <w:color w:val="auto"/>
        </w:rPr>
        <w:t>8.13支腿未收回到位提示：如支腿未收回到位，驾驶室光报警，防止行车发生事故。</w:t>
      </w:r>
    </w:p>
    <w:p>
      <w:pPr>
        <w:rPr>
          <w:color w:val="auto"/>
        </w:rPr>
      </w:pPr>
      <w:r>
        <w:rPr>
          <w:rFonts w:hint="eastAsia"/>
          <w:color w:val="auto"/>
        </w:rPr>
        <w:t>8.14器材箱门未关提示：如果器材箱门未关，驾驶室光报警，防止行车发生事故。</w:t>
      </w:r>
    </w:p>
    <w:p>
      <w:pPr>
        <w:rPr>
          <w:color w:val="auto"/>
        </w:rPr>
      </w:pPr>
      <w:r>
        <w:rPr>
          <w:rFonts w:hint="eastAsia"/>
          <w:color w:val="auto"/>
        </w:rPr>
        <w:t>9.液压系统</w:t>
      </w:r>
    </w:p>
    <w:p>
      <w:pPr>
        <w:rPr>
          <w:color w:val="auto"/>
        </w:rPr>
      </w:pPr>
      <w:r>
        <w:rPr>
          <w:rFonts w:hint="eastAsia"/>
          <w:color w:val="auto"/>
        </w:rPr>
        <w:t>9.1液压系统采用负载敏感变量柱塞泵。</w:t>
      </w:r>
    </w:p>
    <w:p>
      <w:pPr>
        <w:rPr>
          <w:color w:val="auto"/>
        </w:rPr>
      </w:pPr>
      <w:r>
        <w:rPr>
          <w:rFonts w:hint="eastAsia"/>
          <w:color w:val="auto"/>
        </w:rPr>
        <w:t>9.2设置一套液压系统备用动力源。</w:t>
      </w:r>
    </w:p>
    <w:p>
      <w:pPr>
        <w:rPr>
          <w:color w:val="auto"/>
        </w:rPr>
      </w:pPr>
      <w:r>
        <w:rPr>
          <w:rFonts w:hint="eastAsia"/>
          <w:color w:val="auto"/>
        </w:rPr>
        <w:t>9.3车辆各执行油缸均设置有平衡阀。</w:t>
      </w:r>
    </w:p>
    <w:p>
      <w:pPr>
        <w:rPr>
          <w:color w:val="auto"/>
        </w:rPr>
      </w:pPr>
      <w:r>
        <w:rPr>
          <w:rFonts w:hint="eastAsia"/>
          <w:color w:val="auto"/>
        </w:rPr>
        <w:t>10.电气系统</w:t>
      </w:r>
    </w:p>
    <w:p>
      <w:pPr>
        <w:rPr>
          <w:color w:val="auto"/>
        </w:rPr>
      </w:pPr>
      <w:r>
        <w:rPr>
          <w:rFonts w:hint="eastAsia"/>
          <w:color w:val="auto"/>
        </w:rPr>
        <w:t>10.1车辆设置两处操作装置：车辆尾部的下车操作面板及遥控操作盒。</w:t>
      </w:r>
    </w:p>
    <w:p>
      <w:pPr>
        <w:rPr>
          <w:color w:val="auto"/>
        </w:rPr>
      </w:pPr>
      <w:r>
        <w:rPr>
          <w:rFonts w:hint="eastAsia"/>
          <w:color w:val="auto"/>
        </w:rPr>
        <w:t>10.2电气系统加装照明灯、水炮探照灯；符合国家标准的消防车辆的外部照明和信号装置。</w:t>
      </w:r>
    </w:p>
    <w:p>
      <w:pPr>
        <w:rPr>
          <w:color w:val="auto"/>
        </w:rPr>
      </w:pPr>
      <w:r>
        <w:rPr>
          <w:rFonts w:hint="eastAsia"/>
          <w:color w:val="auto"/>
        </w:rPr>
        <w:t>10.3 配备自动脱离充电装置。</w:t>
      </w:r>
    </w:p>
    <w:p>
      <w:pPr>
        <w:rPr>
          <w:color w:val="auto"/>
        </w:rPr>
      </w:pPr>
      <w:r>
        <w:rPr>
          <w:rFonts w:hint="eastAsia"/>
          <w:color w:val="auto"/>
        </w:rPr>
        <w:t>11.消防罐</w:t>
      </w:r>
    </w:p>
    <w:p>
      <w:pPr>
        <w:rPr>
          <w:color w:val="auto"/>
        </w:rPr>
      </w:pPr>
      <w:r>
        <w:rPr>
          <w:rFonts w:hint="eastAsia"/>
          <w:color w:val="auto"/>
        </w:rPr>
        <w:t>11.1材质：304不锈钢，侧板、底板≥4mm，其余≥3mm。</w:t>
      </w:r>
    </w:p>
    <w:p>
      <w:pPr>
        <w:rPr>
          <w:color w:val="auto"/>
        </w:rPr>
      </w:pPr>
      <w:r>
        <w:rPr>
          <w:rFonts w:hint="eastAsia"/>
          <w:color w:val="auto"/>
        </w:rPr>
        <w:t>11.2载液量：载水量：≥17000kg；载泡沫量：≥3000kg。</w:t>
      </w:r>
    </w:p>
    <w:p>
      <w:pPr>
        <w:rPr>
          <w:color w:val="auto"/>
        </w:rPr>
      </w:pPr>
      <w:r>
        <w:rPr>
          <w:rFonts w:hint="eastAsia"/>
          <w:color w:val="auto"/>
        </w:rPr>
        <w:t>11.3罐体内网格式设置纵向、横向防荡板。</w:t>
      </w:r>
    </w:p>
    <w:p>
      <w:pPr>
        <w:rPr>
          <w:color w:val="auto"/>
        </w:rPr>
      </w:pPr>
      <w:r>
        <w:rPr>
          <w:rFonts w:hint="eastAsia"/>
          <w:color w:val="auto"/>
        </w:rPr>
        <w:t>11.4水罐设DN150溢水管带溢水帽；泡沫罐设呼吸阀；水罐和泡沫罐均安装电子液位计。</w:t>
      </w:r>
    </w:p>
    <w:p>
      <w:pPr>
        <w:rPr>
          <w:color w:val="auto"/>
        </w:rPr>
      </w:pPr>
      <w:r>
        <w:rPr>
          <w:rFonts w:hint="eastAsia"/>
          <w:color w:val="auto"/>
        </w:rPr>
        <w:t>11.5罐顶采用防滑涂料；罐体内表面喷涂防腐材料。</w:t>
      </w:r>
    </w:p>
    <w:p>
      <w:pPr>
        <w:rPr>
          <w:color w:val="auto"/>
        </w:rPr>
      </w:pPr>
      <w:r>
        <w:rPr>
          <w:rFonts w:hint="eastAsia"/>
          <w:color w:val="auto"/>
        </w:rPr>
        <w:t>11.6水罐：设≥φ450人孔2个, 带有快速锁定/开启，罐体压力超过1kg时自动泄压，人孔盖涂绿色。</w:t>
      </w:r>
    </w:p>
    <w:p>
      <w:pPr>
        <w:rPr>
          <w:color w:val="auto"/>
        </w:rPr>
      </w:pPr>
      <w:r>
        <w:rPr>
          <w:rFonts w:hint="eastAsia"/>
          <w:color w:val="auto"/>
        </w:rPr>
        <w:t>11.7泡沫罐：设≥φ450人孔1个, 带有快速锁定/开启，罐体压力超过1kg时自动泄压，人孔盖涂黄色。</w:t>
      </w:r>
    </w:p>
    <w:p>
      <w:pPr>
        <w:rPr>
          <w:color w:val="auto"/>
        </w:rPr>
      </w:pPr>
      <w:r>
        <w:rPr>
          <w:rFonts w:hint="eastAsia"/>
          <w:color w:val="auto"/>
        </w:rPr>
        <w:t>11.车厢及车体</w:t>
      </w:r>
    </w:p>
    <w:p>
      <w:pPr>
        <w:rPr>
          <w:color w:val="auto"/>
        </w:rPr>
      </w:pPr>
      <w:r>
        <w:rPr>
          <w:rFonts w:hint="eastAsia"/>
          <w:color w:val="auto"/>
        </w:rPr>
        <w:t>12.1材质：骨架采用高强度铝合金专用型材，蒙板为全铝合金板，内部蒙板进行阳极氧化处理。</w:t>
      </w:r>
    </w:p>
    <w:p>
      <w:pPr>
        <w:rPr>
          <w:color w:val="auto"/>
        </w:rPr>
      </w:pPr>
      <w:r>
        <w:rPr>
          <w:rFonts w:hint="eastAsia"/>
          <w:color w:val="auto"/>
        </w:rPr>
        <w:t>12.2结构：器材箱骨架采用高强度铝合金型材，外蒙皮。</w:t>
      </w:r>
    </w:p>
    <w:p>
      <w:pPr>
        <w:rPr>
          <w:color w:val="auto"/>
        </w:rPr>
      </w:pPr>
      <w:r>
        <w:rPr>
          <w:rFonts w:hint="eastAsia"/>
          <w:color w:val="auto"/>
        </w:rPr>
        <w:t>12.3卷帘门：采用带锁铝合金卷帘门，每个器材箱内有照明灯，由卷帘门开闭控制。</w:t>
      </w:r>
    </w:p>
    <w:p>
      <w:pPr>
        <w:rPr>
          <w:color w:val="auto"/>
        </w:rPr>
      </w:pPr>
      <w:r>
        <w:rPr>
          <w:rFonts w:hint="eastAsia"/>
          <w:color w:val="auto"/>
        </w:rPr>
        <w:t>13整车标识：按应急管理部最新外观标识统型标准，消防救援车辆外观制式涂装要求进行涂装，车辆涂装符合《国家综合性消防救援车辆外观制式涂装规范》。</w:t>
      </w:r>
    </w:p>
    <w:p>
      <w:pPr>
        <w:rPr>
          <w:color w:val="auto"/>
        </w:rPr>
      </w:pPr>
      <w:r>
        <w:rPr>
          <w:rFonts w:hint="eastAsia"/>
          <w:color w:val="auto"/>
        </w:rPr>
        <w:t>14随车资料（均为中文材料）</w:t>
      </w:r>
    </w:p>
    <w:p>
      <w:pPr>
        <w:rPr>
          <w:color w:val="auto"/>
        </w:rPr>
      </w:pPr>
      <w:r>
        <w:rPr>
          <w:rFonts w:hint="eastAsia"/>
          <w:color w:val="auto"/>
        </w:rPr>
        <w:t>附底盘使用手册2份；上装使用维护手册2份；底盘维护手册2份；车辆零件目录2份；上装维护手册、保养保修手册1份、水泵结构图1份、安全操作光盘2张；底盘电气原理图1套；发动机号和底盘号拓印件2套；底盘保修卡1份；机动车销售四联发票1份、底盘增值税发票1份、整车合格证1份、工信部公告1份、海关货物进口证明书（报关单）1份、进口机动车辆随车检验单1份、银行水单1份、一致性证书1份、环保清单1份</w:t>
      </w:r>
    </w:p>
    <w:p>
      <w:pPr>
        <w:rPr>
          <w:color w:val="auto"/>
        </w:rPr>
      </w:pPr>
      <w:r>
        <w:rPr>
          <w:rFonts w:hint="eastAsia"/>
          <w:color w:val="auto"/>
        </w:rPr>
        <w:t>15随车器材：</w:t>
      </w:r>
    </w:p>
    <w:p>
      <w:pPr>
        <w:rPr>
          <w:color w:val="auto"/>
        </w:rPr>
      </w:pPr>
      <w:r>
        <w:rPr>
          <w:rFonts w:hint="eastAsia"/>
          <w:color w:val="auto"/>
        </w:rPr>
        <w:t>15.1备胎1只；吸水管扳手2把；吸水管≥8米（快速接口）；滤水器1件（含引绳）；水带20-65-20，40盘；水带20-80-20，40盘；多功能水枪(无后坐力水枪) 2支；开关直流水枪2支；PQ8泡沫管枪2支；PQ16泡沫管枪2支；干粉灭火器4kg，2具；带止回功能的集水器2个；5节变径泡沫勾管2根；三分水器（80/65×3）1个；地上消火栓扳手1把；异径接口DN65 卡式转DN80卡式2个；异型接口DN65卡式雄接口转DN65卡式雌接口2个；异型接口DN80卡式雌接口转DN80 内扣2个；自动绕线器YD1个；支腿垫板4个；常用密封件1套；常用维修工具1套；高压黄油枪1把；带架水枪2把；</w:t>
      </w:r>
    </w:p>
    <w:p>
      <w:pPr>
        <w:rPr>
          <w:color w:val="auto"/>
        </w:rPr>
      </w:pPr>
      <w:r>
        <w:rPr>
          <w:rFonts w:hint="eastAsia"/>
          <w:color w:val="auto"/>
        </w:rPr>
        <w:t>15.2手提式中倍数发生器4个。额定喷射压力：≥0.7MPa。额定直流流量：≥ 8L/S。发泡倍数：≥ 20倍。</w:t>
      </w:r>
    </w:p>
    <w:p>
      <w:pPr>
        <w:rPr>
          <w:color w:val="auto"/>
        </w:rPr>
      </w:pPr>
      <w:r>
        <w:rPr>
          <w:rFonts w:hint="eastAsia"/>
          <w:color w:val="auto"/>
        </w:rPr>
        <w:t>15.3高倍数泡沫发生器1个。发泡倍数：≥400倍；发泡量：≥100m³/min。</w:t>
      </w:r>
    </w:p>
    <w:p>
      <w:pPr>
        <w:rPr>
          <w:color w:val="auto"/>
        </w:rPr>
      </w:pPr>
      <w:r>
        <w:rPr>
          <w:rFonts w:hint="eastAsia"/>
          <w:color w:val="auto"/>
        </w:rPr>
        <w:t>15.4大流量移动消防炮1台。无线遥控距离：≥150 m；流量：≥80L/s；自摆时间（h）≥4。</w:t>
      </w:r>
    </w:p>
    <w:p>
      <w:pPr>
        <w:rPr>
          <w:color w:val="auto"/>
        </w:rPr>
      </w:pPr>
      <w:r>
        <w:rPr>
          <w:rFonts w:hint="eastAsia"/>
          <w:color w:val="auto"/>
        </w:rPr>
        <w:t>★15.5水成膜灭火剂（6%），10吨。</w:t>
      </w:r>
    </w:p>
    <w:p>
      <w:pPr>
        <w:rPr>
          <w:color w:val="auto"/>
        </w:rPr>
      </w:pPr>
      <w:r>
        <w:rPr>
          <w:rFonts w:hint="eastAsia"/>
          <w:color w:val="auto"/>
        </w:rPr>
        <w:t>★15.5.1.符合 GB15308-2006《泡沫灭火剂》标准，提供国家固定灭火系统和耐火构件质量监督检验中心出具的合格检验报告和应急管理部消防产品合格评定中心颁发的《消防产品认证证书》。</w:t>
      </w:r>
    </w:p>
    <w:p>
      <w:pPr>
        <w:rPr>
          <w:color w:val="auto"/>
        </w:rPr>
      </w:pPr>
      <w:r>
        <w:rPr>
          <w:rFonts w:hint="eastAsia"/>
          <w:color w:val="auto"/>
        </w:rPr>
        <w:t xml:space="preserve">15.5.2.灭火性能：IA级别释放  </w:t>
      </w:r>
    </w:p>
    <w:p>
      <w:pPr>
        <w:rPr>
          <w:color w:val="auto"/>
        </w:rPr>
      </w:pPr>
      <w:r>
        <w:rPr>
          <w:rFonts w:hint="eastAsia"/>
          <w:color w:val="auto"/>
        </w:rPr>
        <w:t xml:space="preserve">15.5.3.灭火时间：不小于3min  </w:t>
      </w:r>
    </w:p>
    <w:p>
      <w:pPr>
        <w:rPr>
          <w:color w:val="auto"/>
        </w:rPr>
      </w:pPr>
      <w:r>
        <w:rPr>
          <w:rFonts w:hint="eastAsia"/>
          <w:color w:val="auto"/>
        </w:rPr>
        <w:t>15.5.4.抗烧时间：大于10min</w:t>
      </w:r>
    </w:p>
    <w:p>
      <w:pPr>
        <w:rPr>
          <w:color w:val="auto"/>
        </w:rPr>
      </w:pPr>
      <w:r>
        <w:rPr>
          <w:rFonts w:hint="eastAsia"/>
          <w:color w:val="auto"/>
        </w:rPr>
        <w:t>15.5.5.温度处理前、后PH值偏差（绝对值）≤0.5</w:t>
      </w:r>
    </w:p>
    <w:p>
      <w:pPr>
        <w:rPr>
          <w:color w:val="auto"/>
        </w:rPr>
      </w:pPr>
      <w:r>
        <w:rPr>
          <w:rFonts w:hint="eastAsia"/>
          <w:color w:val="auto"/>
        </w:rPr>
        <w:t>15.5.6.表面张力：17.5±10%mN/m</w:t>
      </w:r>
    </w:p>
    <w:p>
      <w:pPr>
        <w:rPr>
          <w:color w:val="auto"/>
        </w:rPr>
      </w:pPr>
      <w:r>
        <w:rPr>
          <w:rFonts w:hint="eastAsia"/>
          <w:color w:val="auto"/>
        </w:rPr>
        <w:t>★15.5.7.产品储存有效期为≥8年，产品不受冻结融化影响，最低使用温度≤-15℃</w:t>
      </w:r>
    </w:p>
    <w:p>
      <w:pPr>
        <w:rPr>
          <w:color w:val="auto"/>
        </w:rPr>
      </w:pPr>
      <w:r>
        <w:rPr>
          <w:rFonts w:hint="eastAsia"/>
          <w:color w:val="auto"/>
        </w:rPr>
        <w:t>15.5.8.发泡倍数：7.5±1倍</w:t>
      </w:r>
    </w:p>
    <w:p>
      <w:pPr>
        <w:rPr>
          <w:color w:val="auto"/>
        </w:rPr>
      </w:pPr>
      <w:r>
        <w:rPr>
          <w:rFonts w:hint="eastAsia"/>
          <w:color w:val="auto"/>
        </w:rPr>
        <w:t>15.5.9.容积为25L的包装容器上设置1个可完全握持的提手。200L的包装容器宜配置相应的手动搬运推车，1000L的包装容器应设置叉车插槽。</w:t>
      </w:r>
    </w:p>
    <w:p>
      <w:pPr>
        <w:rPr>
          <w:color w:val="auto"/>
        </w:rPr>
      </w:pPr>
      <w:r>
        <w:rPr>
          <w:rFonts w:hint="eastAsia"/>
          <w:color w:val="auto"/>
        </w:rPr>
        <w:t>★15.6大流量泡沫原液输转泵1台。</w:t>
      </w:r>
    </w:p>
    <w:p>
      <w:pPr>
        <w:rPr>
          <w:color w:val="auto"/>
        </w:rPr>
      </w:pPr>
      <w:r>
        <w:rPr>
          <w:rFonts w:hint="eastAsia"/>
          <w:color w:val="auto"/>
        </w:rPr>
        <w:t>15.6.1最大吸水高度≥3米；</w:t>
      </w:r>
    </w:p>
    <w:p>
      <w:pPr>
        <w:rPr>
          <w:color w:val="auto"/>
        </w:rPr>
      </w:pPr>
      <w:r>
        <w:rPr>
          <w:rFonts w:hint="eastAsia"/>
          <w:color w:val="auto"/>
        </w:rPr>
        <w:t>15.6.2驱动方式为汽油发动机驱动（四冲程单缸风冷）；</w:t>
      </w:r>
    </w:p>
    <w:p>
      <w:pPr>
        <w:rPr>
          <w:color w:val="auto"/>
        </w:rPr>
      </w:pPr>
      <w:r>
        <w:rPr>
          <w:rFonts w:hint="eastAsia"/>
          <w:color w:val="auto"/>
        </w:rPr>
        <w:t>15.6.3最大功率≥4.0KW,油箱容积≥4.0L；</w:t>
      </w:r>
    </w:p>
    <w:p>
      <w:pPr>
        <w:rPr>
          <w:color w:val="auto"/>
        </w:rPr>
      </w:pPr>
      <w:r>
        <w:rPr>
          <w:rFonts w:hint="eastAsia"/>
          <w:color w:val="auto"/>
        </w:rPr>
        <w:t>15.6.4连续工作时间≥3小时；</w:t>
      </w:r>
    </w:p>
    <w:p>
      <w:pPr>
        <w:rPr>
          <w:color w:val="auto"/>
        </w:rPr>
      </w:pPr>
      <w:r>
        <w:rPr>
          <w:rFonts w:hint="eastAsia"/>
          <w:color w:val="auto"/>
        </w:rPr>
        <w:t>15.6.5流量≥6L/S；</w:t>
      </w:r>
    </w:p>
    <w:p>
      <w:pPr>
        <w:rPr>
          <w:color w:val="auto"/>
        </w:rPr>
      </w:pPr>
      <w:r>
        <w:rPr>
          <w:rFonts w:hint="eastAsia"/>
          <w:color w:val="auto"/>
        </w:rPr>
        <w:t>15.6.6传输形式：转子泵；总重量≤35kg。</w:t>
      </w:r>
    </w:p>
    <w:p>
      <w:pPr>
        <w:rPr>
          <w:color w:val="auto"/>
        </w:rPr>
      </w:pPr>
      <w:r>
        <w:rPr>
          <w:rFonts w:hint="eastAsia"/>
          <w:color w:val="auto"/>
        </w:rPr>
        <w:t>15.7水带推车2辆，容纳水带长度≥100米。</w:t>
      </w:r>
    </w:p>
    <w:p>
      <w:pPr>
        <w:rPr>
          <w:color w:val="auto"/>
        </w:rPr>
      </w:pPr>
      <w:r>
        <w:rPr>
          <w:rFonts w:hint="eastAsia"/>
          <w:color w:val="auto"/>
        </w:rPr>
        <w:t>15.8进口手抬机动泵1台。</w:t>
      </w:r>
    </w:p>
    <w:p>
      <w:pPr>
        <w:rPr>
          <w:color w:val="auto"/>
        </w:rPr>
      </w:pPr>
      <w:r>
        <w:rPr>
          <w:rFonts w:hint="eastAsia"/>
          <w:color w:val="auto"/>
        </w:rPr>
        <w:t>15.8.1符合《消防泵》（GB 6245-2006）的要求，提供国家消防装备质量监督检验中心出具的检测报告及消防产品认证证书；</w:t>
      </w:r>
    </w:p>
    <w:p>
      <w:pPr>
        <w:rPr>
          <w:color w:val="auto"/>
        </w:rPr>
      </w:pPr>
      <w:r>
        <w:rPr>
          <w:rFonts w:hint="eastAsia"/>
          <w:color w:val="auto"/>
        </w:rPr>
        <w:t>15.8.2流量≥15L/S；</w:t>
      </w:r>
    </w:p>
    <w:p>
      <w:pPr>
        <w:rPr>
          <w:color w:val="auto"/>
        </w:rPr>
      </w:pPr>
      <w:r>
        <w:rPr>
          <w:rFonts w:hint="eastAsia"/>
          <w:color w:val="auto"/>
        </w:rPr>
        <w:t>15.8.3发动机：卧式双缸，电动，水冷，冷却水还流式，具备手动和电启动功能；</w:t>
      </w:r>
    </w:p>
    <w:p>
      <w:pPr>
        <w:rPr>
          <w:color w:val="auto"/>
        </w:rPr>
      </w:pPr>
      <w:r>
        <w:rPr>
          <w:rFonts w:hint="eastAsia"/>
          <w:color w:val="auto"/>
        </w:rPr>
        <w:t>15.8.4吸水口：Φ80mm，出水口Φ65 mm（可转动180度）；</w:t>
      </w:r>
    </w:p>
    <w:p>
      <w:pPr>
        <w:rPr>
          <w:color w:val="auto"/>
        </w:rPr>
      </w:pPr>
      <w:r>
        <w:rPr>
          <w:rFonts w:hint="eastAsia"/>
          <w:color w:val="auto"/>
        </w:rPr>
        <w:t>15.8.5配备吸水管及滤水器。</w:t>
      </w:r>
    </w:p>
    <w:p>
      <w:pPr>
        <w:rPr>
          <w:color w:val="auto"/>
        </w:rPr>
      </w:pPr>
      <w:r>
        <w:rPr>
          <w:rFonts w:hint="eastAsia"/>
          <w:color w:val="auto"/>
        </w:rPr>
        <w:t>15.9有毒气体探测仪1个，便携泵吸式，可检测空气中的氧气、氨气、一氧化碳、硫化氢4种气体的浓度；测量范围：氧气：0~25%VOL；氨气：0~100ppm；一氧化碳：0~500ppm，硫化氢：0~100ppm（0.1ppm报警）；可燃气体检测仪1台，具有国家防爆标志，探测范围：LEL：0-100%； O2:0-25%VOL； CH4:0-1000ppm；CO：0-500ppm；泵吸式复合气体探测仪1台，可检测可燃气体及有毒气体，检测模块范围及具备检测气体模块≥6类；信号传输距离≥500米；漏电探测仪4把，试频率大于等于20～100Hz区间，持续使用时间≥48h。</w:t>
      </w:r>
    </w:p>
    <w:p>
      <w:pPr>
        <w:rPr>
          <w:color w:val="auto"/>
        </w:rPr>
      </w:pPr>
      <w:r>
        <w:rPr>
          <w:rFonts w:hint="eastAsia"/>
          <w:color w:val="auto"/>
        </w:rPr>
        <w:t>15.10 卫星导航仪（北斗）1台。具备北斗短报文通信、位置上报等功能；支持单北斗定位，定位精度≤5m；支持4G全网通，至少IP67防护等级；具有北斗三号短报文通信功能；CPU：核心数量≥8核，主频≥2.3GHz，存储：RAM ≥6GB，ROM ≥128GB，支持TF存储卡扩展；</w:t>
      </w:r>
    </w:p>
    <w:p>
      <w:pPr>
        <w:rPr>
          <w:color w:val="auto"/>
        </w:rPr>
      </w:pPr>
      <w:r>
        <w:rPr>
          <w:rFonts w:hint="eastAsia"/>
          <w:color w:val="auto"/>
        </w:rPr>
        <w:t>安卓11以上操作系统；6.3英寸及以上屏幕，单手手持，≥2280*1080像素电容触控显示屏幕；内置螺旋天线，支持RNSS、RDSS一线通外接天线；每套终端标配1张北斗智能卡，并辅助采购方办理北三通信卡入网工作。</w:t>
      </w:r>
    </w:p>
    <w:p>
      <w:pPr>
        <w:rPr>
          <w:color w:val="auto"/>
        </w:rPr>
      </w:pPr>
      <w:r>
        <w:rPr>
          <w:rFonts w:hint="eastAsia"/>
          <w:color w:val="auto"/>
        </w:rPr>
        <w:t>★15.11无人机1架。</w:t>
      </w:r>
    </w:p>
    <w:p>
      <w:pPr>
        <w:rPr>
          <w:color w:val="auto"/>
        </w:rPr>
      </w:pPr>
      <w:r>
        <w:rPr>
          <w:rFonts w:hint="eastAsia"/>
          <w:color w:val="auto"/>
        </w:rPr>
        <w:t>15.11.1.国家或行业标准：符合国家、行业及企业标准。</w:t>
      </w:r>
    </w:p>
    <w:p>
      <w:pPr>
        <w:rPr>
          <w:color w:val="auto"/>
        </w:rPr>
      </w:pPr>
      <w:r>
        <w:rPr>
          <w:rFonts w:hint="eastAsia"/>
          <w:color w:val="auto"/>
        </w:rPr>
        <w:t>15.11.2技术要求：四旋翼无人机 ；最大航程:≥25KM；最大控制半径:≥9KM；空载最长续航时间:≥40min；具备可见光、红外成像两种显示模式,具备激光测距功能。</w:t>
      </w:r>
    </w:p>
    <w:p>
      <w:pPr>
        <w:rPr>
          <w:color w:val="auto"/>
        </w:rPr>
      </w:pPr>
      <w:r>
        <w:rPr>
          <w:rFonts w:hint="eastAsia"/>
          <w:color w:val="auto"/>
        </w:rPr>
        <w:t>15.11.3.其他要求：内置单北斗定位模块，电池≥5000mAh，配备≥2块电池，具备测绘功能。</w:t>
      </w:r>
    </w:p>
    <w:p>
      <w:pPr>
        <w:rPr>
          <w:color w:val="auto"/>
        </w:rPr>
      </w:pPr>
      <w:r>
        <w:rPr>
          <w:rFonts w:hint="eastAsia"/>
          <w:color w:val="auto"/>
        </w:rPr>
        <w:t>15.11.4.最大抗风速度≥12m/s；最大起飞海拔≥5000m（空载飞行）；</w:t>
      </w:r>
    </w:p>
    <w:p>
      <w:pPr>
        <w:rPr>
          <w:color w:val="auto"/>
        </w:rPr>
      </w:pPr>
      <w:r>
        <w:rPr>
          <w:rFonts w:hint="eastAsia"/>
          <w:color w:val="auto"/>
        </w:rPr>
        <w:t>15.11.5悬停精度≤垂直±0.1m（视觉定位正常工作时）；±0.5m（GNSS 正常工作时）；±0.1m（RTK 正常工作时）；</w:t>
      </w:r>
    </w:p>
    <w:p>
      <w:pPr>
        <w:rPr>
          <w:color w:val="auto"/>
        </w:rPr>
      </w:pPr>
      <w:r>
        <w:rPr>
          <w:rFonts w:hint="eastAsia"/>
          <w:color w:val="auto"/>
        </w:rPr>
        <w:t>15.11.6广角相机影像传感器≥1/2" CMOS，有效像素≥4500万；长焦相机影像传感器≥1/2" CMOS，有效像素≥1000 万；</w:t>
      </w:r>
    </w:p>
    <w:p>
      <w:pPr>
        <w:rPr>
          <w:color w:val="auto"/>
        </w:rPr>
      </w:pPr>
      <w:r>
        <w:rPr>
          <w:rFonts w:hint="eastAsia"/>
          <w:color w:val="auto"/>
        </w:rPr>
        <w:t>15.11.7 热成像相机传感器类型：非制冷氧化钒；热成像相机灵敏度≤50 mk@F1.1；热成像相机视频分辨率≥640×512@30fps；</w:t>
      </w:r>
    </w:p>
    <w:p>
      <w:pPr>
        <w:rPr>
          <w:color w:val="auto"/>
        </w:rPr>
      </w:pPr>
      <w:r>
        <w:rPr>
          <w:rFonts w:hint="eastAsia"/>
          <w:color w:val="auto"/>
        </w:rPr>
        <w:t>15.11.8.无人机包括：飞行器、飞行电池、高速SD卡≥128GB、云台保护罩、备用桨叶（1对）、一体屏飞行控制器、安全箱、数据线、电池充电器、安装工具等原厂配件一批；</w:t>
      </w:r>
    </w:p>
    <w:p>
      <w:pPr>
        <w:rPr>
          <w:color w:val="auto"/>
        </w:rPr>
      </w:pPr>
      <w:r>
        <w:rPr>
          <w:rFonts w:hint="eastAsia"/>
          <w:color w:val="auto"/>
        </w:rPr>
        <w:t>15.11.9无人机配照明模块1套：额定功率≥30W；光斑直径≥35m(150m高)；探照面积≥1000㎡(150m高)；中心光照度≥24Lux(50m高)；配置可控云台，可与相机云台联动；</w:t>
      </w:r>
    </w:p>
    <w:p>
      <w:pPr>
        <w:rPr>
          <w:color w:val="auto"/>
        </w:rPr>
      </w:pPr>
      <w:r>
        <w:rPr>
          <w:rFonts w:hint="eastAsia"/>
          <w:color w:val="auto"/>
        </w:rPr>
        <w:t>15.11.10无人机配备喊话模块1套：TTS1米处声压≥110db；广播距离≥300m；</w:t>
      </w:r>
    </w:p>
    <w:p>
      <w:pPr>
        <w:rPr>
          <w:color w:val="auto"/>
        </w:rPr>
      </w:pPr>
      <w:r>
        <w:rPr>
          <w:rFonts w:hint="eastAsia"/>
          <w:color w:val="auto"/>
        </w:rPr>
        <w:t>★15.12支撑保护套具1套，支撑力≥40T、安全系数为4:1</w:t>
      </w:r>
    </w:p>
    <w:p>
      <w:pPr>
        <w:rPr>
          <w:color w:val="auto"/>
        </w:rPr>
      </w:pPr>
      <w:r>
        <w:rPr>
          <w:rFonts w:hint="eastAsia"/>
          <w:color w:val="auto"/>
        </w:rPr>
        <w:t>15.12.1   2个液压手动撑杆：顶撑力≥100KN，收起长度≤580mm，行程长度≥250mm，总支撑长度≥820mm，重量≤10kg；</w:t>
      </w:r>
    </w:p>
    <w:p>
      <w:pPr>
        <w:rPr>
          <w:color w:val="auto"/>
        </w:rPr>
      </w:pPr>
      <w:r>
        <w:rPr>
          <w:rFonts w:hint="eastAsia"/>
          <w:color w:val="auto"/>
        </w:rPr>
        <w:t>15.12.2  3个液压自动撑杆：锁定步长为≥8mm，顶撑力≥100KN，收起长度≤620mm，行程长度≥250mm，总支撑长度≥880mm，重量≥10kg；</w:t>
      </w:r>
    </w:p>
    <w:p>
      <w:pPr>
        <w:rPr>
          <w:color w:val="auto"/>
        </w:rPr>
      </w:pPr>
      <w:r>
        <w:rPr>
          <w:rFonts w:hint="eastAsia"/>
          <w:color w:val="auto"/>
        </w:rPr>
        <w:t>15.12.3  带压力表的手动泵2只：油箱容量≥850ml，重量≤9kg。</w:t>
      </w:r>
    </w:p>
    <w:p>
      <w:pPr>
        <w:rPr>
          <w:color w:val="auto"/>
        </w:rPr>
      </w:pPr>
      <w:r>
        <w:rPr>
          <w:rFonts w:hint="eastAsia"/>
          <w:color w:val="auto"/>
        </w:rPr>
        <w:t>15.12.4  1号延长杆≥4只：长度≥125mm，工作负载≥100KN，重量≤1.5kg。</w:t>
      </w:r>
    </w:p>
    <w:p>
      <w:pPr>
        <w:rPr>
          <w:color w:val="auto"/>
        </w:rPr>
      </w:pPr>
      <w:r>
        <w:rPr>
          <w:rFonts w:hint="eastAsia"/>
          <w:color w:val="auto"/>
        </w:rPr>
        <w:t>15.12.5  1号延长杆≥4只：长度≥250mm，工作负载≥100KN，重量≤2kg。</w:t>
      </w:r>
    </w:p>
    <w:p>
      <w:pPr>
        <w:rPr>
          <w:color w:val="auto"/>
        </w:rPr>
      </w:pPr>
      <w:r>
        <w:rPr>
          <w:rFonts w:hint="eastAsia"/>
          <w:color w:val="auto"/>
        </w:rPr>
        <w:t>15.12.6  1号延长杆≥4只：长度≥500mm，工作负载≥100KN，重量≤3kg。</w:t>
      </w:r>
    </w:p>
    <w:p>
      <w:pPr>
        <w:rPr>
          <w:color w:val="auto"/>
        </w:rPr>
      </w:pPr>
      <w:r>
        <w:rPr>
          <w:rFonts w:hint="eastAsia"/>
          <w:color w:val="auto"/>
        </w:rPr>
        <w:t>15.12.7  1号延长杆 ≥2只：长度≥1000mm，工作负载≥100KN，重量≤5kg。</w:t>
      </w:r>
    </w:p>
    <w:p>
      <w:pPr>
        <w:rPr>
          <w:color w:val="auto"/>
        </w:rPr>
      </w:pPr>
      <w:r>
        <w:rPr>
          <w:rFonts w:hint="eastAsia"/>
          <w:color w:val="auto"/>
        </w:rPr>
        <w:t>15.12.8  ≥2只连接器：带有凹形弹簧锁，重量≤2kg。</w:t>
      </w:r>
    </w:p>
    <w:p>
      <w:pPr>
        <w:rPr>
          <w:color w:val="auto"/>
        </w:rPr>
      </w:pPr>
      <w:r>
        <w:rPr>
          <w:rFonts w:hint="eastAsia"/>
          <w:color w:val="auto"/>
        </w:rPr>
        <w:t>15.12.9  ≥2只45度旋转头：铝制，重量≤2kg；</w:t>
      </w:r>
    </w:p>
    <w:p>
      <w:pPr>
        <w:rPr>
          <w:color w:val="auto"/>
        </w:rPr>
      </w:pPr>
      <w:r>
        <w:rPr>
          <w:rFonts w:hint="eastAsia"/>
          <w:color w:val="auto"/>
        </w:rPr>
        <w:t>15.12.10 ≥ 4只梁支撑头：重量≤1.5kg。</w:t>
      </w:r>
    </w:p>
    <w:p>
      <w:pPr>
        <w:rPr>
          <w:color w:val="auto"/>
        </w:rPr>
      </w:pPr>
      <w:r>
        <w:rPr>
          <w:rFonts w:hint="eastAsia"/>
          <w:color w:val="auto"/>
        </w:rPr>
        <w:t>15.12.11  ≥4只L型头：重量≤1kg。</w:t>
      </w:r>
    </w:p>
    <w:p>
      <w:pPr>
        <w:rPr>
          <w:color w:val="auto"/>
        </w:rPr>
      </w:pPr>
      <w:r>
        <w:rPr>
          <w:rFonts w:hint="eastAsia"/>
          <w:color w:val="auto"/>
        </w:rPr>
        <w:t>15.12.12 ≥ 4只V型头：直径≤90mm，重量≤1kg。</w:t>
      </w:r>
    </w:p>
    <w:p>
      <w:pPr>
        <w:rPr>
          <w:color w:val="auto"/>
        </w:rPr>
      </w:pPr>
      <w:r>
        <w:rPr>
          <w:rFonts w:hint="eastAsia"/>
          <w:color w:val="auto"/>
        </w:rPr>
        <w:t>15.12.13  ≥4只十字头：重量≤1.5kg。</w:t>
      </w:r>
    </w:p>
    <w:p>
      <w:pPr>
        <w:rPr>
          <w:color w:val="auto"/>
        </w:rPr>
      </w:pPr>
      <w:r>
        <w:rPr>
          <w:rFonts w:hint="eastAsia"/>
          <w:color w:val="auto"/>
        </w:rPr>
        <w:t>15.12.14  ≥4只平头：直径≤90mm，重量≤0.5kg。</w:t>
      </w:r>
    </w:p>
    <w:p>
      <w:pPr>
        <w:rPr>
          <w:color w:val="auto"/>
        </w:rPr>
      </w:pPr>
      <w:r>
        <w:rPr>
          <w:rFonts w:hint="eastAsia"/>
          <w:color w:val="auto"/>
        </w:rPr>
        <w:t>15.12.15  ≥4只支撑底板：重量≤3kg。</w:t>
      </w:r>
    </w:p>
    <w:p>
      <w:pPr>
        <w:rPr>
          <w:color w:val="auto"/>
        </w:rPr>
      </w:pPr>
      <w:r>
        <w:rPr>
          <w:rFonts w:hint="eastAsia"/>
          <w:color w:val="auto"/>
        </w:rPr>
        <w:t>15.12.16  ≥8条紧固带：负载≥10KN，长≥400mm，宽≥35mm，重量≤1.5kg。</w:t>
      </w:r>
      <w:r>
        <w:rPr>
          <w:rFonts w:hint="eastAsia"/>
          <w:color w:val="auto"/>
        </w:rPr>
        <w:br w:type="page"/>
      </w:r>
    </w:p>
    <w:p>
      <w:pPr>
        <w:ind w:firstLine="422"/>
        <w:rPr>
          <w:b/>
          <w:bCs/>
          <w:color w:val="auto"/>
        </w:rPr>
      </w:pPr>
      <w:r>
        <w:rPr>
          <w:rFonts w:hint="eastAsia"/>
          <w:b/>
          <w:bCs/>
          <w:color w:val="auto"/>
        </w:rPr>
        <w:t>9标包，18辆抢险救援车，预算价：1710万元</w:t>
      </w:r>
    </w:p>
    <w:p>
      <w:pPr>
        <w:rPr>
          <w:color w:val="auto"/>
        </w:rPr>
      </w:pPr>
      <w:r>
        <w:rPr>
          <w:rFonts w:hint="eastAsia"/>
          <w:color w:val="auto"/>
        </w:rPr>
        <w:t>1.基本要求</w:t>
      </w:r>
    </w:p>
    <w:p>
      <w:pPr>
        <w:ind w:left="210" w:leftChars="100" w:firstLine="210" w:firstLineChars="100"/>
        <w:rPr>
          <w:color w:val="auto"/>
        </w:rPr>
      </w:pPr>
      <w:r>
        <w:rPr>
          <w:rFonts w:hint="eastAsia"/>
          <w:color w:val="auto"/>
        </w:rPr>
        <w:t xml:space="preserve">1.1国产品牌底盘；                                                                                                                                                                                                             1.2整车消防性能符合GB7956.1-2014标准要求；GB 7956.1-2014 消防车第1部分：通用技术条件GB 7956.14-2015 消防车第14部分：抢险救援消防车；                                                                                                                                                                                                                                                                               </w:t>
      </w:r>
    </w:p>
    <w:p>
      <w:pPr>
        <w:rPr>
          <w:color w:val="auto"/>
        </w:rPr>
      </w:pPr>
      <w:r>
        <w:rPr>
          <w:rFonts w:hint="eastAsia"/>
          <w:color w:val="auto"/>
        </w:rPr>
        <w:t xml:space="preserve">★1.3比功率：≥16kW/t； </w:t>
      </w:r>
    </w:p>
    <w:p>
      <w:pPr>
        <w:rPr>
          <w:color w:val="auto"/>
        </w:rPr>
      </w:pPr>
      <w:r>
        <w:rPr>
          <w:rFonts w:hint="eastAsia"/>
          <w:color w:val="auto"/>
        </w:rPr>
        <w:t>1.4最高车速：≥95km/h；</w:t>
      </w:r>
    </w:p>
    <w:p>
      <w:pPr>
        <w:rPr>
          <w:color w:val="auto"/>
        </w:rPr>
      </w:pPr>
      <w:r>
        <w:rPr>
          <w:rFonts w:hint="eastAsia"/>
          <w:color w:val="auto"/>
        </w:rPr>
        <w:t>1.5外观尺寸（mm，长*宽*高）：≤9000* 2550*3600。                                                                                                                                                                                            2. 底盘                                                                                                                                                                                                                  2.1驱动形式：4×2（等同或优于）；                                                                                                                                                                                                               ★2.2发动机：六缸、涡轮增压、中冷电控共轨喷射柴油发动机）；                                                                                                                                                                                     ★2.3额定功率：≥225kW；                                                                                                                                                                                  2.4排放标准：符合中国国家机动车现行排放标准；燃油：柴油；                                                                                                                                                                                                   2.5 变速箱：手动变速箱；                                                                                                                                                                                                    2.6取力器：满足吊臂最大额定起升荷载；                                                                                                                                                                                                      2.7轮  胎：钢丝型轮胎，数量：≥7个（含1个备胎）；                                                                                                                                                                             2.8制动系统：前盘后鼓式制动；ABS（防抱死系统）行车制动，配备液力缓速器功能）；                                                                                                                           3.驾驶室及乘员室：</w:t>
      </w:r>
    </w:p>
    <w:p>
      <w:pPr>
        <w:rPr>
          <w:color w:val="auto"/>
        </w:rPr>
      </w:pPr>
      <w:r>
        <w:rPr>
          <w:rFonts w:hint="eastAsia"/>
          <w:color w:val="auto"/>
        </w:rPr>
        <w:t>3.1结构：驾驶室为原装双排座驾驶室，平头、四门，电动液压翻转结构；</w:t>
      </w:r>
    </w:p>
    <w:p>
      <w:pPr>
        <w:rPr>
          <w:color w:val="auto"/>
        </w:rPr>
      </w:pPr>
      <w:r>
        <w:rPr>
          <w:rFonts w:hint="eastAsia"/>
          <w:color w:val="auto"/>
        </w:rPr>
        <w:t>3.2乘员模式：可乘坐≥6人(含驾驶员)，前排2人，后排4人，所有座椅必须配备安全带，后排座设置≥4具空气呼吸器支架，座椅靠背装有内嵌式6.8-9L通用型模具制作的空呼器支架；</w:t>
      </w:r>
    </w:p>
    <w:p>
      <w:pPr>
        <w:rPr>
          <w:color w:val="auto"/>
        </w:rPr>
      </w:pPr>
      <w:r>
        <w:rPr>
          <w:rFonts w:hint="eastAsia"/>
          <w:color w:val="auto"/>
        </w:rPr>
        <w:t>3.3乘员室内设备：除原车设备外，设有取力器控制开关，安装360度全景影像，含前后可视行车记录仪，含倒车雷达，存储卡≥128G、高清显示屏≥9英寸，驾驶室配冷暖空调系统。</w:t>
      </w:r>
    </w:p>
    <w:p>
      <w:pPr>
        <w:rPr>
          <w:color w:val="auto"/>
        </w:rPr>
      </w:pPr>
      <w:r>
        <w:rPr>
          <w:rFonts w:hint="eastAsia"/>
          <w:color w:val="auto"/>
        </w:rPr>
        <w:t xml:space="preserve">3.4警灯警报：符合应急管理部相关标准。   </w:t>
      </w:r>
    </w:p>
    <w:p>
      <w:pPr>
        <w:rPr>
          <w:color w:val="auto"/>
        </w:rPr>
      </w:pPr>
      <w:r>
        <w:rPr>
          <w:rFonts w:hint="eastAsia"/>
          <w:color w:val="auto"/>
        </w:rPr>
        <w:t>3.5电源总开关安装驾驶室，切换时有声音提示，预留北斗独立接口和功率≥1000W的逆变器（12V、24V、220V)；</w:t>
      </w:r>
    </w:p>
    <w:p>
      <w:pPr>
        <w:rPr>
          <w:color w:val="auto"/>
        </w:rPr>
      </w:pPr>
      <w:r>
        <w:rPr>
          <w:rFonts w:hint="eastAsia"/>
          <w:color w:val="auto"/>
        </w:rPr>
        <w:t xml:space="preserve">3.6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        </w:t>
      </w:r>
    </w:p>
    <w:p>
      <w:pPr>
        <w:rPr>
          <w:color w:val="auto"/>
        </w:rPr>
      </w:pPr>
      <w:r>
        <w:rPr>
          <w:rFonts w:hint="eastAsia"/>
          <w:color w:val="auto"/>
        </w:rPr>
        <w:t>4.随车起重机（进口品牌）                                                                                                                                                                                                  4.1驱动型式：液压；</w:t>
      </w:r>
    </w:p>
    <w:p>
      <w:pPr>
        <w:rPr>
          <w:color w:val="auto"/>
        </w:rPr>
      </w:pPr>
      <w:r>
        <w:rPr>
          <w:rFonts w:hint="eastAsia"/>
          <w:color w:val="auto"/>
        </w:rPr>
        <w:t>4.2最大起升力矩：≥9.2T.m；</w:t>
      </w:r>
    </w:p>
    <w:p>
      <w:pPr>
        <w:rPr>
          <w:color w:val="auto"/>
        </w:rPr>
      </w:pPr>
      <w:r>
        <w:rPr>
          <w:rFonts w:hint="eastAsia"/>
          <w:color w:val="auto"/>
        </w:rPr>
        <w:t>★4.3最大工作幅度：≥8m；</w:t>
      </w:r>
    </w:p>
    <w:p>
      <w:pPr>
        <w:rPr>
          <w:color w:val="auto"/>
        </w:rPr>
      </w:pPr>
      <w:r>
        <w:rPr>
          <w:rFonts w:hint="eastAsia"/>
          <w:color w:val="auto"/>
        </w:rPr>
        <w:t>4.4回转角度：≥400°；</w:t>
      </w:r>
    </w:p>
    <w:p>
      <w:pPr>
        <w:rPr>
          <w:color w:val="auto"/>
        </w:rPr>
      </w:pPr>
      <w:r>
        <w:rPr>
          <w:rFonts w:hint="eastAsia"/>
          <w:color w:val="auto"/>
        </w:rPr>
        <w:t>4.5安装位置：位于车后尾部；</w:t>
      </w:r>
    </w:p>
    <w:p>
      <w:pPr>
        <w:rPr>
          <w:color w:val="auto"/>
        </w:rPr>
      </w:pPr>
      <w:r>
        <w:rPr>
          <w:rFonts w:hint="eastAsia"/>
          <w:color w:val="auto"/>
        </w:rPr>
        <w:t>4.6作业高度≥10m；</w:t>
      </w:r>
    </w:p>
    <w:p>
      <w:pPr>
        <w:rPr>
          <w:color w:val="auto"/>
        </w:rPr>
      </w:pPr>
      <w:r>
        <w:rPr>
          <w:rFonts w:hint="eastAsia"/>
          <w:color w:val="auto"/>
        </w:rPr>
        <w:t>★4.7最大额定起升质量：≥5000Kg；</w:t>
      </w:r>
    </w:p>
    <w:p>
      <w:pPr>
        <w:rPr>
          <w:color w:val="auto"/>
        </w:rPr>
      </w:pPr>
      <w:r>
        <w:rPr>
          <w:rFonts w:hint="eastAsia"/>
          <w:color w:val="auto"/>
        </w:rPr>
        <w:t>4.8最大起升高度：≥ 8m；</w:t>
      </w:r>
    </w:p>
    <w:p>
      <w:pPr>
        <w:rPr>
          <w:color w:val="auto"/>
        </w:rPr>
      </w:pPr>
      <w:r>
        <w:rPr>
          <w:rFonts w:hint="eastAsia"/>
          <w:color w:val="auto"/>
        </w:rPr>
        <w:t>4.9液压系统额定压力：≥ 28MPa；</w:t>
      </w:r>
    </w:p>
    <w:p>
      <w:pPr>
        <w:rPr>
          <w:color w:val="auto"/>
        </w:rPr>
      </w:pPr>
      <w:r>
        <w:rPr>
          <w:rFonts w:hint="eastAsia"/>
          <w:color w:val="auto"/>
        </w:rPr>
        <w:t>4.10液压系统流量：≥25L/min；</w:t>
      </w:r>
    </w:p>
    <w:p>
      <w:pPr>
        <w:rPr>
          <w:color w:val="auto"/>
        </w:rPr>
      </w:pPr>
      <w:r>
        <w:rPr>
          <w:rFonts w:hint="eastAsia"/>
          <w:color w:val="auto"/>
        </w:rPr>
        <w:t xml:space="preserve">4.11油箱容积：≥70L；                                                                                                                                                                                                  5.牵引绞盘                                                                                                                                                                                                           5.1驱动方式：电动；                                                                                                                                                                                                        ★5.2最大牵引力：≥75KN单绳牵引力；                                                                                                                                                                                           5.3最大牵引长度：≥35m；                                                                                                                                                                                                      5.4安放方式：绞盘前置式安装，配备防雨罩； </w:t>
      </w:r>
    </w:p>
    <w:p>
      <w:pPr>
        <w:rPr>
          <w:color w:val="auto"/>
        </w:rPr>
      </w:pPr>
      <w:r>
        <w:rPr>
          <w:rFonts w:hint="eastAsia"/>
          <w:color w:val="auto"/>
        </w:rPr>
        <w:t>5.5具有快速释放功能。                                                                                                                                                                          6.升降照明系统                                                                                                                                                                                                          6.1安装形式：车箱顶部，气动升降式；</w:t>
      </w:r>
    </w:p>
    <w:p>
      <w:pPr>
        <w:rPr>
          <w:color w:val="auto"/>
        </w:rPr>
      </w:pPr>
      <w:r>
        <w:rPr>
          <w:rFonts w:hint="eastAsia"/>
          <w:color w:val="auto"/>
        </w:rPr>
        <w:t>★6.2灯功率：≥LED≥4×500W（2kW），金卤灯≥4×1000W（4kW）；</w:t>
      </w:r>
    </w:p>
    <w:p>
      <w:pPr>
        <w:rPr>
          <w:color w:val="auto"/>
        </w:rPr>
      </w:pPr>
      <w:r>
        <w:rPr>
          <w:rFonts w:hint="eastAsia"/>
          <w:color w:val="auto"/>
        </w:rPr>
        <w:t>6.3照明灯：LED或金卤灯；</w:t>
      </w:r>
    </w:p>
    <w:p>
      <w:pPr>
        <w:rPr>
          <w:color w:val="auto"/>
        </w:rPr>
      </w:pPr>
      <w:r>
        <w:rPr>
          <w:rFonts w:hint="eastAsia"/>
          <w:color w:val="auto"/>
        </w:rPr>
        <w:t>6.4最大举升高度：≥8m（距地）；</w:t>
      </w:r>
    </w:p>
    <w:p>
      <w:pPr>
        <w:rPr>
          <w:color w:val="auto"/>
        </w:rPr>
      </w:pPr>
      <w:r>
        <w:rPr>
          <w:rFonts w:hint="eastAsia"/>
          <w:color w:val="auto"/>
        </w:rPr>
        <w:t xml:space="preserve">6.5回转角度：水平≥360°、仰俯≥-90°至180°；  </w:t>
      </w:r>
    </w:p>
    <w:p>
      <w:pPr>
        <w:rPr>
          <w:color w:val="auto"/>
        </w:rPr>
      </w:pPr>
      <w:r>
        <w:rPr>
          <w:rFonts w:hint="eastAsia"/>
          <w:color w:val="auto"/>
        </w:rPr>
        <w:t>6.6控制方式：可用手动和遥控控制。                                                                                                                                                                                  7.发电机组                                                                                                                                                                                                            ★7.1额定输出功率:≥ 10kW；</w:t>
      </w:r>
    </w:p>
    <w:p>
      <w:pPr>
        <w:rPr>
          <w:color w:val="auto"/>
        </w:rPr>
      </w:pPr>
      <w:r>
        <w:rPr>
          <w:rFonts w:hint="eastAsia"/>
          <w:color w:val="auto"/>
        </w:rPr>
        <w:t>7.2额定频率：≥ 50HZ；</w:t>
      </w:r>
    </w:p>
    <w:p>
      <w:pPr>
        <w:rPr>
          <w:color w:val="auto"/>
        </w:rPr>
      </w:pPr>
      <w:r>
        <w:rPr>
          <w:rFonts w:hint="eastAsia"/>
          <w:color w:val="auto"/>
        </w:rPr>
        <w:t>7.3额定电压：≥220V/380V；</w:t>
      </w:r>
    </w:p>
    <w:p>
      <w:pPr>
        <w:rPr>
          <w:color w:val="auto"/>
        </w:rPr>
      </w:pPr>
      <w:r>
        <w:rPr>
          <w:rFonts w:hint="eastAsia"/>
          <w:color w:val="auto"/>
        </w:rPr>
        <w:t xml:space="preserve">7.4启动方式：电启动/拉绳启动；     </w:t>
      </w:r>
    </w:p>
    <w:p>
      <w:pPr>
        <w:rPr>
          <w:color w:val="auto"/>
        </w:rPr>
      </w:pPr>
      <w:r>
        <w:rPr>
          <w:rFonts w:hint="eastAsia"/>
          <w:color w:val="auto"/>
        </w:rPr>
        <w:t>8.器材箱</w:t>
      </w:r>
    </w:p>
    <w:p>
      <w:pPr>
        <w:rPr>
          <w:color w:val="auto"/>
        </w:rPr>
      </w:pPr>
      <w:r>
        <w:rPr>
          <w:rFonts w:hint="eastAsia"/>
          <w:color w:val="auto"/>
        </w:rPr>
        <w:t>8.1结构：车厢的骨架为采用优质碳钢型材焊接式结构，外蒙皮为≥2mm碳钢板；</w:t>
      </w:r>
    </w:p>
    <w:p>
      <w:pPr>
        <w:rPr>
          <w:color w:val="auto"/>
        </w:rPr>
      </w:pPr>
      <w:r>
        <w:rPr>
          <w:rFonts w:hint="eastAsia"/>
          <w:color w:val="auto"/>
        </w:rPr>
        <w:t>8.2内部器材架：器材箱内器材架采用高强度全铝合金型材，内饰板采用≥1.5mm氧化花纹铝板，内饰底板采用≥2mm，氧化花纹铝板或采用≥4mm铝合金板弯折工艺或更优材质和工艺。</w:t>
      </w:r>
    </w:p>
    <w:p>
      <w:pPr>
        <w:rPr>
          <w:color w:val="auto"/>
        </w:rPr>
      </w:pPr>
      <w:r>
        <w:rPr>
          <w:rFonts w:hint="eastAsia"/>
          <w:color w:val="auto"/>
        </w:rPr>
        <w:t>8.3帘子门：器材箱体左右两侧各安装≥三扇带锁卷帘门，所有卷帘门可通用一把钥匙开启；</w:t>
      </w:r>
    </w:p>
    <w:p>
      <w:pPr>
        <w:rPr>
          <w:color w:val="auto"/>
        </w:rPr>
      </w:pPr>
      <w:r>
        <w:rPr>
          <w:rFonts w:hint="eastAsia"/>
          <w:color w:val="auto"/>
        </w:rPr>
        <w:t>8.4内部照明：器材箱内部安装LED白光照明灯带，随卷帘门启闭；</w:t>
      </w:r>
    </w:p>
    <w:p>
      <w:pPr>
        <w:rPr>
          <w:color w:val="auto"/>
        </w:rPr>
      </w:pPr>
      <w:r>
        <w:rPr>
          <w:rFonts w:hint="eastAsia"/>
          <w:color w:val="auto"/>
        </w:rPr>
        <w:t>8.5翻转踏板：位于卷帘门下部，带锁止功能，配有黄色闪烁警示灯，承载重量≥150kg；</w:t>
      </w:r>
    </w:p>
    <w:p>
      <w:pPr>
        <w:rPr>
          <w:color w:val="auto"/>
        </w:rPr>
      </w:pPr>
      <w:r>
        <w:rPr>
          <w:rFonts w:hint="eastAsia"/>
          <w:color w:val="auto"/>
        </w:rPr>
        <w:t>8.6登车爬梯：车身适当位置设置有用于登上车顶的爬梯，车顶设置不锈钢扶手；</w:t>
      </w:r>
    </w:p>
    <w:p>
      <w:pPr>
        <w:rPr>
          <w:color w:val="auto"/>
        </w:rPr>
      </w:pPr>
      <w:r>
        <w:rPr>
          <w:rFonts w:hint="eastAsia"/>
          <w:color w:val="auto"/>
        </w:rPr>
        <w:t>8.7车顶：车顶两侧设有铝合金护围，铝合金整体拉制成型，外侧安装频闪警灯及车外照明灯或灯带，车顶喷涂防滑颗粒并设置锚点装置；                                                                                                                                 9.随车配置器材：移动卷线盘（220V、380V） 20m各1套；底盘随车工具1套；支腿垫木2块；接地棒1根；起吊钢绳2根，10米；备用灯管（盘）500W 2套；警戒桶10个；警戒带5盘（100m）； 消防斧1把；铁锹1把；铁铤1把；丁字镐1把；轮胎止退器4个；绝缘剪断钳1把；硬质救生圈2个；20L 汽油桶2个；50 磅铁锤1把；工兵铲1把； 配备钢链或更优材质防滑链一套（满足在驱动轮安装）；六米拉梯1把；单杠梯1把；起吊扁带≥2根10m（10t）；</w:t>
      </w:r>
    </w:p>
    <w:p>
      <w:pPr>
        <w:rPr>
          <w:color w:val="auto"/>
        </w:rPr>
      </w:pPr>
      <w:r>
        <w:rPr>
          <w:rFonts w:hint="eastAsia"/>
          <w:color w:val="auto"/>
        </w:rPr>
        <w:t>10.随车资料（均为中文材料）</w:t>
      </w:r>
    </w:p>
    <w:p>
      <w:pPr>
        <w:rPr>
          <w:color w:val="auto"/>
        </w:rPr>
      </w:pPr>
      <w:r>
        <w:rPr>
          <w:rFonts w:hint="eastAsia"/>
          <w:color w:val="auto"/>
        </w:rPr>
        <w:t>附底盘使用手册2份；底盘维护手册2份；上装使用维护手册2份；车辆零件目录2份；安全操作光盘2张；底盘电气原理图1套；随车工具、备胎等常用随车器材；发动机号和底盘号拓印件2套；底盘保修卡1份；车辆一致性证书、底盘合格证等。</w:t>
      </w:r>
      <w:r>
        <w:rPr>
          <w:rFonts w:hint="eastAsia"/>
          <w:color w:val="auto"/>
        </w:rPr>
        <w:br w:type="page"/>
      </w:r>
    </w:p>
    <w:p>
      <w:pPr>
        <w:ind w:firstLine="482"/>
        <w:rPr>
          <w:b/>
          <w:bCs/>
          <w:color w:val="auto"/>
          <w:sz w:val="24"/>
          <w:szCs w:val="24"/>
        </w:rPr>
      </w:pPr>
      <w:r>
        <w:rPr>
          <w:rFonts w:hint="eastAsia"/>
          <w:b/>
          <w:bCs/>
          <w:color w:val="auto"/>
          <w:sz w:val="24"/>
          <w:szCs w:val="24"/>
        </w:rPr>
        <w:t>10标包，21辆前突模块A皮卡车，预算价：576.66 万元</w:t>
      </w:r>
    </w:p>
    <w:p>
      <w:pPr>
        <w:rPr>
          <w:color w:val="auto"/>
        </w:rPr>
      </w:pPr>
    </w:p>
    <w:p>
      <w:pPr>
        <w:rPr>
          <w:color w:val="auto"/>
        </w:rPr>
      </w:pPr>
      <w:r>
        <w:rPr>
          <w:rFonts w:hint="eastAsia"/>
          <w:color w:val="auto"/>
        </w:rPr>
        <w:t>1.基本要求</w:t>
      </w:r>
    </w:p>
    <w:p>
      <w:pPr>
        <w:rPr>
          <w:color w:val="auto"/>
        </w:rPr>
      </w:pPr>
      <w:r>
        <w:rPr>
          <w:rFonts w:hint="eastAsia"/>
          <w:color w:val="auto"/>
        </w:rPr>
        <w:t>1.1执行标准：《消防车 第1部分：通用技术标准》（GB 7956.1-2014），应答标车辆需取得工信部公告。</w:t>
      </w:r>
    </w:p>
    <w:p>
      <w:pPr>
        <w:rPr>
          <w:color w:val="auto"/>
        </w:rPr>
      </w:pPr>
      <w:r>
        <w:rPr>
          <w:rFonts w:hint="eastAsia"/>
          <w:color w:val="auto"/>
        </w:rPr>
        <w:t>1.2额定载人数：≥5人。</w:t>
      </w:r>
    </w:p>
    <w:p>
      <w:pPr>
        <w:rPr>
          <w:color w:val="auto"/>
        </w:rPr>
      </w:pPr>
      <w:r>
        <w:rPr>
          <w:rFonts w:hint="eastAsia"/>
          <w:color w:val="auto"/>
        </w:rPr>
        <w:t>1.3最高车速：≥130Km/h。</w:t>
      </w:r>
    </w:p>
    <w:p>
      <w:pPr>
        <w:rPr>
          <w:color w:val="auto"/>
        </w:rPr>
      </w:pPr>
      <w:r>
        <w:rPr>
          <w:rFonts w:hint="eastAsia"/>
          <w:color w:val="auto"/>
        </w:rPr>
        <w:t>1.4车型：双排加长货厢高底皮卡车。</w:t>
      </w:r>
    </w:p>
    <w:p>
      <w:pPr>
        <w:rPr>
          <w:color w:val="auto"/>
        </w:rPr>
      </w:pPr>
      <w:r>
        <w:rPr>
          <w:rFonts w:hint="eastAsia"/>
          <w:color w:val="auto"/>
        </w:rPr>
        <w:t>1.5车辆资质：取得国家级检测机构出具的整车检验合格报告。</w:t>
      </w:r>
    </w:p>
    <w:p>
      <w:pPr>
        <w:rPr>
          <w:color w:val="auto"/>
        </w:rPr>
      </w:pPr>
      <w:r>
        <w:rPr>
          <w:rFonts w:hint="eastAsia"/>
          <w:color w:val="auto"/>
        </w:rPr>
        <w:t>2.底盘要求</w:t>
      </w:r>
    </w:p>
    <w:p>
      <w:pPr>
        <w:rPr>
          <w:color w:val="auto"/>
        </w:rPr>
      </w:pPr>
      <w:r>
        <w:rPr>
          <w:rFonts w:hint="eastAsia"/>
          <w:color w:val="auto"/>
        </w:rPr>
        <w:t>★2.1发动机最大功率：≥120KW。</w:t>
      </w:r>
    </w:p>
    <w:p>
      <w:pPr>
        <w:rPr>
          <w:color w:val="auto"/>
        </w:rPr>
      </w:pPr>
      <w:r>
        <w:rPr>
          <w:rFonts w:hint="eastAsia"/>
          <w:color w:val="auto"/>
        </w:rPr>
        <w:t>★2.2发动机形式：涡轮增压柴油发动机，排量≥2.0L。</w:t>
      </w:r>
    </w:p>
    <w:p>
      <w:pPr>
        <w:rPr>
          <w:color w:val="auto"/>
        </w:rPr>
      </w:pPr>
      <w:r>
        <w:rPr>
          <w:rFonts w:hint="eastAsia"/>
          <w:color w:val="auto"/>
        </w:rPr>
        <w:t>★2.3驱动模式：4×4（电控分时四驱，后桥差速锁）。</w:t>
      </w:r>
    </w:p>
    <w:p>
      <w:pPr>
        <w:rPr>
          <w:color w:val="auto"/>
        </w:rPr>
      </w:pPr>
      <w:r>
        <w:rPr>
          <w:rFonts w:hint="eastAsia"/>
          <w:color w:val="auto"/>
        </w:rPr>
        <w:t>2.4制动：前/后制动器为通风盘式，配备ABS防抱死、制动力分配、刹车辅助、牵引力控制等。</w:t>
      </w:r>
    </w:p>
    <w:p>
      <w:pPr>
        <w:rPr>
          <w:color w:val="auto"/>
        </w:rPr>
      </w:pPr>
      <w:r>
        <w:rPr>
          <w:rFonts w:hint="eastAsia"/>
          <w:color w:val="auto"/>
        </w:rPr>
        <w:t>2.5悬挂形式：前悬架为双叉臂独立悬架、后悬架为全渐变钢板弹簧非独立悬架或优于此两种形式。</w:t>
      </w:r>
    </w:p>
    <w:p>
      <w:pPr>
        <w:rPr>
          <w:color w:val="auto"/>
        </w:rPr>
      </w:pPr>
      <w:r>
        <w:rPr>
          <w:rFonts w:hint="eastAsia"/>
          <w:color w:val="auto"/>
        </w:rPr>
        <w:t>2.6排放：符合中国国家机动车现行排放标准。</w:t>
      </w:r>
    </w:p>
    <w:p>
      <w:pPr>
        <w:rPr>
          <w:color w:val="auto"/>
        </w:rPr>
      </w:pPr>
      <w:r>
        <w:rPr>
          <w:rFonts w:hint="eastAsia"/>
          <w:color w:val="auto"/>
        </w:rPr>
        <w:t>2.7车辆尺寸（长*宽*高）：≥5300mm×1800mm×1800mm。</w:t>
      </w:r>
    </w:p>
    <w:p>
      <w:pPr>
        <w:rPr>
          <w:color w:val="auto"/>
        </w:rPr>
      </w:pPr>
      <w:r>
        <w:rPr>
          <w:rFonts w:hint="eastAsia"/>
          <w:color w:val="auto"/>
        </w:rPr>
        <w:t>2.8轮胎：越野AT轮胎（含备胎）。</w:t>
      </w:r>
    </w:p>
    <w:p>
      <w:pPr>
        <w:rPr>
          <w:color w:val="auto"/>
        </w:rPr>
      </w:pPr>
      <w:r>
        <w:rPr>
          <w:rFonts w:hint="eastAsia"/>
          <w:color w:val="auto"/>
        </w:rPr>
        <w:t>2.9近远光灯：LED</w:t>
      </w:r>
    </w:p>
    <w:p>
      <w:pPr>
        <w:rPr>
          <w:color w:val="auto"/>
        </w:rPr>
      </w:pPr>
      <w:r>
        <w:rPr>
          <w:rFonts w:hint="eastAsia"/>
          <w:color w:val="auto"/>
        </w:rPr>
        <w:t>3.配置要求</w:t>
      </w:r>
    </w:p>
    <w:p>
      <w:pPr>
        <w:rPr>
          <w:color w:val="auto"/>
        </w:rPr>
      </w:pPr>
      <w:r>
        <w:rPr>
          <w:rFonts w:hint="eastAsia"/>
          <w:color w:val="auto"/>
        </w:rPr>
        <w:t>★3.1安全装备：主/副驾驶座安全气囊、胎压监测装置、安全带未系提示。</w:t>
      </w:r>
    </w:p>
    <w:p>
      <w:pPr>
        <w:rPr>
          <w:color w:val="auto"/>
        </w:rPr>
      </w:pPr>
      <w:r>
        <w:rPr>
          <w:rFonts w:hint="eastAsia"/>
          <w:color w:val="auto"/>
        </w:rPr>
        <w:t>3.2操控配置：安装360度全景影像，含前后可视行车记录仪，含倒车雷达，存储卡≥128G、高清显示屏≥9英寸、定速巡航、上坡辅助、陡坡缓降等。</w:t>
      </w:r>
    </w:p>
    <w:p>
      <w:pPr>
        <w:rPr>
          <w:color w:val="auto"/>
        </w:rPr>
      </w:pPr>
      <w:r>
        <w:rPr>
          <w:rFonts w:hint="eastAsia"/>
          <w:color w:val="auto"/>
        </w:rPr>
        <w:t>3.3内部配置：车内中控锁、遥控钥匙、织物座椅、多功能皮质方向盘、行车电脑显示屏、座椅高低调节、前后电动车窗、后视镜电动调节等，所有座位均配备安全带。</w:t>
      </w:r>
    </w:p>
    <w:p>
      <w:pPr>
        <w:rPr>
          <w:color w:val="auto"/>
        </w:rPr>
      </w:pPr>
      <w:r>
        <w:rPr>
          <w:rFonts w:hint="eastAsia"/>
          <w:color w:val="auto"/>
        </w:rPr>
        <w:t>3.4其他配置：加装副电瓶，具有前雾灯、大灯照射角度可调等功能。</w:t>
      </w:r>
    </w:p>
    <w:p>
      <w:pPr>
        <w:rPr>
          <w:color w:val="auto"/>
        </w:rPr>
      </w:pPr>
      <w:r>
        <w:rPr>
          <w:rFonts w:hint="eastAsia"/>
          <w:color w:val="auto"/>
        </w:rPr>
        <w:t>3.5保险杠：前后均为金属材质越野型。</w:t>
      </w:r>
    </w:p>
    <w:p>
      <w:pPr>
        <w:rPr>
          <w:color w:val="auto"/>
        </w:rPr>
      </w:pPr>
      <w:r>
        <w:rPr>
          <w:rFonts w:hint="eastAsia"/>
          <w:color w:val="auto"/>
        </w:rPr>
        <w:t>3.6后拖杠：出厂具备牵引资质，集成拖车方口，牵引重量≥2T。</w:t>
      </w:r>
    </w:p>
    <w:p>
      <w:pPr>
        <w:rPr>
          <w:color w:val="auto"/>
        </w:rPr>
      </w:pPr>
      <w:r>
        <w:rPr>
          <w:rFonts w:hint="eastAsia"/>
          <w:color w:val="auto"/>
        </w:rPr>
        <w:t>4.加装要求</w:t>
      </w:r>
    </w:p>
    <w:p>
      <w:pPr>
        <w:rPr>
          <w:color w:val="auto"/>
        </w:rPr>
      </w:pPr>
      <w:r>
        <w:rPr>
          <w:rFonts w:hint="eastAsia"/>
          <w:color w:val="auto"/>
        </w:rPr>
        <w:t>★4.1绞盘：车辆前方加装电动绞盘，具备快速释放功能，防水防尘等级≥IP65，配备有线绞盘控制手柄，钢绳长度≥20m，末端带吊钩，拉力≥2.8T，且不能小于车辆最大总质量。</w:t>
      </w:r>
    </w:p>
    <w:p>
      <w:pPr>
        <w:rPr>
          <w:color w:val="auto"/>
        </w:rPr>
      </w:pPr>
      <w:r>
        <w:rPr>
          <w:rFonts w:hint="eastAsia"/>
          <w:color w:val="auto"/>
        </w:rPr>
        <w:t>4.2货厢：金属材质，全封闭后开口式，高度与车顶警灯平齐，具有防水功能，后方设置上掀门，货厢内部根据需求方要求设置旋转、推拉、滑轨、抽屉等形式器材架，器材架样式需与需求方达成一致。</w:t>
      </w:r>
    </w:p>
    <w:p>
      <w:pPr>
        <w:rPr>
          <w:color w:val="auto"/>
        </w:rPr>
      </w:pPr>
      <w:r>
        <w:rPr>
          <w:rFonts w:hint="eastAsia"/>
          <w:color w:val="auto"/>
        </w:rPr>
        <w:t>4.3车顶行李架：金属材质，延伸至货厢，承重≥400KG。</w:t>
      </w:r>
    </w:p>
    <w:p>
      <w:pPr>
        <w:rPr>
          <w:color w:val="auto"/>
        </w:rPr>
      </w:pPr>
      <w:r>
        <w:rPr>
          <w:rFonts w:hint="eastAsia"/>
          <w:color w:val="auto"/>
        </w:rPr>
        <w:t>★4.4探照灯：安装于车顶前方，LED,数量≥4个，总功率≥400W，独立电源。</w:t>
      </w:r>
    </w:p>
    <w:p>
      <w:pPr>
        <w:rPr>
          <w:color w:val="auto"/>
        </w:rPr>
      </w:pPr>
      <w:r>
        <w:rPr>
          <w:rFonts w:hint="eastAsia"/>
          <w:color w:val="auto"/>
        </w:rPr>
        <w:t>4.5整车标识：按消防救援车辆外观制式涂装要求进行涂装。车辆涂装符合《国家综合性消防救援车辆外观制式涂装规范》。</w:t>
      </w:r>
    </w:p>
    <w:p>
      <w:pPr>
        <w:rPr>
          <w:color w:val="auto"/>
        </w:rPr>
      </w:pPr>
      <w:r>
        <w:rPr>
          <w:rFonts w:hint="eastAsia"/>
          <w:color w:val="auto"/>
        </w:rPr>
        <w:t>4.6警灯：符合应急管理部相关标准。</w:t>
      </w:r>
    </w:p>
    <w:p>
      <w:pPr>
        <w:rPr>
          <w:color w:val="auto"/>
        </w:rPr>
      </w:pPr>
      <w:r>
        <w:rPr>
          <w:rFonts w:hint="eastAsia"/>
          <w:color w:val="auto"/>
        </w:rPr>
        <w:t>5.其他要求：配有随车工具、备胎等常用随车器材、随车资料附说明书、车架号和底盘号拓印件、底盘保修卡、车辆配置设备说明书、车辆一致性证书1份、底盘合格证1份。</w:t>
      </w:r>
    </w:p>
    <w:p>
      <w:pPr>
        <w:rPr>
          <w:color w:val="auto"/>
        </w:rPr>
      </w:pPr>
      <w:r>
        <w:rPr>
          <w:rFonts w:hint="eastAsia"/>
          <w:color w:val="auto"/>
        </w:rPr>
        <w:t>★6.随车器材包含激流救生衣套装≥6件、救生圈≥2个，手提式强光照明灯≥3个、橡皮艇≥1艘。</w:t>
      </w:r>
    </w:p>
    <w:p>
      <w:pPr>
        <w:rPr>
          <w:color w:val="auto"/>
        </w:rPr>
      </w:pPr>
      <w:r>
        <w:rPr>
          <w:rFonts w:hint="eastAsia"/>
          <w:color w:val="auto"/>
        </w:rPr>
        <w:t>6.1.激流救生衣套装</w:t>
      </w:r>
    </w:p>
    <w:p>
      <w:pPr>
        <w:rPr>
          <w:color w:val="auto"/>
        </w:rPr>
      </w:pPr>
      <w:r>
        <w:rPr>
          <w:rFonts w:hint="eastAsia"/>
          <w:color w:val="auto"/>
        </w:rPr>
        <w:t>6.1.1材质：采用或优于尼龙布，不吸水，保温性能强；</w:t>
      </w:r>
    </w:p>
    <w:p>
      <w:pPr>
        <w:rPr>
          <w:color w:val="auto"/>
        </w:rPr>
      </w:pPr>
      <w:r>
        <w:rPr>
          <w:rFonts w:hint="eastAsia"/>
          <w:color w:val="auto"/>
        </w:rPr>
        <w:t>★6.1.1.2救生衣固有浮力为 ≥150N，≤ 180N，救生衣在淡水中浸泡 24h 后，其浮力损失≤ 2%；</w:t>
      </w:r>
    </w:p>
    <w:p>
      <w:pPr>
        <w:rPr>
          <w:color w:val="auto"/>
        </w:rPr>
      </w:pPr>
      <w:r>
        <w:rPr>
          <w:rFonts w:hint="eastAsia"/>
          <w:color w:val="auto"/>
        </w:rPr>
        <w:t>★6.1.1.3快脱带在系紧状态下能承受≤2500N 的拉力而不发生误开启；</w:t>
      </w:r>
    </w:p>
    <w:p>
      <w:pPr>
        <w:rPr>
          <w:color w:val="auto"/>
        </w:rPr>
      </w:pPr>
      <w:r>
        <w:rPr>
          <w:rFonts w:hint="eastAsia"/>
          <w:color w:val="auto"/>
        </w:rPr>
        <w:t>6.1.1.4人员穿着救生衣以任意方式下水，救生衣能在≤5s 内使人体处于直立姿态。</w:t>
      </w:r>
    </w:p>
    <w:p>
      <w:pPr>
        <w:rPr>
          <w:color w:val="auto"/>
        </w:rPr>
      </w:pPr>
      <w:r>
        <w:rPr>
          <w:rFonts w:hint="eastAsia"/>
          <w:color w:val="auto"/>
        </w:rPr>
        <w:t>★6.1.1.5救生衣衣身能承受≥3200N 的作用力 30min 而不损坏；</w:t>
      </w:r>
    </w:p>
    <w:p>
      <w:pPr>
        <w:rPr>
          <w:color w:val="auto"/>
        </w:rPr>
      </w:pPr>
      <w:r>
        <w:rPr>
          <w:rFonts w:hint="eastAsia"/>
          <w:color w:val="auto"/>
        </w:rPr>
        <w:t>6.1.1.6颜色：红色；</w:t>
      </w:r>
    </w:p>
    <w:p>
      <w:pPr>
        <w:rPr>
          <w:color w:val="auto"/>
        </w:rPr>
      </w:pPr>
      <w:r>
        <w:rPr>
          <w:rFonts w:hint="eastAsia"/>
          <w:color w:val="auto"/>
        </w:rPr>
        <w:t>6.1.1.7救生衣重量≤3kg；</w:t>
      </w:r>
    </w:p>
    <w:p>
      <w:pPr>
        <w:rPr>
          <w:color w:val="auto"/>
        </w:rPr>
      </w:pPr>
      <w:r>
        <w:rPr>
          <w:rFonts w:hint="eastAsia"/>
          <w:color w:val="auto"/>
        </w:rPr>
        <w:t>6.1.1.8浮力马甲胸襟使用双插扣及拉链加强。</w:t>
      </w:r>
    </w:p>
    <w:p>
      <w:pPr>
        <w:rPr>
          <w:color w:val="auto"/>
        </w:rPr>
      </w:pPr>
      <w:r>
        <w:rPr>
          <w:rFonts w:hint="eastAsia"/>
          <w:color w:val="auto"/>
        </w:rPr>
        <w:t>★6.1.1.9浮力马甲≥4 点调节，浮力马甲前后≥10 个救援战术拓展外挂点（≥6 个 D 型挂点、≥4 个织带挂点），挂载口哨、荧光棒、定位灯等多种配件、预留手台挂载配件；</w:t>
      </w:r>
    </w:p>
    <w:p>
      <w:pPr>
        <w:rPr>
          <w:color w:val="auto"/>
        </w:rPr>
      </w:pPr>
      <w:r>
        <w:rPr>
          <w:rFonts w:hint="eastAsia"/>
          <w:color w:val="auto"/>
        </w:rPr>
        <w:t>6.1.1.10救生衣背面应设置松紧带式荧光棒插槽，领后应配有轻型可拖拽把手；救生衣胸前设计魔术贴，可贴队标、姓名贴；胸襟两侧及背后应有≥5 条标准反光带，便于夜间救援；</w:t>
      </w:r>
    </w:p>
    <w:p>
      <w:pPr>
        <w:rPr>
          <w:color w:val="auto"/>
        </w:rPr>
      </w:pPr>
      <w:r>
        <w:rPr>
          <w:rFonts w:hint="eastAsia"/>
          <w:color w:val="auto"/>
        </w:rPr>
        <w:t>6.1.1.11自带逃离装置：环绕胸部的快速释放救生带附带不锈钢O 型环；</w:t>
      </w:r>
    </w:p>
    <w:p>
      <w:pPr>
        <w:rPr>
          <w:color w:val="auto"/>
        </w:rPr>
      </w:pPr>
      <w:r>
        <w:rPr>
          <w:rFonts w:hint="eastAsia"/>
          <w:color w:val="auto"/>
        </w:rPr>
        <w:t>6.1.1.12前端设置两个耐磨材料排水口袋；</w:t>
      </w:r>
    </w:p>
    <w:p>
      <w:pPr>
        <w:rPr>
          <w:color w:val="auto"/>
        </w:rPr>
      </w:pPr>
      <w:r>
        <w:rPr>
          <w:rFonts w:hint="eastAsia"/>
          <w:color w:val="auto"/>
        </w:rPr>
        <w:t>6.1.1.13环绕腰部的抛绳包应配有快速释放带，可挂载专用抛绳包；</w:t>
      </w:r>
    </w:p>
    <w:p>
      <w:pPr>
        <w:rPr>
          <w:color w:val="auto"/>
        </w:rPr>
      </w:pPr>
      <w:r>
        <w:rPr>
          <w:rFonts w:hint="eastAsia"/>
          <w:color w:val="auto"/>
        </w:rPr>
        <w:t>★6.1.1.14救生衣配件：牛尾绳：缝合终端，静态长度≥70cm，伸展后≥100 cm。</w:t>
      </w:r>
    </w:p>
    <w:p>
      <w:pPr>
        <w:rPr>
          <w:color w:val="auto"/>
        </w:rPr>
      </w:pPr>
      <w:r>
        <w:rPr>
          <w:rFonts w:hint="eastAsia"/>
          <w:color w:val="auto"/>
        </w:rPr>
        <w:t>6.1.1.15配备高音哨、频闪灯、可调节裆带。</w:t>
      </w:r>
    </w:p>
    <w:p>
      <w:pPr>
        <w:rPr>
          <w:color w:val="auto"/>
        </w:rPr>
      </w:pPr>
      <w:r>
        <w:rPr>
          <w:rFonts w:hint="eastAsia"/>
          <w:color w:val="auto"/>
        </w:rPr>
        <w:t>6.1.1.16供货时尺码需与需求方达成一致。</w:t>
      </w:r>
    </w:p>
    <w:p>
      <w:pPr>
        <w:rPr>
          <w:color w:val="auto"/>
        </w:rPr>
      </w:pPr>
      <w:r>
        <w:rPr>
          <w:rFonts w:hint="eastAsia"/>
          <w:color w:val="auto"/>
        </w:rPr>
        <w:t>6.1.2.抛绳包</w:t>
      </w:r>
    </w:p>
    <w:p>
      <w:pPr>
        <w:rPr>
          <w:color w:val="auto"/>
        </w:rPr>
      </w:pPr>
      <w:r>
        <w:rPr>
          <w:rFonts w:hint="eastAsia"/>
          <w:color w:val="auto"/>
        </w:rPr>
        <w:t>6.1.2.1绳包为腰包式设计，表面带有网布，显著位置标有内置绳索长度，腰包两侧具备快速释放功能。</w:t>
      </w:r>
    </w:p>
    <w:p>
      <w:pPr>
        <w:rPr>
          <w:color w:val="auto"/>
        </w:rPr>
      </w:pPr>
      <w:r>
        <w:rPr>
          <w:rFonts w:hint="eastAsia"/>
          <w:color w:val="auto"/>
        </w:rPr>
        <w:t>★6.1.2.2包内绳索长度≥20m、直径7 mm~9.5 mm。</w:t>
      </w:r>
    </w:p>
    <w:p>
      <w:pPr>
        <w:rPr>
          <w:color w:val="auto"/>
        </w:rPr>
      </w:pPr>
      <w:r>
        <w:rPr>
          <w:rFonts w:hint="eastAsia"/>
          <w:color w:val="auto"/>
        </w:rPr>
        <w:t>6.1.2.3包内绳索破断强度≥13kn，漂浮时间≥48 h。</w:t>
      </w:r>
    </w:p>
    <w:p>
      <w:pPr>
        <w:rPr>
          <w:color w:val="auto"/>
        </w:rPr>
      </w:pPr>
      <w:r>
        <w:rPr>
          <w:rFonts w:hint="eastAsia"/>
          <w:color w:val="auto"/>
        </w:rPr>
        <w:t>6.1.2.4绳索应为包芯绳结构，主承重部分应由连续纤维制成。</w:t>
      </w:r>
    </w:p>
    <w:p>
      <w:pPr>
        <w:rPr>
          <w:color w:val="auto"/>
        </w:rPr>
      </w:pPr>
      <w:r>
        <w:rPr>
          <w:rFonts w:hint="eastAsia"/>
          <w:color w:val="auto"/>
        </w:rPr>
        <w:t>6.1.2.5绳包应设有反光标志带，增加夜间可视性。</w:t>
      </w:r>
    </w:p>
    <w:p>
      <w:pPr>
        <w:rPr>
          <w:color w:val="auto"/>
        </w:rPr>
      </w:pPr>
      <w:r>
        <w:rPr>
          <w:rFonts w:hint="eastAsia"/>
          <w:color w:val="auto"/>
        </w:rPr>
        <w:t>6.1.3.割绳刀</w:t>
      </w:r>
    </w:p>
    <w:p>
      <w:pPr>
        <w:rPr>
          <w:color w:val="auto"/>
        </w:rPr>
      </w:pPr>
      <w:r>
        <w:rPr>
          <w:rFonts w:hint="eastAsia"/>
          <w:color w:val="auto"/>
        </w:rPr>
        <w:t>6.1.3.1刀片为钛合金材质（不会氧化生锈）；</w:t>
      </w:r>
    </w:p>
    <w:p>
      <w:pPr>
        <w:rPr>
          <w:color w:val="auto"/>
        </w:rPr>
      </w:pPr>
      <w:r>
        <w:rPr>
          <w:rFonts w:hint="eastAsia"/>
          <w:color w:val="auto"/>
        </w:rPr>
        <w:t>6.1.3.2带有平刃和齿刃，还有一个绳索切割钩；</w:t>
      </w:r>
    </w:p>
    <w:p>
      <w:pPr>
        <w:rPr>
          <w:color w:val="auto"/>
        </w:rPr>
      </w:pPr>
      <w:r>
        <w:rPr>
          <w:rFonts w:hint="eastAsia"/>
          <w:color w:val="auto"/>
        </w:rPr>
        <w:t>6.1.3.3采用平头设计。</w:t>
      </w:r>
    </w:p>
    <w:p>
      <w:pPr>
        <w:rPr>
          <w:color w:val="auto"/>
        </w:rPr>
      </w:pPr>
      <w:r>
        <w:rPr>
          <w:rFonts w:hint="eastAsia"/>
          <w:color w:val="auto"/>
        </w:rPr>
        <w:t>6.1.3.4 波浪形手柄，尾部设置防丢绳；</w:t>
      </w:r>
    </w:p>
    <w:p>
      <w:pPr>
        <w:rPr>
          <w:color w:val="auto"/>
        </w:rPr>
      </w:pPr>
      <w:r>
        <w:rPr>
          <w:rFonts w:hint="eastAsia"/>
          <w:color w:val="auto"/>
        </w:rPr>
        <w:t>6.1.3.5刀鞘的卡子可以固定在PFD上面；</w:t>
      </w:r>
    </w:p>
    <w:p>
      <w:pPr>
        <w:rPr>
          <w:color w:val="auto"/>
        </w:rPr>
      </w:pPr>
      <w:r>
        <w:rPr>
          <w:rFonts w:hint="eastAsia"/>
          <w:color w:val="auto"/>
        </w:rPr>
        <w:t>6.1.3.6刀柄为透明材质，且刀柄内填充了蓄光发光材料，即使在黑暗的情况下也可以有效的看清；</w:t>
      </w:r>
    </w:p>
    <w:p>
      <w:pPr>
        <w:rPr>
          <w:color w:val="auto"/>
        </w:rPr>
      </w:pPr>
      <w:r>
        <w:rPr>
          <w:rFonts w:hint="eastAsia"/>
          <w:color w:val="auto"/>
        </w:rPr>
        <w:t>★6.1.3.7刀长≤190mm，硬度≥51HRC；</w:t>
      </w:r>
    </w:p>
    <w:p>
      <w:pPr>
        <w:rPr>
          <w:color w:val="auto"/>
        </w:rPr>
      </w:pPr>
      <w:r>
        <w:rPr>
          <w:rFonts w:hint="eastAsia"/>
          <w:color w:val="auto"/>
        </w:rPr>
        <w:t>★6.1.3.8切割性能：按规定的要求进行切割性能试验，切断直径9.5mm-16mm的尼龙制消防安全绳时间≤10s；</w:t>
      </w:r>
    </w:p>
    <w:p>
      <w:pPr>
        <w:rPr>
          <w:color w:val="auto"/>
        </w:rPr>
      </w:pPr>
      <w:r>
        <w:rPr>
          <w:rFonts w:hint="eastAsia"/>
          <w:color w:val="auto"/>
        </w:rPr>
        <w:t>6.1.3.9耐腐蚀性能：水域救援刀经48h的中性盐雾试验后，无明显腐蚀现象。</w:t>
      </w:r>
    </w:p>
    <w:p>
      <w:pPr>
        <w:rPr>
          <w:color w:val="auto"/>
        </w:rPr>
      </w:pPr>
      <w:r>
        <w:rPr>
          <w:rFonts w:hint="eastAsia"/>
          <w:color w:val="auto"/>
        </w:rPr>
        <w:t>6.1.4.潜水手电</w:t>
      </w:r>
    </w:p>
    <w:p>
      <w:pPr>
        <w:rPr>
          <w:color w:val="auto"/>
        </w:rPr>
      </w:pPr>
      <w:r>
        <w:rPr>
          <w:rFonts w:hint="eastAsia"/>
          <w:color w:val="auto"/>
        </w:rPr>
        <w:t>6.1.4.1重量：≤900g</w:t>
      </w:r>
    </w:p>
    <w:p>
      <w:pPr>
        <w:rPr>
          <w:color w:val="auto"/>
        </w:rPr>
      </w:pPr>
      <w:r>
        <w:rPr>
          <w:rFonts w:hint="eastAsia"/>
          <w:color w:val="auto"/>
        </w:rPr>
        <w:t>6.1.4.2开关方式：机械开关</w:t>
      </w:r>
    </w:p>
    <w:p>
      <w:pPr>
        <w:rPr>
          <w:color w:val="auto"/>
        </w:rPr>
      </w:pPr>
      <w:r>
        <w:rPr>
          <w:rFonts w:hint="eastAsia"/>
          <w:color w:val="auto"/>
        </w:rPr>
        <w:t>★6.1.4.3LED寿命：100000小时</w:t>
      </w:r>
    </w:p>
    <w:p>
      <w:pPr>
        <w:rPr>
          <w:color w:val="auto"/>
        </w:rPr>
      </w:pPr>
      <w:r>
        <w:rPr>
          <w:rFonts w:hint="eastAsia"/>
          <w:color w:val="auto"/>
        </w:rPr>
        <w:t>6.1.4.4档位：三组7档+点射功能</w:t>
      </w:r>
    </w:p>
    <w:p>
      <w:pPr>
        <w:rPr>
          <w:color w:val="auto"/>
        </w:rPr>
      </w:pPr>
      <w:r>
        <w:rPr>
          <w:rFonts w:hint="eastAsia"/>
          <w:color w:val="auto"/>
        </w:rPr>
        <w:t>6.1.4.5镜片：钢化玻璃镜片</w:t>
      </w:r>
    </w:p>
    <w:p>
      <w:pPr>
        <w:rPr>
          <w:color w:val="auto"/>
        </w:rPr>
      </w:pPr>
      <w:r>
        <w:rPr>
          <w:rFonts w:hint="eastAsia"/>
          <w:color w:val="auto"/>
        </w:rPr>
        <w:t>★6.1.4.6防水等级：IP68。</w:t>
      </w:r>
    </w:p>
    <w:p>
      <w:pPr>
        <w:rPr>
          <w:color w:val="auto"/>
        </w:rPr>
      </w:pPr>
      <w:r>
        <w:rPr>
          <w:rFonts w:hint="eastAsia"/>
          <w:color w:val="auto"/>
        </w:rPr>
        <w:t>6.1.4.7.配备防丢绳1根。</w:t>
      </w:r>
    </w:p>
    <w:p>
      <w:pPr>
        <w:rPr>
          <w:color w:val="auto"/>
        </w:rPr>
      </w:pPr>
      <w:r>
        <w:rPr>
          <w:rFonts w:hint="eastAsia"/>
          <w:color w:val="auto"/>
        </w:rPr>
        <w:t>6.1.4.8.强光额定工作时间≥4h，弱光额定工作时间≥6h。</w:t>
      </w:r>
    </w:p>
    <w:p>
      <w:pPr>
        <w:rPr>
          <w:color w:val="auto"/>
        </w:rPr>
      </w:pPr>
      <w:r>
        <w:rPr>
          <w:rFonts w:hint="eastAsia"/>
          <w:color w:val="auto"/>
        </w:rPr>
        <w:t>6.1.5.牛尾绳</w:t>
      </w:r>
    </w:p>
    <w:p>
      <w:pPr>
        <w:rPr>
          <w:color w:val="auto"/>
        </w:rPr>
      </w:pPr>
      <w:r>
        <w:rPr>
          <w:rFonts w:hint="eastAsia"/>
          <w:color w:val="auto"/>
        </w:rPr>
        <w:t>6.1.5.1带有不锈钢O型环1个和快挂1个。</w:t>
      </w:r>
    </w:p>
    <w:p>
      <w:pPr>
        <w:rPr>
          <w:color w:val="auto"/>
        </w:rPr>
      </w:pPr>
      <w:r>
        <w:rPr>
          <w:rFonts w:hint="eastAsia"/>
          <w:color w:val="auto"/>
        </w:rPr>
        <w:t>6.1.5.2牵引绳两端加厚塑胶塑封，牢固且耐摩擦。</w:t>
      </w:r>
    </w:p>
    <w:p>
      <w:pPr>
        <w:rPr>
          <w:color w:val="0000FF"/>
        </w:rPr>
      </w:pPr>
      <w:r>
        <w:rPr>
          <w:rFonts w:hint="eastAsia"/>
          <w:color w:val="0000FF"/>
        </w:rPr>
        <w:t>6.1.5.3设计规格：静态长度≥70cm、伸展长度</w:t>
      </w:r>
      <w:r>
        <w:rPr>
          <w:rFonts w:hint="eastAsia"/>
          <w:color w:val="0000FF"/>
        </w:rPr>
        <w:t>≥100cm。</w:t>
      </w:r>
    </w:p>
    <w:p>
      <w:pPr>
        <w:rPr>
          <w:color w:val="auto"/>
        </w:rPr>
      </w:pPr>
      <w:r>
        <w:rPr>
          <w:rFonts w:hint="eastAsia"/>
          <w:color w:val="auto"/>
        </w:rPr>
        <w:t>6.1.5.4管状尼龙织带宽度：≥30mm。</w:t>
      </w:r>
    </w:p>
    <w:p>
      <w:pPr>
        <w:rPr>
          <w:color w:val="auto"/>
        </w:rPr>
      </w:pPr>
      <w:r>
        <w:rPr>
          <w:rFonts w:hint="eastAsia"/>
          <w:color w:val="auto"/>
        </w:rPr>
        <w:t>6.1.5.5两端缝合：Z形线迹并加固缝合。</w:t>
      </w:r>
    </w:p>
    <w:p>
      <w:pPr>
        <w:rPr>
          <w:color w:val="auto"/>
        </w:rPr>
      </w:pPr>
      <w:r>
        <w:rPr>
          <w:rFonts w:hint="eastAsia"/>
          <w:color w:val="auto"/>
        </w:rPr>
        <w:t>6.2.救生圈</w:t>
      </w:r>
    </w:p>
    <w:p>
      <w:pPr>
        <w:rPr>
          <w:color w:val="auto"/>
        </w:rPr>
      </w:pPr>
      <w:r>
        <w:rPr>
          <w:rFonts w:hint="eastAsia"/>
          <w:color w:val="auto"/>
        </w:rPr>
        <w:t>★6.2.1.符合GB/T 4302-2008《救生圈》标准、CCS船检证书等标准。需提供国家专业机构出具的报告；</w:t>
      </w:r>
    </w:p>
    <w:p>
      <w:pPr>
        <w:rPr>
          <w:color w:val="auto"/>
        </w:rPr>
      </w:pPr>
      <w:r>
        <w:rPr>
          <w:rFonts w:hint="eastAsia"/>
          <w:color w:val="auto"/>
        </w:rPr>
        <w:t>6.2.2.采用高密度聚乙烯为売体，内充高密度聚氨酯闭孔泡沫。</w:t>
      </w:r>
    </w:p>
    <w:p>
      <w:pPr>
        <w:rPr>
          <w:color w:val="auto"/>
        </w:rPr>
      </w:pPr>
      <w:r>
        <w:rPr>
          <w:rFonts w:hint="eastAsia"/>
          <w:color w:val="auto"/>
        </w:rPr>
        <w:t>★6.2.3.外径≥70cm ，内径≥40CM。</w:t>
      </w:r>
    </w:p>
    <w:p>
      <w:pPr>
        <w:rPr>
          <w:color w:val="auto"/>
        </w:rPr>
      </w:pPr>
      <w:r>
        <w:rPr>
          <w:rFonts w:hint="eastAsia"/>
          <w:color w:val="auto"/>
        </w:rPr>
        <w:t>6.2.4.救生圈外围应装有直径≥9mm、长度≥救生圈外径4倍可浮把手锁。此索应紧固在圈体周边四个等距离位置上，并形成四个等长的索环；</w:t>
      </w:r>
    </w:p>
    <w:p>
      <w:pPr>
        <w:rPr>
          <w:color w:val="auto"/>
        </w:rPr>
      </w:pPr>
      <w:r>
        <w:rPr>
          <w:rFonts w:hint="eastAsia"/>
          <w:color w:val="auto"/>
        </w:rPr>
        <w:t>6.2.5.浮力≥15KG，最大承重≥220KG；</w:t>
      </w:r>
    </w:p>
    <w:p>
      <w:pPr>
        <w:rPr>
          <w:color w:val="auto"/>
        </w:rPr>
      </w:pPr>
      <w:r>
        <w:rPr>
          <w:rFonts w:hint="eastAsia"/>
          <w:color w:val="auto"/>
        </w:rPr>
        <w:t>6.2.6.环绕贴≥50mm宽度的逆向反光带。</w:t>
      </w:r>
    </w:p>
    <w:p>
      <w:pPr>
        <w:rPr>
          <w:color w:val="auto"/>
        </w:rPr>
      </w:pPr>
      <w:r>
        <w:rPr>
          <w:rFonts w:hint="eastAsia"/>
          <w:color w:val="auto"/>
        </w:rPr>
        <w:t>6.3.手提式强光照明灯</w:t>
      </w:r>
    </w:p>
    <w:p>
      <w:pPr>
        <w:rPr>
          <w:color w:val="auto"/>
        </w:rPr>
      </w:pPr>
      <w:r>
        <w:rPr>
          <w:rFonts w:hint="eastAsia"/>
          <w:color w:val="auto"/>
        </w:rPr>
        <w:t>★6.3.1.总体性能符合《GB30734-2014消防员照明灯标准》的要求；</w:t>
      </w:r>
    </w:p>
    <w:p>
      <w:pPr>
        <w:rPr>
          <w:color w:val="auto"/>
        </w:rPr>
      </w:pPr>
      <w:r>
        <w:rPr>
          <w:rFonts w:hint="eastAsia"/>
          <w:color w:val="auto"/>
        </w:rPr>
        <w:t>6.3.2.灯具在低温-25±2℃或者高温55±2℃持续2小时试验后，灯具应能正常进行开、关和强、弱光切换；</w:t>
      </w:r>
    </w:p>
    <w:p>
      <w:pPr>
        <w:rPr>
          <w:color w:val="auto"/>
        </w:rPr>
      </w:pPr>
      <w:r>
        <w:rPr>
          <w:rFonts w:hint="eastAsia"/>
          <w:color w:val="auto"/>
        </w:rPr>
        <w:t>★6.3.3.常温环境下，灯具带电端子与外壳间的绝缘电阻应≥20MΩ,交变湿热后应≥5MΩ（消防检测报告中有体现）；</w:t>
      </w:r>
    </w:p>
    <w:p>
      <w:pPr>
        <w:rPr>
          <w:color w:val="auto"/>
        </w:rPr>
      </w:pPr>
      <w:r>
        <w:rPr>
          <w:rFonts w:hint="eastAsia"/>
          <w:color w:val="auto"/>
        </w:rPr>
        <w:t>6.3.4.灯具应能耐受频率为50 Hz±0.5 Hz，交流电压为500 V±50 V，历时60 s±5 s的耐电压试验。</w:t>
      </w:r>
    </w:p>
    <w:p>
      <w:pPr>
        <w:rPr>
          <w:color w:val="auto"/>
        </w:rPr>
      </w:pPr>
      <w:r>
        <w:rPr>
          <w:rFonts w:hint="eastAsia"/>
          <w:color w:val="auto"/>
        </w:rPr>
        <w:t>6.3.5.防爆执行标准符合GB3836.1-2010.GB3836.4-2010.GB12476.1-2013.GB12476.4-2010国家标准，防爆等级：Ex ib IIC T4 Gb/Ex ibD 21 T130℃（提供防爆检测报告）；</w:t>
      </w:r>
    </w:p>
    <w:p>
      <w:pPr>
        <w:rPr>
          <w:color w:val="auto"/>
        </w:rPr>
      </w:pPr>
      <w:r>
        <w:rPr>
          <w:rFonts w:hint="eastAsia"/>
          <w:color w:val="auto"/>
        </w:rPr>
        <w:t>6.3.6.灯具外壳防护等级应满足GB4208-2008规定的≥IP68的要求；</w:t>
      </w:r>
    </w:p>
    <w:p>
      <w:pPr>
        <w:rPr>
          <w:color w:val="auto"/>
        </w:rPr>
      </w:pPr>
      <w:r>
        <w:rPr>
          <w:rFonts w:hint="eastAsia"/>
          <w:color w:val="auto"/>
        </w:rPr>
        <w:t>★6.3.7.灯具2m处光斑中心照度，强光平均值≥500lx，弱光平均值≥230lx；照射距离≥200米；</w:t>
      </w:r>
    </w:p>
    <w:p>
      <w:pPr>
        <w:rPr>
          <w:color w:val="auto"/>
        </w:rPr>
      </w:pPr>
      <w:r>
        <w:rPr>
          <w:rFonts w:hint="eastAsia"/>
          <w:color w:val="auto"/>
        </w:rPr>
        <w:t>6.3.8.充电孔和充电器：灯筒上应设计有通用Type-C充电口孔位，支持市场通用的USB接口充电;每个灯配备一个插头交直流转换器分离式结构充电器；</w:t>
      </w:r>
    </w:p>
    <w:p>
      <w:pPr>
        <w:rPr>
          <w:color w:val="auto"/>
        </w:rPr>
      </w:pPr>
      <w:r>
        <w:rPr>
          <w:rFonts w:hint="eastAsia"/>
          <w:color w:val="auto"/>
        </w:rPr>
        <w:t>6.3.9.电量显示窗：灯筒上应设计有通用电量显示单元窗孔，可直观显示剩余电量；</w:t>
      </w:r>
    </w:p>
    <w:p>
      <w:pPr>
        <w:rPr>
          <w:color w:val="auto"/>
        </w:rPr>
      </w:pPr>
      <w:r>
        <w:rPr>
          <w:rFonts w:hint="eastAsia"/>
          <w:color w:val="auto"/>
        </w:rPr>
        <w:t>6.3.10.电源开关：方便戴手套开关，采用按钮式大开关设计，并设有方位指示灯；</w:t>
      </w:r>
    </w:p>
    <w:p>
      <w:pPr>
        <w:rPr>
          <w:color w:val="auto"/>
        </w:rPr>
      </w:pPr>
      <w:r>
        <w:rPr>
          <w:rFonts w:hint="eastAsia"/>
          <w:color w:val="auto"/>
        </w:rPr>
        <w:t>★6.3.11.额定功率≥3W，额定电压≥DC3.7V，电池采用可充电锂电池，额定容量≥4.0Ah。</w:t>
      </w:r>
    </w:p>
    <w:p>
      <w:pPr>
        <w:rPr>
          <w:color w:val="auto"/>
        </w:rPr>
      </w:pPr>
      <w:r>
        <w:rPr>
          <w:rFonts w:hint="eastAsia"/>
          <w:color w:val="auto"/>
        </w:rPr>
        <w:t>6.4.橡皮艇</w:t>
      </w:r>
    </w:p>
    <w:p>
      <w:pPr>
        <w:rPr>
          <w:color w:val="auto"/>
        </w:rPr>
      </w:pPr>
      <w:r>
        <w:rPr>
          <w:rFonts w:hint="eastAsia"/>
          <w:color w:val="auto"/>
        </w:rPr>
        <w:t>6.4.1.由橡皮艇、舷外机组成。</w:t>
      </w:r>
    </w:p>
    <w:p>
      <w:pPr>
        <w:rPr>
          <w:color w:val="auto"/>
        </w:rPr>
      </w:pPr>
      <w:r>
        <w:rPr>
          <w:rFonts w:hint="eastAsia"/>
          <w:color w:val="auto"/>
        </w:rPr>
        <w:t>6.4.2.橡皮艇</w:t>
      </w:r>
    </w:p>
    <w:p>
      <w:pPr>
        <w:rPr>
          <w:color w:val="auto"/>
        </w:rPr>
      </w:pPr>
      <w:r>
        <w:rPr>
          <w:rFonts w:hint="eastAsia"/>
          <w:color w:val="auto"/>
        </w:rPr>
        <w:t>6.4.2.1.船长≥4100mm，船宽≥1800mm，船高≥580mm。</w:t>
      </w:r>
    </w:p>
    <w:p>
      <w:pPr>
        <w:rPr>
          <w:color w:val="auto"/>
        </w:rPr>
      </w:pPr>
      <w:r>
        <w:rPr>
          <w:rFonts w:hint="eastAsia"/>
          <w:color w:val="auto"/>
        </w:rPr>
        <w:t>★6.4.2.2.气囊数≥6个，结构:船底“V”型充气拉丝底板，M型艇底；底部及船头附带夹网布装甲。</w:t>
      </w:r>
    </w:p>
    <w:p>
      <w:pPr>
        <w:rPr>
          <w:color w:val="auto"/>
        </w:rPr>
      </w:pPr>
      <w:r>
        <w:rPr>
          <w:rFonts w:hint="eastAsia"/>
          <w:color w:val="auto"/>
        </w:rPr>
        <w:t>6.4. 2.3.艇净重≤80KG，干舷≥310mm，承载重量≥900KG。</w:t>
      </w:r>
    </w:p>
    <w:p>
      <w:pPr>
        <w:rPr>
          <w:color w:val="auto"/>
        </w:rPr>
      </w:pPr>
      <w:r>
        <w:rPr>
          <w:rFonts w:hint="eastAsia"/>
          <w:color w:val="auto"/>
        </w:rPr>
        <w:t>6.4.2.4.艇身材质：PVC夹网材质，厚度≥ 0.9mm。</w:t>
      </w:r>
    </w:p>
    <w:p>
      <w:pPr>
        <w:rPr>
          <w:color w:val="auto"/>
        </w:rPr>
      </w:pPr>
      <w:r>
        <w:rPr>
          <w:rFonts w:hint="eastAsia"/>
          <w:color w:val="auto"/>
        </w:rPr>
        <w:t>6.4.2.5.船体结构：底板为一体式三气室拉丝底板，底部水刀两端为坡面设计。</w:t>
      </w:r>
    </w:p>
    <w:p>
      <w:pPr>
        <w:rPr>
          <w:color w:val="auto"/>
        </w:rPr>
      </w:pPr>
      <w:r>
        <w:rPr>
          <w:rFonts w:hint="eastAsia"/>
          <w:color w:val="auto"/>
        </w:rPr>
        <w:t>6.4.2.6.艇体工艺：浮筒采用热风技术、采用抛边工艺。</w:t>
      </w:r>
    </w:p>
    <w:p>
      <w:pPr>
        <w:rPr>
          <w:color w:val="auto"/>
        </w:rPr>
      </w:pPr>
      <w:r>
        <w:rPr>
          <w:rFonts w:hint="eastAsia"/>
          <w:color w:val="auto"/>
        </w:rPr>
        <w:t>6.4.2.7.耐压性：满载状态，船艇各气囊加压至1.1倍额定压力后静置30min，无异常。</w:t>
      </w:r>
    </w:p>
    <w:p>
      <w:pPr>
        <w:rPr>
          <w:color w:val="auto"/>
        </w:rPr>
      </w:pPr>
      <w:r>
        <w:rPr>
          <w:rFonts w:hint="eastAsia"/>
          <w:color w:val="auto"/>
        </w:rPr>
        <w:t>★6.4.2.8.气密性：空载状态下浮筒及龙骨气密性测试需提供国家消防装备质量监督检验中心或省级以上检测机构出具的检测报告作为佐证。</w:t>
      </w:r>
    </w:p>
    <w:p>
      <w:pPr>
        <w:rPr>
          <w:color w:val="auto"/>
        </w:rPr>
      </w:pPr>
      <w:r>
        <w:rPr>
          <w:rFonts w:hint="eastAsia"/>
          <w:color w:val="auto"/>
        </w:rPr>
        <w:t>★6.4.2.9.安全及性能要求：空载状态下，排出500L水所用时间≤120s；载重460kg时，配30马力船外机航速≥25km/h；空载状态，航速≥15km/h时，左右回转直径均≤6.5m（提供国家消防装备质量监督检验中心或具有相应资质的第三方检测机构出具的检测报告作为佐证）。</w:t>
      </w:r>
    </w:p>
    <w:p>
      <w:pPr>
        <w:rPr>
          <w:color w:val="auto"/>
        </w:rPr>
      </w:pPr>
      <w:r>
        <w:rPr>
          <w:rFonts w:hint="eastAsia"/>
          <w:color w:val="auto"/>
        </w:rPr>
        <w:t>6.4.2.10.艇身配置：配备三角形弧度船头油箱、隐藏式油管和油管保护套，具备常规方形油箱固定装置；底部稳定水刀一对；艇身安装3M防水反光条≥8处；翻船自救辅助绳包；高密闭医疗包用品储存包一个；艇艉安装引擎工具包一个；艇艏安装挡水片；艉板安装单向快速双排水装置(可单向、不反水)；艇身安装多功能双向不锈钢牵引环；艇身安装缆绳不锈钢固定环；根据船体重量重心，分配≥6处顺向抬船把手，配备6把船浆（填充泡沫胶）。</w:t>
      </w:r>
    </w:p>
    <w:p>
      <w:pPr>
        <w:rPr>
          <w:color w:val="auto"/>
        </w:rPr>
      </w:pPr>
      <w:r>
        <w:rPr>
          <w:rFonts w:hint="eastAsia"/>
          <w:color w:val="auto"/>
        </w:rPr>
        <w:t>6.4.2.11.艉板采用铝镁合金材质，单独配有发动机固定销及其他固定装置。</w:t>
      </w:r>
    </w:p>
    <w:p>
      <w:pPr>
        <w:rPr>
          <w:color w:val="auto"/>
        </w:rPr>
      </w:pPr>
      <w:r>
        <w:rPr>
          <w:rFonts w:hint="eastAsia"/>
          <w:color w:val="auto"/>
        </w:rPr>
        <w:t>6.4.3.舷外机</w:t>
      </w:r>
    </w:p>
    <w:p>
      <w:pPr>
        <w:rPr>
          <w:color w:val="auto"/>
        </w:rPr>
      </w:pPr>
      <w:r>
        <w:rPr>
          <w:rFonts w:hint="eastAsia"/>
          <w:color w:val="auto"/>
        </w:rPr>
        <w:t>★6.4.3.1.最大功率(千瓦) :≥22KW,短轴；</w:t>
      </w:r>
    </w:p>
    <w:p>
      <w:pPr>
        <w:rPr>
          <w:color w:val="auto"/>
        </w:rPr>
      </w:pPr>
      <w:r>
        <w:rPr>
          <w:rFonts w:hint="eastAsia"/>
          <w:color w:val="auto"/>
        </w:rPr>
        <w:t>6.4.3.2.转速(转/分):  4500-5500；</w:t>
      </w:r>
    </w:p>
    <w:p>
      <w:pPr>
        <w:rPr>
          <w:color w:val="auto"/>
        </w:rPr>
      </w:pPr>
      <w:r>
        <w:rPr>
          <w:rFonts w:hint="eastAsia"/>
          <w:color w:val="auto"/>
        </w:rPr>
        <w:t>6.4.3.3.冲程：≥2；缸数：≥2；</w:t>
      </w:r>
    </w:p>
    <w:p>
      <w:pPr>
        <w:rPr>
          <w:color w:val="auto"/>
        </w:rPr>
      </w:pPr>
      <w:r>
        <w:rPr>
          <w:rFonts w:hint="eastAsia"/>
          <w:color w:val="auto"/>
        </w:rPr>
        <w:t>6.4.3.4.排气量(立方厘米) : ≥490cc；</w:t>
      </w:r>
    </w:p>
    <w:p>
      <w:pPr>
        <w:rPr>
          <w:color w:val="auto"/>
        </w:rPr>
      </w:pPr>
      <w:r>
        <w:rPr>
          <w:rFonts w:hint="eastAsia"/>
          <w:color w:val="auto"/>
        </w:rPr>
        <w:t>6.4.3.5.重量:≤55KG ；</w:t>
      </w:r>
    </w:p>
    <w:p>
      <w:pPr>
        <w:rPr>
          <w:color w:val="auto"/>
        </w:rPr>
      </w:pPr>
      <w:r>
        <w:rPr>
          <w:rFonts w:hint="eastAsia"/>
          <w:color w:val="auto"/>
        </w:rPr>
        <w:t>6.4.3.6.档位 : 前进 – 空档 – 倒档；</w:t>
      </w:r>
    </w:p>
    <w:p>
      <w:pPr>
        <w:rPr>
          <w:color w:val="auto"/>
        </w:rPr>
      </w:pPr>
      <w:r>
        <w:rPr>
          <w:rFonts w:hint="eastAsia"/>
          <w:color w:val="auto"/>
        </w:rPr>
        <w:t>6.4.3.7.点火系统:CDI；</w:t>
      </w:r>
    </w:p>
    <w:p>
      <w:pPr>
        <w:rPr>
          <w:color w:val="auto"/>
        </w:rPr>
      </w:pPr>
      <w:r>
        <w:rPr>
          <w:rFonts w:hint="eastAsia"/>
          <w:color w:val="auto"/>
        </w:rPr>
        <w:t>6.4.3.8.冷却系统 : 水冷</w:t>
      </w:r>
    </w:p>
    <w:p>
      <w:pPr>
        <w:rPr>
          <w:color w:val="auto"/>
        </w:rPr>
      </w:pPr>
      <w:r>
        <w:rPr>
          <w:rFonts w:hint="eastAsia"/>
          <w:color w:val="auto"/>
        </w:rPr>
        <w:t>6.4.3.9.启动系统 : 手动 ；</w:t>
      </w:r>
    </w:p>
    <w:p>
      <w:pPr>
        <w:rPr>
          <w:color w:val="auto"/>
        </w:rPr>
      </w:pPr>
      <w:r>
        <w:rPr>
          <w:rFonts w:hint="eastAsia"/>
          <w:color w:val="auto"/>
        </w:rPr>
        <w:t>6.4.3.10.标准配置油箱（升）≥24L。</w:t>
      </w:r>
    </w:p>
    <w:p>
      <w:pPr>
        <w:rPr>
          <w:color w:val="auto"/>
        </w:rPr>
      </w:pPr>
      <w:r>
        <w:rPr>
          <w:rFonts w:hint="eastAsia"/>
          <w:color w:val="auto"/>
        </w:rPr>
        <w:t>6.4.3.11.配备2个螺旋桨保护罩。</w:t>
      </w:r>
      <w:r>
        <w:rPr>
          <w:rFonts w:hint="eastAsia"/>
          <w:color w:val="auto"/>
        </w:rPr>
        <w:br w:type="page"/>
      </w:r>
    </w:p>
    <w:p>
      <w:pPr>
        <w:ind w:firstLine="482"/>
        <w:rPr>
          <w:b/>
          <w:bCs/>
          <w:color w:val="auto"/>
          <w:sz w:val="24"/>
          <w:szCs w:val="24"/>
        </w:rPr>
      </w:pPr>
      <w:r>
        <w:rPr>
          <w:rFonts w:hint="eastAsia"/>
          <w:b/>
          <w:bCs/>
          <w:color w:val="auto"/>
          <w:sz w:val="24"/>
          <w:szCs w:val="24"/>
        </w:rPr>
        <w:t>11标包，3辆前突模块B皮卡车，预算价：90.09万元</w:t>
      </w:r>
    </w:p>
    <w:p>
      <w:pPr>
        <w:rPr>
          <w:color w:val="auto"/>
        </w:rPr>
      </w:pPr>
      <w:r>
        <w:rPr>
          <w:rFonts w:hint="eastAsia"/>
          <w:color w:val="auto"/>
        </w:rPr>
        <w:t>1.基本要求</w:t>
      </w:r>
    </w:p>
    <w:p>
      <w:pPr>
        <w:rPr>
          <w:color w:val="auto"/>
        </w:rPr>
      </w:pPr>
      <w:r>
        <w:rPr>
          <w:rFonts w:hint="eastAsia"/>
          <w:color w:val="auto"/>
        </w:rPr>
        <w:t>1.1执行标准：《消防车 第1部分：通用技术标准》（GB 7956.1-2014），应答标车辆需取得工信部公告。</w:t>
      </w:r>
    </w:p>
    <w:p>
      <w:pPr>
        <w:rPr>
          <w:color w:val="auto"/>
        </w:rPr>
      </w:pPr>
      <w:r>
        <w:rPr>
          <w:rFonts w:hint="eastAsia"/>
          <w:color w:val="auto"/>
        </w:rPr>
        <w:t>1.2额定载人数：≥5人。</w:t>
      </w:r>
    </w:p>
    <w:p>
      <w:pPr>
        <w:rPr>
          <w:color w:val="auto"/>
        </w:rPr>
      </w:pPr>
      <w:r>
        <w:rPr>
          <w:rFonts w:hint="eastAsia"/>
          <w:color w:val="auto"/>
        </w:rPr>
        <w:t>1.3最高车速：≥130Km/h。</w:t>
      </w:r>
    </w:p>
    <w:p>
      <w:pPr>
        <w:rPr>
          <w:color w:val="auto"/>
        </w:rPr>
      </w:pPr>
      <w:r>
        <w:rPr>
          <w:rFonts w:hint="eastAsia"/>
          <w:color w:val="auto"/>
        </w:rPr>
        <w:t>1.4车型：双排加长货厢高底皮卡车。</w:t>
      </w:r>
    </w:p>
    <w:p>
      <w:pPr>
        <w:rPr>
          <w:color w:val="auto"/>
        </w:rPr>
      </w:pPr>
      <w:r>
        <w:rPr>
          <w:rFonts w:hint="eastAsia"/>
          <w:color w:val="auto"/>
        </w:rPr>
        <w:t>1.5车辆资质：取得国家级检测机构出具的整车检验合格报告。</w:t>
      </w:r>
    </w:p>
    <w:p>
      <w:pPr>
        <w:rPr>
          <w:color w:val="auto"/>
        </w:rPr>
      </w:pPr>
      <w:r>
        <w:rPr>
          <w:rFonts w:hint="eastAsia"/>
          <w:color w:val="auto"/>
        </w:rPr>
        <w:t>2.底盘要求</w:t>
      </w:r>
    </w:p>
    <w:p>
      <w:pPr>
        <w:rPr>
          <w:color w:val="auto"/>
        </w:rPr>
      </w:pPr>
      <w:r>
        <w:rPr>
          <w:rFonts w:hint="eastAsia"/>
          <w:color w:val="auto"/>
        </w:rPr>
        <w:t>★2.1发动机最大功率：≥120KW。</w:t>
      </w:r>
    </w:p>
    <w:p>
      <w:pPr>
        <w:rPr>
          <w:color w:val="auto"/>
        </w:rPr>
      </w:pPr>
      <w:r>
        <w:rPr>
          <w:rFonts w:hint="eastAsia"/>
          <w:color w:val="auto"/>
        </w:rPr>
        <w:t>★2.2发动机形式：涡轮增压柴油发动机，排量≥2.0L。</w:t>
      </w:r>
    </w:p>
    <w:p>
      <w:pPr>
        <w:rPr>
          <w:color w:val="auto"/>
        </w:rPr>
      </w:pPr>
      <w:r>
        <w:rPr>
          <w:rFonts w:hint="eastAsia"/>
          <w:color w:val="auto"/>
        </w:rPr>
        <w:t>★2.3驱动模式：4×4（电控分时四驱，后桥差速锁）。</w:t>
      </w:r>
    </w:p>
    <w:p>
      <w:pPr>
        <w:rPr>
          <w:color w:val="auto"/>
        </w:rPr>
      </w:pPr>
      <w:r>
        <w:rPr>
          <w:rFonts w:hint="eastAsia"/>
          <w:color w:val="auto"/>
        </w:rPr>
        <w:t>2.4制动：前/后制动器为通风盘式，配备ABS防抱死、制动力分配、刹车辅助、牵引力控制等。</w:t>
      </w:r>
    </w:p>
    <w:p>
      <w:pPr>
        <w:rPr>
          <w:color w:val="auto"/>
        </w:rPr>
      </w:pPr>
      <w:r>
        <w:rPr>
          <w:rFonts w:hint="eastAsia"/>
          <w:color w:val="auto"/>
        </w:rPr>
        <w:t>2.5悬挂形式：前悬架为双叉臂独立悬架、后悬架为全渐变钢板弹簧非独立悬架或优于此两种形式。</w:t>
      </w:r>
    </w:p>
    <w:p>
      <w:pPr>
        <w:rPr>
          <w:color w:val="auto"/>
        </w:rPr>
      </w:pPr>
      <w:r>
        <w:rPr>
          <w:rFonts w:hint="eastAsia"/>
          <w:color w:val="auto"/>
        </w:rPr>
        <w:t>2.6排放：符合中国国家机动车现行排放标准。</w:t>
      </w:r>
    </w:p>
    <w:p>
      <w:pPr>
        <w:rPr>
          <w:color w:val="auto"/>
        </w:rPr>
      </w:pPr>
      <w:r>
        <w:rPr>
          <w:rFonts w:hint="eastAsia"/>
          <w:color w:val="auto"/>
        </w:rPr>
        <w:t>2.7车辆尺寸（长*宽*高）：≥5300mm×1800mm×1800mm。</w:t>
      </w:r>
    </w:p>
    <w:p>
      <w:pPr>
        <w:rPr>
          <w:color w:val="auto"/>
        </w:rPr>
      </w:pPr>
      <w:r>
        <w:rPr>
          <w:rFonts w:hint="eastAsia"/>
          <w:color w:val="auto"/>
        </w:rPr>
        <w:t>2.8轮胎：越野AT轮胎（含备胎）。</w:t>
      </w:r>
    </w:p>
    <w:p>
      <w:pPr>
        <w:rPr>
          <w:color w:val="auto"/>
        </w:rPr>
      </w:pPr>
      <w:r>
        <w:rPr>
          <w:rFonts w:hint="eastAsia"/>
          <w:color w:val="auto"/>
        </w:rPr>
        <w:t>2.9近远光灯：LED</w:t>
      </w:r>
    </w:p>
    <w:p>
      <w:pPr>
        <w:rPr>
          <w:color w:val="auto"/>
        </w:rPr>
      </w:pPr>
      <w:r>
        <w:rPr>
          <w:rFonts w:hint="eastAsia"/>
          <w:color w:val="auto"/>
        </w:rPr>
        <w:t>3.配置要求</w:t>
      </w:r>
    </w:p>
    <w:p>
      <w:pPr>
        <w:rPr>
          <w:color w:val="auto"/>
        </w:rPr>
      </w:pPr>
      <w:r>
        <w:rPr>
          <w:rFonts w:hint="eastAsia"/>
          <w:color w:val="auto"/>
        </w:rPr>
        <w:t>★3.1安全装备：主/副驾驶座安全气囊、胎压监测装置、安全带未系提示。</w:t>
      </w:r>
    </w:p>
    <w:p>
      <w:pPr>
        <w:rPr>
          <w:color w:val="auto"/>
        </w:rPr>
      </w:pPr>
      <w:r>
        <w:rPr>
          <w:rFonts w:hint="eastAsia"/>
          <w:color w:val="auto"/>
        </w:rPr>
        <w:t>3.2操控配置：安装360度全景影像，含前后可视行车记录仪，含倒车雷达，存储卡≥128G、高清显示屏≥9英寸、定速巡航、上坡辅助、陡坡缓降等。</w:t>
      </w:r>
    </w:p>
    <w:p>
      <w:pPr>
        <w:rPr>
          <w:color w:val="auto"/>
        </w:rPr>
      </w:pPr>
      <w:r>
        <w:rPr>
          <w:rFonts w:hint="eastAsia"/>
          <w:color w:val="auto"/>
        </w:rPr>
        <w:t>3.3内部配置：车内中控锁、遥控钥匙、织物座椅、多功能皮质方向盘、行车电脑显示屏、座椅高低调节、前后电动车窗、后视镜电动调节等，所有座位均配备安全带。</w:t>
      </w:r>
    </w:p>
    <w:p>
      <w:pPr>
        <w:rPr>
          <w:color w:val="auto"/>
        </w:rPr>
      </w:pPr>
      <w:r>
        <w:rPr>
          <w:rFonts w:hint="eastAsia"/>
          <w:color w:val="auto"/>
        </w:rPr>
        <w:t>3.4其他配置：加装副电瓶，具有前雾灯、大灯照射角度可调等功能。</w:t>
      </w:r>
    </w:p>
    <w:p>
      <w:pPr>
        <w:rPr>
          <w:color w:val="auto"/>
        </w:rPr>
      </w:pPr>
      <w:r>
        <w:rPr>
          <w:rFonts w:hint="eastAsia"/>
          <w:color w:val="auto"/>
        </w:rPr>
        <w:t>3.5保险杠：前后均为金属材质越野型。</w:t>
      </w:r>
    </w:p>
    <w:p>
      <w:pPr>
        <w:rPr>
          <w:color w:val="auto"/>
        </w:rPr>
      </w:pPr>
      <w:r>
        <w:rPr>
          <w:rFonts w:hint="eastAsia"/>
          <w:color w:val="auto"/>
        </w:rPr>
        <w:t>3.6后拖杠：出厂具备牵引资质，集成拖车方口，牵引重量≥2T。</w:t>
      </w:r>
    </w:p>
    <w:p>
      <w:pPr>
        <w:rPr>
          <w:color w:val="auto"/>
        </w:rPr>
      </w:pPr>
      <w:r>
        <w:rPr>
          <w:rFonts w:hint="eastAsia"/>
          <w:color w:val="auto"/>
        </w:rPr>
        <w:t>4.加装要求</w:t>
      </w:r>
    </w:p>
    <w:p>
      <w:pPr>
        <w:rPr>
          <w:color w:val="auto"/>
        </w:rPr>
      </w:pPr>
      <w:r>
        <w:rPr>
          <w:rFonts w:hint="eastAsia"/>
          <w:color w:val="auto"/>
        </w:rPr>
        <w:t>★4.1绞盘：车辆前方加装电动绞盘，具备快速释放功能，防水防尘等级≥IP65，配备有线绞盘控制手柄，钢绳长度≥20m，末端带吊钩，拉力≥2.8T，且不能小于车辆最大总质量。</w:t>
      </w:r>
    </w:p>
    <w:p>
      <w:pPr>
        <w:rPr>
          <w:color w:val="auto"/>
        </w:rPr>
      </w:pPr>
      <w:r>
        <w:rPr>
          <w:rFonts w:hint="eastAsia"/>
          <w:color w:val="auto"/>
        </w:rPr>
        <w:t>4.2货厢：金属材质，全封闭后开口式，高度与车顶警灯平齐，具有防水功能，后方设置上掀门，货厢内部根据需求方要求设置旋转、推拉、滑轨、抽屉等形式器材架，器材架样式需与需求方达成一致。</w:t>
      </w:r>
    </w:p>
    <w:p>
      <w:pPr>
        <w:rPr>
          <w:color w:val="auto"/>
        </w:rPr>
      </w:pPr>
      <w:r>
        <w:rPr>
          <w:rFonts w:hint="eastAsia"/>
          <w:color w:val="auto"/>
        </w:rPr>
        <w:t>4.3车顶行李架：金属材质，延伸至货厢，承重≥400KG。</w:t>
      </w:r>
    </w:p>
    <w:p>
      <w:pPr>
        <w:rPr>
          <w:color w:val="auto"/>
        </w:rPr>
      </w:pPr>
      <w:r>
        <w:rPr>
          <w:rFonts w:hint="eastAsia"/>
          <w:color w:val="auto"/>
        </w:rPr>
        <w:t>★4.4探照灯：安装于车顶前方，LED,数量≥4个，总功率≥400W，独立电源。</w:t>
      </w:r>
    </w:p>
    <w:p>
      <w:pPr>
        <w:rPr>
          <w:color w:val="auto"/>
        </w:rPr>
      </w:pPr>
      <w:r>
        <w:rPr>
          <w:rFonts w:hint="eastAsia"/>
          <w:color w:val="auto"/>
        </w:rPr>
        <w:t>4.5整车标识：按消防救援车辆外观制式涂装要求进行涂装。车辆涂装符合《国家综合性消防救援车辆外观制式涂装规范》。</w:t>
      </w:r>
    </w:p>
    <w:p>
      <w:pPr>
        <w:rPr>
          <w:color w:val="auto"/>
        </w:rPr>
      </w:pPr>
      <w:r>
        <w:rPr>
          <w:rFonts w:hint="eastAsia"/>
          <w:color w:val="auto"/>
        </w:rPr>
        <w:t>4.6警灯：符合应急管理部相关标准。</w:t>
      </w:r>
    </w:p>
    <w:p>
      <w:pPr>
        <w:rPr>
          <w:color w:val="auto"/>
        </w:rPr>
      </w:pPr>
      <w:r>
        <w:rPr>
          <w:rFonts w:hint="eastAsia"/>
          <w:color w:val="auto"/>
        </w:rPr>
        <w:t>5.其他要求：配有随车工具、备胎等常用随车器材、随车资料附说明书、车架号和底盘号拓印件、底盘保修卡、车辆配置设备说明书、车辆一致性证书1份、底盘合格证1份。</w:t>
      </w:r>
    </w:p>
    <w:p>
      <w:pPr>
        <w:rPr>
          <w:color w:val="auto"/>
        </w:rPr>
      </w:pPr>
      <w:r>
        <w:rPr>
          <w:rFonts w:hint="eastAsia"/>
          <w:color w:val="auto"/>
        </w:rPr>
        <w:t>★6.随车器材包含手抬机动泵≥1台、救生圈≥2个，干式水域救援服≥2件、湿式水域救援服≥3件。</w:t>
      </w:r>
    </w:p>
    <w:p>
      <w:pPr>
        <w:rPr>
          <w:color w:val="auto"/>
        </w:rPr>
      </w:pPr>
      <w:r>
        <w:rPr>
          <w:rFonts w:hint="eastAsia"/>
          <w:color w:val="auto"/>
        </w:rPr>
        <w:t>6.1.手抬机动泵</w:t>
      </w:r>
    </w:p>
    <w:p>
      <w:pPr>
        <w:rPr>
          <w:color w:val="auto"/>
        </w:rPr>
      </w:pPr>
      <w:r>
        <w:rPr>
          <w:rFonts w:hint="eastAsia"/>
          <w:color w:val="auto"/>
        </w:rPr>
        <w:t>★6.1.1.国家或行业标准：符合《消防泵》（GB 6245-2006）的要求，提供国家消防装备质量监督检验中心出具的检测报告及消防产品认证证书；</w:t>
      </w:r>
    </w:p>
    <w:p>
      <w:pPr>
        <w:rPr>
          <w:color w:val="auto"/>
        </w:rPr>
      </w:pPr>
      <w:r>
        <w:rPr>
          <w:rFonts w:hint="eastAsia"/>
          <w:color w:val="auto"/>
        </w:rPr>
        <w:t>★6.1.2.额定压力≥0.5MPa，0.5MPa时流量≥25L/S；</w:t>
      </w:r>
    </w:p>
    <w:p>
      <w:pPr>
        <w:rPr>
          <w:color w:val="auto"/>
        </w:rPr>
      </w:pPr>
      <w:r>
        <w:rPr>
          <w:rFonts w:hint="eastAsia"/>
          <w:color w:val="auto"/>
        </w:rPr>
        <w:t>6.1.3.发动机：卧式双缸，电动，水冷，冷却水还流式，具备手动和电启动功能；功率≥25kW；</w:t>
      </w:r>
    </w:p>
    <w:p>
      <w:pPr>
        <w:rPr>
          <w:color w:val="auto"/>
        </w:rPr>
      </w:pPr>
      <w:r>
        <w:rPr>
          <w:rFonts w:hint="eastAsia"/>
          <w:color w:val="auto"/>
        </w:rPr>
        <w:t>6.1.4.润滑供应：自动混合比率供应；</w:t>
      </w:r>
    </w:p>
    <w:p>
      <w:pPr>
        <w:rPr>
          <w:color w:val="auto"/>
        </w:rPr>
      </w:pPr>
      <w:r>
        <w:rPr>
          <w:rFonts w:hint="eastAsia"/>
          <w:color w:val="auto"/>
        </w:rPr>
        <w:t>6.1.5.真空泵：碳纤维活片无油式；</w:t>
      </w:r>
    </w:p>
    <w:p>
      <w:pPr>
        <w:rPr>
          <w:color w:val="auto"/>
        </w:rPr>
      </w:pPr>
      <w:r>
        <w:rPr>
          <w:rFonts w:hint="eastAsia"/>
          <w:color w:val="auto"/>
        </w:rPr>
        <w:t>6.1.6.吸水口：Φ80mm，出水口Φ65 mm（可转动180度）；</w:t>
      </w:r>
    </w:p>
    <w:p>
      <w:pPr>
        <w:rPr>
          <w:color w:val="auto"/>
        </w:rPr>
      </w:pPr>
      <w:r>
        <w:rPr>
          <w:rFonts w:hint="eastAsia"/>
          <w:color w:val="auto"/>
        </w:rPr>
        <w:t>6.1.7.其他要求：配备吸水管及滤水器。</w:t>
      </w:r>
    </w:p>
    <w:p>
      <w:pPr>
        <w:rPr>
          <w:color w:val="auto"/>
        </w:rPr>
      </w:pPr>
      <w:r>
        <w:rPr>
          <w:rFonts w:hint="eastAsia"/>
          <w:color w:val="auto"/>
        </w:rPr>
        <w:t>6.2.救生圈</w:t>
      </w:r>
    </w:p>
    <w:p>
      <w:pPr>
        <w:rPr>
          <w:color w:val="auto"/>
        </w:rPr>
      </w:pPr>
      <w:r>
        <w:rPr>
          <w:rFonts w:hint="eastAsia"/>
          <w:color w:val="auto"/>
        </w:rPr>
        <w:t>★6.2.1.符合GB/T 4302-2008《救生圈》标准、CCS船检证书等标准。需提供国家专业机构出具的报告；</w:t>
      </w:r>
    </w:p>
    <w:p>
      <w:pPr>
        <w:rPr>
          <w:color w:val="auto"/>
        </w:rPr>
      </w:pPr>
      <w:r>
        <w:rPr>
          <w:rFonts w:hint="eastAsia"/>
          <w:color w:val="auto"/>
        </w:rPr>
        <w:t>6.2.2.采用高密度聚乙烯为売体，内充高密度聚氨酯闭孔泡沫。</w:t>
      </w:r>
    </w:p>
    <w:p>
      <w:pPr>
        <w:rPr>
          <w:color w:val="auto"/>
        </w:rPr>
      </w:pPr>
      <w:r>
        <w:rPr>
          <w:rFonts w:hint="eastAsia"/>
          <w:color w:val="auto"/>
        </w:rPr>
        <w:t>★6.2.3.外径≥70cm ，内径≥40CM。</w:t>
      </w:r>
    </w:p>
    <w:p>
      <w:pPr>
        <w:rPr>
          <w:color w:val="auto"/>
        </w:rPr>
      </w:pPr>
      <w:r>
        <w:rPr>
          <w:rFonts w:hint="eastAsia"/>
          <w:color w:val="auto"/>
        </w:rPr>
        <w:t>6.2.4.救生圈外围应装有直径≥9mm、长度≥救生圈外径4倍可浮把手锁。此索应紧固在圈体周边四个等距离位置上，并形成四个等长的索环；</w:t>
      </w:r>
    </w:p>
    <w:p>
      <w:pPr>
        <w:rPr>
          <w:color w:val="auto"/>
        </w:rPr>
      </w:pPr>
      <w:r>
        <w:rPr>
          <w:rFonts w:hint="eastAsia"/>
          <w:color w:val="auto"/>
        </w:rPr>
        <w:t>6.2.5.浮力≥15KG，最大承重≥220KG；</w:t>
      </w:r>
    </w:p>
    <w:p>
      <w:pPr>
        <w:rPr>
          <w:color w:val="auto"/>
        </w:rPr>
      </w:pPr>
      <w:r>
        <w:rPr>
          <w:rFonts w:hint="eastAsia"/>
          <w:color w:val="auto"/>
        </w:rPr>
        <w:t>6.2.6.环绕贴≥50mm宽度的逆向反光带。</w:t>
      </w:r>
    </w:p>
    <w:p>
      <w:pPr>
        <w:rPr>
          <w:color w:val="auto"/>
        </w:rPr>
      </w:pPr>
      <w:r>
        <w:rPr>
          <w:rFonts w:hint="eastAsia"/>
          <w:color w:val="auto"/>
        </w:rPr>
        <w:t>6.3.干式水域救援服</w:t>
      </w:r>
    </w:p>
    <w:p>
      <w:pPr>
        <w:rPr>
          <w:color w:val="auto"/>
        </w:rPr>
      </w:pPr>
      <w:r>
        <w:rPr>
          <w:rFonts w:hint="eastAsia"/>
          <w:color w:val="auto"/>
        </w:rPr>
        <w:t>★6.3.1.总体性能符合市场准入标准要求，提供国家专业机构检测报告。</w:t>
      </w:r>
    </w:p>
    <w:p>
      <w:pPr>
        <w:rPr>
          <w:color w:val="auto"/>
        </w:rPr>
      </w:pPr>
      <w:r>
        <w:rPr>
          <w:rFonts w:hint="eastAsia"/>
          <w:color w:val="auto"/>
        </w:rPr>
        <w:t>★6.3.2.采用三层复合材质，内部高聚酯材料防水涂层，防水鞋套一体式连接。</w:t>
      </w:r>
    </w:p>
    <w:p>
      <w:pPr>
        <w:rPr>
          <w:color w:val="auto"/>
        </w:rPr>
      </w:pPr>
      <w:r>
        <w:rPr>
          <w:rFonts w:hint="eastAsia"/>
          <w:color w:val="auto"/>
        </w:rPr>
        <w:t>6.3.3.主体颜色为红色，采用高强反光荧光带。</w:t>
      </w:r>
    </w:p>
    <w:p>
      <w:pPr>
        <w:rPr>
          <w:color w:val="auto"/>
        </w:rPr>
      </w:pPr>
      <w:r>
        <w:rPr>
          <w:rFonts w:hint="eastAsia"/>
          <w:color w:val="auto"/>
        </w:rPr>
        <w:t>6.3.4.上衣肩部拉链设保护盖，胸部为斜拉链，臀、肘和膝盖以及脚踝以下均采用凯夫拉材质加强并设有缓冲层。</w:t>
      </w:r>
    </w:p>
    <w:p>
      <w:pPr>
        <w:rPr>
          <w:color w:val="auto"/>
        </w:rPr>
      </w:pPr>
      <w:r>
        <w:rPr>
          <w:rFonts w:hint="eastAsia"/>
          <w:color w:val="auto"/>
        </w:rPr>
        <w:t>6.3.5.裆部应设有拉链，且配有保护盖，大腿两侧各设置1个储物包，封口拉链式设计。</w:t>
      </w:r>
    </w:p>
    <w:p>
      <w:pPr>
        <w:rPr>
          <w:color w:val="auto"/>
        </w:rPr>
      </w:pPr>
      <w:r>
        <w:rPr>
          <w:rFonts w:hint="eastAsia"/>
          <w:color w:val="auto"/>
        </w:rPr>
        <w:t>6.3.6.腰部有收紧设计。</w:t>
      </w:r>
    </w:p>
    <w:p>
      <w:pPr>
        <w:rPr>
          <w:color w:val="auto"/>
        </w:rPr>
      </w:pPr>
      <w:r>
        <w:rPr>
          <w:rFonts w:hint="eastAsia"/>
          <w:color w:val="auto"/>
        </w:rPr>
        <w:t>6.3.7.袖、领硅胶材质，收紧设计。</w:t>
      </w:r>
    </w:p>
    <w:p>
      <w:pPr>
        <w:rPr>
          <w:color w:val="auto"/>
        </w:rPr>
      </w:pPr>
      <w:r>
        <w:rPr>
          <w:rFonts w:hint="eastAsia"/>
          <w:color w:val="auto"/>
        </w:rPr>
        <w:t>6.3.8.干式服面料洗涤 5 次后，沾水等级≥ 4 级。</w:t>
      </w:r>
    </w:p>
    <w:p>
      <w:pPr>
        <w:rPr>
          <w:color w:val="auto"/>
        </w:rPr>
      </w:pPr>
      <w:r>
        <w:rPr>
          <w:rFonts w:hint="eastAsia"/>
          <w:color w:val="auto"/>
        </w:rPr>
        <w:t>★6.3.9.干式水域救援服面料的透湿率≥5000 g/（m2*24 h）。</w:t>
      </w:r>
    </w:p>
    <w:p>
      <w:pPr>
        <w:rPr>
          <w:color w:val="auto"/>
        </w:rPr>
      </w:pPr>
      <w:r>
        <w:rPr>
          <w:rFonts w:hint="eastAsia"/>
          <w:color w:val="auto"/>
        </w:rPr>
        <w:t>6.3.10.干式服所有结构上的连接部位应具备水密性，人员身着救援服在静水中漂浮1h后进水量≤0.2 kg。</w:t>
      </w:r>
    </w:p>
    <w:p>
      <w:pPr>
        <w:rPr>
          <w:color w:val="auto"/>
        </w:rPr>
      </w:pPr>
      <w:r>
        <w:rPr>
          <w:rFonts w:hint="eastAsia"/>
          <w:color w:val="auto"/>
        </w:rPr>
        <w:t>6.3.11.穿着救援服的受试者经保温性能试验1h后，体温下降≤2℃。</w:t>
      </w:r>
    </w:p>
    <w:p>
      <w:pPr>
        <w:rPr>
          <w:color w:val="auto"/>
        </w:rPr>
      </w:pPr>
      <w:r>
        <w:rPr>
          <w:rFonts w:hint="eastAsia"/>
          <w:color w:val="auto"/>
        </w:rPr>
        <w:t>6.3.12.尺寸及外观：满足甲方需求。</w:t>
      </w:r>
    </w:p>
    <w:p>
      <w:pPr>
        <w:rPr>
          <w:color w:val="auto"/>
        </w:rPr>
      </w:pPr>
      <w:r>
        <w:rPr>
          <w:rFonts w:hint="eastAsia"/>
          <w:color w:val="auto"/>
        </w:rPr>
        <w:t>6.3.13.配备保暖服1套。</w:t>
      </w:r>
    </w:p>
    <w:p>
      <w:pPr>
        <w:rPr>
          <w:color w:val="auto"/>
        </w:rPr>
      </w:pPr>
      <w:r>
        <w:rPr>
          <w:rFonts w:hint="eastAsia"/>
          <w:color w:val="auto"/>
        </w:rPr>
        <w:t>6.4.湿式水域救援服</w:t>
      </w:r>
    </w:p>
    <w:p>
      <w:pPr>
        <w:rPr>
          <w:color w:val="auto"/>
        </w:rPr>
      </w:pPr>
      <w:r>
        <w:rPr>
          <w:rFonts w:hint="eastAsia"/>
          <w:color w:val="auto"/>
        </w:rPr>
        <w:t>★6.4.1.上衣和中腰裤两件套救援服（按需求方要求提供连体或分体），≥3mm带有钛涂层的氯丁橡胶材质。</w:t>
      </w:r>
    </w:p>
    <w:p>
      <w:pPr>
        <w:rPr>
          <w:color w:val="auto"/>
        </w:rPr>
      </w:pPr>
      <w:r>
        <w:rPr>
          <w:rFonts w:hint="eastAsia"/>
          <w:color w:val="auto"/>
        </w:rPr>
        <w:t>6.4.2.所有的缝线处用暗针缝制，做加固压胶处理；</w:t>
      </w:r>
    </w:p>
    <w:p>
      <w:pPr>
        <w:rPr>
          <w:color w:val="auto"/>
        </w:rPr>
      </w:pPr>
      <w:r>
        <w:rPr>
          <w:rFonts w:hint="eastAsia"/>
          <w:color w:val="auto"/>
        </w:rPr>
        <w:t>★6.4.3.在膝盖和小腿、臀部处有凯夫拉材质补强设计，补强部位厚度≥5.0mm；</w:t>
      </w:r>
    </w:p>
    <w:p>
      <w:pPr>
        <w:rPr>
          <w:color w:val="auto"/>
        </w:rPr>
      </w:pPr>
      <w:r>
        <w:rPr>
          <w:rFonts w:hint="eastAsia"/>
          <w:color w:val="auto"/>
        </w:rPr>
        <w:t>6.4.4.手臂和腿部有荧光反射区；</w:t>
      </w:r>
    </w:p>
    <w:p>
      <w:pPr>
        <w:rPr>
          <w:color w:val="auto"/>
        </w:rPr>
      </w:pPr>
      <w:r>
        <w:rPr>
          <w:rFonts w:hint="eastAsia"/>
          <w:color w:val="auto"/>
        </w:rPr>
        <w:t>6.4.5.腿部两侧各设置1个口袋，封口拉链式设计。</w:t>
      </w:r>
    </w:p>
    <w:p>
      <w:pPr>
        <w:rPr>
          <w:color w:val="auto"/>
        </w:rPr>
      </w:pPr>
      <w:r>
        <w:rPr>
          <w:rFonts w:hint="eastAsia"/>
          <w:color w:val="auto"/>
        </w:rPr>
        <w:t>6.4.6.袖口和裤口侧面收紧式拉链设计。</w:t>
      </w:r>
    </w:p>
    <w:p>
      <w:pPr>
        <w:rPr>
          <w:color w:val="auto"/>
        </w:rPr>
      </w:pPr>
      <w:r>
        <w:rPr>
          <w:rFonts w:hint="eastAsia"/>
          <w:color w:val="auto"/>
        </w:rPr>
        <w:t>6.4.7.尺寸及外观：满足甲方需求。</w:t>
      </w:r>
      <w:r>
        <w:rPr>
          <w:rFonts w:hint="eastAsia"/>
          <w:color w:val="auto"/>
        </w:rPr>
        <w:br w:type="page"/>
      </w:r>
    </w:p>
    <w:p>
      <w:pPr>
        <w:ind w:firstLine="482"/>
        <w:rPr>
          <w:b/>
          <w:bCs/>
          <w:color w:val="auto"/>
          <w:sz w:val="24"/>
          <w:szCs w:val="24"/>
        </w:rPr>
      </w:pPr>
      <w:r>
        <w:rPr>
          <w:rFonts w:hint="eastAsia"/>
          <w:b/>
          <w:bCs/>
          <w:color w:val="auto"/>
          <w:sz w:val="24"/>
          <w:szCs w:val="24"/>
        </w:rPr>
        <w:t>12标包，12辆前突模块C皮卡车，预算价：386.76万元</w:t>
      </w:r>
    </w:p>
    <w:p>
      <w:pPr>
        <w:rPr>
          <w:color w:val="auto"/>
        </w:rPr>
      </w:pPr>
      <w:r>
        <w:rPr>
          <w:rFonts w:hint="eastAsia"/>
          <w:color w:val="auto"/>
        </w:rPr>
        <w:t>1.基本要求</w:t>
      </w:r>
    </w:p>
    <w:p>
      <w:pPr>
        <w:rPr>
          <w:color w:val="auto"/>
        </w:rPr>
      </w:pPr>
      <w:r>
        <w:rPr>
          <w:rFonts w:hint="eastAsia"/>
          <w:color w:val="auto"/>
        </w:rPr>
        <w:t>1.1执行标准：《消防车 第1部分：通用技术标准》（GB 7956.1-2014），应答标车辆需取得工信部公告。</w:t>
      </w:r>
    </w:p>
    <w:p>
      <w:pPr>
        <w:rPr>
          <w:color w:val="auto"/>
        </w:rPr>
      </w:pPr>
      <w:r>
        <w:rPr>
          <w:rFonts w:hint="eastAsia"/>
          <w:color w:val="auto"/>
        </w:rPr>
        <w:t>1.2额定载人数：≥5人。</w:t>
      </w:r>
    </w:p>
    <w:p>
      <w:pPr>
        <w:rPr>
          <w:color w:val="auto"/>
        </w:rPr>
      </w:pPr>
      <w:r>
        <w:rPr>
          <w:rFonts w:hint="eastAsia"/>
          <w:color w:val="auto"/>
        </w:rPr>
        <w:t>1.3最高车速：≥130Km/h。</w:t>
      </w:r>
    </w:p>
    <w:p>
      <w:pPr>
        <w:rPr>
          <w:color w:val="auto"/>
        </w:rPr>
      </w:pPr>
      <w:r>
        <w:rPr>
          <w:rFonts w:hint="eastAsia"/>
          <w:color w:val="auto"/>
        </w:rPr>
        <w:t>1.4车型：双排加长货厢高底皮卡车。</w:t>
      </w:r>
    </w:p>
    <w:p>
      <w:pPr>
        <w:rPr>
          <w:color w:val="auto"/>
        </w:rPr>
      </w:pPr>
      <w:r>
        <w:rPr>
          <w:rFonts w:hint="eastAsia"/>
          <w:color w:val="auto"/>
        </w:rPr>
        <w:t>1.5车辆资质：取得国家级检测机构出具的整车检验合格报告。</w:t>
      </w:r>
    </w:p>
    <w:p>
      <w:pPr>
        <w:rPr>
          <w:color w:val="auto"/>
        </w:rPr>
      </w:pPr>
      <w:r>
        <w:rPr>
          <w:rFonts w:hint="eastAsia"/>
          <w:color w:val="auto"/>
        </w:rPr>
        <w:t>2.底盘要求</w:t>
      </w:r>
    </w:p>
    <w:p>
      <w:pPr>
        <w:rPr>
          <w:color w:val="auto"/>
        </w:rPr>
      </w:pPr>
      <w:r>
        <w:rPr>
          <w:rFonts w:hint="eastAsia"/>
          <w:color w:val="auto"/>
        </w:rPr>
        <w:t>★2.1发动机最大功率：≥120KW。</w:t>
      </w:r>
    </w:p>
    <w:p>
      <w:pPr>
        <w:rPr>
          <w:color w:val="auto"/>
        </w:rPr>
      </w:pPr>
      <w:r>
        <w:rPr>
          <w:rFonts w:hint="eastAsia"/>
          <w:color w:val="auto"/>
        </w:rPr>
        <w:t>★2.2发动机形式：涡轮增压柴油发动机，排量≥2.0L。</w:t>
      </w:r>
    </w:p>
    <w:p>
      <w:pPr>
        <w:rPr>
          <w:color w:val="auto"/>
        </w:rPr>
      </w:pPr>
      <w:r>
        <w:rPr>
          <w:rFonts w:hint="eastAsia"/>
          <w:color w:val="auto"/>
        </w:rPr>
        <w:t>★2.3驱动模式：4×4（电控分时四驱，后桥差速锁）。</w:t>
      </w:r>
    </w:p>
    <w:p>
      <w:pPr>
        <w:rPr>
          <w:color w:val="auto"/>
        </w:rPr>
      </w:pPr>
      <w:r>
        <w:rPr>
          <w:rFonts w:hint="eastAsia"/>
          <w:color w:val="auto"/>
        </w:rPr>
        <w:t>2.4制动：前/后制动器为通风盘式，配备ABS防抱死、制动力分配、刹车辅助、牵引力控制等。</w:t>
      </w:r>
    </w:p>
    <w:p>
      <w:pPr>
        <w:rPr>
          <w:color w:val="auto"/>
        </w:rPr>
      </w:pPr>
      <w:r>
        <w:rPr>
          <w:rFonts w:hint="eastAsia"/>
          <w:color w:val="auto"/>
        </w:rPr>
        <w:t>2.5悬挂形式：前悬架为双叉臂独立悬架、后悬架为全渐变钢板弹簧非独立悬架或优于此两种形式。</w:t>
      </w:r>
    </w:p>
    <w:p>
      <w:pPr>
        <w:rPr>
          <w:color w:val="auto"/>
        </w:rPr>
      </w:pPr>
      <w:r>
        <w:rPr>
          <w:rFonts w:hint="eastAsia"/>
          <w:color w:val="auto"/>
        </w:rPr>
        <w:t>2.6排放：符合中国国家机动车现行排放标准。</w:t>
      </w:r>
    </w:p>
    <w:p>
      <w:pPr>
        <w:rPr>
          <w:color w:val="auto"/>
        </w:rPr>
      </w:pPr>
      <w:r>
        <w:rPr>
          <w:rFonts w:hint="eastAsia"/>
          <w:color w:val="auto"/>
        </w:rPr>
        <w:t>2.7车辆尺寸（长*宽*高）：≥5300mm×1800mm×1800mm。</w:t>
      </w:r>
    </w:p>
    <w:p>
      <w:pPr>
        <w:rPr>
          <w:color w:val="auto"/>
        </w:rPr>
      </w:pPr>
      <w:r>
        <w:rPr>
          <w:rFonts w:hint="eastAsia"/>
          <w:color w:val="auto"/>
        </w:rPr>
        <w:t>2.8轮胎：越野AT轮胎（含备胎）。</w:t>
      </w:r>
    </w:p>
    <w:p>
      <w:pPr>
        <w:rPr>
          <w:color w:val="auto"/>
        </w:rPr>
      </w:pPr>
      <w:r>
        <w:rPr>
          <w:rFonts w:hint="eastAsia"/>
          <w:color w:val="auto"/>
        </w:rPr>
        <w:t>2.9近远光灯：LED</w:t>
      </w:r>
    </w:p>
    <w:p>
      <w:pPr>
        <w:rPr>
          <w:color w:val="auto"/>
        </w:rPr>
      </w:pPr>
      <w:r>
        <w:rPr>
          <w:rFonts w:hint="eastAsia"/>
          <w:color w:val="auto"/>
        </w:rPr>
        <w:t>3.配置要求</w:t>
      </w:r>
    </w:p>
    <w:p>
      <w:pPr>
        <w:rPr>
          <w:color w:val="auto"/>
        </w:rPr>
      </w:pPr>
      <w:r>
        <w:rPr>
          <w:rFonts w:hint="eastAsia"/>
          <w:color w:val="auto"/>
        </w:rPr>
        <w:t>★3.1安全装备：主/副驾驶座安全气囊、胎压监测装置、安全带未系提示。</w:t>
      </w:r>
    </w:p>
    <w:p>
      <w:pPr>
        <w:rPr>
          <w:color w:val="auto"/>
        </w:rPr>
      </w:pPr>
      <w:r>
        <w:rPr>
          <w:rFonts w:hint="eastAsia"/>
          <w:color w:val="auto"/>
        </w:rPr>
        <w:t>3.2操控配置：安装360度全景影像，含前后可视行车记录仪，含倒车雷达，存储卡≥128G、高清显示屏≥9英寸、定速巡航、上坡辅助、陡坡缓降等。</w:t>
      </w:r>
    </w:p>
    <w:p>
      <w:pPr>
        <w:rPr>
          <w:color w:val="auto"/>
        </w:rPr>
      </w:pPr>
      <w:r>
        <w:rPr>
          <w:rFonts w:hint="eastAsia"/>
          <w:color w:val="auto"/>
        </w:rPr>
        <w:t>3.3内部配置：车内中控锁、遥控钥匙、织物座椅、多功能皮质方向盘、行车电脑显示屏、座椅高低调节、前后电动车窗、后视镜电动调节等，所有座位均配备安全带。</w:t>
      </w:r>
    </w:p>
    <w:p>
      <w:pPr>
        <w:rPr>
          <w:color w:val="auto"/>
        </w:rPr>
      </w:pPr>
      <w:r>
        <w:rPr>
          <w:rFonts w:hint="eastAsia"/>
          <w:color w:val="auto"/>
        </w:rPr>
        <w:t>3.4其他配置：加装副电瓶，具有前雾灯、大灯照射角度可调等功能。</w:t>
      </w:r>
    </w:p>
    <w:p>
      <w:pPr>
        <w:rPr>
          <w:color w:val="auto"/>
        </w:rPr>
      </w:pPr>
      <w:r>
        <w:rPr>
          <w:rFonts w:hint="eastAsia"/>
          <w:color w:val="auto"/>
        </w:rPr>
        <w:t>3.5保险杠：前后均为金属材质越野型。</w:t>
      </w:r>
    </w:p>
    <w:p>
      <w:pPr>
        <w:rPr>
          <w:color w:val="auto"/>
        </w:rPr>
      </w:pPr>
      <w:r>
        <w:rPr>
          <w:rFonts w:hint="eastAsia"/>
          <w:color w:val="auto"/>
        </w:rPr>
        <w:t>3.6后拖杠：出厂具备牵引资质，集成拖车方口，牵引重量≥2T。</w:t>
      </w:r>
    </w:p>
    <w:p>
      <w:pPr>
        <w:rPr>
          <w:color w:val="auto"/>
        </w:rPr>
      </w:pPr>
      <w:r>
        <w:rPr>
          <w:rFonts w:hint="eastAsia"/>
          <w:color w:val="auto"/>
        </w:rPr>
        <w:t>4.加装要求</w:t>
      </w:r>
    </w:p>
    <w:p>
      <w:pPr>
        <w:rPr>
          <w:color w:val="auto"/>
        </w:rPr>
      </w:pPr>
      <w:r>
        <w:rPr>
          <w:rFonts w:hint="eastAsia"/>
          <w:color w:val="auto"/>
        </w:rPr>
        <w:t>★4.1绞盘：车辆前方加装电动绞盘，具备快速释放功能，防水防尘等级≥IP65，配备有线绞盘控制手柄，钢绳长度≥20m，末端带吊钩，拉力≥2.8T，且不能小于车辆最大总质量。</w:t>
      </w:r>
    </w:p>
    <w:p>
      <w:pPr>
        <w:rPr>
          <w:color w:val="auto"/>
        </w:rPr>
      </w:pPr>
      <w:r>
        <w:rPr>
          <w:rFonts w:hint="eastAsia"/>
          <w:color w:val="auto"/>
        </w:rPr>
        <w:t>4.2货厢：金属材质，全封闭后开口式，高度与车顶警灯平齐，具有防水功能，后方设置上掀门，货厢内部根据需求方要求设置旋转、推拉、滑轨、抽屉等形式器材架，器材架样式需与需求方达成一致。</w:t>
      </w:r>
    </w:p>
    <w:p>
      <w:pPr>
        <w:rPr>
          <w:color w:val="auto"/>
        </w:rPr>
      </w:pPr>
      <w:r>
        <w:rPr>
          <w:rFonts w:hint="eastAsia"/>
          <w:color w:val="auto"/>
        </w:rPr>
        <w:t>4.3车顶行李架：金属材质，延伸至货厢，承重≥400KG。</w:t>
      </w:r>
    </w:p>
    <w:p>
      <w:pPr>
        <w:rPr>
          <w:color w:val="auto"/>
        </w:rPr>
      </w:pPr>
      <w:r>
        <w:rPr>
          <w:rFonts w:hint="eastAsia"/>
          <w:color w:val="auto"/>
        </w:rPr>
        <w:t>★4.4探照灯：安装于车顶前方，LED,数量≥4个，总功率≥400W，独立电源。</w:t>
      </w:r>
    </w:p>
    <w:p>
      <w:pPr>
        <w:rPr>
          <w:color w:val="auto"/>
        </w:rPr>
      </w:pPr>
      <w:r>
        <w:rPr>
          <w:rFonts w:hint="eastAsia"/>
          <w:color w:val="auto"/>
        </w:rPr>
        <w:t>4.5整车标识：按消防救援车辆外观制式涂装要求进行涂装。车辆涂装符合《国家综合性消防救援车辆外观制式涂装规范》。</w:t>
      </w:r>
    </w:p>
    <w:p>
      <w:pPr>
        <w:rPr>
          <w:color w:val="auto"/>
        </w:rPr>
      </w:pPr>
      <w:r>
        <w:rPr>
          <w:rFonts w:hint="eastAsia"/>
          <w:color w:val="auto"/>
        </w:rPr>
        <w:t>4.6警灯：符合应急管理部相关标准。</w:t>
      </w:r>
    </w:p>
    <w:p>
      <w:pPr>
        <w:rPr>
          <w:color w:val="auto"/>
        </w:rPr>
      </w:pPr>
      <w:r>
        <w:rPr>
          <w:rFonts w:hint="eastAsia"/>
          <w:color w:val="auto"/>
        </w:rPr>
        <w:t>5.其他要求：配有随车工具、备胎等常用随车器材、随车资料附说明书、车架号和底盘号拓印件、底盘保修卡、车辆配置设备说明书、车辆一致性证书1份、底盘合格证1份。</w:t>
      </w:r>
    </w:p>
    <w:p>
      <w:pPr>
        <w:rPr>
          <w:color w:val="auto"/>
        </w:rPr>
      </w:pPr>
      <w:r>
        <w:rPr>
          <w:rFonts w:hint="eastAsia"/>
          <w:color w:val="auto"/>
        </w:rPr>
        <w:t>★6.随车器材包含激流救生衣套装≥6件、手抬机动泵≥1台、救生圈≥2个、手提式强光照明灯≥5个、机动链锯≥1台、湿式水域救援服≥5件</w:t>
      </w:r>
    </w:p>
    <w:p>
      <w:pPr>
        <w:rPr>
          <w:color w:val="auto"/>
        </w:rPr>
      </w:pPr>
      <w:r>
        <w:rPr>
          <w:rFonts w:hint="eastAsia"/>
          <w:color w:val="auto"/>
        </w:rPr>
        <w:t>6.1.激流救生衣套装</w:t>
      </w:r>
    </w:p>
    <w:p>
      <w:pPr>
        <w:rPr>
          <w:color w:val="auto"/>
        </w:rPr>
      </w:pPr>
      <w:r>
        <w:rPr>
          <w:rFonts w:hint="eastAsia"/>
          <w:color w:val="auto"/>
        </w:rPr>
        <w:t>6.1.1材质：采用或优于尼龙布，不吸水，保温性能强；</w:t>
      </w:r>
    </w:p>
    <w:p>
      <w:pPr>
        <w:rPr>
          <w:color w:val="auto"/>
        </w:rPr>
      </w:pPr>
      <w:r>
        <w:rPr>
          <w:rFonts w:hint="eastAsia"/>
          <w:color w:val="auto"/>
        </w:rPr>
        <w:t>★6.1.1.2救生衣固有浮力为 ≥150N，≤ 180N，救生衣在淡水中浸泡 24h 后，其浮力损失≤ 2%；</w:t>
      </w:r>
    </w:p>
    <w:p>
      <w:pPr>
        <w:rPr>
          <w:color w:val="auto"/>
        </w:rPr>
      </w:pPr>
      <w:r>
        <w:rPr>
          <w:rFonts w:hint="eastAsia"/>
          <w:color w:val="auto"/>
        </w:rPr>
        <w:t>★6.1.1.3快脱带在系紧状态下能承受≤2500N 的拉力而不发生误开启；</w:t>
      </w:r>
    </w:p>
    <w:p>
      <w:pPr>
        <w:rPr>
          <w:color w:val="auto"/>
        </w:rPr>
      </w:pPr>
      <w:r>
        <w:rPr>
          <w:rFonts w:hint="eastAsia"/>
          <w:color w:val="auto"/>
        </w:rPr>
        <w:t>6.1.1.4人员穿着救生衣以任意方式下水，救生衣能在≤5s 内使人体处于直立姿态。</w:t>
      </w:r>
    </w:p>
    <w:p>
      <w:pPr>
        <w:rPr>
          <w:color w:val="auto"/>
        </w:rPr>
      </w:pPr>
      <w:r>
        <w:rPr>
          <w:rFonts w:hint="eastAsia"/>
          <w:color w:val="auto"/>
        </w:rPr>
        <w:t>★6.1.1.5救生衣衣身能承受≥3200N 的作用力 30min 而不损坏；</w:t>
      </w:r>
    </w:p>
    <w:p>
      <w:pPr>
        <w:rPr>
          <w:color w:val="auto"/>
        </w:rPr>
      </w:pPr>
      <w:r>
        <w:rPr>
          <w:rFonts w:hint="eastAsia"/>
          <w:color w:val="auto"/>
        </w:rPr>
        <w:t>6.1.1.6颜色：红色；</w:t>
      </w:r>
    </w:p>
    <w:p>
      <w:pPr>
        <w:rPr>
          <w:color w:val="auto"/>
        </w:rPr>
      </w:pPr>
      <w:r>
        <w:rPr>
          <w:rFonts w:hint="eastAsia"/>
          <w:color w:val="auto"/>
        </w:rPr>
        <w:t>6.1.1.7救生衣重量≤3kg；</w:t>
      </w:r>
    </w:p>
    <w:p>
      <w:pPr>
        <w:rPr>
          <w:color w:val="auto"/>
        </w:rPr>
      </w:pPr>
      <w:r>
        <w:rPr>
          <w:rFonts w:hint="eastAsia"/>
          <w:color w:val="auto"/>
        </w:rPr>
        <w:t>6.1.1.8浮力马甲胸襟使用双插扣及拉链加强。</w:t>
      </w:r>
    </w:p>
    <w:p>
      <w:pPr>
        <w:rPr>
          <w:color w:val="auto"/>
        </w:rPr>
      </w:pPr>
      <w:r>
        <w:rPr>
          <w:rFonts w:hint="eastAsia"/>
          <w:color w:val="auto"/>
        </w:rPr>
        <w:t>★6.1.1.9浮力马甲≥4 点调节，浮力马甲前后≥10 个救援战术拓展外挂点（≥6 个 D 型挂点、≥4 个织带挂点），挂载口哨、荧光棒、定位灯等多种配件、预留手台挂载配件；</w:t>
      </w:r>
    </w:p>
    <w:p>
      <w:pPr>
        <w:rPr>
          <w:color w:val="auto"/>
        </w:rPr>
      </w:pPr>
      <w:r>
        <w:rPr>
          <w:rFonts w:hint="eastAsia"/>
          <w:color w:val="auto"/>
        </w:rPr>
        <w:t>6.1.1.10救生衣背面应设置松紧带式荧光棒插槽，领后应配有轻型可拖拽把手；救生衣胸前设计魔术贴，可贴队标、姓名贴；胸襟两侧及背后应有≥5 条标准反光带，便于夜间救援；</w:t>
      </w:r>
    </w:p>
    <w:p>
      <w:pPr>
        <w:rPr>
          <w:color w:val="auto"/>
        </w:rPr>
      </w:pPr>
      <w:r>
        <w:rPr>
          <w:rFonts w:hint="eastAsia"/>
          <w:color w:val="auto"/>
        </w:rPr>
        <w:t>6.1.1.11自带逃离装置：环绕胸部的快速释放救生带附带不锈钢O 型环；</w:t>
      </w:r>
    </w:p>
    <w:p>
      <w:pPr>
        <w:rPr>
          <w:color w:val="auto"/>
        </w:rPr>
      </w:pPr>
      <w:r>
        <w:rPr>
          <w:rFonts w:hint="eastAsia"/>
          <w:color w:val="auto"/>
        </w:rPr>
        <w:t>6.1.1.12前端设置两个耐磨材料排水口袋；</w:t>
      </w:r>
    </w:p>
    <w:p>
      <w:pPr>
        <w:rPr>
          <w:color w:val="auto"/>
        </w:rPr>
      </w:pPr>
      <w:r>
        <w:rPr>
          <w:rFonts w:hint="eastAsia"/>
          <w:color w:val="auto"/>
        </w:rPr>
        <w:t>6.1.1.13环绕腰部的抛绳包应配有快速释放带，可挂载专用抛绳包；</w:t>
      </w:r>
    </w:p>
    <w:p>
      <w:pPr>
        <w:rPr>
          <w:color w:val="auto"/>
        </w:rPr>
      </w:pPr>
      <w:r>
        <w:rPr>
          <w:rFonts w:hint="eastAsia"/>
          <w:color w:val="auto"/>
        </w:rPr>
        <w:t>★6.1.1.14救生衣配件：牛尾绳：缝合终端，静态长度≥70cm，伸展后≥100 cm。</w:t>
      </w:r>
    </w:p>
    <w:p>
      <w:pPr>
        <w:rPr>
          <w:color w:val="auto"/>
        </w:rPr>
      </w:pPr>
      <w:r>
        <w:rPr>
          <w:rFonts w:hint="eastAsia"/>
          <w:color w:val="auto"/>
        </w:rPr>
        <w:t>6.1.1.15配备高音哨、频闪灯、可调节裆带。</w:t>
      </w:r>
    </w:p>
    <w:p>
      <w:pPr>
        <w:rPr>
          <w:color w:val="auto"/>
        </w:rPr>
      </w:pPr>
      <w:r>
        <w:rPr>
          <w:rFonts w:hint="eastAsia"/>
          <w:color w:val="auto"/>
        </w:rPr>
        <w:t>6.1.1.16供货时尺码需与需求方达成一致。</w:t>
      </w:r>
    </w:p>
    <w:p>
      <w:pPr>
        <w:rPr>
          <w:color w:val="auto"/>
        </w:rPr>
      </w:pPr>
      <w:r>
        <w:rPr>
          <w:rFonts w:hint="eastAsia"/>
          <w:color w:val="auto"/>
        </w:rPr>
        <w:t>6.1.2.抛绳包</w:t>
      </w:r>
    </w:p>
    <w:p>
      <w:pPr>
        <w:rPr>
          <w:color w:val="auto"/>
        </w:rPr>
      </w:pPr>
      <w:r>
        <w:rPr>
          <w:rFonts w:hint="eastAsia"/>
          <w:color w:val="auto"/>
        </w:rPr>
        <w:t>6.1.2.1绳包为腰包式设计，表面带有网布，显著位置标有内置绳索长度，腰包两侧具备快速释放功能。</w:t>
      </w:r>
    </w:p>
    <w:p>
      <w:pPr>
        <w:rPr>
          <w:color w:val="auto"/>
        </w:rPr>
      </w:pPr>
      <w:r>
        <w:rPr>
          <w:rFonts w:hint="eastAsia"/>
          <w:color w:val="auto"/>
        </w:rPr>
        <w:t>★6.1.2.2包内绳索长度≥20m、直径7 mm~9.5 mm。</w:t>
      </w:r>
    </w:p>
    <w:p>
      <w:pPr>
        <w:rPr>
          <w:color w:val="auto"/>
        </w:rPr>
      </w:pPr>
      <w:r>
        <w:rPr>
          <w:rFonts w:hint="eastAsia"/>
          <w:color w:val="auto"/>
        </w:rPr>
        <w:t>6.1.2.3包内绳索破断强度≥13kn，漂浮时间≥48 h。</w:t>
      </w:r>
    </w:p>
    <w:p>
      <w:pPr>
        <w:rPr>
          <w:color w:val="auto"/>
        </w:rPr>
      </w:pPr>
      <w:r>
        <w:rPr>
          <w:rFonts w:hint="eastAsia"/>
          <w:color w:val="auto"/>
        </w:rPr>
        <w:t>6.1.2.4绳索应为包芯绳结构，主承重部分应由连续纤维制成。</w:t>
      </w:r>
    </w:p>
    <w:p>
      <w:pPr>
        <w:rPr>
          <w:color w:val="auto"/>
        </w:rPr>
      </w:pPr>
      <w:r>
        <w:rPr>
          <w:rFonts w:hint="eastAsia"/>
          <w:color w:val="auto"/>
        </w:rPr>
        <w:t>6.1.2.5绳包应设有反光标志带，增加夜间可视性。</w:t>
      </w:r>
    </w:p>
    <w:p>
      <w:pPr>
        <w:rPr>
          <w:color w:val="auto"/>
        </w:rPr>
      </w:pPr>
      <w:r>
        <w:rPr>
          <w:rFonts w:hint="eastAsia"/>
          <w:color w:val="auto"/>
        </w:rPr>
        <w:t>6.1.3.割绳刀</w:t>
      </w:r>
    </w:p>
    <w:p>
      <w:pPr>
        <w:rPr>
          <w:color w:val="auto"/>
        </w:rPr>
      </w:pPr>
      <w:r>
        <w:rPr>
          <w:rFonts w:hint="eastAsia"/>
          <w:color w:val="auto"/>
        </w:rPr>
        <w:t>6.1.3.1刀片为钛合金材质（不会氧化生锈）；</w:t>
      </w:r>
    </w:p>
    <w:p>
      <w:pPr>
        <w:rPr>
          <w:color w:val="auto"/>
        </w:rPr>
      </w:pPr>
      <w:r>
        <w:rPr>
          <w:rFonts w:hint="eastAsia"/>
          <w:color w:val="auto"/>
        </w:rPr>
        <w:t>6.1.3.2带有平刃和齿刃，还有一个绳索切割钩；</w:t>
      </w:r>
    </w:p>
    <w:p>
      <w:pPr>
        <w:rPr>
          <w:color w:val="auto"/>
        </w:rPr>
      </w:pPr>
      <w:r>
        <w:rPr>
          <w:rFonts w:hint="eastAsia"/>
          <w:color w:val="auto"/>
        </w:rPr>
        <w:t>6.1.3.3采用平头设计。</w:t>
      </w:r>
    </w:p>
    <w:p>
      <w:pPr>
        <w:rPr>
          <w:color w:val="auto"/>
        </w:rPr>
      </w:pPr>
      <w:r>
        <w:rPr>
          <w:rFonts w:hint="eastAsia"/>
          <w:color w:val="auto"/>
        </w:rPr>
        <w:t>6.1.3.4 波浪形手柄，尾部设置防丢绳；</w:t>
      </w:r>
    </w:p>
    <w:p>
      <w:pPr>
        <w:rPr>
          <w:color w:val="auto"/>
        </w:rPr>
      </w:pPr>
      <w:r>
        <w:rPr>
          <w:rFonts w:hint="eastAsia"/>
          <w:color w:val="auto"/>
        </w:rPr>
        <w:t>6.1.3.5刀鞘的卡子可以固定在PFD上面；</w:t>
      </w:r>
    </w:p>
    <w:p>
      <w:pPr>
        <w:rPr>
          <w:color w:val="auto"/>
        </w:rPr>
      </w:pPr>
      <w:r>
        <w:rPr>
          <w:rFonts w:hint="eastAsia"/>
          <w:color w:val="auto"/>
        </w:rPr>
        <w:t>6.1.3.6刀柄为透明材质，且刀柄内填充了蓄光发光材料，即使在黑暗的情况下也可以有效的看清；</w:t>
      </w:r>
    </w:p>
    <w:p>
      <w:pPr>
        <w:rPr>
          <w:color w:val="auto"/>
        </w:rPr>
      </w:pPr>
      <w:r>
        <w:rPr>
          <w:rFonts w:hint="eastAsia"/>
          <w:color w:val="auto"/>
        </w:rPr>
        <w:t>★6.1.3.7刀长≤190mm，硬度≥51HRC；</w:t>
      </w:r>
    </w:p>
    <w:p>
      <w:pPr>
        <w:rPr>
          <w:color w:val="auto"/>
        </w:rPr>
      </w:pPr>
      <w:r>
        <w:rPr>
          <w:rFonts w:hint="eastAsia"/>
          <w:color w:val="auto"/>
        </w:rPr>
        <w:t>★6.1.3.8切割性能：按规定的要求进行切割性能试验，切断直径9.5mm-16mm的尼龙制消防安全绳时间≤10s；</w:t>
      </w:r>
    </w:p>
    <w:p>
      <w:pPr>
        <w:rPr>
          <w:color w:val="auto"/>
        </w:rPr>
      </w:pPr>
      <w:r>
        <w:rPr>
          <w:rFonts w:hint="eastAsia"/>
          <w:color w:val="auto"/>
        </w:rPr>
        <w:t>6.1.3.9耐腐蚀性能：水域救援刀经48h的中性盐雾试验后，无明显腐蚀现象。</w:t>
      </w:r>
    </w:p>
    <w:p>
      <w:pPr>
        <w:rPr>
          <w:color w:val="auto"/>
        </w:rPr>
      </w:pPr>
      <w:r>
        <w:rPr>
          <w:rFonts w:hint="eastAsia"/>
          <w:color w:val="auto"/>
        </w:rPr>
        <w:t>6.1.4.潜水手电</w:t>
      </w:r>
    </w:p>
    <w:p>
      <w:pPr>
        <w:rPr>
          <w:color w:val="auto"/>
        </w:rPr>
      </w:pPr>
      <w:r>
        <w:rPr>
          <w:rFonts w:hint="eastAsia"/>
          <w:color w:val="auto"/>
        </w:rPr>
        <w:t>6.1.4.1重量：≤900g</w:t>
      </w:r>
    </w:p>
    <w:p>
      <w:pPr>
        <w:rPr>
          <w:color w:val="auto"/>
        </w:rPr>
      </w:pPr>
      <w:r>
        <w:rPr>
          <w:rFonts w:hint="eastAsia"/>
          <w:color w:val="auto"/>
        </w:rPr>
        <w:t>6.1.4.2开关方式：机械开关</w:t>
      </w:r>
    </w:p>
    <w:p>
      <w:pPr>
        <w:rPr>
          <w:color w:val="auto"/>
        </w:rPr>
      </w:pPr>
      <w:r>
        <w:rPr>
          <w:rFonts w:hint="eastAsia"/>
          <w:color w:val="auto"/>
        </w:rPr>
        <w:t>★6.1.4.3LED寿命：100000小时</w:t>
      </w:r>
    </w:p>
    <w:p>
      <w:pPr>
        <w:rPr>
          <w:color w:val="auto"/>
        </w:rPr>
      </w:pPr>
      <w:r>
        <w:rPr>
          <w:rFonts w:hint="eastAsia"/>
          <w:color w:val="auto"/>
        </w:rPr>
        <w:t>6.1.4.4档位：三组7档+点射功能</w:t>
      </w:r>
    </w:p>
    <w:p>
      <w:pPr>
        <w:rPr>
          <w:color w:val="auto"/>
        </w:rPr>
      </w:pPr>
      <w:r>
        <w:rPr>
          <w:rFonts w:hint="eastAsia"/>
          <w:color w:val="auto"/>
        </w:rPr>
        <w:t>6.1.4.5镜片：钢化玻璃镜片</w:t>
      </w:r>
    </w:p>
    <w:p>
      <w:pPr>
        <w:rPr>
          <w:color w:val="auto"/>
        </w:rPr>
      </w:pPr>
      <w:r>
        <w:rPr>
          <w:rFonts w:hint="eastAsia"/>
          <w:color w:val="auto"/>
        </w:rPr>
        <w:t>★6.1.4.6防水等级：IP68。</w:t>
      </w:r>
    </w:p>
    <w:p>
      <w:pPr>
        <w:rPr>
          <w:color w:val="auto"/>
        </w:rPr>
      </w:pPr>
      <w:r>
        <w:rPr>
          <w:rFonts w:hint="eastAsia"/>
          <w:color w:val="auto"/>
        </w:rPr>
        <w:t>6.1.4.7.配备防丢绳1根。</w:t>
      </w:r>
    </w:p>
    <w:p>
      <w:pPr>
        <w:rPr>
          <w:color w:val="auto"/>
        </w:rPr>
      </w:pPr>
      <w:r>
        <w:rPr>
          <w:rFonts w:hint="eastAsia"/>
          <w:color w:val="auto"/>
        </w:rPr>
        <w:t>6.1.4.8.强光额定工作时间≥4h，弱光额定工作时间≥6h。</w:t>
      </w:r>
    </w:p>
    <w:p>
      <w:pPr>
        <w:rPr>
          <w:color w:val="auto"/>
        </w:rPr>
      </w:pPr>
      <w:r>
        <w:rPr>
          <w:rFonts w:hint="eastAsia"/>
          <w:color w:val="auto"/>
        </w:rPr>
        <w:t>6.1.5.牛尾绳</w:t>
      </w:r>
    </w:p>
    <w:p>
      <w:pPr>
        <w:rPr>
          <w:color w:val="auto"/>
        </w:rPr>
      </w:pPr>
      <w:r>
        <w:rPr>
          <w:rFonts w:hint="eastAsia"/>
          <w:color w:val="auto"/>
        </w:rPr>
        <w:t>6.1.5.1带有不锈钢O型环1个和快挂1个。</w:t>
      </w:r>
    </w:p>
    <w:p>
      <w:pPr>
        <w:rPr>
          <w:color w:val="auto"/>
        </w:rPr>
      </w:pPr>
      <w:r>
        <w:rPr>
          <w:rFonts w:hint="eastAsia"/>
          <w:color w:val="auto"/>
        </w:rPr>
        <w:t>6.1.5.2牵引绳两端加厚塑胶塑封，牢固且耐摩擦。</w:t>
      </w:r>
    </w:p>
    <w:p>
      <w:pPr>
        <w:rPr>
          <w:color w:val="0000FF"/>
        </w:rPr>
      </w:pPr>
      <w:r>
        <w:rPr>
          <w:rFonts w:hint="eastAsia"/>
          <w:color w:val="0000FF"/>
        </w:rPr>
        <w:t>6.1.5.3设计规格：静态长度≥70cm、伸展长度≥100cm。</w:t>
      </w:r>
    </w:p>
    <w:p>
      <w:pPr>
        <w:rPr>
          <w:color w:val="auto"/>
        </w:rPr>
      </w:pPr>
      <w:r>
        <w:rPr>
          <w:rFonts w:hint="eastAsia"/>
          <w:color w:val="auto"/>
        </w:rPr>
        <w:t>6.1.5.4管状尼龙织带宽度：≥30mm。</w:t>
      </w:r>
    </w:p>
    <w:p>
      <w:pPr>
        <w:rPr>
          <w:color w:val="auto"/>
        </w:rPr>
      </w:pPr>
      <w:r>
        <w:rPr>
          <w:rFonts w:hint="eastAsia"/>
          <w:color w:val="auto"/>
        </w:rPr>
        <w:t>6.1.5.5两端缝合：Z形线迹并加固缝合。</w:t>
      </w:r>
    </w:p>
    <w:p>
      <w:pPr>
        <w:rPr>
          <w:color w:val="auto"/>
        </w:rPr>
      </w:pPr>
      <w:r>
        <w:rPr>
          <w:rFonts w:hint="eastAsia"/>
          <w:color w:val="auto"/>
        </w:rPr>
        <w:t>6.2.手抬机动泵</w:t>
      </w:r>
    </w:p>
    <w:p>
      <w:pPr>
        <w:rPr>
          <w:color w:val="auto"/>
        </w:rPr>
      </w:pPr>
      <w:r>
        <w:rPr>
          <w:rFonts w:hint="eastAsia"/>
          <w:color w:val="auto"/>
        </w:rPr>
        <w:t>★6.2.1.国家或行业标准：符合《消防泵》（GB 6245-2006）的要求，提供国家消防装备质量监督检验中心出具的检测报告及消防产品认证证书；</w:t>
      </w:r>
    </w:p>
    <w:p>
      <w:pPr>
        <w:rPr>
          <w:color w:val="auto"/>
        </w:rPr>
      </w:pPr>
      <w:r>
        <w:rPr>
          <w:rFonts w:hint="eastAsia"/>
          <w:color w:val="auto"/>
        </w:rPr>
        <w:t>★6.2.2.额定压力≥0.5MPa，0.5MPa时流量≥25L/S；</w:t>
      </w:r>
    </w:p>
    <w:p>
      <w:pPr>
        <w:rPr>
          <w:color w:val="auto"/>
        </w:rPr>
      </w:pPr>
      <w:r>
        <w:rPr>
          <w:rFonts w:hint="eastAsia"/>
          <w:color w:val="auto"/>
        </w:rPr>
        <w:t>6.2.3.发动机：卧式双缸，电动，水冷，冷却水还流式，具备手动和电启动功能；功率≥25kW；</w:t>
      </w:r>
    </w:p>
    <w:p>
      <w:pPr>
        <w:rPr>
          <w:color w:val="auto"/>
        </w:rPr>
      </w:pPr>
      <w:r>
        <w:rPr>
          <w:rFonts w:hint="eastAsia"/>
          <w:color w:val="auto"/>
        </w:rPr>
        <w:t>6.2.4.润滑供应：自动混合比率供应；</w:t>
      </w:r>
    </w:p>
    <w:p>
      <w:pPr>
        <w:rPr>
          <w:color w:val="auto"/>
        </w:rPr>
      </w:pPr>
      <w:r>
        <w:rPr>
          <w:rFonts w:hint="eastAsia"/>
          <w:color w:val="auto"/>
        </w:rPr>
        <w:t>6.2.5.真空泵：碳纤维活片无油式；</w:t>
      </w:r>
    </w:p>
    <w:p>
      <w:pPr>
        <w:rPr>
          <w:color w:val="auto"/>
        </w:rPr>
      </w:pPr>
      <w:r>
        <w:rPr>
          <w:rFonts w:hint="eastAsia"/>
          <w:color w:val="auto"/>
        </w:rPr>
        <w:t>6.2.6.吸水口：Φ80mm，出水口Φ65 mm（可转动180度）；</w:t>
      </w:r>
    </w:p>
    <w:p>
      <w:pPr>
        <w:rPr>
          <w:color w:val="auto"/>
        </w:rPr>
      </w:pPr>
      <w:r>
        <w:rPr>
          <w:rFonts w:hint="eastAsia"/>
          <w:color w:val="auto"/>
        </w:rPr>
        <w:t>6.2.7.其他要求：配备吸水管及滤水器。</w:t>
      </w:r>
    </w:p>
    <w:p>
      <w:pPr>
        <w:rPr>
          <w:color w:val="auto"/>
        </w:rPr>
      </w:pPr>
      <w:r>
        <w:rPr>
          <w:rFonts w:hint="eastAsia"/>
          <w:color w:val="auto"/>
        </w:rPr>
        <w:t>6.3.救生圈</w:t>
      </w:r>
    </w:p>
    <w:p>
      <w:pPr>
        <w:rPr>
          <w:color w:val="auto"/>
        </w:rPr>
      </w:pPr>
      <w:r>
        <w:rPr>
          <w:rFonts w:hint="eastAsia"/>
          <w:color w:val="auto"/>
        </w:rPr>
        <w:t>★6.3.1.符合GB/T 4302-2008《救生圈》标准、CCS船检证书等标准。需提供国家专业机构出具的报告；</w:t>
      </w:r>
    </w:p>
    <w:p>
      <w:pPr>
        <w:rPr>
          <w:color w:val="auto"/>
        </w:rPr>
      </w:pPr>
      <w:r>
        <w:rPr>
          <w:rFonts w:hint="eastAsia"/>
          <w:color w:val="auto"/>
        </w:rPr>
        <w:t>6.3.2.采用高密度聚乙烯为売体，内充高密度聚氨酯闭孔泡沫。</w:t>
      </w:r>
    </w:p>
    <w:p>
      <w:pPr>
        <w:rPr>
          <w:color w:val="auto"/>
        </w:rPr>
      </w:pPr>
      <w:r>
        <w:rPr>
          <w:rFonts w:hint="eastAsia"/>
          <w:color w:val="auto"/>
        </w:rPr>
        <w:t>★6.3.3.外径≥70cm ，内径≥40CM。</w:t>
      </w:r>
      <w:bookmarkStart w:id="85" w:name="_GoBack"/>
      <w:bookmarkEnd w:id="85"/>
    </w:p>
    <w:p>
      <w:pPr>
        <w:rPr>
          <w:color w:val="auto"/>
        </w:rPr>
      </w:pPr>
      <w:r>
        <w:rPr>
          <w:rFonts w:hint="eastAsia"/>
          <w:color w:val="auto"/>
        </w:rPr>
        <w:t>6.3.4.救生圈外围应装有直径≥9mm、长度≥救生圈外径4倍可浮把手锁。此索应紧固在圈体周边四个等距离位置上，并形成四个等长的索环；</w:t>
      </w:r>
    </w:p>
    <w:p>
      <w:pPr>
        <w:rPr>
          <w:color w:val="auto"/>
        </w:rPr>
      </w:pPr>
      <w:r>
        <w:rPr>
          <w:rFonts w:hint="eastAsia"/>
          <w:color w:val="auto"/>
        </w:rPr>
        <w:t>6.3.5.浮力≥15KG，最大承重≥220KG；</w:t>
      </w:r>
    </w:p>
    <w:p>
      <w:pPr>
        <w:rPr>
          <w:color w:val="auto"/>
        </w:rPr>
      </w:pPr>
      <w:r>
        <w:rPr>
          <w:rFonts w:hint="eastAsia"/>
          <w:color w:val="auto"/>
        </w:rPr>
        <w:t>6.3.6.环绕贴≥50mm宽度的逆向反光带。</w:t>
      </w:r>
    </w:p>
    <w:p>
      <w:pPr>
        <w:rPr>
          <w:color w:val="auto"/>
        </w:rPr>
      </w:pPr>
      <w:r>
        <w:rPr>
          <w:rFonts w:hint="eastAsia"/>
          <w:color w:val="auto"/>
        </w:rPr>
        <w:t>6.4.手提式强光照明灯</w:t>
      </w:r>
    </w:p>
    <w:p>
      <w:pPr>
        <w:rPr>
          <w:color w:val="auto"/>
        </w:rPr>
      </w:pPr>
      <w:r>
        <w:rPr>
          <w:rFonts w:hint="eastAsia"/>
          <w:color w:val="auto"/>
        </w:rPr>
        <w:t>★6.4.1.总体性能符合《GB30734-2014消防员照明灯标准》的要求；</w:t>
      </w:r>
    </w:p>
    <w:p>
      <w:pPr>
        <w:rPr>
          <w:color w:val="auto"/>
        </w:rPr>
      </w:pPr>
      <w:r>
        <w:rPr>
          <w:rFonts w:hint="eastAsia"/>
          <w:color w:val="auto"/>
        </w:rPr>
        <w:t>6.4.2.灯具在低温-25±2℃或者高温55±2℃持续2小时试验后，灯具应能正常进行开、关和强、弱光切换；</w:t>
      </w:r>
    </w:p>
    <w:p>
      <w:pPr>
        <w:rPr>
          <w:color w:val="auto"/>
        </w:rPr>
      </w:pPr>
      <w:r>
        <w:rPr>
          <w:rFonts w:hint="eastAsia"/>
          <w:color w:val="auto"/>
        </w:rPr>
        <w:t>★6.4.3.常温环境下，灯具带电端子与外壳间的绝缘电阻应≥20MΩ,交变湿热后应≥5MΩ（消防检测报告中有体现）；</w:t>
      </w:r>
    </w:p>
    <w:p>
      <w:pPr>
        <w:rPr>
          <w:color w:val="auto"/>
        </w:rPr>
      </w:pPr>
      <w:r>
        <w:rPr>
          <w:rFonts w:hint="eastAsia"/>
          <w:color w:val="auto"/>
        </w:rPr>
        <w:t>6.4.4.灯具应能耐受频率为50 Hz±0.5 Hz，交流电压为500 V±50 V，历时60 s±5 s的耐电压试验。</w:t>
      </w:r>
    </w:p>
    <w:p>
      <w:pPr>
        <w:rPr>
          <w:color w:val="auto"/>
        </w:rPr>
      </w:pPr>
      <w:r>
        <w:rPr>
          <w:rFonts w:hint="eastAsia"/>
          <w:color w:val="auto"/>
        </w:rPr>
        <w:t>6.4.5.防爆执行标准符合GB3836.1-2010.GB3836.4-2010.GB12476.1-2013.GB12476.4-2010国家标准，防爆等级：Ex ib IIC T4 Gb/Ex ibD 21 T130℃（提供防爆检测报告）；</w:t>
      </w:r>
    </w:p>
    <w:p>
      <w:pPr>
        <w:rPr>
          <w:color w:val="auto"/>
        </w:rPr>
      </w:pPr>
      <w:r>
        <w:rPr>
          <w:rFonts w:hint="eastAsia"/>
          <w:color w:val="auto"/>
        </w:rPr>
        <w:t>6.4.6.灯具外壳防护等级应满足GB4208-2008规定的≥IP68的要求；</w:t>
      </w:r>
    </w:p>
    <w:p>
      <w:pPr>
        <w:rPr>
          <w:color w:val="auto"/>
        </w:rPr>
      </w:pPr>
      <w:r>
        <w:rPr>
          <w:rFonts w:hint="eastAsia"/>
          <w:color w:val="auto"/>
        </w:rPr>
        <w:t>★6.4.7.灯具2m处光斑中心照度，强光平均值≥500lx，弱光平均值≥230lx；照射距离≥200米；</w:t>
      </w:r>
    </w:p>
    <w:p>
      <w:pPr>
        <w:rPr>
          <w:color w:val="auto"/>
        </w:rPr>
      </w:pPr>
      <w:r>
        <w:rPr>
          <w:rFonts w:hint="eastAsia"/>
          <w:color w:val="auto"/>
        </w:rPr>
        <w:t>6.4.8.充电孔和充电器：灯筒上应设计有通用Type-C充电口孔位，支持市场通用的USB接口充电;每个灯配备一个插头交直流转换器分离式结构充电器；</w:t>
      </w:r>
    </w:p>
    <w:p>
      <w:pPr>
        <w:rPr>
          <w:color w:val="auto"/>
        </w:rPr>
      </w:pPr>
      <w:r>
        <w:rPr>
          <w:rFonts w:hint="eastAsia"/>
          <w:color w:val="auto"/>
        </w:rPr>
        <w:t>6.4.9.电量显示窗：灯筒上应设计有通用电量显示单元窗孔，可直观显示剩余电量；</w:t>
      </w:r>
    </w:p>
    <w:p>
      <w:pPr>
        <w:rPr>
          <w:color w:val="auto"/>
        </w:rPr>
      </w:pPr>
      <w:r>
        <w:rPr>
          <w:rFonts w:hint="eastAsia"/>
          <w:color w:val="auto"/>
        </w:rPr>
        <w:t>6.4.10.电源开关：方便戴手套开关，采用按钮式大开关设计，并设有方位指示灯；</w:t>
      </w:r>
    </w:p>
    <w:p>
      <w:pPr>
        <w:rPr>
          <w:color w:val="auto"/>
        </w:rPr>
      </w:pPr>
      <w:r>
        <w:rPr>
          <w:rFonts w:hint="eastAsia"/>
          <w:color w:val="auto"/>
        </w:rPr>
        <w:t>★6.4.11.额定功率≥3W，额定电压≥DC3.7V，电池采用可充电锂电池，额定容量≥4.0Ah。</w:t>
      </w:r>
    </w:p>
    <w:p>
      <w:pPr>
        <w:rPr>
          <w:color w:val="auto"/>
        </w:rPr>
      </w:pPr>
      <w:r>
        <w:rPr>
          <w:rFonts w:hint="eastAsia"/>
          <w:color w:val="auto"/>
        </w:rPr>
        <w:t>6.5.机动链锯</w:t>
      </w:r>
    </w:p>
    <w:p>
      <w:pPr>
        <w:rPr>
          <w:color w:val="auto"/>
        </w:rPr>
      </w:pPr>
      <w:r>
        <w:rPr>
          <w:rFonts w:hint="eastAsia"/>
          <w:color w:val="auto"/>
        </w:rPr>
        <w:t>6.5.1.组成：链条、机体、启动拉绳、油箱。机器设有空挡和工作挡，具备安全保护功能。</w:t>
      </w:r>
    </w:p>
    <w:p>
      <w:pPr>
        <w:rPr>
          <w:color w:val="auto"/>
        </w:rPr>
      </w:pPr>
      <w:r>
        <w:rPr>
          <w:rFonts w:hint="eastAsia"/>
          <w:color w:val="auto"/>
        </w:rPr>
        <w:t>6.5.2.导板长度：≥400mm；</w:t>
      </w:r>
    </w:p>
    <w:p>
      <w:pPr>
        <w:rPr>
          <w:color w:val="auto"/>
        </w:rPr>
      </w:pPr>
      <w:r>
        <w:rPr>
          <w:rFonts w:hint="eastAsia"/>
          <w:color w:val="auto"/>
        </w:rPr>
        <w:t>★6.5.3.功率：≥2.3kw；</w:t>
      </w:r>
    </w:p>
    <w:p>
      <w:pPr>
        <w:rPr>
          <w:color w:val="auto"/>
        </w:rPr>
      </w:pPr>
      <w:r>
        <w:rPr>
          <w:rFonts w:hint="eastAsia"/>
          <w:color w:val="auto"/>
        </w:rPr>
        <w:t>6.5.4.标准怠速：2600-2800rpm；</w:t>
      </w:r>
    </w:p>
    <w:p>
      <w:pPr>
        <w:rPr>
          <w:color w:val="auto"/>
        </w:rPr>
      </w:pPr>
      <w:r>
        <w:rPr>
          <w:rFonts w:hint="eastAsia"/>
          <w:color w:val="auto"/>
        </w:rPr>
        <w:t>★6.5.5.发动机最大转速：≥9000rpm；</w:t>
      </w:r>
    </w:p>
    <w:p>
      <w:pPr>
        <w:rPr>
          <w:color w:val="auto"/>
        </w:rPr>
      </w:pPr>
      <w:r>
        <w:rPr>
          <w:rFonts w:hint="eastAsia"/>
          <w:color w:val="auto"/>
        </w:rPr>
        <w:t>6.5.6.油箱容量：≥0.45L。</w:t>
      </w:r>
    </w:p>
    <w:p>
      <w:pPr>
        <w:rPr>
          <w:color w:val="auto"/>
        </w:rPr>
      </w:pPr>
      <w:r>
        <w:rPr>
          <w:rFonts w:hint="eastAsia"/>
          <w:color w:val="auto"/>
        </w:rPr>
        <w:t>6.5.7.产品要求：除标配2条链条外，增配原装5条链条。</w:t>
      </w:r>
    </w:p>
    <w:p>
      <w:pPr>
        <w:rPr>
          <w:color w:val="auto"/>
        </w:rPr>
      </w:pPr>
      <w:r>
        <w:rPr>
          <w:rFonts w:hint="eastAsia"/>
          <w:color w:val="auto"/>
        </w:rPr>
        <w:t>6.5.8.配备有专用工具箱、比例油桶、护目镜、防护手套等附件。</w:t>
      </w:r>
    </w:p>
    <w:p>
      <w:pPr>
        <w:rPr>
          <w:color w:val="auto"/>
        </w:rPr>
      </w:pPr>
      <w:r>
        <w:rPr>
          <w:rFonts w:hint="eastAsia"/>
          <w:color w:val="auto"/>
        </w:rPr>
        <w:t>6.6.湿式水域救援服</w:t>
      </w:r>
    </w:p>
    <w:p>
      <w:pPr>
        <w:rPr>
          <w:color w:val="auto"/>
        </w:rPr>
      </w:pPr>
      <w:r>
        <w:rPr>
          <w:rFonts w:hint="eastAsia"/>
          <w:color w:val="auto"/>
        </w:rPr>
        <w:t>★6.6.1.上衣和中腰裤两件套救援服（按需求方要求提供连体或分体），≥3mm带有钛涂层的氯丁橡胶材质。</w:t>
      </w:r>
    </w:p>
    <w:p>
      <w:pPr>
        <w:rPr>
          <w:color w:val="auto"/>
        </w:rPr>
      </w:pPr>
      <w:r>
        <w:rPr>
          <w:rFonts w:hint="eastAsia"/>
          <w:color w:val="auto"/>
        </w:rPr>
        <w:t>6.6.2.所有的缝线处用暗针缝制，做加固压胶处理；</w:t>
      </w:r>
    </w:p>
    <w:p>
      <w:pPr>
        <w:rPr>
          <w:color w:val="auto"/>
        </w:rPr>
      </w:pPr>
      <w:r>
        <w:rPr>
          <w:rFonts w:hint="eastAsia"/>
          <w:color w:val="auto"/>
        </w:rPr>
        <w:t>★6.6.3.在膝盖和小腿、臀部处有凯夫拉材质补强设计，补强部位厚度≥5.0mm；</w:t>
      </w:r>
    </w:p>
    <w:p>
      <w:pPr>
        <w:rPr>
          <w:color w:val="auto"/>
        </w:rPr>
      </w:pPr>
      <w:r>
        <w:rPr>
          <w:rFonts w:hint="eastAsia"/>
          <w:color w:val="auto"/>
        </w:rPr>
        <w:t>6.6.4.手臂和腿部有荧光反射区；</w:t>
      </w:r>
    </w:p>
    <w:p>
      <w:pPr>
        <w:rPr>
          <w:color w:val="auto"/>
        </w:rPr>
      </w:pPr>
      <w:r>
        <w:rPr>
          <w:rFonts w:hint="eastAsia"/>
          <w:color w:val="auto"/>
        </w:rPr>
        <w:t>6.6.5.腿部两侧各设置1个口袋，封口拉链式设计。</w:t>
      </w:r>
    </w:p>
    <w:p>
      <w:pPr>
        <w:rPr>
          <w:color w:val="auto"/>
        </w:rPr>
      </w:pPr>
      <w:r>
        <w:rPr>
          <w:rFonts w:hint="eastAsia"/>
          <w:color w:val="auto"/>
        </w:rPr>
        <w:t>6.6.6.袖口和裤口侧面收紧式拉链设计。</w:t>
      </w:r>
    </w:p>
    <w:p>
      <w:pPr>
        <w:rPr>
          <w:color w:val="auto"/>
        </w:rPr>
      </w:pPr>
      <w:r>
        <w:rPr>
          <w:rFonts w:hint="eastAsia"/>
          <w:color w:val="auto"/>
        </w:rPr>
        <w:t>6.6.7.尺寸及外观：满足甲方需求。</w:t>
      </w:r>
      <w:r>
        <w:rPr>
          <w:rFonts w:hint="eastAsia"/>
          <w:color w:val="auto"/>
        </w:rPr>
        <w:br w:type="page"/>
      </w:r>
    </w:p>
    <w:p>
      <w:pPr>
        <w:ind w:firstLine="482"/>
        <w:rPr>
          <w:b/>
          <w:bCs/>
          <w:color w:val="auto"/>
          <w:sz w:val="24"/>
          <w:szCs w:val="24"/>
        </w:rPr>
      </w:pPr>
      <w:r>
        <w:rPr>
          <w:rFonts w:hint="eastAsia"/>
          <w:b/>
          <w:bCs/>
          <w:color w:val="auto"/>
          <w:sz w:val="24"/>
          <w:szCs w:val="24"/>
        </w:rPr>
        <w:t>13标包，2辆前突模块D皮卡车，预算价：48.28万元</w:t>
      </w:r>
    </w:p>
    <w:p>
      <w:pPr>
        <w:rPr>
          <w:color w:val="auto"/>
        </w:rPr>
      </w:pPr>
      <w:r>
        <w:rPr>
          <w:rFonts w:hint="eastAsia"/>
          <w:color w:val="auto"/>
        </w:rPr>
        <w:t>1.基本要求</w:t>
      </w:r>
    </w:p>
    <w:p>
      <w:pPr>
        <w:rPr>
          <w:color w:val="auto"/>
        </w:rPr>
      </w:pPr>
      <w:r>
        <w:rPr>
          <w:rFonts w:hint="eastAsia"/>
          <w:color w:val="auto"/>
        </w:rPr>
        <w:t>1.1执行标准：《消防车 第1部分：通用技术标准》（GB 7956.1-2014），应答标车辆需取得工信部公告。</w:t>
      </w:r>
    </w:p>
    <w:p>
      <w:pPr>
        <w:rPr>
          <w:color w:val="auto"/>
        </w:rPr>
      </w:pPr>
      <w:r>
        <w:rPr>
          <w:rFonts w:hint="eastAsia"/>
          <w:color w:val="auto"/>
        </w:rPr>
        <w:t>1.2额定载人数：≥5人。</w:t>
      </w:r>
    </w:p>
    <w:p>
      <w:pPr>
        <w:rPr>
          <w:color w:val="auto"/>
        </w:rPr>
      </w:pPr>
      <w:r>
        <w:rPr>
          <w:rFonts w:hint="eastAsia"/>
          <w:color w:val="auto"/>
        </w:rPr>
        <w:t>1.3最高车速：≥130Km/h。</w:t>
      </w:r>
    </w:p>
    <w:p>
      <w:pPr>
        <w:rPr>
          <w:color w:val="auto"/>
        </w:rPr>
      </w:pPr>
      <w:r>
        <w:rPr>
          <w:rFonts w:hint="eastAsia"/>
          <w:color w:val="auto"/>
        </w:rPr>
        <w:t>1.4车型：双排加长货厢高底皮卡车。</w:t>
      </w:r>
    </w:p>
    <w:p>
      <w:pPr>
        <w:rPr>
          <w:color w:val="auto"/>
        </w:rPr>
      </w:pPr>
      <w:r>
        <w:rPr>
          <w:rFonts w:hint="eastAsia"/>
          <w:color w:val="auto"/>
        </w:rPr>
        <w:t>1.5车辆资质：取得国家级检测机构出具的整车检验合格报告。</w:t>
      </w:r>
    </w:p>
    <w:p>
      <w:pPr>
        <w:rPr>
          <w:color w:val="auto"/>
        </w:rPr>
      </w:pPr>
      <w:r>
        <w:rPr>
          <w:rFonts w:hint="eastAsia"/>
          <w:color w:val="auto"/>
        </w:rPr>
        <w:t>2.底盘要求</w:t>
      </w:r>
    </w:p>
    <w:p>
      <w:pPr>
        <w:rPr>
          <w:color w:val="auto"/>
        </w:rPr>
      </w:pPr>
      <w:r>
        <w:rPr>
          <w:rFonts w:hint="eastAsia"/>
          <w:color w:val="auto"/>
        </w:rPr>
        <w:t>★2.1发动机最大功率：≥120KW。</w:t>
      </w:r>
    </w:p>
    <w:p>
      <w:pPr>
        <w:rPr>
          <w:color w:val="auto"/>
        </w:rPr>
      </w:pPr>
      <w:r>
        <w:rPr>
          <w:rFonts w:hint="eastAsia"/>
          <w:color w:val="auto"/>
        </w:rPr>
        <w:t>★2.2发动机形式：涡轮增压柴油发动机，排量≥2.0L。</w:t>
      </w:r>
    </w:p>
    <w:p>
      <w:pPr>
        <w:rPr>
          <w:color w:val="auto"/>
        </w:rPr>
      </w:pPr>
      <w:r>
        <w:rPr>
          <w:rFonts w:hint="eastAsia"/>
          <w:color w:val="auto"/>
        </w:rPr>
        <w:t>★2.3驱动模式：4×4（电控分时四驱，后桥差速锁）。</w:t>
      </w:r>
    </w:p>
    <w:p>
      <w:pPr>
        <w:rPr>
          <w:color w:val="auto"/>
        </w:rPr>
      </w:pPr>
      <w:r>
        <w:rPr>
          <w:rFonts w:hint="eastAsia"/>
          <w:color w:val="auto"/>
        </w:rPr>
        <w:t>2.4制动：前/后制动器为通风盘式，配备ABS防抱死、制动力分配、刹车辅助、牵引力控制等。</w:t>
      </w:r>
    </w:p>
    <w:p>
      <w:pPr>
        <w:rPr>
          <w:color w:val="auto"/>
        </w:rPr>
      </w:pPr>
      <w:r>
        <w:rPr>
          <w:rFonts w:hint="eastAsia"/>
          <w:color w:val="auto"/>
        </w:rPr>
        <w:t>2.5悬挂形式：前悬架为双叉臂独立悬架、后悬架为全渐变钢板弹簧非独立悬架或优于此两种形式。</w:t>
      </w:r>
    </w:p>
    <w:p>
      <w:pPr>
        <w:rPr>
          <w:color w:val="auto"/>
        </w:rPr>
      </w:pPr>
      <w:r>
        <w:rPr>
          <w:rFonts w:hint="eastAsia"/>
          <w:color w:val="auto"/>
        </w:rPr>
        <w:t>2.6排放：符合中国国家机动车现行排放标准。</w:t>
      </w:r>
    </w:p>
    <w:p>
      <w:pPr>
        <w:rPr>
          <w:color w:val="auto"/>
        </w:rPr>
      </w:pPr>
      <w:r>
        <w:rPr>
          <w:rFonts w:hint="eastAsia"/>
          <w:color w:val="auto"/>
        </w:rPr>
        <w:t>2.7车辆尺寸（长*宽*高）：≥5300mm×1800mm×1800mm。</w:t>
      </w:r>
    </w:p>
    <w:p>
      <w:pPr>
        <w:rPr>
          <w:color w:val="auto"/>
        </w:rPr>
      </w:pPr>
      <w:r>
        <w:rPr>
          <w:rFonts w:hint="eastAsia"/>
          <w:color w:val="auto"/>
        </w:rPr>
        <w:t>2.8轮胎：越野AT轮胎（含备胎）。</w:t>
      </w:r>
    </w:p>
    <w:p>
      <w:pPr>
        <w:rPr>
          <w:color w:val="auto"/>
        </w:rPr>
      </w:pPr>
      <w:r>
        <w:rPr>
          <w:rFonts w:hint="eastAsia"/>
          <w:color w:val="auto"/>
        </w:rPr>
        <w:t>2.9近远光灯：LED</w:t>
      </w:r>
    </w:p>
    <w:p>
      <w:pPr>
        <w:rPr>
          <w:color w:val="auto"/>
        </w:rPr>
      </w:pPr>
      <w:r>
        <w:rPr>
          <w:rFonts w:hint="eastAsia"/>
          <w:color w:val="auto"/>
        </w:rPr>
        <w:t>3.配置要求</w:t>
      </w:r>
    </w:p>
    <w:p>
      <w:pPr>
        <w:rPr>
          <w:color w:val="auto"/>
        </w:rPr>
      </w:pPr>
      <w:r>
        <w:rPr>
          <w:rFonts w:hint="eastAsia"/>
          <w:color w:val="auto"/>
        </w:rPr>
        <w:t>★3.1安全装备：主/副驾驶座安全气囊、胎压监测装置、安全带未系提示。</w:t>
      </w:r>
    </w:p>
    <w:p>
      <w:pPr>
        <w:rPr>
          <w:color w:val="auto"/>
        </w:rPr>
      </w:pPr>
      <w:r>
        <w:rPr>
          <w:rFonts w:hint="eastAsia"/>
          <w:color w:val="auto"/>
        </w:rPr>
        <w:t>3.2操控配置：安装360度全景影像，含前后可视行车记录仪，含倒车雷达，存储卡≥128G、高清显示屏≥9英寸、定速巡航、上坡辅助、陡坡缓降等。</w:t>
      </w:r>
    </w:p>
    <w:p>
      <w:pPr>
        <w:rPr>
          <w:color w:val="auto"/>
        </w:rPr>
      </w:pPr>
      <w:r>
        <w:rPr>
          <w:rFonts w:hint="eastAsia"/>
          <w:color w:val="auto"/>
        </w:rPr>
        <w:t>3.3内部配置：车内中控锁、遥控钥匙、织物座椅、多功能皮质方向盘、行车电脑显示屏、座椅高低调节、前后电动车窗、后视镜电动调节等，所有座位均配备安全带。</w:t>
      </w:r>
    </w:p>
    <w:p>
      <w:pPr>
        <w:rPr>
          <w:color w:val="auto"/>
        </w:rPr>
      </w:pPr>
      <w:r>
        <w:rPr>
          <w:rFonts w:hint="eastAsia"/>
          <w:color w:val="auto"/>
        </w:rPr>
        <w:t>3.4其他配置：加装副电瓶，具有前雾灯、大灯照射角度可调等功能。</w:t>
      </w:r>
    </w:p>
    <w:p>
      <w:pPr>
        <w:rPr>
          <w:color w:val="auto"/>
        </w:rPr>
      </w:pPr>
      <w:r>
        <w:rPr>
          <w:rFonts w:hint="eastAsia"/>
          <w:color w:val="auto"/>
        </w:rPr>
        <w:t>3.5保险杠：前后均为金属材质越野型。</w:t>
      </w:r>
    </w:p>
    <w:p>
      <w:pPr>
        <w:rPr>
          <w:color w:val="auto"/>
        </w:rPr>
      </w:pPr>
      <w:r>
        <w:rPr>
          <w:rFonts w:hint="eastAsia"/>
          <w:color w:val="auto"/>
        </w:rPr>
        <w:t>3.6后拖杠：出厂具备牵引资质，集成拖车方口，牵引重量≥2T。</w:t>
      </w:r>
    </w:p>
    <w:p>
      <w:pPr>
        <w:rPr>
          <w:color w:val="auto"/>
        </w:rPr>
      </w:pPr>
      <w:r>
        <w:rPr>
          <w:rFonts w:hint="eastAsia"/>
          <w:color w:val="auto"/>
        </w:rPr>
        <w:t>4.加装要求</w:t>
      </w:r>
    </w:p>
    <w:p>
      <w:pPr>
        <w:rPr>
          <w:color w:val="auto"/>
        </w:rPr>
      </w:pPr>
      <w:r>
        <w:rPr>
          <w:rFonts w:hint="eastAsia"/>
          <w:color w:val="auto"/>
        </w:rPr>
        <w:t>★4.1绞盘：车辆前方加装电动绞盘，具备快速释放功能，防水防尘等级≥IP65，配备有线绞盘控制手柄，钢绳长度≥20m，末端带吊钩，拉力≥2.8T，且不能小于车辆最大总质量。</w:t>
      </w:r>
    </w:p>
    <w:p>
      <w:pPr>
        <w:rPr>
          <w:color w:val="auto"/>
        </w:rPr>
      </w:pPr>
      <w:r>
        <w:rPr>
          <w:rFonts w:hint="eastAsia"/>
          <w:color w:val="auto"/>
        </w:rPr>
        <w:t>4.2货厢：金属材质，全封闭后开口式，高度与车顶警灯平齐，具有防水功能，后方设置上掀门，货厢内部根据需求方要求设置旋转、推拉、滑轨、抽屉等形式器材架，器材架样式需与需求方达成一致。</w:t>
      </w:r>
    </w:p>
    <w:p>
      <w:pPr>
        <w:rPr>
          <w:color w:val="auto"/>
        </w:rPr>
      </w:pPr>
      <w:r>
        <w:rPr>
          <w:rFonts w:hint="eastAsia"/>
          <w:color w:val="auto"/>
        </w:rPr>
        <w:t>4.3车顶行李架：金属材质，延伸至货厢，承重≥400KG。</w:t>
      </w:r>
    </w:p>
    <w:p>
      <w:pPr>
        <w:rPr>
          <w:color w:val="auto"/>
        </w:rPr>
      </w:pPr>
      <w:r>
        <w:rPr>
          <w:rFonts w:hint="eastAsia"/>
          <w:color w:val="auto"/>
        </w:rPr>
        <w:t>★4.4探照灯：安装于车顶前方，LED,数量≥4个，总功率≥400W，独立电源。</w:t>
      </w:r>
    </w:p>
    <w:p>
      <w:pPr>
        <w:rPr>
          <w:color w:val="auto"/>
        </w:rPr>
      </w:pPr>
      <w:r>
        <w:rPr>
          <w:rFonts w:hint="eastAsia"/>
          <w:color w:val="auto"/>
        </w:rPr>
        <w:t>4.5整车标识：按消防救援车辆外观制式涂装要求进行涂装。车辆涂装符合《国家综合性消防救援车辆外观制式涂装规范》。</w:t>
      </w:r>
    </w:p>
    <w:p>
      <w:pPr>
        <w:rPr>
          <w:color w:val="auto"/>
        </w:rPr>
      </w:pPr>
      <w:r>
        <w:rPr>
          <w:rFonts w:hint="eastAsia"/>
          <w:color w:val="auto"/>
        </w:rPr>
        <w:t>4.6警灯：符合应急管理部相关标准。</w:t>
      </w:r>
    </w:p>
    <w:p>
      <w:pPr>
        <w:rPr>
          <w:color w:val="auto"/>
        </w:rPr>
      </w:pPr>
      <w:r>
        <w:rPr>
          <w:rFonts w:hint="eastAsia"/>
          <w:color w:val="auto"/>
        </w:rPr>
        <w:t>5.其他要求：配有随车工具、备胎等常用随车器材、随车资料附说明书、车架号和底盘号拓印件、底盘保修卡、车辆配置设备说明书、车辆一致性证书1份、底盘合格证1份。</w:t>
      </w:r>
    </w:p>
    <w:p>
      <w:pPr>
        <w:rPr>
          <w:color w:val="auto"/>
        </w:rPr>
      </w:pPr>
      <w:r>
        <w:rPr>
          <w:rFonts w:hint="eastAsia"/>
          <w:color w:val="auto"/>
        </w:rPr>
        <w:t>★6.随车器材包含救生圈≥2个，移动发电机≥1台、干式水域救援服≥2件、湿式水域救援服≥3件</w:t>
      </w:r>
    </w:p>
    <w:p>
      <w:pPr>
        <w:rPr>
          <w:color w:val="auto"/>
        </w:rPr>
      </w:pPr>
      <w:r>
        <w:rPr>
          <w:rFonts w:hint="eastAsia"/>
          <w:color w:val="auto"/>
        </w:rPr>
        <w:t>6.1.移动发电机</w:t>
      </w:r>
    </w:p>
    <w:p>
      <w:pPr>
        <w:rPr>
          <w:color w:val="auto"/>
        </w:rPr>
      </w:pPr>
      <w:r>
        <w:rPr>
          <w:rFonts w:hint="eastAsia"/>
          <w:color w:val="auto"/>
        </w:rPr>
        <w:t>6.1.1.便携式发电机，体积小、重量轻，配备与发电机匹配的万向轮底座 。</w:t>
      </w:r>
    </w:p>
    <w:p>
      <w:pPr>
        <w:rPr>
          <w:color w:val="auto"/>
        </w:rPr>
      </w:pPr>
      <w:r>
        <w:rPr>
          <w:rFonts w:hint="eastAsia"/>
          <w:color w:val="auto"/>
        </w:rPr>
        <w:t>6.1.2.连续工作时间≥7 小时；</w:t>
      </w:r>
    </w:p>
    <w:p>
      <w:pPr>
        <w:rPr>
          <w:color w:val="auto"/>
        </w:rPr>
      </w:pPr>
      <w:r>
        <w:rPr>
          <w:rFonts w:hint="eastAsia"/>
          <w:color w:val="auto"/>
        </w:rPr>
        <w:t xml:space="preserve">6.1.3.启动方式：具备回弹式绳索启动和电子启动； </w:t>
      </w:r>
    </w:p>
    <w:p>
      <w:pPr>
        <w:rPr>
          <w:color w:val="auto"/>
        </w:rPr>
      </w:pPr>
      <w:r>
        <w:rPr>
          <w:rFonts w:hint="eastAsia"/>
          <w:color w:val="auto"/>
        </w:rPr>
        <w:t>★6.1.4.最大输出功率≥5.0kw， 额定功率≥2kw，额定频率：50HZ；</w:t>
      </w:r>
    </w:p>
    <w:p>
      <w:pPr>
        <w:rPr>
          <w:color w:val="auto"/>
        </w:rPr>
      </w:pPr>
      <w:r>
        <w:rPr>
          <w:rFonts w:hint="eastAsia"/>
          <w:color w:val="auto"/>
        </w:rPr>
        <w:t>6.1.5.额定电压：220V；</w:t>
      </w:r>
    </w:p>
    <w:p>
      <w:pPr>
        <w:rPr>
          <w:color w:val="auto"/>
        </w:rPr>
      </w:pPr>
      <w:r>
        <w:rPr>
          <w:rFonts w:hint="eastAsia"/>
          <w:color w:val="auto"/>
        </w:rPr>
        <w:t>6.1.6.输出电压：220V/380V；采用国内通用电源接口。</w:t>
      </w:r>
    </w:p>
    <w:p>
      <w:pPr>
        <w:rPr>
          <w:color w:val="auto"/>
        </w:rPr>
      </w:pPr>
      <w:r>
        <w:rPr>
          <w:rFonts w:hint="eastAsia"/>
          <w:color w:val="auto"/>
        </w:rPr>
        <w:t>6.1.7.燃油箱容量≥14L。</w:t>
      </w:r>
    </w:p>
    <w:p>
      <w:pPr>
        <w:rPr>
          <w:color w:val="auto"/>
        </w:rPr>
      </w:pPr>
      <w:r>
        <w:rPr>
          <w:rFonts w:hint="eastAsia"/>
          <w:color w:val="auto"/>
        </w:rPr>
        <w:t>6.1.</w:t>
      </w:r>
      <w:r>
        <w:rPr>
          <w:rFonts w:hint="eastAsia"/>
          <w:color w:val="auto"/>
          <w:lang w:val="en-US" w:eastAsia="zh-CN"/>
        </w:rPr>
        <w:t>8</w:t>
      </w:r>
      <w:r>
        <w:rPr>
          <w:rFonts w:hint="eastAsia"/>
          <w:color w:val="auto"/>
        </w:rPr>
        <w:t>.配备接地线1根，30米线盘1个。</w:t>
      </w:r>
    </w:p>
    <w:p>
      <w:pPr>
        <w:rPr>
          <w:color w:val="auto"/>
        </w:rPr>
      </w:pPr>
      <w:r>
        <w:rPr>
          <w:rFonts w:hint="eastAsia"/>
          <w:color w:val="auto"/>
        </w:rPr>
        <w:t>6.2.救生圈</w:t>
      </w:r>
    </w:p>
    <w:p>
      <w:pPr>
        <w:rPr>
          <w:color w:val="auto"/>
        </w:rPr>
      </w:pPr>
      <w:r>
        <w:rPr>
          <w:rFonts w:hint="eastAsia"/>
          <w:color w:val="auto"/>
        </w:rPr>
        <w:t>★6.2.1.符合GB/T 4302-2008《救生圈》标准、CCS船检证书等标准。需提供国家专业机构出具的报告；</w:t>
      </w:r>
    </w:p>
    <w:p>
      <w:pPr>
        <w:rPr>
          <w:color w:val="auto"/>
        </w:rPr>
      </w:pPr>
      <w:r>
        <w:rPr>
          <w:rFonts w:hint="eastAsia"/>
          <w:color w:val="auto"/>
        </w:rPr>
        <w:t>6.2.2.采用高密度聚乙烯为売体，内充高密度聚氨酯闭孔泡沫。</w:t>
      </w:r>
    </w:p>
    <w:p>
      <w:pPr>
        <w:rPr>
          <w:color w:val="auto"/>
        </w:rPr>
      </w:pPr>
      <w:r>
        <w:rPr>
          <w:rFonts w:hint="eastAsia"/>
          <w:color w:val="auto"/>
        </w:rPr>
        <w:t>★6.2.3.外径≥70cm ，内径≥40CM。</w:t>
      </w:r>
    </w:p>
    <w:p>
      <w:pPr>
        <w:rPr>
          <w:color w:val="auto"/>
        </w:rPr>
      </w:pPr>
      <w:r>
        <w:rPr>
          <w:rFonts w:hint="eastAsia"/>
          <w:color w:val="auto"/>
        </w:rPr>
        <w:t>6.2.4.救生圈外围应装有直径≥9mm、长度≥救生圈外径4倍可浮把手锁。此索应紧固在圈体周边四个等距离位置上，并形成四个等长的索环；</w:t>
      </w:r>
    </w:p>
    <w:p>
      <w:pPr>
        <w:rPr>
          <w:color w:val="auto"/>
        </w:rPr>
      </w:pPr>
      <w:r>
        <w:rPr>
          <w:rFonts w:hint="eastAsia"/>
          <w:color w:val="auto"/>
        </w:rPr>
        <w:t>6.2.5.浮力≥15KG，最大承重≥220KG；</w:t>
      </w:r>
    </w:p>
    <w:p>
      <w:pPr>
        <w:rPr>
          <w:color w:val="auto"/>
        </w:rPr>
      </w:pPr>
      <w:r>
        <w:rPr>
          <w:rFonts w:hint="eastAsia"/>
          <w:color w:val="auto"/>
        </w:rPr>
        <w:t>6.2.6.环绕贴≥50mm宽度的逆向反光带。</w:t>
      </w:r>
    </w:p>
    <w:p>
      <w:pPr>
        <w:rPr>
          <w:color w:val="auto"/>
        </w:rPr>
      </w:pPr>
      <w:r>
        <w:rPr>
          <w:rFonts w:hint="eastAsia"/>
          <w:color w:val="auto"/>
        </w:rPr>
        <w:t>6.3.干式水域救援服</w:t>
      </w:r>
    </w:p>
    <w:p>
      <w:pPr>
        <w:rPr>
          <w:color w:val="auto"/>
        </w:rPr>
      </w:pPr>
      <w:r>
        <w:rPr>
          <w:rFonts w:hint="eastAsia"/>
          <w:color w:val="auto"/>
        </w:rPr>
        <w:t>★6.3.1.总体性能符合市场准入标准要求，提供国家专业机构检测报告。</w:t>
      </w:r>
    </w:p>
    <w:p>
      <w:pPr>
        <w:rPr>
          <w:color w:val="auto"/>
        </w:rPr>
      </w:pPr>
      <w:r>
        <w:rPr>
          <w:rFonts w:hint="eastAsia"/>
          <w:color w:val="auto"/>
        </w:rPr>
        <w:t>★6.3.2.采用三层复合材质，内部高聚酯材料防水涂层，防水鞋套一体式连接。</w:t>
      </w:r>
    </w:p>
    <w:p>
      <w:pPr>
        <w:rPr>
          <w:color w:val="auto"/>
        </w:rPr>
      </w:pPr>
      <w:r>
        <w:rPr>
          <w:rFonts w:hint="eastAsia"/>
          <w:color w:val="auto"/>
        </w:rPr>
        <w:t>6.3.3.主体颜色为红色，采用高强反光荧光带。</w:t>
      </w:r>
    </w:p>
    <w:p>
      <w:pPr>
        <w:rPr>
          <w:color w:val="auto"/>
        </w:rPr>
      </w:pPr>
      <w:r>
        <w:rPr>
          <w:rFonts w:hint="eastAsia"/>
          <w:color w:val="auto"/>
        </w:rPr>
        <w:t>6.3.4.上衣肩部拉链设保护盖，胸部为斜拉链，臀、肘和膝盖以及脚踝以下均采用凯夫拉材质加强并设有缓冲层。</w:t>
      </w:r>
    </w:p>
    <w:p>
      <w:pPr>
        <w:rPr>
          <w:color w:val="auto"/>
        </w:rPr>
      </w:pPr>
      <w:r>
        <w:rPr>
          <w:rFonts w:hint="eastAsia"/>
          <w:color w:val="auto"/>
        </w:rPr>
        <w:t>6.3.5.裆部应设有拉链，且配有保护盖，大腿两侧各设置1个储物包，封口拉链式设计。</w:t>
      </w:r>
    </w:p>
    <w:p>
      <w:pPr>
        <w:rPr>
          <w:color w:val="auto"/>
        </w:rPr>
      </w:pPr>
      <w:r>
        <w:rPr>
          <w:rFonts w:hint="eastAsia"/>
          <w:color w:val="auto"/>
        </w:rPr>
        <w:t>6.3.6.腰部有收紧设计。</w:t>
      </w:r>
    </w:p>
    <w:p>
      <w:pPr>
        <w:rPr>
          <w:color w:val="auto"/>
        </w:rPr>
      </w:pPr>
      <w:r>
        <w:rPr>
          <w:rFonts w:hint="eastAsia"/>
          <w:color w:val="auto"/>
        </w:rPr>
        <w:t>6.3.7.袖、领硅胶材质，收紧设计。</w:t>
      </w:r>
    </w:p>
    <w:p>
      <w:pPr>
        <w:rPr>
          <w:color w:val="auto"/>
        </w:rPr>
      </w:pPr>
      <w:r>
        <w:rPr>
          <w:rFonts w:hint="eastAsia"/>
          <w:color w:val="auto"/>
        </w:rPr>
        <w:t>6.3.8.干式服面料洗涤 5 次后，沾水等级≥ 4 级。</w:t>
      </w:r>
    </w:p>
    <w:p>
      <w:pPr>
        <w:rPr>
          <w:color w:val="auto"/>
        </w:rPr>
      </w:pPr>
      <w:r>
        <w:rPr>
          <w:rFonts w:hint="eastAsia"/>
          <w:color w:val="auto"/>
        </w:rPr>
        <w:t>★6.3.9.干式水域救援服面料的透湿率≥5000 g/（m2*24 h）。</w:t>
      </w:r>
    </w:p>
    <w:p>
      <w:pPr>
        <w:rPr>
          <w:color w:val="auto"/>
        </w:rPr>
      </w:pPr>
      <w:r>
        <w:rPr>
          <w:rFonts w:hint="eastAsia"/>
          <w:color w:val="auto"/>
        </w:rPr>
        <w:t>6.3.10.干式服所有结构上的连接部位应具备水密性，人员身着救援服在静水中漂浮1h后进水量≤0.2 kg。</w:t>
      </w:r>
    </w:p>
    <w:p>
      <w:pPr>
        <w:rPr>
          <w:color w:val="auto"/>
        </w:rPr>
      </w:pPr>
      <w:r>
        <w:rPr>
          <w:rFonts w:hint="eastAsia"/>
          <w:color w:val="auto"/>
        </w:rPr>
        <w:t>6.3.11.穿着救援服的受试者经保温性能试验1h后，体温下降≤2℃。</w:t>
      </w:r>
    </w:p>
    <w:p>
      <w:pPr>
        <w:rPr>
          <w:color w:val="auto"/>
        </w:rPr>
      </w:pPr>
      <w:r>
        <w:rPr>
          <w:rFonts w:hint="eastAsia"/>
          <w:color w:val="auto"/>
        </w:rPr>
        <w:t>6.3.12.尺寸及外观：满足甲方需求。</w:t>
      </w:r>
    </w:p>
    <w:p>
      <w:pPr>
        <w:rPr>
          <w:color w:val="auto"/>
        </w:rPr>
      </w:pPr>
      <w:r>
        <w:rPr>
          <w:rFonts w:hint="eastAsia"/>
          <w:color w:val="auto"/>
        </w:rPr>
        <w:t>6.3.13.配备保暖服1套。</w:t>
      </w:r>
    </w:p>
    <w:p>
      <w:pPr>
        <w:rPr>
          <w:color w:val="auto"/>
        </w:rPr>
      </w:pPr>
      <w:r>
        <w:rPr>
          <w:rFonts w:hint="eastAsia"/>
          <w:color w:val="auto"/>
        </w:rPr>
        <w:t>6.4.湿式水域救援服</w:t>
      </w:r>
    </w:p>
    <w:p>
      <w:pPr>
        <w:rPr>
          <w:color w:val="auto"/>
        </w:rPr>
      </w:pPr>
      <w:r>
        <w:rPr>
          <w:rFonts w:hint="eastAsia"/>
          <w:color w:val="auto"/>
        </w:rPr>
        <w:t>★6.4.1.上衣和中腰裤两件套救援服（按需求方要求提供连体或分体），≥3mm带有钛涂层的氯丁橡胶材质。</w:t>
      </w:r>
    </w:p>
    <w:p>
      <w:pPr>
        <w:rPr>
          <w:color w:val="auto"/>
        </w:rPr>
      </w:pPr>
      <w:r>
        <w:rPr>
          <w:rFonts w:hint="eastAsia"/>
          <w:color w:val="auto"/>
        </w:rPr>
        <w:t>6.4.2.所有的缝线处用暗针缝制，做加固压胶处理；</w:t>
      </w:r>
    </w:p>
    <w:p>
      <w:pPr>
        <w:rPr>
          <w:color w:val="auto"/>
        </w:rPr>
      </w:pPr>
      <w:r>
        <w:rPr>
          <w:rFonts w:hint="eastAsia"/>
          <w:color w:val="auto"/>
        </w:rPr>
        <w:t>★6.4.3.在膝盖和小腿、臀部处有凯夫拉材质补强设计，补强部位厚度≥5.0mm；</w:t>
      </w:r>
    </w:p>
    <w:p>
      <w:pPr>
        <w:rPr>
          <w:color w:val="auto"/>
        </w:rPr>
      </w:pPr>
      <w:r>
        <w:rPr>
          <w:rFonts w:hint="eastAsia"/>
          <w:color w:val="auto"/>
        </w:rPr>
        <w:t>6.4.4.手臂和腿部有荧光反射区；</w:t>
      </w:r>
    </w:p>
    <w:p>
      <w:pPr>
        <w:rPr>
          <w:color w:val="auto"/>
        </w:rPr>
      </w:pPr>
      <w:r>
        <w:rPr>
          <w:rFonts w:hint="eastAsia"/>
          <w:color w:val="auto"/>
        </w:rPr>
        <w:t>6.4.5.腿部两侧各设置1个口袋，封口拉链式设计。</w:t>
      </w:r>
    </w:p>
    <w:p>
      <w:pPr>
        <w:rPr>
          <w:color w:val="auto"/>
        </w:rPr>
      </w:pPr>
      <w:r>
        <w:rPr>
          <w:rFonts w:hint="eastAsia"/>
          <w:color w:val="auto"/>
        </w:rPr>
        <w:t>6.4.6.袖口和裤口侧面收紧式拉链设计。</w:t>
      </w:r>
    </w:p>
    <w:p>
      <w:pPr>
        <w:rPr>
          <w:color w:val="auto"/>
        </w:rPr>
      </w:pPr>
      <w:r>
        <w:rPr>
          <w:rFonts w:hint="eastAsia"/>
          <w:color w:val="auto"/>
        </w:rPr>
        <w:t>6.4.7.尺寸及外观：满足甲方需求。</w:t>
      </w:r>
      <w:r>
        <w:rPr>
          <w:rFonts w:hint="eastAsia"/>
          <w:color w:val="auto"/>
        </w:rPr>
        <w:br w:type="page"/>
      </w:r>
    </w:p>
    <w:p>
      <w:pPr>
        <w:ind w:firstLine="482"/>
        <w:rPr>
          <w:b/>
          <w:bCs/>
          <w:color w:val="auto"/>
          <w:sz w:val="24"/>
          <w:szCs w:val="24"/>
        </w:rPr>
      </w:pPr>
      <w:r>
        <w:rPr>
          <w:rFonts w:hint="eastAsia"/>
          <w:b/>
          <w:bCs/>
          <w:color w:val="auto"/>
          <w:sz w:val="24"/>
          <w:szCs w:val="24"/>
        </w:rPr>
        <w:t>14标包，3辆前突模块E皮卡车，预算价：76.62万元</w:t>
      </w:r>
    </w:p>
    <w:p>
      <w:pPr>
        <w:rPr>
          <w:color w:val="auto"/>
        </w:rPr>
      </w:pPr>
      <w:r>
        <w:rPr>
          <w:rFonts w:hint="eastAsia"/>
          <w:color w:val="auto"/>
        </w:rPr>
        <w:t>1.基本要求</w:t>
      </w:r>
    </w:p>
    <w:p>
      <w:pPr>
        <w:rPr>
          <w:color w:val="auto"/>
        </w:rPr>
      </w:pPr>
      <w:r>
        <w:rPr>
          <w:rFonts w:hint="eastAsia"/>
          <w:color w:val="auto"/>
        </w:rPr>
        <w:t>1.1执行标准：《消防车 第1部分：通用技术标准》（GB 7956.1-2014），应答标车辆需取得工信部公告。</w:t>
      </w:r>
    </w:p>
    <w:p>
      <w:pPr>
        <w:rPr>
          <w:color w:val="auto"/>
        </w:rPr>
      </w:pPr>
      <w:r>
        <w:rPr>
          <w:rFonts w:hint="eastAsia"/>
          <w:color w:val="auto"/>
        </w:rPr>
        <w:t>1.2额定载人数：≥5人。</w:t>
      </w:r>
    </w:p>
    <w:p>
      <w:pPr>
        <w:rPr>
          <w:color w:val="auto"/>
        </w:rPr>
      </w:pPr>
      <w:r>
        <w:rPr>
          <w:rFonts w:hint="eastAsia"/>
          <w:color w:val="auto"/>
        </w:rPr>
        <w:t>1.3最高车速：≥130Km/h。</w:t>
      </w:r>
    </w:p>
    <w:p>
      <w:pPr>
        <w:rPr>
          <w:color w:val="auto"/>
        </w:rPr>
      </w:pPr>
      <w:r>
        <w:rPr>
          <w:rFonts w:hint="eastAsia"/>
          <w:color w:val="auto"/>
        </w:rPr>
        <w:t>1.4车型：双排加长货厢高底皮卡车。</w:t>
      </w:r>
    </w:p>
    <w:p>
      <w:pPr>
        <w:rPr>
          <w:color w:val="auto"/>
        </w:rPr>
      </w:pPr>
      <w:r>
        <w:rPr>
          <w:rFonts w:hint="eastAsia"/>
          <w:color w:val="auto"/>
        </w:rPr>
        <w:t>1.5车辆资质：取得国家级检测机构出具的整车检验合格报告。</w:t>
      </w:r>
    </w:p>
    <w:p>
      <w:pPr>
        <w:rPr>
          <w:color w:val="auto"/>
        </w:rPr>
      </w:pPr>
      <w:r>
        <w:rPr>
          <w:rFonts w:hint="eastAsia"/>
          <w:color w:val="auto"/>
        </w:rPr>
        <w:t>2.底盘要求</w:t>
      </w:r>
    </w:p>
    <w:p>
      <w:pPr>
        <w:rPr>
          <w:color w:val="auto"/>
        </w:rPr>
      </w:pPr>
      <w:r>
        <w:rPr>
          <w:rFonts w:hint="eastAsia"/>
          <w:color w:val="auto"/>
        </w:rPr>
        <w:t>★2.1发动机最大功率：≥120KW。</w:t>
      </w:r>
    </w:p>
    <w:p>
      <w:pPr>
        <w:rPr>
          <w:color w:val="auto"/>
        </w:rPr>
      </w:pPr>
      <w:r>
        <w:rPr>
          <w:rFonts w:hint="eastAsia"/>
          <w:color w:val="auto"/>
        </w:rPr>
        <w:t>★2.2发动机形式：涡轮增压柴油发动机，排量≥2.0L。</w:t>
      </w:r>
    </w:p>
    <w:p>
      <w:pPr>
        <w:rPr>
          <w:color w:val="auto"/>
        </w:rPr>
      </w:pPr>
      <w:r>
        <w:rPr>
          <w:rFonts w:hint="eastAsia"/>
          <w:color w:val="auto"/>
        </w:rPr>
        <w:t>★2.3驱动模式：4×4（电控分时四驱，后桥差速锁）。</w:t>
      </w:r>
    </w:p>
    <w:p>
      <w:pPr>
        <w:rPr>
          <w:color w:val="auto"/>
        </w:rPr>
      </w:pPr>
      <w:r>
        <w:rPr>
          <w:rFonts w:hint="eastAsia"/>
          <w:color w:val="auto"/>
        </w:rPr>
        <w:t>2.4制动：前/后制动器为通风盘式，配备ABS防抱死、制动力分配、刹车辅助、牵引力控制等。</w:t>
      </w:r>
    </w:p>
    <w:p>
      <w:pPr>
        <w:rPr>
          <w:color w:val="auto"/>
        </w:rPr>
      </w:pPr>
      <w:r>
        <w:rPr>
          <w:rFonts w:hint="eastAsia"/>
          <w:color w:val="auto"/>
        </w:rPr>
        <w:t>2.5悬挂形式：前悬架为双叉臂独立悬架、后悬架为全渐变钢板弹簧非独立悬架或优于此两种形式。</w:t>
      </w:r>
    </w:p>
    <w:p>
      <w:pPr>
        <w:rPr>
          <w:color w:val="auto"/>
        </w:rPr>
      </w:pPr>
      <w:r>
        <w:rPr>
          <w:rFonts w:hint="eastAsia"/>
          <w:color w:val="auto"/>
        </w:rPr>
        <w:t>2.6排放：符合中国国家机动车现行排放标准。</w:t>
      </w:r>
    </w:p>
    <w:p>
      <w:pPr>
        <w:rPr>
          <w:color w:val="auto"/>
        </w:rPr>
      </w:pPr>
      <w:r>
        <w:rPr>
          <w:rFonts w:hint="eastAsia"/>
          <w:color w:val="auto"/>
        </w:rPr>
        <w:t>2.7车辆尺寸（长*宽*高）：≥5300mm×1800mm×1800mm。</w:t>
      </w:r>
    </w:p>
    <w:p>
      <w:pPr>
        <w:rPr>
          <w:color w:val="auto"/>
        </w:rPr>
      </w:pPr>
      <w:r>
        <w:rPr>
          <w:rFonts w:hint="eastAsia"/>
          <w:color w:val="auto"/>
        </w:rPr>
        <w:t>2.8轮胎：越野AT轮胎（含备胎）。</w:t>
      </w:r>
    </w:p>
    <w:p>
      <w:pPr>
        <w:rPr>
          <w:color w:val="auto"/>
        </w:rPr>
      </w:pPr>
      <w:r>
        <w:rPr>
          <w:rFonts w:hint="eastAsia"/>
          <w:color w:val="auto"/>
        </w:rPr>
        <w:t>2.9近远光灯：LED</w:t>
      </w:r>
    </w:p>
    <w:p>
      <w:pPr>
        <w:rPr>
          <w:color w:val="auto"/>
        </w:rPr>
      </w:pPr>
      <w:r>
        <w:rPr>
          <w:rFonts w:hint="eastAsia"/>
          <w:color w:val="auto"/>
        </w:rPr>
        <w:t>3.配置要求</w:t>
      </w:r>
    </w:p>
    <w:p>
      <w:pPr>
        <w:rPr>
          <w:color w:val="auto"/>
        </w:rPr>
      </w:pPr>
      <w:r>
        <w:rPr>
          <w:rFonts w:hint="eastAsia"/>
          <w:color w:val="auto"/>
        </w:rPr>
        <w:t>★3.1安全装备：主/副驾驶座安全气囊、胎压监测装置、安全带未系提示。</w:t>
      </w:r>
    </w:p>
    <w:p>
      <w:pPr>
        <w:rPr>
          <w:color w:val="auto"/>
        </w:rPr>
      </w:pPr>
      <w:r>
        <w:rPr>
          <w:rFonts w:hint="eastAsia"/>
          <w:color w:val="auto"/>
        </w:rPr>
        <w:t>3.2操控配置：安装360度全景影像，含前后可视行车记录仪，含倒车雷达，存储卡≥128G、高清显示屏≥9英寸、定速巡航、上坡辅助、陡坡缓降等。</w:t>
      </w:r>
    </w:p>
    <w:p>
      <w:pPr>
        <w:rPr>
          <w:color w:val="auto"/>
        </w:rPr>
      </w:pPr>
      <w:r>
        <w:rPr>
          <w:rFonts w:hint="eastAsia"/>
          <w:color w:val="auto"/>
        </w:rPr>
        <w:t>3.3内部配置：车内中控锁、遥控钥匙、织物座椅、多功能皮质方向盘、行车电脑显示屏、座椅高低调节、前后电动车窗、后视镜电动调节等，所有座位均配备安全带。</w:t>
      </w:r>
    </w:p>
    <w:p>
      <w:pPr>
        <w:rPr>
          <w:color w:val="auto"/>
        </w:rPr>
      </w:pPr>
      <w:r>
        <w:rPr>
          <w:rFonts w:hint="eastAsia"/>
          <w:color w:val="auto"/>
        </w:rPr>
        <w:t>3.4其他配置：加装副电瓶，具有前雾灯、大灯照射角度可调等功能。</w:t>
      </w:r>
    </w:p>
    <w:p>
      <w:pPr>
        <w:rPr>
          <w:color w:val="auto"/>
        </w:rPr>
      </w:pPr>
      <w:r>
        <w:rPr>
          <w:rFonts w:hint="eastAsia"/>
          <w:color w:val="auto"/>
        </w:rPr>
        <w:t>3.5保险杠：前后均为金属材质越野型。</w:t>
      </w:r>
    </w:p>
    <w:p>
      <w:pPr>
        <w:rPr>
          <w:color w:val="auto"/>
        </w:rPr>
      </w:pPr>
      <w:r>
        <w:rPr>
          <w:rFonts w:hint="eastAsia"/>
          <w:color w:val="auto"/>
        </w:rPr>
        <w:t>3.6后拖杠：出厂具备牵引资质，集成拖车方口，牵引重量≥2T。</w:t>
      </w:r>
    </w:p>
    <w:p>
      <w:pPr>
        <w:rPr>
          <w:color w:val="auto"/>
        </w:rPr>
      </w:pPr>
      <w:r>
        <w:rPr>
          <w:rFonts w:hint="eastAsia"/>
          <w:color w:val="auto"/>
        </w:rPr>
        <w:t>4.加装要求</w:t>
      </w:r>
    </w:p>
    <w:p>
      <w:pPr>
        <w:rPr>
          <w:color w:val="auto"/>
        </w:rPr>
      </w:pPr>
      <w:r>
        <w:rPr>
          <w:rFonts w:hint="eastAsia"/>
          <w:color w:val="auto"/>
        </w:rPr>
        <w:t>★4.1绞盘：车辆前方加装电动绞盘，具备快速释放功能，防水防尘等级≥IP65，配备有线绞盘控制手柄，钢绳长度≥20m，末端带吊钩，拉力≥2.8T，且不能小于车辆最大总质量。</w:t>
      </w:r>
    </w:p>
    <w:p>
      <w:pPr>
        <w:rPr>
          <w:color w:val="auto"/>
        </w:rPr>
      </w:pPr>
      <w:r>
        <w:rPr>
          <w:rFonts w:hint="eastAsia"/>
          <w:color w:val="auto"/>
        </w:rPr>
        <w:t>4.2货厢：金属材质，全封闭后开口式，高度与车顶警灯平齐，具有防水功能，后方设置上掀门，货厢内部根据需求方要求设置旋转、推拉、滑轨、抽屉等形式器材架，器材架样式需与需求方达成一致。</w:t>
      </w:r>
    </w:p>
    <w:p>
      <w:pPr>
        <w:rPr>
          <w:color w:val="auto"/>
        </w:rPr>
      </w:pPr>
      <w:r>
        <w:rPr>
          <w:rFonts w:hint="eastAsia"/>
          <w:color w:val="auto"/>
        </w:rPr>
        <w:t>4.3车顶行李架：金属材质，延伸至货厢，承重≥400KG。</w:t>
      </w:r>
    </w:p>
    <w:p>
      <w:pPr>
        <w:rPr>
          <w:color w:val="auto"/>
        </w:rPr>
      </w:pPr>
      <w:r>
        <w:rPr>
          <w:rFonts w:hint="eastAsia"/>
          <w:color w:val="auto"/>
        </w:rPr>
        <w:t>★4.4探照灯：安装于车顶前方，LED,数量≥4个，总功率≥400W，独立电源。</w:t>
      </w:r>
    </w:p>
    <w:p>
      <w:pPr>
        <w:rPr>
          <w:color w:val="auto"/>
        </w:rPr>
      </w:pPr>
      <w:r>
        <w:rPr>
          <w:rFonts w:hint="eastAsia"/>
          <w:color w:val="auto"/>
        </w:rPr>
        <w:t>4.5整车标识：按消防救援车辆外观制式涂装要求进行涂装。车辆涂装符合《国家综合性消防救援车辆外观制式涂装规范》。</w:t>
      </w:r>
    </w:p>
    <w:p>
      <w:pPr>
        <w:rPr>
          <w:color w:val="auto"/>
        </w:rPr>
      </w:pPr>
      <w:r>
        <w:rPr>
          <w:rFonts w:hint="eastAsia"/>
          <w:color w:val="auto"/>
        </w:rPr>
        <w:t>4.6警灯：符合应急管理部相关标准。</w:t>
      </w:r>
    </w:p>
    <w:p>
      <w:pPr>
        <w:rPr>
          <w:color w:val="auto"/>
        </w:rPr>
      </w:pPr>
      <w:r>
        <w:rPr>
          <w:rFonts w:hint="eastAsia"/>
          <w:color w:val="auto"/>
        </w:rPr>
        <w:t>5.其他要求：配有随车工具、备胎等常用随车器材、随车资料附说明书、车架号和底盘号拓印件、底盘保修卡、车辆配置设备说明书、车辆一致性证书1份、底盘合格证1份。</w:t>
      </w:r>
    </w:p>
    <w:p>
      <w:pPr>
        <w:rPr>
          <w:color w:val="auto"/>
        </w:rPr>
      </w:pPr>
      <w:r>
        <w:rPr>
          <w:rFonts w:hint="eastAsia"/>
          <w:color w:val="auto"/>
        </w:rPr>
        <w:t>★6.随车器材包含激流救生衣套装≥6件、救生圈≥2个，移动发电机≥1台、手提式强光照明灯≥5个、机动链锯≥1台、湿式水域救援服≥5件。</w:t>
      </w:r>
    </w:p>
    <w:p>
      <w:pPr>
        <w:rPr>
          <w:color w:val="auto"/>
        </w:rPr>
      </w:pPr>
      <w:r>
        <w:rPr>
          <w:rFonts w:hint="eastAsia"/>
          <w:color w:val="auto"/>
        </w:rPr>
        <w:t>6.1.激流救生衣套装</w:t>
      </w:r>
    </w:p>
    <w:p>
      <w:pPr>
        <w:rPr>
          <w:color w:val="auto"/>
        </w:rPr>
      </w:pPr>
      <w:r>
        <w:rPr>
          <w:rFonts w:hint="eastAsia"/>
          <w:color w:val="auto"/>
        </w:rPr>
        <w:t>★6.1.1材质：采用或优于尼龙布，不吸水，保温性能强；</w:t>
      </w:r>
    </w:p>
    <w:p>
      <w:pPr>
        <w:rPr>
          <w:color w:val="auto"/>
        </w:rPr>
      </w:pPr>
      <w:r>
        <w:rPr>
          <w:rFonts w:hint="eastAsia"/>
          <w:color w:val="auto"/>
        </w:rPr>
        <w:t>★6.1.1.2救生衣固有浮力为 ≥150N，≤ 180N，救生衣在淡水中浸泡 24h 后，其浮力损失≤ 2%；</w:t>
      </w:r>
    </w:p>
    <w:p>
      <w:pPr>
        <w:rPr>
          <w:color w:val="auto"/>
        </w:rPr>
      </w:pPr>
      <w:r>
        <w:rPr>
          <w:rFonts w:hint="eastAsia"/>
          <w:color w:val="auto"/>
        </w:rPr>
        <w:t>★6.1.1.3快脱带在系紧状态下能承受≤2500N 的拉力而不发生误开启；</w:t>
      </w:r>
    </w:p>
    <w:p>
      <w:pPr>
        <w:rPr>
          <w:color w:val="auto"/>
        </w:rPr>
      </w:pPr>
      <w:r>
        <w:rPr>
          <w:rFonts w:hint="eastAsia"/>
          <w:color w:val="auto"/>
        </w:rPr>
        <w:t>6.1.1.4人员穿着救生衣以任意方式下水，救生衣能在≤5s 内使人体处于直立姿态。</w:t>
      </w:r>
    </w:p>
    <w:p>
      <w:pPr>
        <w:rPr>
          <w:color w:val="auto"/>
        </w:rPr>
      </w:pPr>
      <w:r>
        <w:rPr>
          <w:rFonts w:hint="eastAsia"/>
          <w:color w:val="auto"/>
        </w:rPr>
        <w:t>★6.1.1.5救生衣衣身能承受≥3200N 的作用力 30min 而不损坏；</w:t>
      </w:r>
    </w:p>
    <w:p>
      <w:pPr>
        <w:rPr>
          <w:color w:val="auto"/>
        </w:rPr>
      </w:pPr>
      <w:r>
        <w:rPr>
          <w:rFonts w:hint="eastAsia"/>
          <w:color w:val="auto"/>
        </w:rPr>
        <w:t>6.1.1.6颜色：红色；</w:t>
      </w:r>
    </w:p>
    <w:p>
      <w:pPr>
        <w:rPr>
          <w:color w:val="auto"/>
        </w:rPr>
      </w:pPr>
      <w:r>
        <w:rPr>
          <w:rFonts w:hint="eastAsia"/>
          <w:color w:val="auto"/>
        </w:rPr>
        <w:t>6.1.1.7救生衣重量≤3kg；</w:t>
      </w:r>
    </w:p>
    <w:p>
      <w:pPr>
        <w:rPr>
          <w:color w:val="auto"/>
        </w:rPr>
      </w:pPr>
      <w:r>
        <w:rPr>
          <w:rFonts w:hint="eastAsia"/>
          <w:color w:val="auto"/>
        </w:rPr>
        <w:t>6.1.1.8浮力马甲胸襟使用双插扣及拉链加强。</w:t>
      </w:r>
    </w:p>
    <w:p>
      <w:pPr>
        <w:rPr>
          <w:color w:val="auto"/>
        </w:rPr>
      </w:pPr>
      <w:r>
        <w:rPr>
          <w:rFonts w:hint="eastAsia"/>
          <w:color w:val="auto"/>
        </w:rPr>
        <w:t>★6.1.1.9浮力马甲≥4 点调节，浮力马甲前后≥10 个救援战术拓展外挂点（≥6 个 D 型挂点、≥4 个织带挂点），挂载口哨、荧光棒、定位灯等多种配件、预留手台挂载配件；</w:t>
      </w:r>
    </w:p>
    <w:p>
      <w:pPr>
        <w:rPr>
          <w:color w:val="auto"/>
        </w:rPr>
      </w:pPr>
      <w:r>
        <w:rPr>
          <w:rFonts w:hint="eastAsia"/>
          <w:color w:val="auto"/>
        </w:rPr>
        <w:t>6.1.1.10救生衣背面应设置松紧带式荧光棒插槽，领后应配有轻型可拖拽把手；救生衣胸前设计魔术贴，可贴队标、姓名贴；胸襟两侧及背后应有≥5 条标准反光带，便于夜间救援；</w:t>
      </w:r>
    </w:p>
    <w:p>
      <w:pPr>
        <w:rPr>
          <w:color w:val="auto"/>
        </w:rPr>
      </w:pPr>
      <w:r>
        <w:rPr>
          <w:rFonts w:hint="eastAsia"/>
          <w:color w:val="auto"/>
        </w:rPr>
        <w:t>6.1.1.11自带逃离装置：环绕胸部的快速释放救生带附带不锈钢O 型环；</w:t>
      </w:r>
    </w:p>
    <w:p>
      <w:pPr>
        <w:rPr>
          <w:color w:val="auto"/>
        </w:rPr>
      </w:pPr>
      <w:r>
        <w:rPr>
          <w:rFonts w:hint="eastAsia"/>
          <w:color w:val="auto"/>
        </w:rPr>
        <w:t>6.1.1.12前端设置两个耐磨材料排水口袋；</w:t>
      </w:r>
    </w:p>
    <w:p>
      <w:pPr>
        <w:rPr>
          <w:color w:val="auto"/>
        </w:rPr>
      </w:pPr>
      <w:r>
        <w:rPr>
          <w:rFonts w:hint="eastAsia"/>
          <w:color w:val="auto"/>
        </w:rPr>
        <w:t>6.1.1.13环绕腰部的抛绳包应配有快速释放带，可挂载专用抛绳包；</w:t>
      </w:r>
    </w:p>
    <w:p>
      <w:pPr>
        <w:rPr>
          <w:color w:val="auto"/>
        </w:rPr>
      </w:pPr>
      <w:r>
        <w:rPr>
          <w:rFonts w:hint="eastAsia"/>
          <w:color w:val="auto"/>
        </w:rPr>
        <w:t>★6.1.1.14救生衣配件：牛尾绳：缝合终端，静态长度≥70cm，伸展后≥100 cm。</w:t>
      </w:r>
    </w:p>
    <w:p>
      <w:pPr>
        <w:rPr>
          <w:color w:val="auto"/>
        </w:rPr>
      </w:pPr>
      <w:r>
        <w:rPr>
          <w:rFonts w:hint="eastAsia"/>
          <w:color w:val="auto"/>
        </w:rPr>
        <w:t>6.1.1.15配备高音哨、频闪灯、可调节裆带。</w:t>
      </w:r>
    </w:p>
    <w:p>
      <w:pPr>
        <w:rPr>
          <w:color w:val="auto"/>
        </w:rPr>
      </w:pPr>
      <w:r>
        <w:rPr>
          <w:rFonts w:hint="eastAsia"/>
          <w:color w:val="auto"/>
        </w:rPr>
        <w:t>6.1.1.16供货时尺码需与需求方达成一致。</w:t>
      </w:r>
    </w:p>
    <w:p>
      <w:pPr>
        <w:rPr>
          <w:color w:val="auto"/>
        </w:rPr>
      </w:pPr>
      <w:r>
        <w:rPr>
          <w:rFonts w:hint="eastAsia"/>
          <w:color w:val="auto"/>
        </w:rPr>
        <w:t>6.1.2.抛绳包</w:t>
      </w:r>
    </w:p>
    <w:p>
      <w:pPr>
        <w:rPr>
          <w:color w:val="auto"/>
        </w:rPr>
      </w:pPr>
      <w:r>
        <w:rPr>
          <w:rFonts w:hint="eastAsia"/>
          <w:color w:val="auto"/>
        </w:rPr>
        <w:t>6.1.2.1绳包为腰包式设计，表面带有网布，显著位置标有内置绳索长度，腰包两侧具备快速释放功能。</w:t>
      </w:r>
    </w:p>
    <w:p>
      <w:pPr>
        <w:rPr>
          <w:color w:val="auto"/>
        </w:rPr>
      </w:pPr>
      <w:r>
        <w:rPr>
          <w:rFonts w:hint="eastAsia"/>
          <w:color w:val="auto"/>
        </w:rPr>
        <w:t>★6.1.2.2包内绳索长度≥20m、直径7 mm~9.5 mm。</w:t>
      </w:r>
    </w:p>
    <w:p>
      <w:pPr>
        <w:rPr>
          <w:color w:val="auto"/>
        </w:rPr>
      </w:pPr>
      <w:r>
        <w:rPr>
          <w:rFonts w:hint="eastAsia"/>
          <w:color w:val="auto"/>
        </w:rPr>
        <w:t>6.1.2.3包内绳索破断强度≥13kn，漂浮时间≥48 h。</w:t>
      </w:r>
    </w:p>
    <w:p>
      <w:pPr>
        <w:rPr>
          <w:color w:val="auto"/>
        </w:rPr>
      </w:pPr>
      <w:r>
        <w:rPr>
          <w:rFonts w:hint="eastAsia"/>
          <w:color w:val="auto"/>
        </w:rPr>
        <w:t>6.1.2.4绳索应为包芯绳结构，主承重部分应由连续纤维制成。</w:t>
      </w:r>
    </w:p>
    <w:p>
      <w:pPr>
        <w:rPr>
          <w:color w:val="auto"/>
        </w:rPr>
      </w:pPr>
      <w:r>
        <w:rPr>
          <w:rFonts w:hint="eastAsia"/>
          <w:color w:val="auto"/>
        </w:rPr>
        <w:t>6.1.2.5绳包应设有反光标志带，增加夜间可视性。</w:t>
      </w:r>
    </w:p>
    <w:p>
      <w:pPr>
        <w:rPr>
          <w:color w:val="auto"/>
        </w:rPr>
      </w:pPr>
      <w:r>
        <w:rPr>
          <w:rFonts w:hint="eastAsia"/>
          <w:color w:val="auto"/>
        </w:rPr>
        <w:t>6.1.3.割绳刀</w:t>
      </w:r>
    </w:p>
    <w:p>
      <w:pPr>
        <w:rPr>
          <w:color w:val="auto"/>
        </w:rPr>
      </w:pPr>
      <w:r>
        <w:rPr>
          <w:rFonts w:hint="eastAsia"/>
          <w:color w:val="auto"/>
        </w:rPr>
        <w:t>6.1.3.1刀片为钛合金材质（不会氧化生锈）；</w:t>
      </w:r>
    </w:p>
    <w:p>
      <w:pPr>
        <w:rPr>
          <w:color w:val="auto"/>
        </w:rPr>
      </w:pPr>
      <w:r>
        <w:rPr>
          <w:rFonts w:hint="eastAsia"/>
          <w:color w:val="auto"/>
        </w:rPr>
        <w:t>6.1.3.2带有平刃和齿刃，还有一个绳索切割钩；</w:t>
      </w:r>
    </w:p>
    <w:p>
      <w:pPr>
        <w:rPr>
          <w:color w:val="auto"/>
        </w:rPr>
      </w:pPr>
      <w:r>
        <w:rPr>
          <w:rFonts w:hint="eastAsia"/>
          <w:color w:val="auto"/>
        </w:rPr>
        <w:t>6.1.3.3采用平头设计。</w:t>
      </w:r>
    </w:p>
    <w:p>
      <w:pPr>
        <w:rPr>
          <w:color w:val="auto"/>
        </w:rPr>
      </w:pPr>
      <w:r>
        <w:rPr>
          <w:rFonts w:hint="eastAsia"/>
          <w:color w:val="auto"/>
        </w:rPr>
        <w:t>6.1.3.4 波浪形手柄，尾部设置防丢绳；</w:t>
      </w:r>
    </w:p>
    <w:p>
      <w:pPr>
        <w:rPr>
          <w:color w:val="auto"/>
        </w:rPr>
      </w:pPr>
      <w:r>
        <w:rPr>
          <w:rFonts w:hint="eastAsia"/>
          <w:color w:val="auto"/>
        </w:rPr>
        <w:t>6.1.3.5刀鞘的卡子可以固定在PFD上面；</w:t>
      </w:r>
    </w:p>
    <w:p>
      <w:pPr>
        <w:rPr>
          <w:color w:val="auto"/>
        </w:rPr>
      </w:pPr>
      <w:r>
        <w:rPr>
          <w:rFonts w:hint="eastAsia"/>
          <w:color w:val="auto"/>
        </w:rPr>
        <w:t>6.1.3.6刀柄为透明材质，且刀柄内填充了蓄光发光材料，即使在黑暗的情况下也可以有效的看清；</w:t>
      </w:r>
    </w:p>
    <w:p>
      <w:pPr>
        <w:rPr>
          <w:color w:val="auto"/>
        </w:rPr>
      </w:pPr>
      <w:r>
        <w:rPr>
          <w:rFonts w:hint="eastAsia"/>
          <w:color w:val="auto"/>
        </w:rPr>
        <w:t>★6.1.3.7刀长≤190mm，硬度≥51HRC；</w:t>
      </w:r>
    </w:p>
    <w:p>
      <w:pPr>
        <w:rPr>
          <w:color w:val="auto"/>
        </w:rPr>
      </w:pPr>
      <w:r>
        <w:rPr>
          <w:rFonts w:hint="eastAsia"/>
          <w:color w:val="auto"/>
        </w:rPr>
        <w:t>★6.1.3.8切割性能：按规定的要求进行切割性能试验，切断直径9.5mm-16mm的尼龙制消防安全绳时间≤10s；</w:t>
      </w:r>
    </w:p>
    <w:p>
      <w:pPr>
        <w:rPr>
          <w:color w:val="auto"/>
        </w:rPr>
      </w:pPr>
      <w:r>
        <w:rPr>
          <w:rFonts w:hint="eastAsia"/>
          <w:color w:val="auto"/>
        </w:rPr>
        <w:t>6.1.3.9耐腐蚀性能：水域救援刀经48h的中性盐雾试验后，无明显腐蚀现象。</w:t>
      </w:r>
    </w:p>
    <w:p>
      <w:pPr>
        <w:rPr>
          <w:color w:val="auto"/>
        </w:rPr>
      </w:pPr>
      <w:r>
        <w:rPr>
          <w:rFonts w:hint="eastAsia"/>
          <w:color w:val="auto"/>
        </w:rPr>
        <w:t>6.1.4.潜水手电</w:t>
      </w:r>
    </w:p>
    <w:p>
      <w:pPr>
        <w:rPr>
          <w:color w:val="auto"/>
        </w:rPr>
      </w:pPr>
      <w:r>
        <w:rPr>
          <w:rFonts w:hint="eastAsia"/>
          <w:color w:val="auto"/>
        </w:rPr>
        <w:t>6.1.4.1重量：≤900g</w:t>
      </w:r>
    </w:p>
    <w:p>
      <w:pPr>
        <w:rPr>
          <w:color w:val="auto"/>
        </w:rPr>
      </w:pPr>
      <w:r>
        <w:rPr>
          <w:rFonts w:hint="eastAsia"/>
          <w:color w:val="auto"/>
        </w:rPr>
        <w:t>6.1.4.2开关方式：机械开关</w:t>
      </w:r>
    </w:p>
    <w:p>
      <w:pPr>
        <w:rPr>
          <w:color w:val="auto"/>
        </w:rPr>
      </w:pPr>
      <w:r>
        <w:rPr>
          <w:rFonts w:hint="eastAsia"/>
          <w:color w:val="auto"/>
        </w:rPr>
        <w:t>★6.1.4.3LED寿命：100000小时</w:t>
      </w:r>
    </w:p>
    <w:p>
      <w:pPr>
        <w:rPr>
          <w:color w:val="auto"/>
        </w:rPr>
      </w:pPr>
      <w:r>
        <w:rPr>
          <w:rFonts w:hint="eastAsia"/>
          <w:color w:val="auto"/>
        </w:rPr>
        <w:t>6.1.4.4档位：三组7档+点射功能</w:t>
      </w:r>
    </w:p>
    <w:p>
      <w:pPr>
        <w:rPr>
          <w:color w:val="auto"/>
        </w:rPr>
      </w:pPr>
      <w:r>
        <w:rPr>
          <w:rFonts w:hint="eastAsia"/>
          <w:color w:val="auto"/>
        </w:rPr>
        <w:t>6.1.4.5镜片：钢化玻璃镜片</w:t>
      </w:r>
    </w:p>
    <w:p>
      <w:pPr>
        <w:rPr>
          <w:color w:val="auto"/>
        </w:rPr>
      </w:pPr>
      <w:r>
        <w:rPr>
          <w:rFonts w:hint="eastAsia"/>
          <w:color w:val="auto"/>
        </w:rPr>
        <w:t>★6.1.4.6防水等级：IP68。</w:t>
      </w:r>
    </w:p>
    <w:p>
      <w:pPr>
        <w:rPr>
          <w:color w:val="auto"/>
        </w:rPr>
      </w:pPr>
      <w:r>
        <w:rPr>
          <w:rFonts w:hint="eastAsia"/>
          <w:color w:val="auto"/>
        </w:rPr>
        <w:t>6.1.4.7.配备防丢绳1根。</w:t>
      </w:r>
    </w:p>
    <w:p>
      <w:pPr>
        <w:rPr>
          <w:color w:val="auto"/>
        </w:rPr>
      </w:pPr>
      <w:r>
        <w:rPr>
          <w:rFonts w:hint="eastAsia"/>
          <w:color w:val="auto"/>
        </w:rPr>
        <w:t>6.1.4.8.强光额定工作时间≥4h，弱光额定工作时间≥6h。</w:t>
      </w:r>
    </w:p>
    <w:p>
      <w:pPr>
        <w:rPr>
          <w:color w:val="auto"/>
        </w:rPr>
      </w:pPr>
      <w:r>
        <w:rPr>
          <w:rFonts w:hint="eastAsia"/>
          <w:color w:val="auto"/>
        </w:rPr>
        <w:t>6.1.5.牛尾绳</w:t>
      </w:r>
    </w:p>
    <w:p>
      <w:pPr>
        <w:rPr>
          <w:color w:val="auto"/>
        </w:rPr>
      </w:pPr>
      <w:r>
        <w:rPr>
          <w:rFonts w:hint="eastAsia"/>
          <w:color w:val="auto"/>
        </w:rPr>
        <w:t>6.1.5.1带有不锈钢O型环1个和快挂1个。</w:t>
      </w:r>
    </w:p>
    <w:p>
      <w:pPr>
        <w:rPr>
          <w:color w:val="auto"/>
        </w:rPr>
      </w:pPr>
      <w:r>
        <w:rPr>
          <w:rFonts w:hint="eastAsia"/>
          <w:color w:val="auto"/>
        </w:rPr>
        <w:t>6.1.5.2牵引绳两端加厚塑胶塑封，牢固且耐摩擦。</w:t>
      </w:r>
    </w:p>
    <w:p>
      <w:pPr>
        <w:rPr>
          <w:color w:val="0000FF"/>
        </w:rPr>
      </w:pPr>
      <w:r>
        <w:rPr>
          <w:rFonts w:hint="eastAsia"/>
          <w:color w:val="0000FF"/>
        </w:rPr>
        <w:t>6.1.5.3设计规格：静态长度≥70cm、伸展长度≥100cm。</w:t>
      </w:r>
    </w:p>
    <w:p>
      <w:pPr>
        <w:rPr>
          <w:color w:val="auto"/>
        </w:rPr>
      </w:pPr>
      <w:r>
        <w:rPr>
          <w:rFonts w:hint="eastAsia"/>
          <w:color w:val="auto"/>
        </w:rPr>
        <w:t>6.1.5.4管状尼龙织带宽度：≥30mm。</w:t>
      </w:r>
    </w:p>
    <w:p>
      <w:pPr>
        <w:rPr>
          <w:color w:val="auto"/>
        </w:rPr>
      </w:pPr>
      <w:r>
        <w:rPr>
          <w:rFonts w:hint="eastAsia"/>
          <w:color w:val="auto"/>
        </w:rPr>
        <w:t>6.1.5.5两端缝合：Z形线迹并加固缝合。</w:t>
      </w:r>
    </w:p>
    <w:p>
      <w:pPr>
        <w:rPr>
          <w:color w:val="auto"/>
        </w:rPr>
      </w:pPr>
      <w:r>
        <w:rPr>
          <w:rFonts w:hint="eastAsia"/>
          <w:color w:val="auto"/>
        </w:rPr>
        <w:t>6.2.救生圈</w:t>
      </w:r>
    </w:p>
    <w:p>
      <w:pPr>
        <w:rPr>
          <w:color w:val="auto"/>
        </w:rPr>
      </w:pPr>
      <w:r>
        <w:rPr>
          <w:rFonts w:hint="eastAsia"/>
          <w:color w:val="auto"/>
        </w:rPr>
        <w:t>★6.2.1.符合GB/T 4302-2008《救生圈》标准、CCS船检证书等标准。需提供国家专业机构出具的报告；</w:t>
      </w:r>
    </w:p>
    <w:p>
      <w:pPr>
        <w:rPr>
          <w:color w:val="auto"/>
        </w:rPr>
      </w:pPr>
      <w:r>
        <w:rPr>
          <w:rFonts w:hint="eastAsia"/>
          <w:color w:val="auto"/>
        </w:rPr>
        <w:t>6.2.2.采用高密度聚乙烯为売体，内充高密度聚氨酯闭孔泡沫。</w:t>
      </w:r>
    </w:p>
    <w:p>
      <w:pPr>
        <w:rPr>
          <w:color w:val="auto"/>
        </w:rPr>
      </w:pPr>
      <w:r>
        <w:rPr>
          <w:rFonts w:hint="eastAsia"/>
          <w:color w:val="auto"/>
        </w:rPr>
        <w:t>★6.2.3.外径≥70cm ，内径≥40CM。</w:t>
      </w:r>
    </w:p>
    <w:p>
      <w:pPr>
        <w:rPr>
          <w:color w:val="auto"/>
        </w:rPr>
      </w:pPr>
      <w:r>
        <w:rPr>
          <w:rFonts w:hint="eastAsia"/>
          <w:color w:val="auto"/>
        </w:rPr>
        <w:t>6.2.4.救生圈外围应装有直径≥9mm、长度≥救生圈外径4倍可浮把手锁。此索应紧固在圈体周边四个等距离位置上，并形成四个等长的索环；</w:t>
      </w:r>
    </w:p>
    <w:p>
      <w:pPr>
        <w:rPr>
          <w:color w:val="auto"/>
        </w:rPr>
      </w:pPr>
      <w:r>
        <w:rPr>
          <w:rFonts w:hint="eastAsia"/>
          <w:color w:val="auto"/>
        </w:rPr>
        <w:t>6.2.5.浮力≥15KG，最大承重≥220KG；</w:t>
      </w:r>
    </w:p>
    <w:p>
      <w:pPr>
        <w:rPr>
          <w:color w:val="auto"/>
        </w:rPr>
      </w:pPr>
      <w:r>
        <w:rPr>
          <w:rFonts w:hint="eastAsia"/>
          <w:color w:val="auto"/>
        </w:rPr>
        <w:t>6.2.6.环绕贴≥50mm宽度的逆向反光带。</w:t>
      </w:r>
    </w:p>
    <w:p>
      <w:pPr>
        <w:rPr>
          <w:color w:val="auto"/>
        </w:rPr>
      </w:pPr>
      <w:r>
        <w:rPr>
          <w:rFonts w:hint="eastAsia"/>
          <w:color w:val="auto"/>
        </w:rPr>
        <w:t>6.3.移动发电机</w:t>
      </w:r>
    </w:p>
    <w:p>
      <w:pPr>
        <w:rPr>
          <w:color w:val="auto"/>
        </w:rPr>
      </w:pPr>
      <w:r>
        <w:rPr>
          <w:rFonts w:hint="eastAsia"/>
          <w:color w:val="auto"/>
        </w:rPr>
        <w:t>6.3.1.便携式发电机，体积小、重量轻，配备与发电机匹配的万向轮底座 。</w:t>
      </w:r>
    </w:p>
    <w:p>
      <w:pPr>
        <w:rPr>
          <w:color w:val="auto"/>
        </w:rPr>
      </w:pPr>
      <w:r>
        <w:rPr>
          <w:rFonts w:hint="eastAsia"/>
          <w:color w:val="auto"/>
        </w:rPr>
        <w:t>6.3.2.连续工作时间≥7 小时；</w:t>
      </w:r>
    </w:p>
    <w:p>
      <w:pPr>
        <w:rPr>
          <w:color w:val="auto"/>
        </w:rPr>
      </w:pPr>
      <w:r>
        <w:rPr>
          <w:rFonts w:hint="eastAsia"/>
          <w:color w:val="auto"/>
        </w:rPr>
        <w:t xml:space="preserve">6.3.3.启动方式：具备回弹式绳索启动和电子启动； </w:t>
      </w:r>
    </w:p>
    <w:p>
      <w:pPr>
        <w:rPr>
          <w:color w:val="auto"/>
        </w:rPr>
      </w:pPr>
      <w:r>
        <w:rPr>
          <w:rFonts w:hint="eastAsia"/>
          <w:color w:val="auto"/>
        </w:rPr>
        <w:t>★6.3.4.最大输出功率≥5.0kw， 额定功率≥2kw，额定频率：50HZ；</w:t>
      </w:r>
    </w:p>
    <w:p>
      <w:pPr>
        <w:rPr>
          <w:color w:val="auto"/>
        </w:rPr>
      </w:pPr>
      <w:r>
        <w:rPr>
          <w:rFonts w:hint="eastAsia"/>
          <w:color w:val="auto"/>
        </w:rPr>
        <w:t>6.3.5.额定电压：220V；</w:t>
      </w:r>
    </w:p>
    <w:p>
      <w:pPr>
        <w:rPr>
          <w:color w:val="auto"/>
        </w:rPr>
      </w:pPr>
      <w:r>
        <w:rPr>
          <w:rFonts w:hint="eastAsia"/>
          <w:color w:val="auto"/>
        </w:rPr>
        <w:t>6.3.6.输出电压：220V/380V；采用国内通用电源接口。</w:t>
      </w:r>
    </w:p>
    <w:p>
      <w:pPr>
        <w:rPr>
          <w:color w:val="auto"/>
        </w:rPr>
      </w:pPr>
      <w:r>
        <w:rPr>
          <w:rFonts w:hint="eastAsia"/>
          <w:color w:val="auto"/>
        </w:rPr>
        <w:t>6.3.7.燃油箱容量≥14L。</w:t>
      </w:r>
    </w:p>
    <w:p>
      <w:pPr>
        <w:rPr>
          <w:color w:val="auto"/>
        </w:rPr>
      </w:pPr>
      <w:r>
        <w:rPr>
          <w:rFonts w:hint="eastAsia"/>
          <w:color w:val="auto"/>
        </w:rPr>
        <w:t>6.3.</w:t>
      </w:r>
      <w:r>
        <w:rPr>
          <w:rFonts w:hint="eastAsia"/>
          <w:color w:val="auto"/>
          <w:lang w:val="en-US" w:eastAsia="zh-CN"/>
        </w:rPr>
        <w:t>8</w:t>
      </w:r>
      <w:r>
        <w:rPr>
          <w:rFonts w:hint="eastAsia"/>
          <w:color w:val="auto"/>
        </w:rPr>
        <w:t>.配备接地线1根，30米线盘1个。</w:t>
      </w:r>
    </w:p>
    <w:p>
      <w:pPr>
        <w:rPr>
          <w:color w:val="auto"/>
        </w:rPr>
      </w:pPr>
      <w:r>
        <w:rPr>
          <w:rFonts w:hint="eastAsia"/>
          <w:color w:val="auto"/>
        </w:rPr>
        <w:t>6.4.手提式强光照明灯</w:t>
      </w:r>
    </w:p>
    <w:p>
      <w:pPr>
        <w:rPr>
          <w:color w:val="auto"/>
        </w:rPr>
      </w:pPr>
      <w:r>
        <w:rPr>
          <w:rFonts w:hint="eastAsia"/>
          <w:color w:val="auto"/>
        </w:rPr>
        <w:t>★6.4.1.总体性能符合《GB30734-2014消防员照明灯标准》的要求；</w:t>
      </w:r>
    </w:p>
    <w:p>
      <w:pPr>
        <w:rPr>
          <w:color w:val="auto"/>
        </w:rPr>
      </w:pPr>
      <w:r>
        <w:rPr>
          <w:rFonts w:hint="eastAsia"/>
          <w:color w:val="auto"/>
        </w:rPr>
        <w:t>6.4.2.灯具在低温-25±2℃或者高温55±2℃持续2小时试验后，灯具应能正常进行开、关和强、弱光切换；</w:t>
      </w:r>
    </w:p>
    <w:p>
      <w:pPr>
        <w:rPr>
          <w:color w:val="auto"/>
        </w:rPr>
      </w:pPr>
      <w:r>
        <w:rPr>
          <w:rFonts w:hint="eastAsia"/>
          <w:color w:val="auto"/>
        </w:rPr>
        <w:t>★6.4.3.常温环境下，灯具带电端子与外壳间的绝缘电阻应≥20MΩ,交变湿热后应≥5MΩ（消防检测报告中有体现）；</w:t>
      </w:r>
    </w:p>
    <w:p>
      <w:pPr>
        <w:rPr>
          <w:color w:val="auto"/>
        </w:rPr>
      </w:pPr>
      <w:r>
        <w:rPr>
          <w:rFonts w:hint="eastAsia"/>
          <w:color w:val="auto"/>
        </w:rPr>
        <w:t>6.4.4.灯具应能耐受频率为50 Hz±0.5 Hz，交流电压为500 V±50 V，历时60 s±5 s的耐电压试验。</w:t>
      </w:r>
    </w:p>
    <w:p>
      <w:pPr>
        <w:rPr>
          <w:color w:val="auto"/>
        </w:rPr>
      </w:pPr>
      <w:r>
        <w:rPr>
          <w:rFonts w:hint="eastAsia"/>
          <w:color w:val="auto"/>
        </w:rPr>
        <w:t>6.4.5.防爆执行标准符合GB3836.1-2010.GB3836.4-2010.GB12476.1-2013.GB12476.4-2010国家标准，防爆等级：Ex ib IIC T4 Gb/Ex ibD 21 T130℃（提供防爆检测报告）；</w:t>
      </w:r>
    </w:p>
    <w:p>
      <w:pPr>
        <w:rPr>
          <w:color w:val="auto"/>
        </w:rPr>
      </w:pPr>
      <w:r>
        <w:rPr>
          <w:rFonts w:hint="eastAsia"/>
          <w:color w:val="auto"/>
        </w:rPr>
        <w:t>6.4.6.灯具外壳防护等级应满足GB4208-2008规定的≥IP68的要求；</w:t>
      </w:r>
    </w:p>
    <w:p>
      <w:pPr>
        <w:rPr>
          <w:color w:val="auto"/>
        </w:rPr>
      </w:pPr>
      <w:r>
        <w:rPr>
          <w:rFonts w:hint="eastAsia"/>
          <w:color w:val="auto"/>
        </w:rPr>
        <w:t>★6.4.7.灯具2m处光斑中心照度，强光平均值≥500lx，弱光平均值≥230lx；照射距离≥200米；</w:t>
      </w:r>
    </w:p>
    <w:p>
      <w:pPr>
        <w:rPr>
          <w:color w:val="auto"/>
        </w:rPr>
      </w:pPr>
      <w:r>
        <w:rPr>
          <w:rFonts w:hint="eastAsia"/>
          <w:color w:val="auto"/>
        </w:rPr>
        <w:t>6.4.8.充电孔和充电器：灯筒上应设计有通用Type-C充电口孔位，支持市场通用的USB接口充电;每个灯配备一个插头交直流转换器分离式结构充电器；</w:t>
      </w:r>
    </w:p>
    <w:p>
      <w:pPr>
        <w:rPr>
          <w:color w:val="auto"/>
        </w:rPr>
      </w:pPr>
      <w:r>
        <w:rPr>
          <w:rFonts w:hint="eastAsia"/>
          <w:color w:val="auto"/>
        </w:rPr>
        <w:t>6.4.9.电量显示窗：灯筒上应设计有通用电量显示单元窗孔，可直观显示剩余电量；</w:t>
      </w:r>
    </w:p>
    <w:p>
      <w:pPr>
        <w:rPr>
          <w:color w:val="auto"/>
        </w:rPr>
      </w:pPr>
      <w:r>
        <w:rPr>
          <w:rFonts w:hint="eastAsia"/>
          <w:color w:val="auto"/>
        </w:rPr>
        <w:t>6.4.10.电源开关：方便戴手套开关，采用按钮式大开关设计，并设有方位指示灯；</w:t>
      </w:r>
    </w:p>
    <w:p>
      <w:pPr>
        <w:rPr>
          <w:color w:val="auto"/>
        </w:rPr>
      </w:pPr>
      <w:r>
        <w:rPr>
          <w:rFonts w:hint="eastAsia"/>
          <w:color w:val="auto"/>
        </w:rPr>
        <w:t>★6.4.11.额定功率≥3W，额定电压≥DC3.7V，电池采用可充电锂电池，额定容量≥4.0Ah。</w:t>
      </w:r>
    </w:p>
    <w:p>
      <w:pPr>
        <w:rPr>
          <w:color w:val="auto"/>
        </w:rPr>
      </w:pPr>
      <w:r>
        <w:rPr>
          <w:rFonts w:hint="eastAsia"/>
          <w:color w:val="auto"/>
        </w:rPr>
        <w:t>6.5.机动链锯</w:t>
      </w:r>
    </w:p>
    <w:p>
      <w:pPr>
        <w:rPr>
          <w:color w:val="auto"/>
        </w:rPr>
      </w:pPr>
      <w:r>
        <w:rPr>
          <w:rFonts w:hint="eastAsia"/>
          <w:color w:val="auto"/>
        </w:rPr>
        <w:t>6.5.1.组成：链条、机体、启动拉绳、油箱。机器设有空挡和工作挡，具备安全保护功能。</w:t>
      </w:r>
    </w:p>
    <w:p>
      <w:pPr>
        <w:rPr>
          <w:color w:val="auto"/>
        </w:rPr>
      </w:pPr>
      <w:r>
        <w:rPr>
          <w:rFonts w:hint="eastAsia"/>
          <w:color w:val="auto"/>
        </w:rPr>
        <w:t>6.5.2.导板长度：≥400mm；</w:t>
      </w:r>
    </w:p>
    <w:p>
      <w:pPr>
        <w:rPr>
          <w:color w:val="auto"/>
        </w:rPr>
      </w:pPr>
      <w:r>
        <w:rPr>
          <w:rFonts w:hint="eastAsia"/>
          <w:color w:val="auto"/>
        </w:rPr>
        <w:t>★6.5.3.功率：≥2.3kw；</w:t>
      </w:r>
    </w:p>
    <w:p>
      <w:pPr>
        <w:rPr>
          <w:color w:val="auto"/>
        </w:rPr>
      </w:pPr>
      <w:r>
        <w:rPr>
          <w:rFonts w:hint="eastAsia"/>
          <w:color w:val="auto"/>
        </w:rPr>
        <w:t>6.5.4.标准怠速：2600-2800rpm；</w:t>
      </w:r>
    </w:p>
    <w:p>
      <w:pPr>
        <w:rPr>
          <w:color w:val="auto"/>
        </w:rPr>
      </w:pPr>
      <w:r>
        <w:rPr>
          <w:rFonts w:hint="eastAsia"/>
          <w:color w:val="auto"/>
        </w:rPr>
        <w:t>★6.5.5.发动机最大转速：≥9000rpm；</w:t>
      </w:r>
    </w:p>
    <w:p>
      <w:pPr>
        <w:rPr>
          <w:color w:val="auto"/>
        </w:rPr>
      </w:pPr>
      <w:r>
        <w:rPr>
          <w:rFonts w:hint="eastAsia"/>
          <w:color w:val="auto"/>
        </w:rPr>
        <w:t>6.5.6.油箱容量：≥0.45L。</w:t>
      </w:r>
    </w:p>
    <w:p>
      <w:pPr>
        <w:rPr>
          <w:color w:val="auto"/>
        </w:rPr>
      </w:pPr>
      <w:r>
        <w:rPr>
          <w:rFonts w:hint="eastAsia"/>
          <w:color w:val="auto"/>
        </w:rPr>
        <w:t>6.5.7.产品要求：除标配2条链条外，增配原装5条链条。</w:t>
      </w:r>
    </w:p>
    <w:p>
      <w:pPr>
        <w:rPr>
          <w:color w:val="auto"/>
        </w:rPr>
      </w:pPr>
      <w:r>
        <w:rPr>
          <w:rFonts w:hint="eastAsia"/>
          <w:color w:val="auto"/>
        </w:rPr>
        <w:t>6.5.8.配备有专用工具箱、比例油桶、护目镜、防护手套等附件。</w:t>
      </w:r>
    </w:p>
    <w:p>
      <w:pPr>
        <w:rPr>
          <w:color w:val="auto"/>
        </w:rPr>
      </w:pPr>
      <w:r>
        <w:rPr>
          <w:rFonts w:hint="eastAsia"/>
          <w:color w:val="auto"/>
        </w:rPr>
        <w:t>6.6.湿式水域救援服</w:t>
      </w:r>
    </w:p>
    <w:p>
      <w:pPr>
        <w:rPr>
          <w:color w:val="auto"/>
        </w:rPr>
      </w:pPr>
      <w:r>
        <w:rPr>
          <w:rFonts w:hint="eastAsia"/>
          <w:color w:val="auto"/>
        </w:rPr>
        <w:t>★6.6.1.上衣和中腰裤两件套救援服（按需求方要求提供连体或分体），≥3mm带有钛涂层的氯丁橡胶材质。</w:t>
      </w:r>
    </w:p>
    <w:p>
      <w:pPr>
        <w:rPr>
          <w:color w:val="auto"/>
        </w:rPr>
      </w:pPr>
      <w:r>
        <w:rPr>
          <w:rFonts w:hint="eastAsia"/>
          <w:color w:val="auto"/>
        </w:rPr>
        <w:t>6.6.2.所有的缝线处用暗针缝制，做加固压胶处理；</w:t>
      </w:r>
    </w:p>
    <w:p>
      <w:pPr>
        <w:rPr>
          <w:color w:val="auto"/>
        </w:rPr>
      </w:pPr>
      <w:r>
        <w:rPr>
          <w:rFonts w:hint="eastAsia"/>
          <w:color w:val="auto"/>
        </w:rPr>
        <w:t>★6.6.3.在膝盖和小腿、臀部处有凯夫拉材质补强设计，补强部位厚度≥5.0mm；</w:t>
      </w:r>
    </w:p>
    <w:p>
      <w:pPr>
        <w:rPr>
          <w:color w:val="auto"/>
        </w:rPr>
      </w:pPr>
      <w:r>
        <w:rPr>
          <w:rFonts w:hint="eastAsia"/>
          <w:color w:val="auto"/>
        </w:rPr>
        <w:t>6.6.4.手臂和腿部有荧光反射区；</w:t>
      </w:r>
    </w:p>
    <w:p>
      <w:pPr>
        <w:rPr>
          <w:color w:val="auto"/>
        </w:rPr>
      </w:pPr>
      <w:r>
        <w:rPr>
          <w:rFonts w:hint="eastAsia"/>
          <w:color w:val="auto"/>
        </w:rPr>
        <w:t>6.6.5.腿部两侧各设置1个口袋，封口拉链式设计。</w:t>
      </w:r>
    </w:p>
    <w:p>
      <w:pPr>
        <w:rPr>
          <w:color w:val="auto"/>
        </w:rPr>
      </w:pPr>
      <w:r>
        <w:rPr>
          <w:rFonts w:hint="eastAsia"/>
          <w:color w:val="auto"/>
        </w:rPr>
        <w:t>6.6.6.袖口和裤口侧面收紧式拉链设计。</w:t>
      </w:r>
    </w:p>
    <w:p>
      <w:pPr>
        <w:rPr>
          <w:color w:val="auto"/>
        </w:rPr>
      </w:pPr>
      <w:r>
        <w:rPr>
          <w:rFonts w:hint="eastAsia"/>
          <w:color w:val="auto"/>
        </w:rPr>
        <w:t>6.6.7.尺寸及外观：满足甲方需求。</w:t>
      </w:r>
      <w:r>
        <w:rPr>
          <w:rFonts w:hint="eastAsia"/>
          <w:color w:val="auto"/>
        </w:rPr>
        <w:br w:type="page"/>
      </w:r>
    </w:p>
    <w:p>
      <w:pPr>
        <w:tabs>
          <w:tab w:val="left" w:pos="4060"/>
        </w:tabs>
        <w:spacing w:before="312" w:beforeLines="100" w:after="156" w:afterLines="50"/>
        <w:ind w:firstLine="0" w:firstLineChars="0"/>
        <w:jc w:val="center"/>
        <w:rPr>
          <w:b/>
          <w:bCs/>
          <w:color w:val="auto"/>
          <w:sz w:val="28"/>
          <w:szCs w:val="28"/>
        </w:rPr>
      </w:pPr>
      <w:r>
        <w:rPr>
          <w:rFonts w:hint="eastAsia"/>
          <w:b/>
          <w:bCs/>
          <w:color w:val="auto"/>
          <w:sz w:val="28"/>
          <w:szCs w:val="28"/>
        </w:rPr>
        <w:t>三、商务需求</w:t>
      </w:r>
    </w:p>
    <w:p>
      <w:pPr>
        <w:rPr>
          <w:color w:val="auto"/>
        </w:rPr>
      </w:pPr>
      <w:r>
        <w:rPr>
          <w:rFonts w:hint="eastAsia"/>
          <w:color w:val="auto"/>
        </w:rPr>
        <w:t>1、交货时间：4标包、5标包和8标包要求自合同签订之日起300个日历天内交付，其余标包要求自合同签订之日起150个日历天内交付。整车、随车器材、随车资料和办理车辆牌证的全部资料均齐全，确保能够悬挂应急车牌，方可视为交货完毕。（此项为采购人实现标功能实现的最低需求），具体以中标供应商投标文件中承诺内容为准。</w:t>
      </w:r>
    </w:p>
    <w:p>
      <w:pPr>
        <w:rPr>
          <w:color w:val="auto"/>
        </w:rPr>
      </w:pPr>
      <w:r>
        <w:rPr>
          <w:rFonts w:hint="eastAsia"/>
          <w:color w:val="auto"/>
        </w:rPr>
        <w:t>2、交货地点：云南省消防救援总队指定地点</w:t>
      </w:r>
    </w:p>
    <w:p>
      <w:pPr>
        <w:rPr>
          <w:color w:val="auto"/>
        </w:rPr>
      </w:pPr>
      <w:r>
        <w:rPr>
          <w:rFonts w:hint="eastAsia"/>
          <w:color w:val="auto"/>
        </w:rPr>
        <w:t>3、交货、包装运输、验收方式：按照合同条款及招标文件技术参数要求和投标文件内容执行，投标文件内容包含但不仅限于对以上条款的执行及补充。</w:t>
      </w:r>
    </w:p>
    <w:p>
      <w:pPr>
        <w:rPr>
          <w:color w:val="auto"/>
        </w:rPr>
      </w:pPr>
      <w:r>
        <w:rPr>
          <w:rFonts w:hint="eastAsia"/>
          <w:color w:val="auto"/>
        </w:rPr>
        <w:t>4、售后服务时间：7*24小时服务（此为固定要求），X分钟响应，X小时到达现场（响应时间由投标人根据设立的售后服务机构提出合理化时间安排）。</w:t>
      </w:r>
    </w:p>
    <w:p>
      <w:pPr>
        <w:rPr>
          <w:color w:val="auto"/>
        </w:rPr>
      </w:pPr>
      <w:r>
        <w:rPr>
          <w:rFonts w:hint="eastAsia"/>
          <w:color w:val="auto"/>
        </w:rPr>
        <w:t>5、售后服务有关内容：按照合同条款和投标文件内容执行，投标文件内容包含但不仅限于对以上条款的执行及补充。</w:t>
      </w:r>
    </w:p>
    <w:p>
      <w:pPr>
        <w:rPr>
          <w:color w:val="auto"/>
        </w:rPr>
      </w:pPr>
      <w:r>
        <w:rPr>
          <w:rFonts w:hint="eastAsia"/>
          <w:color w:val="auto"/>
        </w:rPr>
        <w:t>6、违约责任：按照合同条款要求和投标文件内容执行，投标文件内容包含但不仅限于对以上条款的执行及补充。</w:t>
      </w:r>
    </w:p>
    <w:p>
      <w:pPr>
        <w:rPr>
          <w:color w:val="auto"/>
        </w:rPr>
      </w:pPr>
      <w:r>
        <w:rPr>
          <w:rFonts w:hint="eastAsia"/>
          <w:color w:val="auto"/>
        </w:rPr>
        <w:t>7、保障措施：投标人根据招标文件内容的理解针对自拟的方案、计划等进行有效的保障措施手段，从而保障自拟的方案、计划等内容的合理性和可行性。</w:t>
      </w:r>
    </w:p>
    <w:p>
      <w:pPr>
        <w:rPr>
          <w:color w:val="auto"/>
        </w:rPr>
      </w:pPr>
      <w:r>
        <w:rPr>
          <w:rFonts w:hint="eastAsia"/>
          <w:color w:val="auto"/>
        </w:rPr>
        <w:t>8、</w:t>
      </w:r>
      <w:r>
        <w:rPr>
          <w:color w:val="auto"/>
          <w:kern w:val="2"/>
        </w:rPr>
        <w:t>付款方式：在合同签订后向中标企业支付合同总价的30%，到货验收合格后支付到合同总价的80%，结算审计后支付到审计金额。</w:t>
      </w:r>
    </w:p>
    <w:p>
      <w:pPr>
        <w:rPr>
          <w:color w:val="auto"/>
        </w:rPr>
      </w:pPr>
      <w:r>
        <w:rPr>
          <w:rFonts w:hint="eastAsia"/>
          <w:color w:val="auto"/>
        </w:rPr>
        <w:t>9、质保期：自验收合格之日起5年（此项为招标人实现标功能实现的最低需求）。</w:t>
      </w:r>
    </w:p>
    <w:p>
      <w:pPr>
        <w:rPr>
          <w:color w:val="auto"/>
        </w:rPr>
      </w:pPr>
      <w:r>
        <w:rPr>
          <w:rFonts w:hint="eastAsia"/>
          <w:color w:val="auto"/>
        </w:rPr>
        <w:t>10、其他要求：按照国家综合性消防救援队伍要求，车辆器材装备交付时需附着二维码（或RFID），个人防护装备需根据最新要求制作标志标识，印制单位名称等。</w:t>
      </w:r>
    </w:p>
    <w:p>
      <w:pPr>
        <w:rPr>
          <w:color w:val="auto"/>
        </w:rPr>
      </w:pPr>
    </w:p>
    <w:p>
      <w:pPr>
        <w:rPr>
          <w:color w:val="auto"/>
        </w:rPr>
      </w:pPr>
      <w:r>
        <w:rPr>
          <w:rFonts w:hint="eastAsia"/>
          <w:color w:val="auto"/>
        </w:rPr>
        <w:br w:type="page"/>
      </w:r>
    </w:p>
    <w:p>
      <w:pPr>
        <w:pStyle w:val="2"/>
        <w:rPr>
          <w:color w:val="auto"/>
        </w:rPr>
      </w:pPr>
      <w:bookmarkStart w:id="77" w:name="_Toc10095"/>
      <w:r>
        <w:rPr>
          <w:rFonts w:hint="eastAsia"/>
          <w:color w:val="auto"/>
        </w:rPr>
        <w:t>第六章 资格审查</w:t>
      </w:r>
      <w:bookmarkEnd w:id="77"/>
    </w:p>
    <w:p>
      <w:pPr>
        <w:pStyle w:val="3"/>
        <w:spacing w:line="240" w:lineRule="auto"/>
        <w:ind w:firstLine="0" w:firstLineChars="0"/>
        <w:jc w:val="center"/>
        <w:rPr>
          <w:color w:val="auto"/>
        </w:rPr>
      </w:pPr>
      <w:bookmarkStart w:id="78" w:name="_Toc20494"/>
      <w:r>
        <w:rPr>
          <w:rFonts w:hint="eastAsia"/>
          <w:color w:val="auto"/>
        </w:rPr>
        <w:t>资格审查表</w:t>
      </w:r>
      <w:bookmarkEnd w:id="78"/>
    </w:p>
    <w:tbl>
      <w:tblPr>
        <w:tblStyle w:val="36"/>
        <w:tblW w:w="99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5"/>
        <w:gridCol w:w="1478"/>
        <w:gridCol w:w="769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85" w:type="dxa"/>
            <w:tcBorders>
              <w:bottom w:val="single" w:color="auto" w:sz="4" w:space="0"/>
            </w:tcBorders>
            <w:tcMar>
              <w:top w:w="57" w:type="dxa"/>
              <w:left w:w="57" w:type="dxa"/>
              <w:bottom w:w="57" w:type="dxa"/>
              <w:right w:w="57" w:type="dxa"/>
            </w:tcMar>
            <w:vAlign w:val="center"/>
          </w:tcPr>
          <w:p>
            <w:pPr>
              <w:spacing w:line="240" w:lineRule="auto"/>
              <w:ind w:firstLine="0" w:firstLineChars="0"/>
              <w:jc w:val="center"/>
              <w:rPr>
                <w:b/>
                <w:bCs/>
                <w:color w:val="auto"/>
              </w:rPr>
            </w:pPr>
            <w:r>
              <w:rPr>
                <w:rFonts w:hint="eastAsia"/>
                <w:b/>
                <w:bCs/>
                <w:color w:val="auto"/>
              </w:rPr>
              <w:t>条款号</w:t>
            </w:r>
          </w:p>
        </w:tc>
        <w:tc>
          <w:tcPr>
            <w:tcW w:w="1478" w:type="dxa"/>
            <w:tcMar>
              <w:top w:w="57" w:type="dxa"/>
              <w:left w:w="57" w:type="dxa"/>
              <w:bottom w:w="57" w:type="dxa"/>
              <w:right w:w="57" w:type="dxa"/>
            </w:tcMar>
            <w:vAlign w:val="center"/>
          </w:tcPr>
          <w:p>
            <w:pPr>
              <w:spacing w:line="240" w:lineRule="auto"/>
              <w:ind w:firstLine="0" w:firstLineChars="0"/>
              <w:jc w:val="center"/>
              <w:rPr>
                <w:b/>
                <w:bCs/>
                <w:color w:val="auto"/>
              </w:rPr>
            </w:pPr>
            <w:r>
              <w:rPr>
                <w:rFonts w:hint="eastAsia"/>
                <w:b/>
                <w:bCs/>
                <w:color w:val="auto"/>
              </w:rPr>
              <w:t>评审内容</w:t>
            </w:r>
          </w:p>
        </w:tc>
        <w:tc>
          <w:tcPr>
            <w:tcW w:w="7693" w:type="dxa"/>
            <w:tcMar>
              <w:top w:w="57" w:type="dxa"/>
              <w:left w:w="57" w:type="dxa"/>
              <w:bottom w:w="57" w:type="dxa"/>
              <w:right w:w="57" w:type="dxa"/>
            </w:tcMar>
            <w:vAlign w:val="center"/>
          </w:tcPr>
          <w:p>
            <w:pPr>
              <w:spacing w:line="240" w:lineRule="auto"/>
              <w:ind w:firstLine="0" w:firstLineChars="0"/>
              <w:jc w:val="center"/>
              <w:rPr>
                <w:b/>
                <w:bCs/>
                <w:color w:val="auto"/>
              </w:rPr>
            </w:pPr>
            <w:r>
              <w:rPr>
                <w:rFonts w:hint="eastAsia"/>
                <w:b/>
                <w:bCs/>
                <w:color w:val="auto"/>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jc w:val="center"/>
        </w:trPr>
        <w:tc>
          <w:tcPr>
            <w:tcW w:w="785" w:type="dxa"/>
            <w:vMerge w:val="restart"/>
            <w:tcBorders>
              <w:top w:val="single" w:color="auto" w:sz="4" w:space="0"/>
              <w:left w:val="single" w:color="auto" w:sz="4" w:space="0"/>
              <w:righ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r>
              <w:rPr>
                <w:rFonts w:hint="eastAsia"/>
                <w:color w:val="auto"/>
              </w:rPr>
              <w:t>资格审查标准</w:t>
            </w:r>
          </w:p>
        </w:tc>
        <w:tc>
          <w:tcPr>
            <w:tcW w:w="1478" w:type="dxa"/>
            <w:tcBorders>
              <w:left w:val="single" w:color="auto" w:sz="4" w:space="0"/>
            </w:tcBorders>
            <w:tcMar>
              <w:top w:w="57" w:type="dxa"/>
              <w:left w:w="57" w:type="dxa"/>
              <w:bottom w:w="57" w:type="dxa"/>
              <w:right w:w="57" w:type="dxa"/>
            </w:tcMar>
            <w:vAlign w:val="center"/>
          </w:tcPr>
          <w:p>
            <w:pPr>
              <w:spacing w:line="240" w:lineRule="auto"/>
              <w:ind w:firstLine="0" w:firstLineChars="0"/>
              <w:jc w:val="center"/>
              <w:rPr>
                <w:b/>
                <w:color w:val="auto"/>
              </w:rPr>
            </w:pPr>
            <w:r>
              <w:rPr>
                <w:rFonts w:hint="eastAsia"/>
                <w:color w:val="auto"/>
              </w:rPr>
              <w:t>投标人名称</w:t>
            </w:r>
          </w:p>
        </w:tc>
        <w:tc>
          <w:tcPr>
            <w:tcW w:w="7693" w:type="dxa"/>
            <w:tcMar>
              <w:top w:w="57" w:type="dxa"/>
              <w:left w:w="57" w:type="dxa"/>
              <w:bottom w:w="57" w:type="dxa"/>
              <w:right w:w="57" w:type="dxa"/>
            </w:tcMar>
            <w:vAlign w:val="center"/>
          </w:tcPr>
          <w:p>
            <w:pPr>
              <w:spacing w:line="240" w:lineRule="auto"/>
              <w:ind w:firstLine="0" w:firstLineChars="0"/>
              <w:rPr>
                <w:b/>
                <w:color w:val="auto"/>
              </w:rPr>
            </w:pPr>
            <w:r>
              <w:rPr>
                <w:rFonts w:hint="eastAsia"/>
                <w:color w:val="auto"/>
              </w:rPr>
              <w:t>与投标报名、营业执照一致（符合法定变更程序除外）。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85" w:type="dxa"/>
            <w:vMerge w:val="continue"/>
            <w:tcBorders>
              <w:left w:val="single" w:color="auto" w:sz="4" w:space="0"/>
              <w:righ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p>
        </w:tc>
        <w:tc>
          <w:tcPr>
            <w:tcW w:w="1478" w:type="dxa"/>
            <w:tcBorders>
              <w:lef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r>
              <w:rPr>
                <w:rFonts w:hint="eastAsia"/>
                <w:color w:val="auto"/>
              </w:rPr>
              <w:t>落实政府采购政策需满足的资格要求</w:t>
            </w:r>
          </w:p>
        </w:tc>
        <w:tc>
          <w:tcPr>
            <w:tcW w:w="7693" w:type="dxa"/>
            <w:tcMar>
              <w:top w:w="57" w:type="dxa"/>
              <w:left w:w="57" w:type="dxa"/>
              <w:bottom w:w="57" w:type="dxa"/>
              <w:right w:w="57" w:type="dxa"/>
            </w:tcMar>
            <w:vAlign w:val="center"/>
          </w:tcPr>
          <w:p>
            <w:pPr>
              <w:spacing w:line="240" w:lineRule="auto"/>
              <w:ind w:firstLine="0" w:firstLineChars="0"/>
              <w:rPr>
                <w:color w:val="auto"/>
              </w:rPr>
            </w:pPr>
            <w:r>
              <w:rPr>
                <w:rFonts w:hint="eastAsia"/>
                <w:color w:val="auto"/>
              </w:rPr>
              <w:t>本项目3标包器材消防车为专门面向中小企业采购的项目，故不再执行价格优惠扣除。非中小企业投标人来参与本项目3标包器材消防车投标的，将被拒绝。</w:t>
            </w:r>
          </w:p>
          <w:p>
            <w:pPr>
              <w:spacing w:line="240" w:lineRule="auto"/>
              <w:ind w:firstLine="0" w:firstLineChars="0"/>
              <w:rPr>
                <w:color w:val="auto"/>
              </w:rPr>
            </w:pPr>
            <w:r>
              <w:rPr>
                <w:rFonts w:hint="eastAsia"/>
                <w:color w:val="auto"/>
              </w:rPr>
              <w:t>除了3标包以外的所有标包均为非专门面向中小企业采购的项目。评审时，给予小型、微型企业10%的价格扣除，用扣除后的价格参与报价评审。监狱企业、残疾人福利性单位视同小微企业。小微企业的认定标准及相关要求详见本项目招标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85" w:type="dxa"/>
            <w:vMerge w:val="continue"/>
            <w:tcBorders>
              <w:left w:val="single" w:color="auto" w:sz="4" w:space="0"/>
              <w:righ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p>
        </w:tc>
        <w:tc>
          <w:tcPr>
            <w:tcW w:w="1478" w:type="dxa"/>
            <w:tcBorders>
              <w:lef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r>
              <w:rPr>
                <w:rFonts w:hint="eastAsia"/>
                <w:color w:val="auto"/>
              </w:rPr>
              <w:t>独立承担民事责任的能力</w:t>
            </w:r>
          </w:p>
        </w:tc>
        <w:tc>
          <w:tcPr>
            <w:tcW w:w="7693" w:type="dxa"/>
            <w:tcMar>
              <w:top w:w="57" w:type="dxa"/>
              <w:left w:w="57" w:type="dxa"/>
              <w:bottom w:w="57" w:type="dxa"/>
              <w:right w:w="57" w:type="dxa"/>
            </w:tcMar>
            <w:vAlign w:val="center"/>
          </w:tcPr>
          <w:p>
            <w:pPr>
              <w:spacing w:line="240" w:lineRule="auto"/>
              <w:ind w:firstLine="0" w:firstLineChars="0"/>
              <w:rPr>
                <w:color w:val="auto"/>
              </w:rPr>
            </w:pPr>
            <w:r>
              <w:rPr>
                <w:rFonts w:hint="eastAsia"/>
                <w:color w:val="auto"/>
              </w:rPr>
              <w:t>投标人具有独立承担民事责任的能力，投标人须具备法人或者其他组织的营业执照或同等法定证明文件。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jc w:val="center"/>
        </w:trPr>
        <w:tc>
          <w:tcPr>
            <w:tcW w:w="785" w:type="dxa"/>
            <w:vMerge w:val="continue"/>
            <w:tcBorders>
              <w:left w:val="single" w:color="auto" w:sz="4" w:space="0"/>
              <w:righ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p>
        </w:tc>
        <w:tc>
          <w:tcPr>
            <w:tcW w:w="1478" w:type="dxa"/>
            <w:tcBorders>
              <w:lef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r>
              <w:rPr>
                <w:rFonts w:hint="eastAsia"/>
                <w:color w:val="auto"/>
              </w:rPr>
              <w:t>良好的商业信誉和健全的财务会计制度</w:t>
            </w:r>
          </w:p>
        </w:tc>
        <w:tc>
          <w:tcPr>
            <w:tcW w:w="7693" w:type="dxa"/>
            <w:tcMar>
              <w:top w:w="57" w:type="dxa"/>
              <w:left w:w="57" w:type="dxa"/>
              <w:bottom w:w="57" w:type="dxa"/>
              <w:right w:w="57" w:type="dxa"/>
            </w:tcMar>
            <w:vAlign w:val="center"/>
          </w:tcPr>
          <w:p>
            <w:pPr>
              <w:spacing w:line="240" w:lineRule="auto"/>
              <w:ind w:firstLine="0" w:firstLineChars="0"/>
              <w:rPr>
                <w:color w:val="auto"/>
              </w:rPr>
            </w:pPr>
            <w:r>
              <w:rPr>
                <w:rFonts w:hint="eastAsia"/>
                <w:color w:val="auto"/>
              </w:rPr>
              <w:t>（1）提供2021年度-2023年度任意一年经审计的财务会计报表，包括财务审计报告、资产负债表、利润表、现金流量表；</w:t>
            </w:r>
          </w:p>
          <w:p>
            <w:pPr>
              <w:spacing w:line="240" w:lineRule="auto"/>
              <w:ind w:firstLine="0" w:firstLineChars="0"/>
              <w:rPr>
                <w:color w:val="auto"/>
              </w:rPr>
            </w:pPr>
            <w:r>
              <w:rPr>
                <w:rFonts w:hint="eastAsia"/>
                <w:color w:val="auto"/>
              </w:rPr>
              <w:t>（2）对于从取得营业执照时间起到递交投标文件截止时间为止不足1年的投标人，提供自投标文件提交截止时间前三个月内开户银行出具的资信证明。</w:t>
            </w:r>
          </w:p>
          <w:p>
            <w:pPr>
              <w:spacing w:line="240" w:lineRule="auto"/>
              <w:ind w:firstLine="0" w:firstLineChars="0"/>
              <w:rPr>
                <w:color w:val="auto"/>
              </w:rPr>
            </w:pPr>
            <w:r>
              <w:rPr>
                <w:rFonts w:hint="eastAsia"/>
                <w:color w:val="auto"/>
              </w:rPr>
              <w:t>（3）财政部门认可的政府采购专业担保机构出具的关于财务状况的投标担保函（需同时提供专业担保机构经财政部门认可的证明文件）。</w:t>
            </w:r>
          </w:p>
          <w:p>
            <w:pPr>
              <w:spacing w:line="240" w:lineRule="auto"/>
              <w:ind w:firstLine="0" w:firstLineChars="0"/>
              <w:rPr>
                <w:color w:val="auto"/>
              </w:rPr>
            </w:pPr>
            <w:r>
              <w:rPr>
                <w:rFonts w:hint="eastAsia"/>
                <w:color w:val="auto"/>
              </w:rPr>
              <w:t>备注：投标人可根据自身情况提供上述任意一种证明材料。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85" w:type="dxa"/>
            <w:vMerge w:val="continue"/>
            <w:tcBorders>
              <w:left w:val="single" w:color="auto" w:sz="4" w:space="0"/>
              <w:righ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p>
        </w:tc>
        <w:tc>
          <w:tcPr>
            <w:tcW w:w="1478" w:type="dxa"/>
            <w:tcBorders>
              <w:lef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r>
              <w:rPr>
                <w:rFonts w:hint="eastAsia"/>
                <w:color w:val="auto"/>
              </w:rPr>
              <w:t>履行合同所必需的设备和专业技术能力</w:t>
            </w:r>
          </w:p>
        </w:tc>
        <w:tc>
          <w:tcPr>
            <w:tcW w:w="7693" w:type="dxa"/>
            <w:tcMar>
              <w:top w:w="57" w:type="dxa"/>
              <w:left w:w="57" w:type="dxa"/>
              <w:bottom w:w="57" w:type="dxa"/>
              <w:right w:w="57" w:type="dxa"/>
            </w:tcMar>
            <w:vAlign w:val="center"/>
          </w:tcPr>
          <w:p>
            <w:pPr>
              <w:spacing w:line="240" w:lineRule="auto"/>
              <w:ind w:firstLine="0" w:firstLineChars="0"/>
              <w:rPr>
                <w:color w:val="auto"/>
              </w:rPr>
            </w:pPr>
            <w:r>
              <w:rPr>
                <w:color w:val="auto"/>
              </w:rPr>
              <w:t>提供可充分满足履行合同所需设备和专业技术能力的证明材料</w:t>
            </w:r>
            <w:r>
              <w:rPr>
                <w:rFonts w:hint="eastAsia"/>
                <w:color w:val="auto"/>
              </w:rPr>
              <w:t>复印</w:t>
            </w:r>
            <w:r>
              <w:rPr>
                <w:rFonts w:hint="eastAsia"/>
                <w:bCs/>
                <w:color w:val="auto"/>
              </w:rPr>
              <w:t>件</w:t>
            </w:r>
            <w:r>
              <w:rPr>
                <w:rFonts w:hint="eastAsia"/>
                <w:color w:val="auto"/>
              </w:rPr>
              <w:t>或承诺函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jc w:val="center"/>
        </w:trPr>
        <w:tc>
          <w:tcPr>
            <w:tcW w:w="785" w:type="dxa"/>
            <w:vMerge w:val="continue"/>
            <w:tcBorders>
              <w:left w:val="single" w:color="auto" w:sz="4" w:space="0"/>
              <w:righ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p>
        </w:tc>
        <w:tc>
          <w:tcPr>
            <w:tcW w:w="1478" w:type="dxa"/>
            <w:tcBorders>
              <w:lef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r>
              <w:rPr>
                <w:rFonts w:hint="eastAsia"/>
                <w:color w:val="auto"/>
              </w:rPr>
              <w:t>缴纳税收和社会保障资金</w:t>
            </w:r>
          </w:p>
        </w:tc>
        <w:tc>
          <w:tcPr>
            <w:tcW w:w="7693" w:type="dxa"/>
            <w:tcMar>
              <w:top w:w="57" w:type="dxa"/>
              <w:left w:w="57" w:type="dxa"/>
              <w:bottom w:w="57" w:type="dxa"/>
              <w:right w:w="57" w:type="dxa"/>
            </w:tcMar>
            <w:vAlign w:val="center"/>
          </w:tcPr>
          <w:p>
            <w:pPr>
              <w:spacing w:line="240" w:lineRule="auto"/>
              <w:rPr>
                <w:color w:val="auto"/>
              </w:rPr>
            </w:pPr>
            <w:r>
              <w:rPr>
                <w:rFonts w:hint="eastAsia"/>
                <w:color w:val="auto"/>
              </w:rPr>
              <w:t>缴税所属时间在2023年1月至今期间任意3个月的税务局税收通用缴款书复印件或银行电子缴税(费)凭证复印件或税务局出具纳税情况的相关证明复印件。（依法免税的，应提供依法免税的相关证明文件；2024年1月份及以后成立的投标人需出具承诺函）。</w:t>
            </w:r>
          </w:p>
          <w:p>
            <w:pPr>
              <w:spacing w:line="240" w:lineRule="auto"/>
              <w:rPr>
                <w:color w:val="auto"/>
              </w:rPr>
            </w:pPr>
            <w:r>
              <w:rPr>
                <w:rFonts w:hint="eastAsia"/>
                <w:color w:val="auto"/>
              </w:rPr>
              <w:t>缴费所属时间在2023年1月至今期间任意3个月的社会保险费缴款书复印件或银行电子缴税(费) 凭证复印件或社保管理部门出具的有效的缴款证明复印件。（依法免缴的，应提供依法免缴的相关证明文件；2024年1月份及以后成立的投标人需出具承诺函）。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85" w:type="dxa"/>
            <w:vMerge w:val="continue"/>
            <w:tcBorders>
              <w:left w:val="single" w:color="auto" w:sz="4" w:space="0"/>
              <w:righ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p>
        </w:tc>
        <w:tc>
          <w:tcPr>
            <w:tcW w:w="1478" w:type="dxa"/>
            <w:tcBorders>
              <w:left w:val="single" w:color="auto" w:sz="4" w:space="0"/>
            </w:tcBorders>
            <w:tcMar>
              <w:top w:w="57" w:type="dxa"/>
              <w:left w:w="57" w:type="dxa"/>
              <w:bottom w:w="57" w:type="dxa"/>
              <w:right w:w="57" w:type="dxa"/>
            </w:tcMar>
            <w:vAlign w:val="center"/>
          </w:tcPr>
          <w:p>
            <w:pPr>
              <w:spacing w:line="240" w:lineRule="auto"/>
              <w:ind w:firstLine="0" w:firstLineChars="0"/>
              <w:jc w:val="center"/>
              <w:rPr>
                <w:color w:val="auto"/>
              </w:rPr>
            </w:pPr>
            <w:r>
              <w:rPr>
                <w:rFonts w:hint="eastAsia"/>
                <w:color w:val="auto"/>
              </w:rPr>
              <w:t>没有重大违法记录</w:t>
            </w:r>
          </w:p>
        </w:tc>
        <w:tc>
          <w:tcPr>
            <w:tcW w:w="7693" w:type="dxa"/>
            <w:tcMar>
              <w:top w:w="57" w:type="dxa"/>
              <w:left w:w="57" w:type="dxa"/>
              <w:bottom w:w="57" w:type="dxa"/>
              <w:right w:w="57" w:type="dxa"/>
            </w:tcMar>
            <w:vAlign w:val="center"/>
          </w:tcPr>
          <w:p>
            <w:pPr>
              <w:spacing w:line="240" w:lineRule="auto"/>
              <w:ind w:firstLine="0" w:firstLineChars="0"/>
              <w:rPr>
                <w:color w:val="auto"/>
              </w:rPr>
            </w:pPr>
            <w:r>
              <w:rPr>
                <w:rFonts w:hint="eastAsia"/>
                <w:color w:val="auto"/>
              </w:rPr>
              <w:t>提供有效的参加政府采购活动前3年内在经营活动中没有重大违法记录的书面声明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3" w:hRule="atLeast"/>
          <w:jc w:val="center"/>
        </w:trPr>
        <w:tc>
          <w:tcPr>
            <w:tcW w:w="785" w:type="dxa"/>
            <w:vMerge w:val="continue"/>
            <w:tcBorders>
              <w:left w:val="single" w:color="auto" w:sz="4" w:space="0"/>
              <w:right w:val="single" w:color="auto" w:sz="4" w:space="0"/>
            </w:tcBorders>
          </w:tcPr>
          <w:p>
            <w:pPr>
              <w:spacing w:line="240" w:lineRule="auto"/>
              <w:ind w:firstLine="0" w:firstLineChars="0"/>
              <w:jc w:val="center"/>
              <w:rPr>
                <w:color w:val="auto"/>
              </w:rPr>
            </w:pPr>
          </w:p>
        </w:tc>
        <w:tc>
          <w:tcPr>
            <w:tcW w:w="1478" w:type="dxa"/>
            <w:vAlign w:val="center"/>
          </w:tcPr>
          <w:p>
            <w:pPr>
              <w:spacing w:line="240" w:lineRule="auto"/>
              <w:ind w:firstLine="0" w:firstLineChars="0"/>
              <w:jc w:val="center"/>
              <w:rPr>
                <w:color w:val="auto"/>
              </w:rPr>
            </w:pPr>
            <w:r>
              <w:rPr>
                <w:rFonts w:hint="eastAsia"/>
                <w:color w:val="auto"/>
              </w:rPr>
              <w:t>法律、行政法规规定的其他条件</w:t>
            </w:r>
          </w:p>
        </w:tc>
        <w:tc>
          <w:tcPr>
            <w:tcW w:w="7693" w:type="dxa"/>
            <w:vAlign w:val="center"/>
          </w:tcPr>
          <w:p>
            <w:pPr>
              <w:spacing w:line="240" w:lineRule="auto"/>
              <w:ind w:firstLine="0" w:firstLineChars="0"/>
              <w:rPr>
                <w:color w:val="auto"/>
              </w:rPr>
            </w:pPr>
            <w:r>
              <w:rPr>
                <w:rFonts w:hint="eastAsia"/>
                <w:color w:val="auto"/>
              </w:rPr>
              <w:t>投标人在国家企业信用信息公示系统上未被列入“严重违法失信名单（黑名单）信息”；未被信用中国列入“失信被执行人”（失信被执行人由《信用中国》跳转至《中国执行信息公开网》查询）；在中国政府采购网（www.ccgp.gov.cn）上无政府采购严重违法失信行为记录名单记录。由采购代理机构提供查询结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785" w:type="dxa"/>
            <w:vMerge w:val="continue"/>
            <w:tcBorders>
              <w:left w:val="single" w:color="auto" w:sz="4" w:space="0"/>
              <w:right w:val="single" w:color="auto" w:sz="4" w:space="0"/>
            </w:tcBorders>
          </w:tcPr>
          <w:p>
            <w:pPr>
              <w:spacing w:line="240" w:lineRule="auto"/>
              <w:ind w:firstLine="0" w:firstLineChars="0"/>
              <w:jc w:val="center"/>
              <w:rPr>
                <w:color w:val="auto"/>
              </w:rPr>
            </w:pPr>
          </w:p>
        </w:tc>
        <w:tc>
          <w:tcPr>
            <w:tcW w:w="1478" w:type="dxa"/>
            <w:vMerge w:val="restart"/>
            <w:vAlign w:val="center"/>
          </w:tcPr>
          <w:p>
            <w:pPr>
              <w:spacing w:line="240" w:lineRule="auto"/>
              <w:ind w:firstLine="0" w:firstLineChars="0"/>
              <w:jc w:val="center"/>
              <w:rPr>
                <w:color w:val="auto"/>
              </w:rPr>
            </w:pPr>
            <w:r>
              <w:rPr>
                <w:rFonts w:hint="eastAsia"/>
                <w:color w:val="auto"/>
              </w:rPr>
              <w:t>关联关系</w:t>
            </w:r>
          </w:p>
        </w:tc>
        <w:tc>
          <w:tcPr>
            <w:tcW w:w="7693" w:type="dxa"/>
            <w:vAlign w:val="center"/>
          </w:tcPr>
          <w:p>
            <w:pPr>
              <w:spacing w:line="240" w:lineRule="auto"/>
              <w:ind w:firstLine="0" w:firstLineChars="0"/>
              <w:rPr>
                <w:rFonts w:cs="仿宋"/>
                <w:color w:val="auto"/>
                <w:spacing w:val="8"/>
                <w:shd w:val="clear" w:color="auto" w:fill="FFFFFF"/>
              </w:rPr>
            </w:pPr>
            <w:r>
              <w:rPr>
                <w:rFonts w:hint="eastAsia"/>
                <w:color w:val="auto"/>
              </w:rPr>
              <w:t>提供“单位负责人为同一人或者存在控股、管理关系的不同单位，不得同时参加本项目的投标”相关说明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85" w:type="dxa"/>
            <w:vMerge w:val="continue"/>
            <w:tcBorders>
              <w:left w:val="single" w:color="auto" w:sz="4" w:space="0"/>
              <w:right w:val="single" w:color="auto" w:sz="4" w:space="0"/>
            </w:tcBorders>
          </w:tcPr>
          <w:p>
            <w:pPr>
              <w:spacing w:line="240" w:lineRule="auto"/>
              <w:ind w:firstLine="0" w:firstLineChars="0"/>
              <w:jc w:val="center"/>
              <w:rPr>
                <w:color w:val="auto"/>
              </w:rPr>
            </w:pPr>
          </w:p>
        </w:tc>
        <w:tc>
          <w:tcPr>
            <w:tcW w:w="1478" w:type="dxa"/>
            <w:vMerge w:val="continue"/>
            <w:vAlign w:val="center"/>
          </w:tcPr>
          <w:p>
            <w:pPr>
              <w:spacing w:line="240" w:lineRule="auto"/>
              <w:ind w:firstLine="0" w:firstLineChars="0"/>
              <w:jc w:val="center"/>
              <w:rPr>
                <w:color w:val="auto"/>
              </w:rPr>
            </w:pPr>
          </w:p>
        </w:tc>
        <w:tc>
          <w:tcPr>
            <w:tcW w:w="7693" w:type="dxa"/>
            <w:vAlign w:val="center"/>
          </w:tcPr>
          <w:p>
            <w:pPr>
              <w:spacing w:line="240" w:lineRule="auto"/>
              <w:ind w:firstLine="0" w:firstLineChars="0"/>
              <w:rPr>
                <w:color w:val="auto"/>
              </w:rPr>
            </w:pPr>
            <w:r>
              <w:rPr>
                <w:color w:val="auto"/>
              </w:rPr>
              <w:t>提供“</w:t>
            </w:r>
            <w:r>
              <w:rPr>
                <w:rFonts w:hint="eastAsia"/>
                <w:color w:val="auto"/>
              </w:rPr>
              <w:t>投标人不得直接或间接地与招标人为采购本次招标的项目进行设计、编制规范或其他文件所委托的咨询公司或其他附属机构、个人有任何关联</w:t>
            </w:r>
            <w:r>
              <w:rPr>
                <w:color w:val="auto"/>
              </w:rPr>
              <w:t>”</w:t>
            </w:r>
            <w:r>
              <w:rPr>
                <w:rFonts w:hint="eastAsia"/>
                <w:color w:val="auto"/>
              </w:rPr>
              <w:t>的承诺。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85" w:type="dxa"/>
            <w:vMerge w:val="continue"/>
            <w:tcBorders>
              <w:left w:val="single" w:color="auto" w:sz="4" w:space="0"/>
              <w:right w:val="single" w:color="auto" w:sz="4" w:space="0"/>
            </w:tcBorders>
          </w:tcPr>
          <w:p>
            <w:pPr>
              <w:spacing w:line="240" w:lineRule="auto"/>
              <w:ind w:firstLine="0" w:firstLineChars="0"/>
              <w:jc w:val="center"/>
              <w:rPr>
                <w:color w:val="auto"/>
              </w:rPr>
            </w:pPr>
          </w:p>
        </w:tc>
        <w:tc>
          <w:tcPr>
            <w:tcW w:w="1478" w:type="dxa"/>
            <w:vAlign w:val="center"/>
          </w:tcPr>
          <w:p>
            <w:pPr>
              <w:tabs>
                <w:tab w:val="left" w:pos="664"/>
              </w:tabs>
              <w:spacing w:line="240" w:lineRule="auto"/>
              <w:ind w:firstLine="0" w:firstLineChars="0"/>
              <w:jc w:val="center"/>
              <w:rPr>
                <w:color w:val="auto"/>
              </w:rPr>
            </w:pPr>
            <w:r>
              <w:rPr>
                <w:rFonts w:hint="eastAsia"/>
                <w:color w:val="auto"/>
              </w:rPr>
              <w:t>本项目不接受联合体投标</w:t>
            </w:r>
          </w:p>
        </w:tc>
        <w:tc>
          <w:tcPr>
            <w:tcW w:w="7693" w:type="dxa"/>
            <w:vAlign w:val="center"/>
          </w:tcPr>
          <w:p>
            <w:pPr>
              <w:spacing w:line="240" w:lineRule="auto"/>
              <w:ind w:firstLine="0" w:firstLineChars="0"/>
              <w:rPr>
                <w:color w:val="auto"/>
              </w:rPr>
            </w:pPr>
            <w:r>
              <w:rPr>
                <w:color w:val="auto"/>
              </w:rPr>
              <w:t>提供“</w:t>
            </w:r>
            <w:r>
              <w:rPr>
                <w:rFonts w:hint="eastAsia"/>
                <w:color w:val="auto"/>
              </w:rPr>
              <w:t>非联合体投标</w:t>
            </w:r>
            <w:r>
              <w:rPr>
                <w:color w:val="auto"/>
              </w:rPr>
              <w:t>”</w:t>
            </w:r>
            <w:r>
              <w:rPr>
                <w:rFonts w:hint="eastAsia"/>
                <w:color w:val="auto"/>
              </w:rPr>
              <w:t>的承诺</w:t>
            </w:r>
          </w:p>
        </w:tc>
      </w:tr>
    </w:tbl>
    <w:p>
      <w:pPr>
        <w:spacing w:line="240" w:lineRule="auto"/>
        <w:rPr>
          <w:color w:val="auto"/>
        </w:rPr>
      </w:pPr>
      <w:r>
        <w:rPr>
          <w:rFonts w:hint="eastAsia"/>
          <w:color w:val="auto"/>
        </w:rPr>
        <w:t>依据法律法规和招标文件的规定，对投标文件中的资格证明文件进行审查进行资格审查，若资格审查不合格，则不进入到下一步符合性审查，若符合性审查不合格，则不进入到下一步详细评审。合格投标人不足3家的，不得评标。</w:t>
      </w:r>
    </w:p>
    <w:p>
      <w:pPr>
        <w:spacing w:line="240" w:lineRule="auto"/>
        <w:rPr>
          <w:color w:val="auto"/>
        </w:rPr>
      </w:pPr>
      <w:r>
        <w:rPr>
          <w:rFonts w:hint="eastAsia"/>
          <w:color w:val="auto"/>
        </w:rPr>
        <w:br w:type="page"/>
      </w:r>
    </w:p>
    <w:p>
      <w:pPr>
        <w:pStyle w:val="2"/>
        <w:spacing w:line="240" w:lineRule="auto"/>
        <w:rPr>
          <w:color w:val="auto"/>
          <w:sz w:val="32"/>
          <w:szCs w:val="32"/>
        </w:rPr>
      </w:pPr>
      <w:bookmarkStart w:id="79" w:name="_Toc14619"/>
      <w:r>
        <w:rPr>
          <w:rFonts w:hint="eastAsia"/>
          <w:color w:val="auto"/>
          <w:sz w:val="32"/>
          <w:szCs w:val="32"/>
        </w:rPr>
        <w:t>第七章 评审办法</w:t>
      </w:r>
      <w:bookmarkEnd w:id="79"/>
    </w:p>
    <w:p>
      <w:pPr>
        <w:pStyle w:val="3"/>
        <w:spacing w:line="240" w:lineRule="auto"/>
        <w:ind w:firstLine="0" w:firstLineChars="0"/>
        <w:jc w:val="center"/>
        <w:rPr>
          <w:color w:val="auto"/>
          <w:sz w:val="28"/>
          <w:szCs w:val="28"/>
        </w:rPr>
      </w:pPr>
      <w:bookmarkStart w:id="80" w:name="_Toc2601"/>
      <w:r>
        <w:rPr>
          <w:rFonts w:hint="eastAsia"/>
          <w:color w:val="auto"/>
          <w:sz w:val="28"/>
          <w:szCs w:val="28"/>
        </w:rPr>
        <w:t>评审办法前附表</w:t>
      </w:r>
      <w:bookmarkEnd w:id="80"/>
    </w:p>
    <w:tbl>
      <w:tblPr>
        <w:tblStyle w:val="36"/>
        <w:tblpPr w:leftFromText="180" w:rightFromText="180" w:vertAnchor="text" w:horzAnchor="page" w:tblpXSpec="center" w:tblpY="1007"/>
        <w:tblOverlap w:val="never"/>
        <w:tblW w:w="1066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3"/>
        <w:gridCol w:w="1017"/>
        <w:gridCol w:w="1408"/>
        <w:gridCol w:w="781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440" w:type="dxa"/>
            <w:gridSpan w:val="2"/>
            <w:tcBorders>
              <w:bottom w:val="single" w:color="auto" w:sz="4" w:space="0"/>
            </w:tcBorders>
            <w:tcMar>
              <w:top w:w="57" w:type="dxa"/>
              <w:left w:w="57" w:type="dxa"/>
              <w:bottom w:w="57" w:type="dxa"/>
              <w:right w:w="57" w:type="dxa"/>
            </w:tcMar>
            <w:vAlign w:val="center"/>
          </w:tcPr>
          <w:p>
            <w:pPr>
              <w:spacing w:line="240" w:lineRule="auto"/>
              <w:ind w:firstLine="0" w:firstLineChars="0"/>
              <w:jc w:val="center"/>
              <w:rPr>
                <w:b/>
                <w:bCs/>
                <w:color w:val="auto"/>
              </w:rPr>
            </w:pPr>
            <w:r>
              <w:rPr>
                <w:rFonts w:hint="eastAsia"/>
                <w:b/>
                <w:bCs/>
                <w:color w:val="auto"/>
              </w:rPr>
              <w:t>条款号</w:t>
            </w:r>
          </w:p>
        </w:tc>
        <w:tc>
          <w:tcPr>
            <w:tcW w:w="1408" w:type="dxa"/>
            <w:tcMar>
              <w:top w:w="57" w:type="dxa"/>
              <w:left w:w="57" w:type="dxa"/>
              <w:bottom w:w="57" w:type="dxa"/>
              <w:right w:w="57" w:type="dxa"/>
            </w:tcMar>
            <w:vAlign w:val="center"/>
          </w:tcPr>
          <w:p>
            <w:pPr>
              <w:spacing w:line="240" w:lineRule="auto"/>
              <w:ind w:firstLine="0" w:firstLineChars="0"/>
              <w:jc w:val="center"/>
              <w:rPr>
                <w:b/>
                <w:bCs/>
                <w:color w:val="auto"/>
              </w:rPr>
            </w:pPr>
            <w:r>
              <w:rPr>
                <w:rFonts w:hint="eastAsia"/>
                <w:b/>
                <w:bCs/>
                <w:color w:val="auto"/>
              </w:rPr>
              <w:t>评审内容</w:t>
            </w:r>
          </w:p>
        </w:tc>
        <w:tc>
          <w:tcPr>
            <w:tcW w:w="7818" w:type="dxa"/>
            <w:tcMar>
              <w:top w:w="57" w:type="dxa"/>
              <w:left w:w="57" w:type="dxa"/>
              <w:bottom w:w="57" w:type="dxa"/>
              <w:right w:w="57" w:type="dxa"/>
            </w:tcMar>
            <w:vAlign w:val="center"/>
          </w:tcPr>
          <w:p>
            <w:pPr>
              <w:spacing w:line="240" w:lineRule="auto"/>
              <w:ind w:firstLine="0" w:firstLineChars="0"/>
              <w:jc w:val="center"/>
              <w:rPr>
                <w:b/>
                <w:bCs/>
                <w:color w:val="auto"/>
              </w:rPr>
            </w:pPr>
            <w:r>
              <w:rPr>
                <w:rFonts w:hint="eastAsia"/>
                <w:b/>
                <w:bCs/>
                <w:color w:val="auto"/>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restart"/>
            <w:tcBorders>
              <w:top w:val="single" w:color="auto" w:sz="4" w:space="0"/>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r>
              <w:rPr>
                <w:rFonts w:hint="eastAsia"/>
                <w:color w:val="auto"/>
                <w:spacing w:val="-3"/>
              </w:rPr>
              <w:t>2.2</w:t>
            </w:r>
          </w:p>
        </w:tc>
        <w:tc>
          <w:tcPr>
            <w:tcW w:w="1017" w:type="dxa"/>
            <w:vMerge w:val="restart"/>
            <w:tcBorders>
              <w:top w:val="single" w:color="auto" w:sz="4" w:space="0"/>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r>
              <w:rPr>
                <w:rFonts w:hint="eastAsia"/>
                <w:color w:val="auto"/>
                <w:spacing w:val="-3"/>
              </w:rPr>
              <w:t>符合性审查标准</w:t>
            </w:r>
          </w:p>
        </w:tc>
        <w:tc>
          <w:tcPr>
            <w:tcW w:w="1408" w:type="dxa"/>
            <w:tcBorders>
              <w:lef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r>
              <w:rPr>
                <w:rFonts w:hint="eastAsia"/>
                <w:color w:val="auto"/>
                <w:spacing w:val="-3"/>
              </w:rPr>
              <w:t>投标保证金</w:t>
            </w:r>
          </w:p>
        </w:tc>
        <w:tc>
          <w:tcPr>
            <w:tcW w:w="7818"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spacing w:val="-3"/>
              </w:rPr>
            </w:pPr>
            <w:r>
              <w:rPr>
                <w:rFonts w:hint="eastAsia"/>
                <w:color w:val="auto"/>
                <w:spacing w:val="-3"/>
              </w:rPr>
              <w:t>符合第二章“投标人须知”第 15.1 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r>
              <w:rPr>
                <w:rFonts w:hint="eastAsia"/>
                <w:color w:val="auto"/>
                <w:spacing w:val="-3"/>
              </w:rPr>
              <w:t>签字及盖章</w:t>
            </w:r>
          </w:p>
        </w:tc>
        <w:tc>
          <w:tcPr>
            <w:tcW w:w="7818"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spacing w:val="-3"/>
              </w:rPr>
            </w:pPr>
            <w:r>
              <w:rPr>
                <w:rFonts w:hint="eastAsia"/>
                <w:color w:val="auto"/>
                <w:spacing w:val="-3"/>
              </w:rPr>
              <w:t>投标文件应按招标文件要求在指定位置签字、署名、盖章；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r>
              <w:rPr>
                <w:rFonts w:hint="eastAsia"/>
                <w:color w:val="auto"/>
                <w:spacing w:val="-3"/>
              </w:rPr>
              <w:t>投标文件格式</w:t>
            </w:r>
          </w:p>
        </w:tc>
        <w:tc>
          <w:tcPr>
            <w:tcW w:w="7818"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spacing w:val="-3"/>
              </w:rPr>
            </w:pPr>
            <w:r>
              <w:rPr>
                <w:rFonts w:hint="eastAsia"/>
                <w:color w:val="auto"/>
                <w:spacing w:val="-3"/>
              </w:rPr>
              <w:t>符合第四章“投标文件格式”内容的要求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r>
              <w:rPr>
                <w:rFonts w:hint="eastAsia"/>
                <w:color w:val="auto"/>
                <w:spacing w:val="-3"/>
              </w:rPr>
              <w:t>报价</w:t>
            </w:r>
          </w:p>
        </w:tc>
        <w:tc>
          <w:tcPr>
            <w:tcW w:w="7818"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spacing w:val="-3"/>
              </w:rPr>
            </w:pPr>
            <w:r>
              <w:rPr>
                <w:rFonts w:hint="eastAsia"/>
                <w:color w:val="auto"/>
                <w:spacing w:val="-3"/>
              </w:rPr>
              <w:t>投标人在</w:t>
            </w:r>
            <w:r>
              <w:rPr>
                <w:rFonts w:hint="eastAsia"/>
                <w:color w:val="auto"/>
                <w:spacing w:val="-3"/>
                <w:lang w:val="zh-CN"/>
              </w:rPr>
              <w:t>递交</w:t>
            </w:r>
            <w:r>
              <w:rPr>
                <w:rFonts w:hint="eastAsia"/>
                <w:color w:val="auto"/>
                <w:spacing w:val="-3"/>
              </w:rPr>
              <w:t>投标</w:t>
            </w:r>
            <w:r>
              <w:rPr>
                <w:rFonts w:hint="eastAsia"/>
                <w:color w:val="auto"/>
                <w:spacing w:val="-3"/>
                <w:lang w:val="zh-CN"/>
              </w:rPr>
              <w:t>文件中对项目报有</w:t>
            </w:r>
            <w:r>
              <w:rPr>
                <w:rFonts w:hint="eastAsia"/>
                <w:color w:val="auto"/>
                <w:spacing w:val="-3"/>
              </w:rPr>
              <w:t>一个报价</w:t>
            </w:r>
            <w:r>
              <w:rPr>
                <w:rFonts w:hint="eastAsia"/>
                <w:color w:val="auto"/>
                <w:spacing w:val="-3"/>
                <w:lang w:val="zh-CN"/>
              </w:rPr>
              <w:t>。报价</w:t>
            </w:r>
            <w:r>
              <w:rPr>
                <w:rFonts w:hint="eastAsia"/>
                <w:color w:val="auto"/>
                <w:spacing w:val="-3"/>
              </w:rPr>
              <w:t>未</w:t>
            </w:r>
            <w:r>
              <w:rPr>
                <w:rFonts w:hint="eastAsia"/>
                <w:color w:val="auto"/>
                <w:spacing w:val="-3"/>
                <w:lang w:val="zh-CN"/>
              </w:rPr>
              <w:t>超过招标文件中规定的最高限价。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r>
              <w:rPr>
                <w:rFonts w:hint="eastAsia"/>
                <w:color w:val="auto"/>
                <w:spacing w:val="-3"/>
              </w:rPr>
              <w:t>标的物数量</w:t>
            </w:r>
          </w:p>
        </w:tc>
        <w:tc>
          <w:tcPr>
            <w:tcW w:w="7818"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spacing w:val="-3"/>
              </w:rPr>
            </w:pPr>
            <w:r>
              <w:rPr>
                <w:rFonts w:hint="eastAsia"/>
                <w:color w:val="auto"/>
                <w:spacing w:val="-3"/>
              </w:rPr>
              <w:t>投标标的物数量满足招标文件要求；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lang w:val="zh-CN"/>
              </w:rPr>
            </w:pPr>
            <w:r>
              <w:rPr>
                <w:rFonts w:hint="eastAsia"/>
                <w:color w:val="auto"/>
                <w:spacing w:val="-3"/>
              </w:rPr>
              <w:t>虚假材料</w:t>
            </w:r>
          </w:p>
        </w:tc>
        <w:tc>
          <w:tcPr>
            <w:tcW w:w="7818"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spacing w:val="-3"/>
                <w:lang w:val="zh-CN"/>
              </w:rPr>
            </w:pPr>
            <w:r>
              <w:rPr>
                <w:rFonts w:hint="eastAsia"/>
                <w:color w:val="auto"/>
                <w:spacing w:val="-3"/>
              </w:rPr>
              <w:t>不能</w:t>
            </w:r>
            <w:r>
              <w:rPr>
                <w:rFonts w:hint="eastAsia"/>
                <w:color w:val="auto"/>
                <w:spacing w:val="-3"/>
                <w:lang w:val="zh-CN"/>
              </w:rPr>
              <w:t>提供虚假材料；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r>
              <w:rPr>
                <w:rFonts w:hint="eastAsia"/>
                <w:color w:val="auto"/>
                <w:spacing w:val="-3"/>
              </w:rPr>
              <w:t>投标有效期</w:t>
            </w:r>
          </w:p>
        </w:tc>
        <w:tc>
          <w:tcPr>
            <w:tcW w:w="7818"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spacing w:val="-3"/>
              </w:rPr>
            </w:pPr>
            <w:r>
              <w:rPr>
                <w:rFonts w:hint="eastAsia"/>
                <w:color w:val="auto"/>
                <w:spacing w:val="-3"/>
              </w:rPr>
              <w:t>投标有效期为递交投标文件截止日期后90个日历天。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r>
              <w:rPr>
                <w:rFonts w:hint="eastAsia"/>
                <w:color w:val="auto"/>
                <w:spacing w:val="-3"/>
              </w:rPr>
              <w:t>围标串标</w:t>
            </w:r>
          </w:p>
        </w:tc>
        <w:tc>
          <w:tcPr>
            <w:tcW w:w="7818"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spacing w:val="-3"/>
              </w:rPr>
            </w:pPr>
            <w:r>
              <w:rPr>
                <w:rFonts w:hint="eastAsia"/>
                <w:color w:val="auto"/>
                <w:spacing w:val="-3"/>
              </w:rPr>
              <w:t>不</w:t>
            </w:r>
            <w:r>
              <w:rPr>
                <w:rFonts w:hint="eastAsia"/>
                <w:color w:val="auto"/>
                <w:spacing w:val="-3"/>
                <w:lang w:val="zh-CN"/>
              </w:rPr>
              <w:t>存在“第二章投标人须知</w:t>
            </w:r>
            <w:r>
              <w:rPr>
                <w:rFonts w:hint="eastAsia"/>
                <w:color w:val="auto"/>
                <w:spacing w:val="-3"/>
              </w:rPr>
              <w:t>20.6和20.7</w:t>
            </w:r>
            <w:r>
              <w:rPr>
                <w:rFonts w:hint="eastAsia"/>
                <w:color w:val="auto"/>
                <w:spacing w:val="-3"/>
                <w:lang w:val="zh-CN"/>
              </w:rPr>
              <w:t>”中所列情形；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3"/>
              </w:rPr>
            </w:pPr>
            <w:r>
              <w:rPr>
                <w:rFonts w:hint="eastAsia"/>
                <w:color w:val="auto"/>
                <w:spacing w:val="-3"/>
              </w:rPr>
              <w:t>其他</w:t>
            </w:r>
          </w:p>
        </w:tc>
        <w:tc>
          <w:tcPr>
            <w:tcW w:w="7818"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spacing w:val="-3"/>
                <w:lang w:val="zh-CN"/>
              </w:rPr>
            </w:pPr>
            <w:r>
              <w:rPr>
                <w:rFonts w:hint="eastAsia"/>
                <w:color w:val="auto"/>
                <w:spacing w:val="-3"/>
              </w:rPr>
              <w:t>投标</w:t>
            </w:r>
            <w:r>
              <w:rPr>
                <w:rFonts w:hint="eastAsia"/>
                <w:color w:val="auto"/>
                <w:spacing w:val="-3"/>
                <w:lang w:val="zh-CN"/>
              </w:rPr>
              <w:t>文件</w:t>
            </w:r>
            <w:r>
              <w:rPr>
                <w:rFonts w:hint="eastAsia"/>
                <w:color w:val="auto"/>
                <w:spacing w:val="-3"/>
              </w:rPr>
              <w:t>无招标</w:t>
            </w:r>
            <w:r>
              <w:rPr>
                <w:rFonts w:hint="eastAsia"/>
                <w:color w:val="auto"/>
                <w:spacing w:val="-3"/>
                <w:lang w:val="zh-CN"/>
              </w:rPr>
              <w:t>人不能接受的条件</w:t>
            </w:r>
            <w:r>
              <w:rPr>
                <w:rFonts w:hint="eastAsia"/>
                <w:color w:val="auto"/>
              </w:rPr>
              <w:t>（其中4标包、5标包、8标包，若为非进口底盘投标的，将不通过符合性审查）</w:t>
            </w:r>
            <w:r>
              <w:rPr>
                <w:rFonts w:hint="eastAsia"/>
                <w:color w:val="auto"/>
                <w:spacing w:val="-3"/>
                <w:lang w:val="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jc w:val="center"/>
        </w:trPr>
        <w:tc>
          <w:tcPr>
            <w:tcW w:w="423" w:type="dxa"/>
            <w:vMerge w:val="restart"/>
            <w:tcBorders>
              <w:top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rPr>
            </w:pPr>
            <w:r>
              <w:rPr>
                <w:rFonts w:hint="eastAsia"/>
                <w:color w:val="auto"/>
                <w:spacing w:val="-2"/>
              </w:rPr>
              <w:t>2.3</w:t>
            </w:r>
          </w:p>
        </w:tc>
        <w:tc>
          <w:tcPr>
            <w:tcW w:w="1017" w:type="dxa"/>
            <w:vMerge w:val="restart"/>
            <w:tcBorders>
              <w:top w:val="single" w:color="auto" w:sz="4" w:space="0"/>
            </w:tcBorders>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rPr>
            </w:pPr>
            <w:r>
              <w:rPr>
                <w:rFonts w:hint="eastAsia"/>
                <w:color w:val="auto"/>
                <w:spacing w:val="1"/>
              </w:rPr>
              <w:t>详</w:t>
            </w:r>
            <w:r>
              <w:rPr>
                <w:rFonts w:hint="eastAsia"/>
                <w:color w:val="auto"/>
              </w:rPr>
              <w:t>细评审</w:t>
            </w:r>
            <w:r>
              <w:rPr>
                <w:rFonts w:hint="eastAsia"/>
                <w:color w:val="auto"/>
                <w:spacing w:val="-2"/>
              </w:rPr>
              <w:t>标准</w:t>
            </w:r>
          </w:p>
        </w:tc>
        <w:tc>
          <w:tcPr>
            <w:tcW w:w="1408" w:type="dxa"/>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rPr>
            </w:pPr>
            <w:r>
              <w:rPr>
                <w:rFonts w:hint="eastAsia"/>
                <w:color w:val="auto"/>
                <w:spacing w:val="12"/>
              </w:rPr>
              <w:t>1)总得分计算</w:t>
            </w:r>
            <w:r>
              <w:rPr>
                <w:rFonts w:hint="eastAsia"/>
                <w:color w:val="auto"/>
                <w:spacing w:val="-4"/>
              </w:rPr>
              <w:t>公</w:t>
            </w:r>
            <w:r>
              <w:rPr>
                <w:rFonts w:hint="eastAsia"/>
                <w:color w:val="auto"/>
                <w:spacing w:val="-3"/>
              </w:rPr>
              <w:t>式</w:t>
            </w:r>
          </w:p>
        </w:tc>
        <w:tc>
          <w:tcPr>
            <w:tcW w:w="7818" w:type="dxa"/>
            <w:tcMar>
              <w:top w:w="57" w:type="dxa"/>
              <w:left w:w="57" w:type="dxa"/>
              <w:bottom w:w="57" w:type="dxa"/>
              <w:right w:w="57" w:type="dxa"/>
            </w:tcMar>
            <w:vAlign w:val="center"/>
          </w:tcPr>
          <w:p>
            <w:pPr>
              <w:kinsoku w:val="0"/>
              <w:autoSpaceDE w:val="0"/>
              <w:autoSpaceDN w:val="0"/>
              <w:spacing w:line="240" w:lineRule="auto"/>
              <w:ind w:firstLine="0" w:firstLineChars="0"/>
              <w:rPr>
                <w:color w:val="auto"/>
              </w:rPr>
            </w:pPr>
            <w:r>
              <w:rPr>
                <w:rFonts w:hint="eastAsia"/>
                <w:color w:val="auto"/>
              </w:rPr>
              <w:t>投标人的总得分＝F1＋F2＋F3。其中：F1、F2、F3分别为报价部分、技术部分及商务部分3项评分因素的汇总得分。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jc w:val="center"/>
        </w:trPr>
        <w:tc>
          <w:tcPr>
            <w:tcW w:w="423" w:type="dxa"/>
            <w:vMerge w:val="continue"/>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rPr>
            </w:pPr>
          </w:p>
        </w:tc>
        <w:tc>
          <w:tcPr>
            <w:tcW w:w="1017" w:type="dxa"/>
            <w:vMerge w:val="continue"/>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rPr>
            </w:pPr>
          </w:p>
        </w:tc>
        <w:tc>
          <w:tcPr>
            <w:tcW w:w="1408" w:type="dxa"/>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rPr>
            </w:pPr>
            <w:r>
              <w:rPr>
                <w:rFonts w:hint="eastAsia"/>
                <w:color w:val="auto"/>
                <w:spacing w:val="17"/>
              </w:rPr>
              <w:t>2</w:t>
            </w:r>
            <w:r>
              <w:rPr>
                <w:rFonts w:hint="eastAsia"/>
                <w:color w:val="auto"/>
                <w:spacing w:val="16"/>
              </w:rPr>
              <w:t>)分值构成</w:t>
            </w:r>
          </w:p>
        </w:tc>
        <w:tc>
          <w:tcPr>
            <w:tcW w:w="7818" w:type="dxa"/>
            <w:tcMar>
              <w:top w:w="57" w:type="dxa"/>
              <w:left w:w="57" w:type="dxa"/>
              <w:bottom w:w="57" w:type="dxa"/>
              <w:right w:w="57" w:type="dxa"/>
            </w:tcMar>
            <w:vAlign w:val="center"/>
          </w:tcPr>
          <w:p>
            <w:pPr>
              <w:kinsoku w:val="0"/>
              <w:autoSpaceDE w:val="0"/>
              <w:autoSpaceDN w:val="0"/>
              <w:adjustRightInd/>
              <w:spacing w:line="240" w:lineRule="auto"/>
              <w:ind w:firstLine="0" w:firstLineChars="0"/>
              <w:rPr>
                <w:color w:val="auto"/>
              </w:rPr>
            </w:pPr>
            <w:r>
              <w:rPr>
                <w:rFonts w:hint="eastAsia"/>
                <w:color w:val="auto"/>
              </w:rPr>
              <w:t>报价部分 F1：30分</w:t>
            </w:r>
          </w:p>
          <w:p>
            <w:pPr>
              <w:kinsoku w:val="0"/>
              <w:autoSpaceDE w:val="0"/>
              <w:autoSpaceDN w:val="0"/>
              <w:adjustRightInd/>
              <w:spacing w:line="240" w:lineRule="auto"/>
              <w:ind w:firstLine="0" w:firstLineChars="0"/>
              <w:rPr>
                <w:color w:val="auto"/>
              </w:rPr>
            </w:pPr>
            <w:r>
              <w:rPr>
                <w:rFonts w:hint="eastAsia"/>
                <w:color w:val="auto"/>
              </w:rPr>
              <w:t>技术部分 F2：50分</w:t>
            </w:r>
          </w:p>
          <w:p>
            <w:pPr>
              <w:kinsoku w:val="0"/>
              <w:autoSpaceDE w:val="0"/>
              <w:autoSpaceDN w:val="0"/>
              <w:adjustRightInd/>
              <w:spacing w:line="240" w:lineRule="auto"/>
              <w:ind w:firstLine="0" w:firstLineChars="0"/>
              <w:rPr>
                <w:color w:val="auto"/>
              </w:rPr>
            </w:pPr>
            <w:r>
              <w:rPr>
                <w:rFonts w:hint="eastAsia"/>
                <w:color w:val="auto"/>
              </w:rPr>
              <w:t>商务部分 F3：20分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jc w:val="center"/>
        </w:trPr>
        <w:tc>
          <w:tcPr>
            <w:tcW w:w="423" w:type="dxa"/>
            <w:vMerge w:val="continue"/>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rPr>
            </w:pPr>
          </w:p>
        </w:tc>
        <w:tc>
          <w:tcPr>
            <w:tcW w:w="1017" w:type="dxa"/>
            <w:vMerge w:val="continue"/>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rPr>
            </w:pPr>
          </w:p>
        </w:tc>
        <w:tc>
          <w:tcPr>
            <w:tcW w:w="1408" w:type="dxa"/>
            <w:tcMar>
              <w:top w:w="57" w:type="dxa"/>
              <w:left w:w="57" w:type="dxa"/>
              <w:bottom w:w="57" w:type="dxa"/>
              <w:right w:w="57" w:type="dxa"/>
            </w:tcMar>
            <w:vAlign w:val="center"/>
          </w:tcPr>
          <w:p>
            <w:pPr>
              <w:numPr>
                <w:ilvl w:val="0"/>
                <w:numId w:val="7"/>
              </w:numPr>
              <w:kinsoku w:val="0"/>
              <w:autoSpaceDE w:val="0"/>
              <w:autoSpaceDN w:val="0"/>
              <w:adjustRightInd/>
              <w:spacing w:line="240" w:lineRule="auto"/>
              <w:ind w:firstLine="0" w:firstLineChars="0"/>
              <w:jc w:val="center"/>
              <w:rPr>
                <w:color w:val="auto"/>
                <w:spacing w:val="-10"/>
              </w:rPr>
            </w:pPr>
            <w:r>
              <w:rPr>
                <w:rFonts w:hint="eastAsia"/>
                <w:color w:val="auto"/>
                <w:spacing w:val="13"/>
              </w:rPr>
              <w:t>报价部分</w:t>
            </w:r>
          </w:p>
          <w:p>
            <w:pPr>
              <w:kinsoku w:val="0"/>
              <w:autoSpaceDE w:val="0"/>
              <w:autoSpaceDN w:val="0"/>
              <w:adjustRightInd/>
              <w:spacing w:line="240" w:lineRule="auto"/>
              <w:ind w:firstLine="0" w:firstLineChars="0"/>
              <w:jc w:val="center"/>
              <w:rPr>
                <w:color w:val="auto"/>
                <w:spacing w:val="-10"/>
              </w:rPr>
            </w:pPr>
            <w:r>
              <w:rPr>
                <w:rFonts w:hint="eastAsia"/>
                <w:color w:val="auto"/>
                <w:spacing w:val="13"/>
              </w:rPr>
              <w:t>得</w:t>
            </w:r>
            <w:r>
              <w:rPr>
                <w:rFonts w:hint="eastAsia"/>
                <w:color w:val="auto"/>
                <w:spacing w:val="-13"/>
              </w:rPr>
              <w:t>分</w:t>
            </w:r>
            <w:r>
              <w:rPr>
                <w:rFonts w:hint="eastAsia"/>
                <w:color w:val="auto"/>
                <w:spacing w:val="-10"/>
              </w:rPr>
              <w:t xml:space="preserve"> F1</w:t>
            </w:r>
          </w:p>
          <w:p>
            <w:pPr>
              <w:kinsoku w:val="0"/>
              <w:autoSpaceDE w:val="0"/>
              <w:autoSpaceDN w:val="0"/>
              <w:adjustRightInd/>
              <w:spacing w:line="240" w:lineRule="auto"/>
              <w:ind w:firstLine="0" w:firstLineChars="0"/>
              <w:jc w:val="center"/>
              <w:rPr>
                <w:color w:val="auto"/>
              </w:rPr>
            </w:pPr>
            <w:r>
              <w:rPr>
                <w:rFonts w:hint="eastAsia"/>
                <w:color w:val="auto"/>
                <w:spacing w:val="-10"/>
              </w:rPr>
              <w:t>(满分30</w:t>
            </w:r>
            <w:r>
              <w:rPr>
                <w:rFonts w:hint="eastAsia"/>
                <w:color w:val="auto"/>
                <w:spacing w:val="-9"/>
              </w:rPr>
              <w:t>分</w:t>
            </w:r>
            <w:r>
              <w:rPr>
                <w:rFonts w:hint="eastAsia"/>
                <w:color w:val="auto"/>
                <w:spacing w:val="-7"/>
              </w:rPr>
              <w:t>)</w:t>
            </w:r>
          </w:p>
        </w:tc>
        <w:tc>
          <w:tcPr>
            <w:tcW w:w="7818" w:type="dxa"/>
            <w:tcMar>
              <w:top w:w="57" w:type="dxa"/>
              <w:left w:w="57" w:type="dxa"/>
              <w:bottom w:w="57" w:type="dxa"/>
              <w:right w:w="57" w:type="dxa"/>
            </w:tcMar>
            <w:vAlign w:val="center"/>
          </w:tcPr>
          <w:p>
            <w:pPr>
              <w:kinsoku w:val="0"/>
              <w:autoSpaceDE w:val="0"/>
              <w:autoSpaceDN w:val="0"/>
              <w:adjustRightInd/>
              <w:spacing w:line="240" w:lineRule="auto"/>
              <w:rPr>
                <w:color w:val="auto"/>
              </w:rPr>
            </w:pPr>
            <w:r>
              <w:rPr>
                <w:rFonts w:hint="eastAsia"/>
                <w:color w:val="auto"/>
              </w:rPr>
              <w:t>综合评分法中的价格分统一采用低价优先法计算，即满足招标文件要求且报价最低的投标人的价格为评标基准价，其价格分为满分。其他投标人的价格分统一按照下列公式计算：</w:t>
            </w:r>
          </w:p>
          <w:p>
            <w:pPr>
              <w:kinsoku w:val="0"/>
              <w:autoSpaceDE w:val="0"/>
              <w:autoSpaceDN w:val="0"/>
              <w:adjustRightInd/>
              <w:spacing w:line="240" w:lineRule="auto"/>
              <w:rPr>
                <w:color w:val="auto"/>
              </w:rPr>
            </w:pPr>
            <w:r>
              <w:rPr>
                <w:rFonts w:hint="eastAsia"/>
                <w:color w:val="auto"/>
              </w:rPr>
              <w:t>投标报价得分=评标基准价/投标报价×30</w:t>
            </w:r>
          </w:p>
          <w:p>
            <w:pPr>
              <w:kinsoku w:val="0"/>
              <w:autoSpaceDE w:val="0"/>
              <w:autoSpaceDN w:val="0"/>
              <w:adjustRightInd/>
              <w:spacing w:line="240" w:lineRule="auto"/>
              <w:rPr>
                <w:color w:val="auto"/>
              </w:rPr>
            </w:pPr>
            <w:r>
              <w:rPr>
                <w:rFonts w:hint="eastAsia"/>
                <w:color w:val="auto"/>
              </w:rPr>
              <w:t>备注：本项目3标包器材消防车为专门面向中小企业采购的项目，故不再执行价格优惠扣除。非中小企业投标人来参与本项目3标包器材消防车投标的，将被拒绝。</w:t>
            </w:r>
          </w:p>
          <w:p>
            <w:pPr>
              <w:kinsoku w:val="0"/>
              <w:autoSpaceDE w:val="0"/>
              <w:autoSpaceDN w:val="0"/>
              <w:adjustRightInd/>
              <w:spacing w:line="240" w:lineRule="auto"/>
              <w:rPr>
                <w:color w:val="auto"/>
              </w:rPr>
            </w:pPr>
            <w:r>
              <w:rPr>
                <w:rFonts w:hint="eastAsia"/>
                <w:color w:val="auto"/>
              </w:rPr>
              <w:t>除了3标包以外的所有标包均为非专门面向中小企业采购的项目。评审时，给予小型、微型企业10%的价格扣除，用扣除后的价格作为评标价参与报价得分计算。即：评标价=投标报价×(1-10%)。监狱企业、残疾人福利性单位视同小微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jc w:val="center"/>
        </w:trPr>
        <w:tc>
          <w:tcPr>
            <w:tcW w:w="423" w:type="dxa"/>
            <w:vMerge w:val="continue"/>
            <w:tcMar>
              <w:top w:w="57" w:type="dxa"/>
              <w:left w:w="57" w:type="dxa"/>
              <w:bottom w:w="57" w:type="dxa"/>
              <w:right w:w="57" w:type="dxa"/>
            </w:tcMar>
          </w:tcPr>
          <w:p>
            <w:pPr>
              <w:kinsoku w:val="0"/>
              <w:autoSpaceDE w:val="0"/>
              <w:autoSpaceDN w:val="0"/>
              <w:adjustRightInd/>
              <w:spacing w:line="240" w:lineRule="auto"/>
              <w:ind w:firstLine="0" w:firstLineChars="0"/>
              <w:rPr>
                <w:color w:val="auto"/>
              </w:rPr>
            </w:pPr>
          </w:p>
        </w:tc>
        <w:tc>
          <w:tcPr>
            <w:tcW w:w="1017" w:type="dxa"/>
            <w:vMerge w:val="continue"/>
            <w:tcMar>
              <w:top w:w="57" w:type="dxa"/>
              <w:left w:w="57" w:type="dxa"/>
              <w:bottom w:w="57" w:type="dxa"/>
              <w:right w:w="57" w:type="dxa"/>
            </w:tcMar>
          </w:tcPr>
          <w:p>
            <w:pPr>
              <w:kinsoku w:val="0"/>
              <w:autoSpaceDE w:val="0"/>
              <w:autoSpaceDN w:val="0"/>
              <w:adjustRightInd/>
              <w:spacing w:line="240" w:lineRule="auto"/>
              <w:ind w:firstLine="0" w:firstLineChars="0"/>
              <w:rPr>
                <w:color w:val="auto"/>
              </w:rPr>
            </w:pPr>
          </w:p>
        </w:tc>
        <w:tc>
          <w:tcPr>
            <w:tcW w:w="1408" w:type="dxa"/>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13"/>
              </w:rPr>
            </w:pPr>
            <w:r>
              <w:rPr>
                <w:rFonts w:hint="eastAsia"/>
                <w:color w:val="auto"/>
                <w:spacing w:val="16"/>
              </w:rPr>
              <w:t>4)</w:t>
            </w:r>
            <w:r>
              <w:rPr>
                <w:rFonts w:hint="eastAsia"/>
                <w:color w:val="auto"/>
                <w:spacing w:val="13"/>
              </w:rPr>
              <w:t>技术部分</w:t>
            </w:r>
          </w:p>
          <w:p>
            <w:pPr>
              <w:kinsoku w:val="0"/>
              <w:autoSpaceDE w:val="0"/>
              <w:autoSpaceDN w:val="0"/>
              <w:adjustRightInd/>
              <w:spacing w:line="240" w:lineRule="auto"/>
              <w:ind w:firstLine="0" w:firstLineChars="0"/>
              <w:jc w:val="center"/>
              <w:rPr>
                <w:color w:val="auto"/>
                <w:spacing w:val="13"/>
              </w:rPr>
            </w:pPr>
            <w:r>
              <w:rPr>
                <w:rFonts w:hint="eastAsia"/>
                <w:color w:val="auto"/>
                <w:spacing w:val="13"/>
              </w:rPr>
              <w:t>得分F2</w:t>
            </w:r>
          </w:p>
          <w:p>
            <w:pPr>
              <w:kinsoku w:val="0"/>
              <w:autoSpaceDE w:val="0"/>
              <w:autoSpaceDN w:val="0"/>
              <w:adjustRightInd/>
              <w:spacing w:line="240" w:lineRule="auto"/>
              <w:ind w:firstLine="0" w:firstLineChars="0"/>
              <w:jc w:val="center"/>
              <w:rPr>
                <w:color w:val="auto"/>
              </w:rPr>
            </w:pPr>
            <w:r>
              <w:rPr>
                <w:rFonts w:hint="eastAsia"/>
                <w:color w:val="auto"/>
                <w:spacing w:val="13"/>
              </w:rPr>
              <w:t>(满分50分)</w:t>
            </w:r>
          </w:p>
        </w:tc>
        <w:tc>
          <w:tcPr>
            <w:tcW w:w="7818" w:type="dxa"/>
            <w:tcMar>
              <w:top w:w="57" w:type="dxa"/>
              <w:left w:w="57" w:type="dxa"/>
              <w:bottom w:w="57" w:type="dxa"/>
              <w:right w:w="57" w:type="dxa"/>
            </w:tcMar>
            <w:vAlign w:val="center"/>
          </w:tcPr>
          <w:p>
            <w:pPr>
              <w:kinsoku w:val="0"/>
              <w:autoSpaceDE w:val="0"/>
              <w:autoSpaceDN w:val="0"/>
              <w:spacing w:line="240" w:lineRule="auto"/>
              <w:ind w:firstLine="0" w:firstLineChars="0"/>
              <w:rPr>
                <w:b/>
                <w:bCs/>
                <w:color w:val="auto"/>
              </w:rPr>
            </w:pPr>
            <w:r>
              <w:rPr>
                <w:rFonts w:hint="eastAsia"/>
                <w:b/>
                <w:bCs/>
                <w:color w:val="auto"/>
              </w:rPr>
              <w:t>（一）技术指标响应评分（满分35分）</w:t>
            </w:r>
          </w:p>
          <w:p>
            <w:pPr>
              <w:kinsoku w:val="0"/>
              <w:autoSpaceDE w:val="0"/>
              <w:autoSpaceDN w:val="0"/>
              <w:adjustRightInd/>
              <w:spacing w:line="240" w:lineRule="auto"/>
              <w:ind w:firstLine="0" w:firstLineChars="0"/>
              <w:rPr>
                <w:color w:val="auto"/>
                <w:spacing w:val="-2"/>
              </w:rPr>
            </w:pPr>
            <w:r>
              <w:rPr>
                <w:rFonts w:hint="eastAsia"/>
                <w:color w:val="auto"/>
                <w:spacing w:val="-2"/>
              </w:rPr>
              <w:t>1、评分说明：</w:t>
            </w:r>
          </w:p>
          <w:p>
            <w:pPr>
              <w:pStyle w:val="12"/>
              <w:spacing w:after="0" w:line="240" w:lineRule="auto"/>
              <w:ind w:left="0" w:leftChars="0" w:firstLine="0" w:firstLineChars="0"/>
              <w:rPr>
                <w:color w:val="auto"/>
                <w:spacing w:val="-2"/>
              </w:rPr>
            </w:pPr>
            <w:r>
              <w:rPr>
                <w:rFonts w:hint="eastAsia"/>
                <w:color w:val="auto"/>
                <w:spacing w:val="-2"/>
              </w:rPr>
              <w:t>①重要★参数和一般参数分值比例根据实际情况灵活设置，分值设置需对应技术参数项目。</w:t>
            </w:r>
          </w:p>
          <w:p>
            <w:pPr>
              <w:pStyle w:val="12"/>
              <w:spacing w:after="0" w:line="240" w:lineRule="auto"/>
              <w:ind w:left="0" w:leftChars="0" w:firstLine="0" w:firstLineChars="0"/>
              <w:rPr>
                <w:color w:val="auto"/>
                <w:spacing w:val="-2"/>
              </w:rPr>
            </w:pPr>
            <w:r>
              <w:rPr>
                <w:rFonts w:hint="eastAsia"/>
                <w:color w:val="auto"/>
                <w:spacing w:val="-2"/>
              </w:rPr>
              <w:t>②招标文件中，最末级序号为1条技术参数，1条技术参数下有多项的，全部满足才得分。</w:t>
            </w:r>
          </w:p>
          <w:p>
            <w:pPr>
              <w:pStyle w:val="12"/>
              <w:spacing w:after="0" w:line="240" w:lineRule="auto"/>
              <w:ind w:left="0" w:leftChars="0" w:firstLine="0" w:firstLineChars="0"/>
              <w:rPr>
                <w:color w:val="auto"/>
                <w:spacing w:val="-2"/>
              </w:rPr>
            </w:pPr>
            <w:r>
              <w:rPr>
                <w:rFonts w:hint="eastAsia"/>
                <w:color w:val="auto"/>
                <w:spacing w:val="-2"/>
              </w:rPr>
              <w:t>③所投产品本身的检验报告和官方发布的技术资料有效，同类或类似产品检验报告和官方发布的技术资料无效。</w:t>
            </w:r>
          </w:p>
          <w:p>
            <w:pPr>
              <w:pStyle w:val="12"/>
              <w:spacing w:after="0" w:line="240" w:lineRule="auto"/>
              <w:ind w:left="0" w:leftChars="0" w:firstLine="0" w:firstLineChars="0"/>
              <w:rPr>
                <w:color w:val="auto"/>
                <w:spacing w:val="-2"/>
              </w:rPr>
            </w:pPr>
            <w:r>
              <w:rPr>
                <w:rFonts w:hint="eastAsia"/>
                <w:color w:val="auto"/>
                <w:spacing w:val="-2"/>
              </w:rPr>
              <w:t>④消防车整车暂未取得检验报告的，依据各部件检验报告评分，但需提供“交货出具整车检验报告”的承诺书和违约责任书。</w:t>
            </w:r>
          </w:p>
          <w:p>
            <w:pPr>
              <w:pStyle w:val="12"/>
              <w:spacing w:after="0" w:line="240" w:lineRule="auto"/>
              <w:ind w:left="0" w:leftChars="0" w:firstLine="0" w:firstLineChars="0"/>
              <w:rPr>
                <w:color w:val="auto"/>
              </w:rPr>
            </w:pPr>
            <w:r>
              <w:rPr>
                <w:rFonts w:hint="eastAsia"/>
                <w:color w:val="auto"/>
                <w:spacing w:val="-2"/>
              </w:rPr>
              <w:t>⑤要求对所提供检验报告和产品技术资料的真实性进行承诺，若后期查处存在篡改、添加甚至PS情况的，一律取消中标资格并通报财政监管部门，给总队造成损失的，还将依法追究法律责任。</w:t>
            </w:r>
          </w:p>
          <w:p>
            <w:pPr>
              <w:kinsoku w:val="0"/>
              <w:autoSpaceDE w:val="0"/>
              <w:autoSpaceDN w:val="0"/>
              <w:adjustRightInd/>
              <w:spacing w:line="240" w:lineRule="auto"/>
              <w:ind w:firstLine="0" w:firstLineChars="0"/>
              <w:rPr>
                <w:color w:val="auto"/>
                <w:spacing w:val="-2"/>
              </w:rPr>
            </w:pPr>
            <w:r>
              <w:rPr>
                <w:rFonts w:hint="eastAsia"/>
                <w:color w:val="auto"/>
                <w:spacing w:val="-2"/>
              </w:rPr>
              <w:t>2、评分规则：</w:t>
            </w:r>
          </w:p>
          <w:p>
            <w:pPr>
              <w:pStyle w:val="12"/>
              <w:spacing w:after="0" w:line="240" w:lineRule="auto"/>
              <w:ind w:left="0" w:leftChars="0" w:firstLine="0" w:firstLineChars="0"/>
              <w:rPr>
                <w:rFonts w:ascii="宋体" w:hAnsi="宋体"/>
                <w:color w:val="auto"/>
                <w:spacing w:val="-3"/>
                <w:szCs w:val="21"/>
              </w:rPr>
            </w:pPr>
            <w:r>
              <w:rPr>
                <w:rFonts w:hint="eastAsia" w:ascii="宋体" w:hAnsi="宋体"/>
                <w:color w:val="auto"/>
                <w:spacing w:val="-3"/>
                <w:szCs w:val="21"/>
              </w:rPr>
              <w:t>依据《招标文件》第五章技术要求各标包技术参数要求，所投标包全部参数满足技术要求的得满分35分；</w:t>
            </w:r>
          </w:p>
          <w:p>
            <w:pPr>
              <w:spacing w:line="240" w:lineRule="auto"/>
              <w:ind w:firstLine="0" w:firstLineChars="0"/>
              <w:rPr>
                <w:color w:val="auto"/>
              </w:rPr>
            </w:pPr>
            <w:r>
              <w:rPr>
                <w:rFonts w:hint="eastAsia"/>
                <w:color w:val="auto"/>
              </w:rPr>
              <w:t>①重要★参数以“国家消防装备质量监督检验中心（上海消防研究所）”或具有相应资格的第三方检测机构出具的检验报告作为评判依据；未提供证明材料的，不得分。</w:t>
            </w:r>
          </w:p>
          <w:p>
            <w:pPr>
              <w:spacing w:line="240" w:lineRule="auto"/>
              <w:ind w:firstLine="0" w:firstLineChars="0"/>
              <w:rPr>
                <w:color w:val="auto"/>
              </w:rPr>
            </w:pPr>
            <w:r>
              <w:rPr>
                <w:rFonts w:hint="eastAsia"/>
                <w:color w:val="auto"/>
              </w:rPr>
              <w:t>②一般参数以检测报告或制造商公开发布的技术资料（需提供查询途径）作为评判依据；未提供证明材料的，不得分。</w:t>
            </w:r>
          </w:p>
          <w:p>
            <w:pPr>
              <w:spacing w:line="240" w:lineRule="auto"/>
              <w:ind w:firstLine="0" w:firstLineChars="0"/>
              <w:jc w:val="center"/>
              <w:rPr>
                <w:b/>
                <w:bCs/>
                <w:color w:val="auto"/>
                <w:spacing w:val="-3"/>
              </w:rPr>
            </w:pPr>
            <w:r>
              <w:rPr>
                <w:rFonts w:hint="eastAsia"/>
                <w:b/>
                <w:bCs/>
                <w:color w:val="auto"/>
                <w:spacing w:val="-3"/>
              </w:rPr>
              <w:t>1标包：</w:t>
            </w:r>
          </w:p>
          <w:p>
            <w:pPr>
              <w:spacing w:line="240" w:lineRule="auto"/>
              <w:rPr>
                <w:color w:val="auto"/>
              </w:rPr>
            </w:pPr>
            <w:r>
              <w:rPr>
                <w:rFonts w:hint="eastAsia"/>
                <w:color w:val="auto"/>
              </w:rPr>
              <w:t>依据《招标文件》第五章技术要求，带★重要技术参数共计8条，其他一般技术参数29条。</w:t>
            </w:r>
          </w:p>
          <w:p>
            <w:pPr>
              <w:spacing w:line="240" w:lineRule="auto"/>
              <w:rPr>
                <w:color w:val="auto"/>
              </w:rPr>
            </w:pPr>
            <w:r>
              <w:rPr>
                <w:rFonts w:hint="eastAsia"/>
                <w:color w:val="auto"/>
              </w:rPr>
              <w:t>①带★重要技术参数，有一条不满足扣2分；</w:t>
            </w:r>
          </w:p>
          <w:p>
            <w:pPr>
              <w:spacing w:line="240" w:lineRule="auto"/>
              <w:rPr>
                <w:b/>
                <w:bCs/>
                <w:color w:val="auto"/>
              </w:rPr>
            </w:pPr>
            <w:r>
              <w:rPr>
                <w:rFonts w:hint="eastAsia"/>
                <w:color w:val="auto"/>
              </w:rPr>
              <w:t>②一般技术参数，有一条不满足扣0.655分</w:t>
            </w:r>
            <w:r>
              <w:rPr>
                <w:rFonts w:hint="eastAsia" w:ascii="Calibri" w:hAnsi="Calibri"/>
                <w:color w:val="auto"/>
                <w:szCs w:val="20"/>
              </w:rPr>
              <w:t>。</w:t>
            </w:r>
          </w:p>
          <w:p>
            <w:pPr>
              <w:spacing w:line="240" w:lineRule="auto"/>
              <w:ind w:firstLine="0" w:firstLineChars="0"/>
              <w:jc w:val="center"/>
              <w:rPr>
                <w:b/>
                <w:bCs/>
                <w:color w:val="auto"/>
                <w:spacing w:val="-3"/>
              </w:rPr>
            </w:pPr>
          </w:p>
          <w:p>
            <w:pPr>
              <w:spacing w:line="240" w:lineRule="auto"/>
              <w:ind w:firstLine="0" w:firstLineChars="0"/>
              <w:jc w:val="center"/>
              <w:rPr>
                <w:b/>
                <w:bCs/>
                <w:color w:val="auto"/>
                <w:spacing w:val="-3"/>
              </w:rPr>
            </w:pPr>
            <w:r>
              <w:rPr>
                <w:rFonts w:hint="eastAsia"/>
                <w:b/>
                <w:bCs/>
                <w:color w:val="auto"/>
                <w:spacing w:val="-3"/>
              </w:rPr>
              <w:t>2标包：</w:t>
            </w:r>
          </w:p>
          <w:p>
            <w:pPr>
              <w:spacing w:line="240" w:lineRule="auto"/>
              <w:rPr>
                <w:color w:val="auto"/>
              </w:rPr>
            </w:pPr>
            <w:r>
              <w:rPr>
                <w:rFonts w:hint="eastAsia"/>
                <w:color w:val="auto"/>
              </w:rPr>
              <w:t>依据《招标文件》第五章技术要求，带★重要技术参数共计22条，其他一般技术参数71条。</w:t>
            </w:r>
          </w:p>
          <w:p>
            <w:pPr>
              <w:spacing w:line="240" w:lineRule="auto"/>
              <w:rPr>
                <w:color w:val="auto"/>
              </w:rPr>
            </w:pPr>
            <w:r>
              <w:rPr>
                <w:rFonts w:hint="eastAsia"/>
                <w:color w:val="auto"/>
              </w:rPr>
              <w:t>①带★重要技术参数，有一条不满足扣1分；</w:t>
            </w:r>
          </w:p>
          <w:p>
            <w:pPr>
              <w:spacing w:line="240" w:lineRule="auto"/>
              <w:rPr>
                <w:b/>
                <w:bCs/>
                <w:color w:val="auto"/>
              </w:rPr>
            </w:pPr>
            <w:r>
              <w:rPr>
                <w:rFonts w:hint="eastAsia"/>
                <w:color w:val="auto"/>
              </w:rPr>
              <w:t>②一般技术参数，有一条不满足扣0.183分</w:t>
            </w:r>
            <w:r>
              <w:rPr>
                <w:rFonts w:hint="eastAsia" w:ascii="Calibri" w:hAnsi="Calibri"/>
                <w:color w:val="auto"/>
                <w:szCs w:val="20"/>
              </w:rPr>
              <w:t>。</w:t>
            </w:r>
          </w:p>
          <w:p>
            <w:pPr>
              <w:spacing w:line="240" w:lineRule="auto"/>
              <w:ind w:firstLine="0" w:firstLineChars="0"/>
              <w:jc w:val="center"/>
              <w:rPr>
                <w:b/>
                <w:bCs/>
                <w:color w:val="auto"/>
                <w:spacing w:val="-3"/>
              </w:rPr>
            </w:pPr>
          </w:p>
          <w:p>
            <w:pPr>
              <w:spacing w:line="240" w:lineRule="auto"/>
              <w:ind w:firstLine="0" w:firstLineChars="0"/>
              <w:jc w:val="center"/>
              <w:rPr>
                <w:b/>
                <w:bCs/>
                <w:color w:val="auto"/>
                <w:spacing w:val="-3"/>
              </w:rPr>
            </w:pPr>
            <w:r>
              <w:rPr>
                <w:rFonts w:hint="eastAsia"/>
                <w:b/>
                <w:bCs/>
                <w:color w:val="auto"/>
                <w:spacing w:val="-3"/>
              </w:rPr>
              <w:t>3标包：</w:t>
            </w:r>
          </w:p>
          <w:p>
            <w:pPr>
              <w:spacing w:line="240" w:lineRule="auto"/>
              <w:rPr>
                <w:color w:val="auto"/>
              </w:rPr>
            </w:pPr>
            <w:r>
              <w:rPr>
                <w:rFonts w:hint="eastAsia"/>
                <w:color w:val="auto"/>
              </w:rPr>
              <w:t>依据《招标文件》第五章技术要求，带★重要技术参数共计5条，其他一般技术参数27条。</w:t>
            </w:r>
          </w:p>
          <w:p>
            <w:pPr>
              <w:spacing w:line="240" w:lineRule="auto"/>
              <w:rPr>
                <w:color w:val="auto"/>
              </w:rPr>
            </w:pPr>
            <w:r>
              <w:rPr>
                <w:rFonts w:hint="eastAsia"/>
                <w:color w:val="auto"/>
              </w:rPr>
              <w:t>①带★重要技术参数，有一条不满足扣4分；</w:t>
            </w:r>
          </w:p>
          <w:p>
            <w:pPr>
              <w:spacing w:line="240" w:lineRule="auto"/>
              <w:rPr>
                <w:b/>
                <w:bCs/>
                <w:color w:val="auto"/>
              </w:rPr>
            </w:pPr>
            <w:r>
              <w:rPr>
                <w:rFonts w:hint="eastAsia"/>
                <w:color w:val="auto"/>
              </w:rPr>
              <w:t>②一般技术参数，有一条不满足扣0.555分</w:t>
            </w:r>
            <w:r>
              <w:rPr>
                <w:rFonts w:hint="eastAsia" w:ascii="Calibri" w:hAnsi="Calibri"/>
                <w:color w:val="auto"/>
                <w:szCs w:val="20"/>
              </w:rPr>
              <w:t>。</w:t>
            </w:r>
          </w:p>
          <w:p>
            <w:pPr>
              <w:spacing w:line="240" w:lineRule="auto"/>
              <w:ind w:firstLine="0" w:firstLineChars="0"/>
              <w:jc w:val="center"/>
              <w:rPr>
                <w:b/>
                <w:bCs/>
                <w:color w:val="auto"/>
                <w:spacing w:val="-3"/>
              </w:rPr>
            </w:pPr>
          </w:p>
          <w:p>
            <w:pPr>
              <w:spacing w:line="240" w:lineRule="auto"/>
              <w:ind w:firstLine="0" w:firstLineChars="0"/>
              <w:jc w:val="center"/>
              <w:rPr>
                <w:b/>
                <w:bCs/>
                <w:color w:val="auto"/>
                <w:spacing w:val="-3"/>
              </w:rPr>
            </w:pPr>
            <w:r>
              <w:rPr>
                <w:rFonts w:hint="eastAsia"/>
                <w:b/>
                <w:bCs/>
                <w:color w:val="auto"/>
                <w:spacing w:val="-3"/>
              </w:rPr>
              <w:t>4标包：</w:t>
            </w:r>
          </w:p>
          <w:p>
            <w:pPr>
              <w:spacing w:line="240" w:lineRule="auto"/>
              <w:rPr>
                <w:color w:val="auto"/>
              </w:rPr>
            </w:pPr>
            <w:r>
              <w:rPr>
                <w:rFonts w:hint="eastAsia"/>
                <w:color w:val="auto"/>
              </w:rPr>
              <w:t>依据《招标文件》第五章技术要求，带★重要技术参数共计6条，其他一般技术参数34条。</w:t>
            </w:r>
          </w:p>
          <w:p>
            <w:pPr>
              <w:spacing w:line="240" w:lineRule="auto"/>
              <w:rPr>
                <w:color w:val="auto"/>
              </w:rPr>
            </w:pPr>
            <w:r>
              <w:rPr>
                <w:rFonts w:hint="eastAsia"/>
                <w:color w:val="auto"/>
              </w:rPr>
              <w:t>①带★重要技术参数，有一条不满足扣3分；</w:t>
            </w:r>
          </w:p>
          <w:p>
            <w:pPr>
              <w:spacing w:line="240" w:lineRule="auto"/>
              <w:rPr>
                <w:b/>
                <w:bCs/>
                <w:color w:val="auto"/>
              </w:rPr>
            </w:pPr>
            <w:r>
              <w:rPr>
                <w:rFonts w:hint="eastAsia"/>
                <w:color w:val="auto"/>
              </w:rPr>
              <w:t>②一般技术参数，有一条不满足扣0.5分</w:t>
            </w:r>
            <w:r>
              <w:rPr>
                <w:rFonts w:hint="eastAsia" w:ascii="Calibri" w:hAnsi="Calibri"/>
                <w:color w:val="auto"/>
                <w:szCs w:val="20"/>
              </w:rPr>
              <w:t>。</w:t>
            </w:r>
          </w:p>
          <w:p>
            <w:pPr>
              <w:spacing w:line="240" w:lineRule="auto"/>
              <w:ind w:firstLine="0" w:firstLineChars="0"/>
              <w:jc w:val="center"/>
              <w:rPr>
                <w:b/>
                <w:bCs/>
                <w:color w:val="auto"/>
                <w:spacing w:val="-3"/>
              </w:rPr>
            </w:pPr>
          </w:p>
          <w:p>
            <w:pPr>
              <w:spacing w:line="240" w:lineRule="auto"/>
              <w:ind w:firstLine="0" w:firstLineChars="0"/>
              <w:jc w:val="center"/>
              <w:rPr>
                <w:b/>
                <w:bCs/>
                <w:color w:val="auto"/>
                <w:spacing w:val="-3"/>
              </w:rPr>
            </w:pPr>
            <w:r>
              <w:rPr>
                <w:rFonts w:hint="eastAsia"/>
                <w:b/>
                <w:bCs/>
                <w:color w:val="auto"/>
                <w:spacing w:val="-3"/>
              </w:rPr>
              <w:t>5标包：</w:t>
            </w:r>
          </w:p>
          <w:p>
            <w:pPr>
              <w:spacing w:line="240" w:lineRule="auto"/>
              <w:rPr>
                <w:color w:val="auto"/>
              </w:rPr>
            </w:pPr>
            <w:r>
              <w:rPr>
                <w:rFonts w:hint="eastAsia"/>
                <w:color w:val="auto"/>
              </w:rPr>
              <w:t>依据《招标文件》第五章技术要求，带★重要技术参数共计5条，其他一般技术参数42条。</w:t>
            </w:r>
          </w:p>
          <w:p>
            <w:pPr>
              <w:spacing w:line="240" w:lineRule="auto"/>
              <w:rPr>
                <w:color w:val="auto"/>
              </w:rPr>
            </w:pPr>
            <w:r>
              <w:rPr>
                <w:rFonts w:hint="eastAsia"/>
                <w:color w:val="auto"/>
              </w:rPr>
              <w:t>①带★重要技术参数，有一条不满足扣3分；</w:t>
            </w:r>
          </w:p>
          <w:p>
            <w:pPr>
              <w:spacing w:line="240" w:lineRule="auto"/>
              <w:rPr>
                <w:b/>
                <w:bCs/>
                <w:color w:val="auto"/>
              </w:rPr>
            </w:pPr>
            <w:r>
              <w:rPr>
                <w:rFonts w:hint="eastAsia"/>
                <w:color w:val="auto"/>
              </w:rPr>
              <w:t>②一般技术参数，有一条不满足扣0.476分</w:t>
            </w:r>
            <w:r>
              <w:rPr>
                <w:rFonts w:hint="eastAsia" w:ascii="Calibri" w:hAnsi="Calibri"/>
                <w:color w:val="auto"/>
                <w:szCs w:val="20"/>
              </w:rPr>
              <w:t>。</w:t>
            </w:r>
          </w:p>
          <w:p>
            <w:pPr>
              <w:spacing w:line="240" w:lineRule="auto"/>
              <w:ind w:firstLine="0" w:firstLineChars="0"/>
              <w:jc w:val="center"/>
              <w:rPr>
                <w:b/>
                <w:bCs/>
                <w:color w:val="auto"/>
                <w:spacing w:val="-3"/>
              </w:rPr>
            </w:pPr>
          </w:p>
          <w:p>
            <w:pPr>
              <w:spacing w:line="240" w:lineRule="auto"/>
              <w:ind w:firstLine="0" w:firstLineChars="0"/>
              <w:jc w:val="center"/>
              <w:rPr>
                <w:b/>
                <w:bCs/>
                <w:color w:val="auto"/>
                <w:spacing w:val="-3"/>
              </w:rPr>
            </w:pPr>
            <w:r>
              <w:rPr>
                <w:rFonts w:hint="eastAsia"/>
                <w:b/>
                <w:bCs/>
                <w:color w:val="auto"/>
                <w:spacing w:val="-3"/>
              </w:rPr>
              <w:t>6标包：</w:t>
            </w:r>
          </w:p>
          <w:p>
            <w:pPr>
              <w:spacing w:line="240" w:lineRule="auto"/>
              <w:rPr>
                <w:color w:val="auto"/>
              </w:rPr>
            </w:pPr>
            <w:r>
              <w:rPr>
                <w:rFonts w:hint="eastAsia"/>
                <w:color w:val="auto"/>
              </w:rPr>
              <w:t>依据《招标文件》第五章技术要求，带★重要技术参数共计13条，其他一般技术参数423条。</w:t>
            </w:r>
          </w:p>
          <w:p>
            <w:pPr>
              <w:spacing w:line="240" w:lineRule="auto"/>
              <w:rPr>
                <w:color w:val="auto"/>
              </w:rPr>
            </w:pPr>
            <w:r>
              <w:rPr>
                <w:rFonts w:hint="eastAsia"/>
                <w:color w:val="auto"/>
              </w:rPr>
              <w:t>①带★重要技术参数，有一条不满足扣1分；</w:t>
            </w:r>
          </w:p>
          <w:p>
            <w:pPr>
              <w:spacing w:line="240" w:lineRule="auto"/>
              <w:rPr>
                <w:b/>
                <w:bCs/>
                <w:color w:val="auto"/>
              </w:rPr>
            </w:pPr>
            <w:r>
              <w:rPr>
                <w:rFonts w:hint="eastAsia"/>
                <w:color w:val="auto"/>
              </w:rPr>
              <w:t>②一般技术参数，有一条不满足扣0.052分</w:t>
            </w:r>
            <w:r>
              <w:rPr>
                <w:rFonts w:hint="eastAsia" w:ascii="Calibri" w:hAnsi="Calibri"/>
                <w:color w:val="auto"/>
                <w:szCs w:val="20"/>
              </w:rPr>
              <w:t>。</w:t>
            </w:r>
          </w:p>
          <w:p>
            <w:pPr>
              <w:spacing w:line="240" w:lineRule="auto"/>
              <w:ind w:firstLine="0" w:firstLineChars="0"/>
              <w:jc w:val="center"/>
              <w:rPr>
                <w:b/>
                <w:bCs/>
                <w:color w:val="auto"/>
                <w:spacing w:val="-3"/>
              </w:rPr>
            </w:pPr>
          </w:p>
          <w:p>
            <w:pPr>
              <w:spacing w:line="240" w:lineRule="auto"/>
              <w:ind w:firstLine="0" w:firstLineChars="0"/>
              <w:jc w:val="center"/>
              <w:rPr>
                <w:b/>
                <w:bCs/>
                <w:color w:val="auto"/>
                <w:spacing w:val="-3"/>
              </w:rPr>
            </w:pPr>
            <w:r>
              <w:rPr>
                <w:rFonts w:hint="eastAsia"/>
                <w:b/>
                <w:bCs/>
                <w:color w:val="auto"/>
                <w:spacing w:val="-3"/>
              </w:rPr>
              <w:t>7标包：</w:t>
            </w:r>
          </w:p>
          <w:p>
            <w:pPr>
              <w:spacing w:line="240" w:lineRule="auto"/>
              <w:rPr>
                <w:rFonts w:ascii="仿宋" w:hAnsi="仿宋" w:eastAsia="仿宋" w:cs="仿宋"/>
                <w:color w:val="auto"/>
              </w:rPr>
            </w:pPr>
            <w:r>
              <w:rPr>
                <w:rFonts w:hint="eastAsia" w:ascii="仿宋" w:hAnsi="仿宋" w:eastAsia="仿宋" w:cs="仿宋"/>
                <w:color w:val="auto"/>
              </w:rPr>
              <w:t>依据《招标文件》第五章技术要求，带★重要技术参数共计3条，其他一般技术参数67条。</w:t>
            </w:r>
          </w:p>
          <w:p>
            <w:pPr>
              <w:spacing w:line="240" w:lineRule="auto"/>
              <w:rPr>
                <w:color w:val="auto"/>
              </w:rPr>
            </w:pPr>
            <w:r>
              <w:rPr>
                <w:rFonts w:hint="eastAsia"/>
                <w:color w:val="auto"/>
              </w:rPr>
              <w:t>①带★重要技术参数，有一条不满足扣4分；</w:t>
            </w:r>
          </w:p>
          <w:p>
            <w:pPr>
              <w:spacing w:line="240" w:lineRule="auto"/>
              <w:rPr>
                <w:b/>
                <w:bCs/>
                <w:color w:val="auto"/>
              </w:rPr>
            </w:pPr>
            <w:r>
              <w:rPr>
                <w:rFonts w:hint="eastAsia"/>
                <w:color w:val="auto"/>
              </w:rPr>
              <w:t>②一般技术参数，有一条不满足扣0.343分</w:t>
            </w:r>
            <w:r>
              <w:rPr>
                <w:rFonts w:hint="eastAsia" w:ascii="Calibri" w:hAnsi="Calibri"/>
                <w:color w:val="auto"/>
                <w:szCs w:val="20"/>
              </w:rPr>
              <w:t>。</w:t>
            </w:r>
          </w:p>
          <w:p>
            <w:pPr>
              <w:spacing w:line="240" w:lineRule="auto"/>
              <w:ind w:firstLine="0" w:firstLineChars="0"/>
              <w:jc w:val="center"/>
              <w:rPr>
                <w:b/>
                <w:bCs/>
                <w:color w:val="auto"/>
                <w:spacing w:val="-3"/>
              </w:rPr>
            </w:pPr>
          </w:p>
          <w:p>
            <w:pPr>
              <w:spacing w:line="240" w:lineRule="auto"/>
              <w:ind w:firstLine="0" w:firstLineChars="0"/>
              <w:jc w:val="center"/>
              <w:rPr>
                <w:b/>
                <w:bCs/>
                <w:color w:val="auto"/>
                <w:spacing w:val="-3"/>
              </w:rPr>
            </w:pPr>
            <w:r>
              <w:rPr>
                <w:rFonts w:hint="eastAsia"/>
                <w:b/>
                <w:bCs/>
                <w:color w:val="auto"/>
                <w:spacing w:val="-3"/>
              </w:rPr>
              <w:t>8标包：</w:t>
            </w:r>
          </w:p>
          <w:p>
            <w:pPr>
              <w:spacing w:line="240" w:lineRule="auto"/>
              <w:rPr>
                <w:color w:val="auto"/>
              </w:rPr>
            </w:pPr>
            <w:r>
              <w:rPr>
                <w:rFonts w:hint="eastAsia"/>
                <w:color w:val="auto"/>
              </w:rPr>
              <w:t>依据《招标文件》第五章技术要求，带★重要技术参数共计15条，其他一般技术参数121条。</w:t>
            </w:r>
          </w:p>
          <w:p>
            <w:pPr>
              <w:spacing w:line="240" w:lineRule="auto"/>
              <w:rPr>
                <w:color w:val="auto"/>
              </w:rPr>
            </w:pPr>
            <w:r>
              <w:rPr>
                <w:rFonts w:hint="eastAsia"/>
                <w:color w:val="auto"/>
              </w:rPr>
              <w:t>①带★重要技术参数，有一条不满足扣1分；</w:t>
            </w:r>
          </w:p>
          <w:p>
            <w:pPr>
              <w:spacing w:line="240" w:lineRule="auto"/>
              <w:rPr>
                <w:b/>
                <w:bCs/>
                <w:color w:val="auto"/>
              </w:rPr>
            </w:pPr>
            <w:r>
              <w:rPr>
                <w:rFonts w:hint="eastAsia"/>
                <w:color w:val="auto"/>
              </w:rPr>
              <w:t>②一般技术参数，有一条不满足扣0.165分</w:t>
            </w:r>
            <w:r>
              <w:rPr>
                <w:rFonts w:hint="eastAsia" w:ascii="Calibri" w:hAnsi="Calibri"/>
                <w:color w:val="auto"/>
                <w:szCs w:val="20"/>
              </w:rPr>
              <w:t>。</w:t>
            </w:r>
          </w:p>
          <w:p>
            <w:pPr>
              <w:spacing w:line="240" w:lineRule="auto"/>
              <w:ind w:firstLine="0" w:firstLineChars="0"/>
              <w:jc w:val="center"/>
              <w:rPr>
                <w:b/>
                <w:bCs/>
                <w:color w:val="auto"/>
                <w:spacing w:val="-3"/>
              </w:rPr>
            </w:pPr>
          </w:p>
          <w:p>
            <w:pPr>
              <w:spacing w:line="240" w:lineRule="auto"/>
              <w:ind w:firstLine="0" w:firstLineChars="0"/>
              <w:jc w:val="center"/>
              <w:rPr>
                <w:b/>
                <w:bCs/>
                <w:color w:val="auto"/>
                <w:spacing w:val="-3"/>
              </w:rPr>
            </w:pPr>
          </w:p>
          <w:p>
            <w:pPr>
              <w:spacing w:line="240" w:lineRule="auto"/>
              <w:ind w:firstLine="0" w:firstLineChars="0"/>
              <w:jc w:val="center"/>
              <w:rPr>
                <w:b/>
                <w:bCs/>
                <w:color w:val="auto"/>
                <w:spacing w:val="-3"/>
              </w:rPr>
            </w:pPr>
            <w:r>
              <w:rPr>
                <w:rFonts w:hint="eastAsia"/>
                <w:b/>
                <w:bCs/>
                <w:color w:val="auto"/>
                <w:spacing w:val="-3"/>
              </w:rPr>
              <w:t>9标包：</w:t>
            </w:r>
          </w:p>
          <w:p>
            <w:pPr>
              <w:spacing w:line="240" w:lineRule="auto"/>
              <w:rPr>
                <w:color w:val="auto"/>
              </w:rPr>
            </w:pPr>
            <w:r>
              <w:rPr>
                <w:rFonts w:hint="eastAsia"/>
                <w:color w:val="auto"/>
              </w:rPr>
              <w:t>依据《招标文件》第五章技术要求，带★重要技术参数共计8条，其他一般技术参数47条。</w:t>
            </w:r>
          </w:p>
          <w:p>
            <w:pPr>
              <w:spacing w:line="240" w:lineRule="auto"/>
              <w:rPr>
                <w:color w:val="auto"/>
              </w:rPr>
            </w:pPr>
            <w:r>
              <w:rPr>
                <w:rFonts w:hint="eastAsia"/>
                <w:color w:val="auto"/>
              </w:rPr>
              <w:t>①带★重要技术参数，有一条不满足扣2分；</w:t>
            </w:r>
          </w:p>
          <w:p>
            <w:pPr>
              <w:spacing w:line="240" w:lineRule="auto"/>
              <w:rPr>
                <w:b/>
                <w:bCs/>
                <w:color w:val="auto"/>
              </w:rPr>
            </w:pPr>
            <w:r>
              <w:rPr>
                <w:rFonts w:hint="eastAsia"/>
                <w:color w:val="auto"/>
              </w:rPr>
              <w:t>②一般技术参数，有一条不满足扣0.4分</w:t>
            </w:r>
            <w:r>
              <w:rPr>
                <w:rFonts w:hint="eastAsia" w:ascii="Calibri" w:hAnsi="Calibri"/>
                <w:color w:val="auto"/>
                <w:szCs w:val="20"/>
              </w:rPr>
              <w:t>。</w:t>
            </w:r>
          </w:p>
          <w:p>
            <w:pPr>
              <w:spacing w:line="240" w:lineRule="auto"/>
              <w:ind w:firstLine="0" w:firstLineChars="0"/>
              <w:jc w:val="center"/>
              <w:rPr>
                <w:b/>
                <w:bCs/>
                <w:color w:val="auto"/>
                <w:spacing w:val="-3"/>
              </w:rPr>
            </w:pPr>
          </w:p>
          <w:p>
            <w:pPr>
              <w:spacing w:line="240" w:lineRule="auto"/>
              <w:ind w:firstLine="0" w:firstLineChars="0"/>
              <w:jc w:val="center"/>
              <w:rPr>
                <w:b/>
                <w:bCs/>
                <w:color w:val="auto"/>
                <w:spacing w:val="-3"/>
              </w:rPr>
            </w:pPr>
            <w:r>
              <w:rPr>
                <w:rFonts w:hint="eastAsia"/>
                <w:b/>
                <w:bCs/>
                <w:color w:val="auto"/>
                <w:spacing w:val="-3"/>
              </w:rPr>
              <w:t>10标包：</w:t>
            </w:r>
          </w:p>
          <w:p>
            <w:pPr>
              <w:spacing w:line="240" w:lineRule="auto"/>
              <w:ind w:firstLine="0" w:firstLineChars="0"/>
              <w:rPr>
                <w:color w:val="auto"/>
              </w:rPr>
            </w:pPr>
            <w:r>
              <w:rPr>
                <w:rFonts w:hint="eastAsia"/>
                <w:b/>
                <w:bCs/>
                <w:color w:val="auto"/>
              </w:rPr>
              <w:t>车辆部分（满分25分）</w:t>
            </w:r>
          </w:p>
          <w:p>
            <w:pPr>
              <w:spacing w:line="240" w:lineRule="auto"/>
              <w:rPr>
                <w:color w:val="auto"/>
              </w:rPr>
            </w:pPr>
            <w:r>
              <w:rPr>
                <w:rFonts w:hint="eastAsia"/>
                <w:color w:val="auto"/>
              </w:rPr>
              <w:t>依据《招标文件》第五章技术要求，带★重要技术参数共计6条，其他一般技术参数21条。</w:t>
            </w:r>
          </w:p>
          <w:p>
            <w:pPr>
              <w:spacing w:line="240" w:lineRule="auto"/>
              <w:rPr>
                <w:color w:val="auto"/>
              </w:rPr>
            </w:pPr>
            <w:r>
              <w:rPr>
                <w:rFonts w:hint="eastAsia"/>
                <w:color w:val="auto"/>
              </w:rPr>
              <w:t>①带★重要技术参数，有一条不满足扣2分；</w:t>
            </w:r>
          </w:p>
          <w:p>
            <w:pPr>
              <w:spacing w:line="240" w:lineRule="auto"/>
              <w:rPr>
                <w:b/>
                <w:bCs/>
                <w:color w:val="auto"/>
              </w:rPr>
            </w:pPr>
            <w:r>
              <w:rPr>
                <w:rFonts w:hint="eastAsia"/>
                <w:color w:val="auto"/>
              </w:rPr>
              <w:t>②一般技术参数，有一条不满足扣0.619分</w:t>
            </w:r>
            <w:r>
              <w:rPr>
                <w:rFonts w:hint="eastAsia" w:ascii="Calibri" w:hAnsi="Calibri"/>
                <w:color w:val="auto"/>
                <w:szCs w:val="20"/>
              </w:rPr>
              <w:t>。</w:t>
            </w:r>
          </w:p>
          <w:p>
            <w:pPr>
              <w:spacing w:line="240" w:lineRule="auto"/>
              <w:ind w:firstLine="0" w:firstLineChars="0"/>
              <w:rPr>
                <w:color w:val="auto"/>
              </w:rPr>
            </w:pPr>
            <w:r>
              <w:rPr>
                <w:rFonts w:hint="eastAsia"/>
                <w:b/>
                <w:bCs/>
                <w:color w:val="auto"/>
              </w:rPr>
              <w:t>随车器材部分（满分10分）</w:t>
            </w:r>
          </w:p>
          <w:p>
            <w:pPr>
              <w:spacing w:line="240" w:lineRule="auto"/>
              <w:rPr>
                <w:color w:val="auto"/>
              </w:rPr>
            </w:pPr>
            <w:r>
              <w:rPr>
                <w:rFonts w:hint="eastAsia"/>
                <w:color w:val="auto"/>
              </w:rPr>
              <w:t>依据《招标文件》第五章技术要求，带★重要技术参数共计21条，其他一般技术参数63条。</w:t>
            </w:r>
          </w:p>
          <w:p>
            <w:pPr>
              <w:spacing w:line="240" w:lineRule="auto"/>
              <w:rPr>
                <w:color w:val="auto"/>
              </w:rPr>
            </w:pPr>
            <w:r>
              <w:rPr>
                <w:rFonts w:hint="eastAsia"/>
                <w:color w:val="auto"/>
              </w:rPr>
              <w:t>①带★重要技术参数，有一条不满足扣0.3分；</w:t>
            </w:r>
          </w:p>
          <w:p>
            <w:pPr>
              <w:spacing w:line="240" w:lineRule="auto"/>
              <w:rPr>
                <w:b/>
                <w:bCs/>
                <w:color w:val="auto"/>
              </w:rPr>
            </w:pPr>
            <w:r>
              <w:rPr>
                <w:rFonts w:hint="eastAsia"/>
                <w:color w:val="auto"/>
              </w:rPr>
              <w:t>②一般技术参数，有一条不满足扣0.058分</w:t>
            </w:r>
            <w:r>
              <w:rPr>
                <w:rFonts w:hint="eastAsia" w:ascii="Calibri" w:hAnsi="Calibri"/>
                <w:color w:val="auto"/>
                <w:szCs w:val="20"/>
              </w:rPr>
              <w:t>。</w:t>
            </w:r>
          </w:p>
          <w:p>
            <w:pPr>
              <w:spacing w:line="240" w:lineRule="auto"/>
              <w:ind w:firstLine="0" w:firstLineChars="0"/>
              <w:jc w:val="center"/>
              <w:rPr>
                <w:b/>
                <w:bCs/>
                <w:color w:val="auto"/>
                <w:spacing w:val="-3"/>
              </w:rPr>
            </w:pPr>
          </w:p>
          <w:p>
            <w:pPr>
              <w:spacing w:line="240" w:lineRule="auto"/>
              <w:ind w:firstLine="0" w:firstLineChars="0"/>
              <w:jc w:val="center"/>
              <w:rPr>
                <w:b/>
                <w:bCs/>
                <w:color w:val="auto"/>
                <w:spacing w:val="-3"/>
              </w:rPr>
            </w:pPr>
            <w:r>
              <w:rPr>
                <w:rFonts w:hint="eastAsia"/>
                <w:b/>
                <w:bCs/>
                <w:color w:val="auto"/>
                <w:spacing w:val="-3"/>
              </w:rPr>
              <w:t>11标包：</w:t>
            </w:r>
          </w:p>
          <w:p>
            <w:pPr>
              <w:spacing w:line="240" w:lineRule="auto"/>
              <w:ind w:firstLine="0" w:firstLineChars="0"/>
              <w:rPr>
                <w:color w:val="auto"/>
              </w:rPr>
            </w:pPr>
            <w:r>
              <w:rPr>
                <w:rFonts w:hint="eastAsia"/>
                <w:b/>
                <w:bCs/>
                <w:color w:val="auto"/>
              </w:rPr>
              <w:t>车辆部分（满分25分）</w:t>
            </w:r>
          </w:p>
          <w:p>
            <w:pPr>
              <w:spacing w:line="240" w:lineRule="auto"/>
              <w:rPr>
                <w:color w:val="auto"/>
              </w:rPr>
            </w:pPr>
            <w:r>
              <w:rPr>
                <w:rFonts w:hint="eastAsia"/>
                <w:color w:val="auto"/>
              </w:rPr>
              <w:t>依据《招标文件》第五章技术要求，带★重要技术参数共计6条，其他一般技术参数21条。</w:t>
            </w:r>
          </w:p>
          <w:p>
            <w:pPr>
              <w:spacing w:line="240" w:lineRule="auto"/>
              <w:rPr>
                <w:color w:val="auto"/>
              </w:rPr>
            </w:pPr>
            <w:r>
              <w:rPr>
                <w:rFonts w:hint="eastAsia"/>
                <w:color w:val="auto"/>
              </w:rPr>
              <w:t>①带★重要技术参数，有一条不满足扣2分；</w:t>
            </w:r>
          </w:p>
          <w:p>
            <w:pPr>
              <w:spacing w:line="240" w:lineRule="auto"/>
              <w:rPr>
                <w:b/>
                <w:bCs/>
                <w:color w:val="auto"/>
              </w:rPr>
            </w:pPr>
            <w:r>
              <w:rPr>
                <w:rFonts w:hint="eastAsia"/>
                <w:color w:val="auto"/>
              </w:rPr>
              <w:t>②一般技术参数，有一条不满足扣0.619分</w:t>
            </w:r>
            <w:r>
              <w:rPr>
                <w:rFonts w:hint="eastAsia" w:ascii="Calibri" w:hAnsi="Calibri"/>
                <w:color w:val="auto"/>
                <w:szCs w:val="20"/>
              </w:rPr>
              <w:t>。</w:t>
            </w:r>
          </w:p>
          <w:p>
            <w:pPr>
              <w:spacing w:line="240" w:lineRule="auto"/>
              <w:ind w:firstLine="0" w:firstLineChars="0"/>
              <w:rPr>
                <w:color w:val="auto"/>
              </w:rPr>
            </w:pPr>
            <w:r>
              <w:rPr>
                <w:rFonts w:hint="eastAsia"/>
                <w:b/>
                <w:bCs/>
                <w:color w:val="auto"/>
              </w:rPr>
              <w:t>随车器材部分（满分10分）</w:t>
            </w:r>
          </w:p>
          <w:p>
            <w:pPr>
              <w:spacing w:line="240" w:lineRule="auto"/>
              <w:rPr>
                <w:color w:val="auto"/>
              </w:rPr>
            </w:pPr>
            <w:r>
              <w:rPr>
                <w:rFonts w:hint="eastAsia"/>
                <w:color w:val="auto"/>
              </w:rPr>
              <w:t>依据《招标文件》第五章技术要求，带★重要技术参数共计10条，其他一般技术参数24条。</w:t>
            </w:r>
          </w:p>
          <w:p>
            <w:pPr>
              <w:spacing w:line="240" w:lineRule="auto"/>
              <w:rPr>
                <w:color w:val="auto"/>
              </w:rPr>
            </w:pPr>
            <w:r>
              <w:rPr>
                <w:rFonts w:hint="eastAsia"/>
                <w:color w:val="auto"/>
              </w:rPr>
              <w:t>①带★重要技术参数，有一条不满足扣0.52分；</w:t>
            </w:r>
          </w:p>
          <w:p>
            <w:pPr>
              <w:spacing w:line="240" w:lineRule="auto"/>
              <w:rPr>
                <w:b/>
                <w:bCs/>
                <w:color w:val="auto"/>
              </w:rPr>
            </w:pPr>
            <w:r>
              <w:rPr>
                <w:rFonts w:hint="eastAsia"/>
                <w:color w:val="auto"/>
              </w:rPr>
              <w:t>②一般技术参数，有一条不满足扣0.2分</w:t>
            </w:r>
            <w:r>
              <w:rPr>
                <w:rFonts w:hint="eastAsia" w:ascii="Calibri" w:hAnsi="Calibri"/>
                <w:color w:val="auto"/>
                <w:szCs w:val="20"/>
              </w:rPr>
              <w:t>。</w:t>
            </w:r>
          </w:p>
          <w:p>
            <w:pPr>
              <w:spacing w:line="240" w:lineRule="auto"/>
              <w:ind w:firstLine="0" w:firstLineChars="0"/>
              <w:rPr>
                <w:b/>
                <w:bCs/>
                <w:color w:val="auto"/>
              </w:rPr>
            </w:pPr>
          </w:p>
          <w:p>
            <w:pPr>
              <w:spacing w:line="240" w:lineRule="auto"/>
              <w:ind w:firstLine="0" w:firstLineChars="0"/>
              <w:jc w:val="center"/>
              <w:rPr>
                <w:b/>
                <w:bCs/>
                <w:color w:val="auto"/>
                <w:spacing w:val="-3"/>
              </w:rPr>
            </w:pPr>
            <w:r>
              <w:rPr>
                <w:rFonts w:hint="eastAsia"/>
                <w:b/>
                <w:bCs/>
                <w:color w:val="auto"/>
                <w:spacing w:val="-3"/>
              </w:rPr>
              <w:t>12标包：</w:t>
            </w:r>
          </w:p>
          <w:p>
            <w:pPr>
              <w:spacing w:line="240" w:lineRule="auto"/>
              <w:ind w:firstLine="0" w:firstLineChars="0"/>
              <w:rPr>
                <w:color w:val="auto"/>
              </w:rPr>
            </w:pPr>
            <w:r>
              <w:rPr>
                <w:rFonts w:hint="eastAsia"/>
                <w:b/>
                <w:bCs/>
                <w:color w:val="auto"/>
              </w:rPr>
              <w:t>车辆部分（满分25分）</w:t>
            </w:r>
          </w:p>
          <w:p>
            <w:pPr>
              <w:spacing w:line="240" w:lineRule="auto"/>
              <w:rPr>
                <w:color w:val="auto"/>
              </w:rPr>
            </w:pPr>
            <w:r>
              <w:rPr>
                <w:rFonts w:hint="eastAsia"/>
                <w:color w:val="auto"/>
              </w:rPr>
              <w:t>依据《招标文件》第五章技术要求，带★重要技术参数共计6条，其他一般技术参数21条。</w:t>
            </w:r>
          </w:p>
          <w:p>
            <w:pPr>
              <w:spacing w:line="240" w:lineRule="auto"/>
              <w:rPr>
                <w:color w:val="auto"/>
              </w:rPr>
            </w:pPr>
            <w:r>
              <w:rPr>
                <w:rFonts w:hint="eastAsia"/>
                <w:color w:val="auto"/>
              </w:rPr>
              <w:t>①带★重要技术参数，有一条不满足扣2分；</w:t>
            </w:r>
          </w:p>
          <w:p>
            <w:pPr>
              <w:spacing w:line="240" w:lineRule="auto"/>
              <w:rPr>
                <w:b/>
                <w:bCs/>
                <w:color w:val="auto"/>
              </w:rPr>
            </w:pPr>
            <w:r>
              <w:rPr>
                <w:rFonts w:hint="eastAsia"/>
                <w:color w:val="auto"/>
              </w:rPr>
              <w:t>②一般技术参数，有一条不满足扣0.619分</w:t>
            </w:r>
            <w:r>
              <w:rPr>
                <w:rFonts w:hint="eastAsia" w:ascii="Calibri" w:hAnsi="Calibri"/>
                <w:color w:val="auto"/>
                <w:szCs w:val="20"/>
              </w:rPr>
              <w:t>。</w:t>
            </w:r>
          </w:p>
          <w:p>
            <w:pPr>
              <w:spacing w:line="240" w:lineRule="auto"/>
              <w:ind w:firstLine="0" w:firstLineChars="0"/>
              <w:rPr>
                <w:color w:val="auto"/>
              </w:rPr>
            </w:pPr>
            <w:r>
              <w:rPr>
                <w:rFonts w:hint="eastAsia"/>
                <w:b/>
                <w:bCs/>
                <w:color w:val="auto"/>
              </w:rPr>
              <w:t>随车器材部分（满分10分）</w:t>
            </w:r>
          </w:p>
          <w:p>
            <w:pPr>
              <w:spacing w:line="240" w:lineRule="auto"/>
              <w:rPr>
                <w:color w:val="auto"/>
              </w:rPr>
            </w:pPr>
            <w:r>
              <w:rPr>
                <w:rFonts w:hint="eastAsia"/>
                <w:color w:val="auto"/>
              </w:rPr>
              <w:t>依据《招标文件》第五章技术要求，带★重要技术参数共计23条，其他一般技术参数60条。</w:t>
            </w:r>
          </w:p>
          <w:p>
            <w:pPr>
              <w:spacing w:line="240" w:lineRule="auto"/>
              <w:rPr>
                <w:color w:val="auto"/>
              </w:rPr>
            </w:pPr>
            <w:r>
              <w:rPr>
                <w:rFonts w:hint="eastAsia"/>
                <w:color w:val="auto"/>
              </w:rPr>
              <w:t>①带★重要技术参数，有一条不满足扣0.3分；</w:t>
            </w:r>
          </w:p>
          <w:p>
            <w:pPr>
              <w:spacing w:line="240" w:lineRule="auto"/>
              <w:rPr>
                <w:b/>
                <w:bCs/>
                <w:color w:val="auto"/>
              </w:rPr>
            </w:pPr>
            <w:r>
              <w:rPr>
                <w:rFonts w:hint="eastAsia"/>
                <w:color w:val="auto"/>
              </w:rPr>
              <w:t>②一般技术参数，有一条不满足扣0.051分</w:t>
            </w:r>
            <w:r>
              <w:rPr>
                <w:rFonts w:hint="eastAsia" w:ascii="Calibri" w:hAnsi="Calibri"/>
                <w:color w:val="auto"/>
                <w:szCs w:val="20"/>
              </w:rPr>
              <w:t>。</w:t>
            </w:r>
          </w:p>
          <w:p>
            <w:pPr>
              <w:pStyle w:val="32"/>
              <w:rPr>
                <w:color w:val="auto"/>
              </w:rPr>
            </w:pPr>
          </w:p>
          <w:p>
            <w:pPr>
              <w:spacing w:line="240" w:lineRule="auto"/>
              <w:ind w:firstLine="0" w:firstLineChars="0"/>
              <w:jc w:val="center"/>
              <w:rPr>
                <w:b/>
                <w:bCs/>
                <w:color w:val="auto"/>
                <w:spacing w:val="-3"/>
              </w:rPr>
            </w:pPr>
            <w:r>
              <w:rPr>
                <w:rFonts w:hint="eastAsia"/>
                <w:b/>
                <w:bCs/>
                <w:color w:val="auto"/>
                <w:spacing w:val="-3"/>
              </w:rPr>
              <w:t>13标包：</w:t>
            </w:r>
          </w:p>
          <w:p>
            <w:pPr>
              <w:spacing w:line="240" w:lineRule="auto"/>
              <w:ind w:firstLine="0" w:firstLineChars="0"/>
              <w:rPr>
                <w:color w:val="auto"/>
              </w:rPr>
            </w:pPr>
            <w:r>
              <w:rPr>
                <w:rFonts w:hint="eastAsia"/>
                <w:b/>
                <w:bCs/>
                <w:color w:val="auto"/>
              </w:rPr>
              <w:t>车辆部分（满分25分）</w:t>
            </w:r>
          </w:p>
          <w:p>
            <w:pPr>
              <w:spacing w:line="240" w:lineRule="auto"/>
              <w:rPr>
                <w:color w:val="auto"/>
              </w:rPr>
            </w:pPr>
            <w:r>
              <w:rPr>
                <w:rFonts w:hint="eastAsia"/>
                <w:color w:val="auto"/>
              </w:rPr>
              <w:t>依据《招标文件》第五章技术要求，带★重要技术参数共计6条，其他一般技术参数21条。</w:t>
            </w:r>
          </w:p>
          <w:p>
            <w:pPr>
              <w:spacing w:line="240" w:lineRule="auto"/>
              <w:rPr>
                <w:color w:val="auto"/>
              </w:rPr>
            </w:pPr>
            <w:r>
              <w:rPr>
                <w:rFonts w:hint="eastAsia"/>
                <w:color w:val="auto"/>
              </w:rPr>
              <w:t>①带★重要技术参数，有一条不满足扣2分；</w:t>
            </w:r>
          </w:p>
          <w:p>
            <w:pPr>
              <w:spacing w:line="240" w:lineRule="auto"/>
              <w:rPr>
                <w:b/>
                <w:bCs/>
                <w:color w:val="auto"/>
              </w:rPr>
            </w:pPr>
            <w:r>
              <w:rPr>
                <w:rFonts w:hint="eastAsia"/>
                <w:color w:val="auto"/>
              </w:rPr>
              <w:t>②一般技术参数，有一条不满足扣0.619分</w:t>
            </w:r>
            <w:r>
              <w:rPr>
                <w:rFonts w:hint="eastAsia" w:ascii="Calibri" w:hAnsi="Calibri"/>
                <w:color w:val="auto"/>
                <w:szCs w:val="20"/>
              </w:rPr>
              <w:t>。</w:t>
            </w:r>
          </w:p>
          <w:p>
            <w:pPr>
              <w:spacing w:line="240" w:lineRule="auto"/>
              <w:ind w:firstLine="0" w:firstLineChars="0"/>
              <w:rPr>
                <w:color w:val="auto"/>
              </w:rPr>
            </w:pPr>
            <w:r>
              <w:rPr>
                <w:rFonts w:hint="eastAsia"/>
                <w:b/>
                <w:bCs/>
                <w:color w:val="auto"/>
              </w:rPr>
              <w:t>随车器材部分（满分10分）</w:t>
            </w:r>
          </w:p>
          <w:p>
            <w:pPr>
              <w:spacing w:line="240" w:lineRule="auto"/>
              <w:rPr>
                <w:color w:val="auto"/>
              </w:rPr>
            </w:pPr>
            <w:r>
              <w:rPr>
                <w:rFonts w:hint="eastAsia"/>
                <w:color w:val="auto"/>
              </w:rPr>
              <w:t>依据《招标文件》第五章技术要求，带★重要技术参数共计9条，其他一般技术参数</w:t>
            </w:r>
            <w:r>
              <w:rPr>
                <w:rFonts w:hint="eastAsia"/>
                <w:color w:val="0000FF"/>
              </w:rPr>
              <w:t>2</w:t>
            </w:r>
            <w:r>
              <w:rPr>
                <w:rFonts w:hint="eastAsia"/>
                <w:color w:val="0000FF"/>
                <w:lang w:val="en-US" w:eastAsia="zh-CN"/>
              </w:rPr>
              <w:t>6</w:t>
            </w:r>
            <w:r>
              <w:rPr>
                <w:rFonts w:hint="eastAsia"/>
                <w:color w:val="0000FF"/>
              </w:rPr>
              <w:t>条</w:t>
            </w:r>
            <w:r>
              <w:rPr>
                <w:rFonts w:hint="eastAsia"/>
                <w:color w:val="auto"/>
              </w:rPr>
              <w:t>。</w:t>
            </w:r>
          </w:p>
          <w:p>
            <w:pPr>
              <w:spacing w:line="240" w:lineRule="auto"/>
              <w:rPr>
                <w:color w:val="auto"/>
              </w:rPr>
            </w:pPr>
            <w:r>
              <w:rPr>
                <w:rFonts w:hint="eastAsia"/>
                <w:color w:val="auto"/>
              </w:rPr>
              <w:t>①带★重要技术参数，有一条不满足扣0.51分；</w:t>
            </w:r>
          </w:p>
          <w:p>
            <w:pPr>
              <w:spacing w:line="240" w:lineRule="auto"/>
              <w:rPr>
                <w:b/>
                <w:bCs/>
                <w:color w:val="auto"/>
              </w:rPr>
            </w:pPr>
            <w:r>
              <w:rPr>
                <w:rFonts w:hint="eastAsia"/>
                <w:color w:val="auto"/>
              </w:rPr>
              <w:t>②一般技术参数，有一条不满足扣</w:t>
            </w:r>
            <w:r>
              <w:rPr>
                <w:rFonts w:hint="eastAsia"/>
                <w:color w:val="0000FF"/>
              </w:rPr>
              <w:t>0.2</w:t>
            </w:r>
            <w:r>
              <w:rPr>
                <w:rFonts w:hint="eastAsia"/>
                <w:color w:val="0000FF"/>
                <w:lang w:val="en-US" w:eastAsia="zh-CN"/>
              </w:rPr>
              <w:t>08</w:t>
            </w:r>
            <w:r>
              <w:rPr>
                <w:rFonts w:hint="eastAsia"/>
                <w:color w:val="0000FF"/>
              </w:rPr>
              <w:t>分</w:t>
            </w:r>
            <w:r>
              <w:rPr>
                <w:rFonts w:hint="eastAsia" w:ascii="Calibri" w:hAnsi="Calibri"/>
                <w:color w:val="0000FF"/>
                <w:szCs w:val="20"/>
              </w:rPr>
              <w:t>。</w:t>
            </w:r>
          </w:p>
          <w:p>
            <w:pPr>
              <w:pStyle w:val="32"/>
              <w:rPr>
                <w:color w:val="auto"/>
              </w:rPr>
            </w:pPr>
          </w:p>
          <w:p>
            <w:pPr>
              <w:spacing w:line="240" w:lineRule="auto"/>
              <w:ind w:firstLine="0" w:firstLineChars="0"/>
              <w:jc w:val="center"/>
              <w:rPr>
                <w:b/>
                <w:bCs/>
                <w:color w:val="auto"/>
                <w:spacing w:val="-3"/>
              </w:rPr>
            </w:pPr>
            <w:r>
              <w:rPr>
                <w:rFonts w:hint="eastAsia"/>
                <w:b/>
                <w:bCs/>
                <w:color w:val="auto"/>
                <w:spacing w:val="-3"/>
              </w:rPr>
              <w:t>14标包：</w:t>
            </w:r>
          </w:p>
          <w:p>
            <w:pPr>
              <w:spacing w:line="240" w:lineRule="auto"/>
              <w:ind w:firstLine="0" w:firstLineChars="0"/>
              <w:rPr>
                <w:color w:val="auto"/>
              </w:rPr>
            </w:pPr>
            <w:r>
              <w:rPr>
                <w:rFonts w:hint="eastAsia"/>
                <w:b/>
                <w:bCs/>
                <w:color w:val="auto"/>
              </w:rPr>
              <w:t>车辆部分（满分25分）</w:t>
            </w:r>
          </w:p>
          <w:p>
            <w:pPr>
              <w:spacing w:line="240" w:lineRule="auto"/>
              <w:rPr>
                <w:color w:val="auto"/>
              </w:rPr>
            </w:pPr>
            <w:r>
              <w:rPr>
                <w:rFonts w:hint="eastAsia"/>
                <w:color w:val="auto"/>
              </w:rPr>
              <w:t>依据《招标文件》第五章技术要求，带★重要技术参数共计6条，其他一般技术参数21条。</w:t>
            </w:r>
          </w:p>
          <w:p>
            <w:pPr>
              <w:spacing w:line="240" w:lineRule="auto"/>
              <w:rPr>
                <w:color w:val="auto"/>
              </w:rPr>
            </w:pPr>
            <w:r>
              <w:rPr>
                <w:rFonts w:hint="eastAsia"/>
                <w:color w:val="auto"/>
              </w:rPr>
              <w:t>①带★重要技术参数，有一条不满足扣2分；</w:t>
            </w:r>
          </w:p>
          <w:p>
            <w:pPr>
              <w:spacing w:line="240" w:lineRule="auto"/>
              <w:rPr>
                <w:b/>
                <w:bCs/>
                <w:color w:val="auto"/>
              </w:rPr>
            </w:pPr>
            <w:r>
              <w:rPr>
                <w:rFonts w:hint="eastAsia"/>
                <w:color w:val="auto"/>
              </w:rPr>
              <w:t>②一般技术参数，有一条不满足扣0.619分</w:t>
            </w:r>
            <w:r>
              <w:rPr>
                <w:rFonts w:hint="eastAsia" w:ascii="Calibri" w:hAnsi="Calibri"/>
                <w:color w:val="auto"/>
                <w:szCs w:val="20"/>
              </w:rPr>
              <w:t>。</w:t>
            </w:r>
          </w:p>
          <w:p>
            <w:pPr>
              <w:spacing w:line="240" w:lineRule="auto"/>
              <w:ind w:firstLine="0" w:firstLineChars="0"/>
              <w:rPr>
                <w:color w:val="auto"/>
              </w:rPr>
            </w:pPr>
            <w:r>
              <w:rPr>
                <w:rFonts w:hint="eastAsia"/>
                <w:b/>
                <w:bCs/>
                <w:color w:val="auto"/>
              </w:rPr>
              <w:t>随车器材部分（满分10分）</w:t>
            </w:r>
          </w:p>
          <w:p>
            <w:pPr>
              <w:spacing w:line="240" w:lineRule="auto"/>
              <w:rPr>
                <w:color w:val="0000FF"/>
              </w:rPr>
            </w:pPr>
            <w:r>
              <w:rPr>
                <w:rFonts w:hint="eastAsia"/>
                <w:color w:val="auto"/>
              </w:rPr>
              <w:t>依据《招标文件》第五章技术要求，带★重要技术参数共计23条，其他一般技术参数</w:t>
            </w:r>
            <w:r>
              <w:rPr>
                <w:rFonts w:hint="eastAsia"/>
                <w:color w:val="0000FF"/>
              </w:rPr>
              <w:t>6</w:t>
            </w:r>
            <w:r>
              <w:rPr>
                <w:rFonts w:hint="eastAsia"/>
                <w:color w:val="0000FF"/>
                <w:lang w:val="en-US" w:eastAsia="zh-CN"/>
              </w:rPr>
              <w:t>1</w:t>
            </w:r>
            <w:r>
              <w:rPr>
                <w:rFonts w:hint="eastAsia"/>
                <w:color w:val="0000FF"/>
              </w:rPr>
              <w:t>条。</w:t>
            </w:r>
          </w:p>
          <w:p>
            <w:pPr>
              <w:spacing w:line="240" w:lineRule="auto"/>
              <w:rPr>
                <w:color w:val="auto"/>
              </w:rPr>
            </w:pPr>
            <w:r>
              <w:rPr>
                <w:rFonts w:hint="eastAsia"/>
                <w:color w:val="auto"/>
              </w:rPr>
              <w:t>①带★重要技术参数，有一条不满足扣0.3分；</w:t>
            </w:r>
          </w:p>
          <w:p>
            <w:pPr>
              <w:spacing w:line="240" w:lineRule="auto"/>
              <w:rPr>
                <w:b/>
                <w:bCs/>
                <w:color w:val="auto"/>
              </w:rPr>
            </w:pPr>
            <w:r>
              <w:rPr>
                <w:rFonts w:hint="eastAsia"/>
                <w:color w:val="auto"/>
              </w:rPr>
              <w:t>②一般技术参数，有一条不满足</w:t>
            </w:r>
            <w:r>
              <w:rPr>
                <w:rFonts w:hint="eastAsia"/>
                <w:color w:val="0000FF"/>
              </w:rPr>
              <w:t>扣0.05分</w:t>
            </w:r>
            <w:r>
              <w:rPr>
                <w:rFonts w:hint="eastAsia" w:ascii="Calibri" w:hAnsi="Calibri"/>
                <w:color w:val="auto"/>
                <w:szCs w:val="20"/>
              </w:rPr>
              <w:t>。</w:t>
            </w:r>
          </w:p>
          <w:p>
            <w:pPr>
              <w:rPr>
                <w:color w:val="auto"/>
              </w:rPr>
            </w:pPr>
          </w:p>
          <w:p>
            <w:pPr>
              <w:pStyle w:val="12"/>
              <w:spacing w:after="0" w:line="240" w:lineRule="auto"/>
              <w:ind w:left="0" w:leftChars="0" w:firstLine="0" w:firstLineChars="0"/>
              <w:rPr>
                <w:b/>
                <w:bCs/>
                <w:color w:val="auto"/>
              </w:rPr>
            </w:pPr>
          </w:p>
          <w:p>
            <w:pPr>
              <w:pStyle w:val="12"/>
              <w:spacing w:after="0" w:line="240" w:lineRule="auto"/>
              <w:ind w:left="0" w:leftChars="0" w:firstLine="0" w:firstLineChars="0"/>
              <w:rPr>
                <w:b/>
                <w:bCs/>
                <w:color w:val="auto"/>
              </w:rPr>
            </w:pPr>
            <w:r>
              <w:rPr>
                <w:rFonts w:hint="eastAsia"/>
                <w:b/>
                <w:bCs/>
                <w:color w:val="auto"/>
              </w:rPr>
              <w:t>（二）所投车辆性能情况（满分15分）</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①整车性能质量评价（满分3分）</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包含对车辆排放标准、关键指标、结构设计、稳定性和安全性等的评价，对车辆整体制作工艺，各功能模块完好性和匹配度的描述。</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第一个档次（3分）：车辆排放标准、关键指标、结构设计、稳定性和安全性等方面完全优于采购需求，车辆整体制作工艺精细，各功能模块完整好用且高度匹配。</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第二个档次（2分）：车辆排放标准、关键指标、结构设计、稳定性和安全性等方面完全满足且部分优于采购需求，车辆整体制作工艺较好，各功能模块完整好用且互相匹配。</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第三个档次（0.5分）：车辆排放标准、关键指标、结构设计、稳定性和安全性等方面有3项以下不满足采购需求，车辆整体制作工艺一般，各功能模块完整好用但匹配差。</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第四个档次（0分）：车辆排放标准、关键指标、结构设计、稳定性和安全性等方面有3项以上不满足采购需求，车辆整体制作工艺一般，各功能模块完整好用但匹配差。</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②所投车辆底盘性能评价（满分3分）</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应包含车辆底盘发动机技术参数，车桥、驱动、制动、变速箱参数，驾驶室的设计的描述。</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第一个档次（3分）：选取的底盘全部指标均优于采购需求，发动机、车桥、驱动、制动、变速箱等参数完全优于采购需求，驾驶室内部设计合理、座椅舒适、上下车方便无不安全因素。</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第二个档次（2分）：选取的底盘性能完全符合采购需求且部分指标优于采购需求，发动机、车桥、驱动、制动、变速箱等参数完全满足且部分优于采购需求，驾驶室内部设计相对合理、座椅舒适、上下车方便无不安全因素。</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第三个档次（1分）：选取的底盘性能符合采购需求，发动机、车桥、驱动、制动、变速箱参数等参数满足采购需求，驾驶室内部设计基本合理。</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第四个档次（0分）：选取的底盘性能不能满足采购需求，发动机、车桥、驱动、制动、变速箱参数有1项（包括）以上低于采购需求，驾驶室内部设计不合理，座椅不舒适，安全性能不高。</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③所投车辆上装部分关键部件评价（满分3分）</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应包含车辆上装指标要求，部分关键部件的性能参数、稳定性、安全性描述以及相关的检测报告等技术材料。</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第一个档次（3分）：上装部分各项指标、关键部件性能参数完全满足且明显优于采购需求，稳定性和安全性高，提供相关检测报告等技术资料齐全。</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第二个档次（2分）：上装部分各项指标、关键部件性能参数完全满足且部分优于采购需求，稳定性和安全性较高，提供相关检测报告等技术资料相对齐全。</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第三个档次（1分）：上装部分各项指标、关键部件性能参数满足采购需求，稳定性和安全性一般，提供相关检测报告等技术资料。</w:t>
            </w:r>
          </w:p>
          <w:p>
            <w:pPr>
              <w:pStyle w:val="12"/>
              <w:spacing w:after="0" w:line="240" w:lineRule="auto"/>
              <w:ind w:left="0" w:leftChars="0" w:firstLine="0" w:firstLineChars="0"/>
              <w:rPr>
                <w:rFonts w:ascii="宋体" w:hAnsi="宋体"/>
                <w:color w:val="auto"/>
                <w:szCs w:val="21"/>
              </w:rPr>
            </w:pPr>
            <w:r>
              <w:rPr>
                <w:rFonts w:hint="eastAsia" w:ascii="宋体" w:hAnsi="宋体"/>
                <w:color w:val="auto"/>
                <w:szCs w:val="21"/>
              </w:rPr>
              <w:t>第四个档次（0分）：上装部分各项指标、关键部件性能参数不能满足采购需求，稳定性和安全性相对较差，未提供相关检测报告等技术资料。</w:t>
            </w:r>
          </w:p>
          <w:p>
            <w:pPr>
              <w:adjustRightInd/>
              <w:spacing w:line="240" w:lineRule="auto"/>
              <w:ind w:firstLine="0" w:firstLineChars="0"/>
              <w:jc w:val="both"/>
              <w:rPr>
                <w:color w:val="auto"/>
              </w:rPr>
            </w:pPr>
            <w:r>
              <w:rPr>
                <w:rFonts w:hint="eastAsia"/>
                <w:color w:val="auto"/>
              </w:rPr>
              <w:t>④所投车辆控制系统评价（满分2分）</w:t>
            </w:r>
          </w:p>
          <w:p>
            <w:pPr>
              <w:adjustRightInd/>
              <w:spacing w:line="240" w:lineRule="auto"/>
              <w:ind w:firstLine="0" w:firstLineChars="0"/>
              <w:jc w:val="both"/>
              <w:rPr>
                <w:color w:val="auto"/>
              </w:rPr>
            </w:pPr>
            <w:r>
              <w:rPr>
                <w:rFonts w:hint="eastAsia"/>
                <w:color w:val="auto"/>
              </w:rPr>
              <w:t>应包含车辆控制系统设计的科学性、便捷度、稳定性、安全性描述。</w:t>
            </w:r>
          </w:p>
          <w:p>
            <w:pPr>
              <w:adjustRightInd/>
              <w:spacing w:line="240" w:lineRule="auto"/>
              <w:ind w:firstLine="0" w:firstLineChars="0"/>
              <w:jc w:val="both"/>
              <w:rPr>
                <w:color w:val="auto"/>
              </w:rPr>
            </w:pPr>
            <w:r>
              <w:rPr>
                <w:rFonts w:hint="eastAsia"/>
                <w:color w:val="auto"/>
              </w:rPr>
              <w:t>第一个档次（2分）：车辆控制系统设计科学合理，简便稳定，优于采购需求。</w:t>
            </w:r>
          </w:p>
          <w:p>
            <w:pPr>
              <w:adjustRightInd/>
              <w:spacing w:line="240" w:lineRule="auto"/>
              <w:ind w:firstLine="0" w:firstLineChars="0"/>
              <w:jc w:val="both"/>
              <w:rPr>
                <w:color w:val="auto"/>
              </w:rPr>
            </w:pPr>
            <w:r>
              <w:rPr>
                <w:rFonts w:hint="eastAsia"/>
                <w:color w:val="auto"/>
              </w:rPr>
              <w:t>第二个档次（1分）：车辆控制系统设计一般，基本符合采购人要求，满足采购需求。</w:t>
            </w:r>
          </w:p>
          <w:p>
            <w:pPr>
              <w:adjustRightInd/>
              <w:spacing w:line="240" w:lineRule="auto"/>
              <w:ind w:firstLine="0" w:firstLineChars="0"/>
              <w:jc w:val="both"/>
              <w:rPr>
                <w:color w:val="auto"/>
              </w:rPr>
            </w:pPr>
            <w:r>
              <w:rPr>
                <w:rFonts w:hint="eastAsia"/>
                <w:color w:val="auto"/>
              </w:rPr>
              <w:t>第三个档次（0分）：车辆控制系统设计不合理，不满足采购需求。</w:t>
            </w:r>
          </w:p>
          <w:p>
            <w:pPr>
              <w:adjustRightInd/>
              <w:spacing w:line="240" w:lineRule="auto"/>
              <w:ind w:firstLine="0" w:firstLineChars="0"/>
              <w:jc w:val="both"/>
              <w:rPr>
                <w:color w:val="auto"/>
              </w:rPr>
            </w:pPr>
            <w:r>
              <w:rPr>
                <w:rFonts w:hint="eastAsia"/>
                <w:color w:val="auto"/>
              </w:rPr>
              <w:t>⑤所投车辆结构设计评价（满分1分）</w:t>
            </w:r>
          </w:p>
          <w:p>
            <w:pPr>
              <w:adjustRightInd/>
              <w:spacing w:line="240" w:lineRule="auto"/>
              <w:ind w:firstLine="0" w:firstLineChars="0"/>
              <w:jc w:val="both"/>
              <w:rPr>
                <w:color w:val="auto"/>
              </w:rPr>
            </w:pPr>
            <w:r>
              <w:rPr>
                <w:rFonts w:hint="eastAsia"/>
                <w:color w:val="auto"/>
              </w:rPr>
              <w:t>应包含车辆结构设计描述，以及产品照片、功能布局效果图等产品资料。</w:t>
            </w:r>
          </w:p>
          <w:p>
            <w:pPr>
              <w:adjustRightInd/>
              <w:spacing w:line="240" w:lineRule="auto"/>
              <w:ind w:firstLine="0" w:firstLineChars="0"/>
              <w:jc w:val="both"/>
              <w:rPr>
                <w:color w:val="auto"/>
              </w:rPr>
            </w:pPr>
            <w:r>
              <w:rPr>
                <w:rFonts w:hint="eastAsia"/>
                <w:color w:val="auto"/>
              </w:rPr>
              <w:t>第一个档次（1分）：结构设计合理，关键部位连接处、管路设计逻辑合理，功能布局科学。</w:t>
            </w:r>
          </w:p>
          <w:p>
            <w:pPr>
              <w:adjustRightInd/>
              <w:spacing w:line="240" w:lineRule="auto"/>
              <w:ind w:firstLine="0" w:firstLineChars="0"/>
              <w:jc w:val="both"/>
              <w:rPr>
                <w:color w:val="auto"/>
              </w:rPr>
            </w:pPr>
            <w:r>
              <w:rPr>
                <w:rFonts w:hint="eastAsia"/>
                <w:color w:val="auto"/>
              </w:rPr>
              <w:t>第二个档次（0.5分）：结构设计一般，关键部位连接处、管路设计逻辑一般，功能布局科学性一般。</w:t>
            </w:r>
          </w:p>
          <w:p>
            <w:pPr>
              <w:adjustRightInd/>
              <w:spacing w:line="240" w:lineRule="auto"/>
              <w:ind w:firstLine="0" w:firstLineChars="0"/>
              <w:jc w:val="both"/>
              <w:rPr>
                <w:color w:val="auto"/>
              </w:rPr>
            </w:pPr>
            <w:r>
              <w:rPr>
                <w:rFonts w:hint="eastAsia"/>
                <w:color w:val="auto"/>
              </w:rPr>
              <w:t>第三个档次（0分）：结构设计差，关键部位连接处、管路设计逻辑不合理，功能布局不科学。</w:t>
            </w:r>
          </w:p>
          <w:p>
            <w:pPr>
              <w:adjustRightInd/>
              <w:spacing w:line="240" w:lineRule="auto"/>
              <w:ind w:firstLine="0" w:firstLineChars="0"/>
              <w:jc w:val="both"/>
              <w:rPr>
                <w:color w:val="auto"/>
              </w:rPr>
            </w:pPr>
            <w:r>
              <w:rPr>
                <w:rFonts w:hint="eastAsia"/>
                <w:color w:val="auto"/>
              </w:rPr>
              <w:t>⑥所投车辆电气控制、照明等系统评价（满分2分）</w:t>
            </w:r>
          </w:p>
          <w:p>
            <w:pPr>
              <w:adjustRightInd/>
              <w:spacing w:line="240" w:lineRule="auto"/>
              <w:ind w:firstLine="0" w:firstLineChars="0"/>
              <w:jc w:val="both"/>
              <w:rPr>
                <w:color w:val="auto"/>
              </w:rPr>
            </w:pPr>
            <w:r>
              <w:rPr>
                <w:rFonts w:hint="eastAsia"/>
                <w:color w:val="auto"/>
              </w:rPr>
              <w:t>应包含车辆电气控制、照明等系统相关资料，从电路、气路的设计是否布置规整，操控是否便捷、灵敏，照明系统的亮度和安装位置合理性进行描述。</w:t>
            </w:r>
          </w:p>
          <w:p>
            <w:pPr>
              <w:adjustRightInd/>
              <w:spacing w:line="240" w:lineRule="auto"/>
              <w:ind w:firstLine="0" w:firstLineChars="0"/>
              <w:jc w:val="both"/>
              <w:rPr>
                <w:color w:val="auto"/>
              </w:rPr>
            </w:pPr>
            <w:r>
              <w:rPr>
                <w:rFonts w:hint="eastAsia"/>
                <w:color w:val="auto"/>
              </w:rPr>
              <w:t>第一个档次（2分）：电路、气路的设计布置规整，操控便捷、灵敏，照明系统的亮度和安装位置合理，完全符合采购人需求。</w:t>
            </w:r>
          </w:p>
          <w:p>
            <w:pPr>
              <w:adjustRightInd/>
              <w:spacing w:line="240" w:lineRule="auto"/>
              <w:ind w:firstLine="0" w:firstLineChars="0"/>
              <w:jc w:val="both"/>
              <w:rPr>
                <w:color w:val="auto"/>
              </w:rPr>
            </w:pPr>
            <w:r>
              <w:rPr>
                <w:rFonts w:hint="eastAsia"/>
                <w:color w:val="auto"/>
              </w:rPr>
              <w:t>第二个档次（1分）：电路、气路的设计布置基本规整，操控一般，照明系统的亮度和安装位置基本合理，基本符合采购人需求。</w:t>
            </w:r>
          </w:p>
          <w:p>
            <w:pPr>
              <w:adjustRightInd/>
              <w:spacing w:line="240" w:lineRule="auto"/>
              <w:ind w:firstLine="0" w:firstLineChars="0"/>
              <w:jc w:val="both"/>
              <w:rPr>
                <w:color w:val="auto"/>
              </w:rPr>
            </w:pPr>
            <w:r>
              <w:rPr>
                <w:rFonts w:hint="eastAsia"/>
                <w:color w:val="auto"/>
              </w:rPr>
              <w:t>第三个档次（0分）：未提供车辆电气控制系统、照明系统等相关资料或电路、气路的设计杂乱无章，操控繁琐。</w:t>
            </w:r>
          </w:p>
          <w:p>
            <w:pPr>
              <w:adjustRightInd/>
              <w:spacing w:line="240" w:lineRule="auto"/>
              <w:ind w:firstLine="0" w:firstLineChars="0"/>
              <w:jc w:val="both"/>
              <w:rPr>
                <w:color w:val="auto"/>
              </w:rPr>
            </w:pPr>
            <w:r>
              <w:rPr>
                <w:rFonts w:hint="eastAsia"/>
                <w:color w:val="auto"/>
              </w:rPr>
              <w:t>⑦随车器材和随车工具评价（满分1分）</w:t>
            </w:r>
          </w:p>
          <w:p>
            <w:pPr>
              <w:adjustRightInd/>
              <w:spacing w:line="240" w:lineRule="auto"/>
              <w:ind w:firstLine="0" w:firstLineChars="0"/>
              <w:jc w:val="both"/>
              <w:rPr>
                <w:color w:val="auto"/>
              </w:rPr>
            </w:pPr>
            <w:r>
              <w:rPr>
                <w:rFonts w:hint="eastAsia"/>
                <w:color w:val="auto"/>
              </w:rPr>
              <w:t>应包含随车器材、随车工具、随车文件资料的完整性和质量的描述。</w:t>
            </w:r>
          </w:p>
          <w:p>
            <w:pPr>
              <w:adjustRightInd/>
              <w:spacing w:line="240" w:lineRule="auto"/>
              <w:ind w:firstLine="0" w:firstLineChars="0"/>
              <w:jc w:val="both"/>
              <w:rPr>
                <w:color w:val="auto"/>
              </w:rPr>
            </w:pPr>
            <w:r>
              <w:rPr>
                <w:rFonts w:hint="eastAsia"/>
                <w:color w:val="auto"/>
              </w:rPr>
              <w:t>第一个档次（1分）：随车器材、随车工具齐全，且质量优，随车文件资料齐全且制作精良。</w:t>
            </w:r>
          </w:p>
          <w:p>
            <w:pPr>
              <w:adjustRightInd/>
              <w:spacing w:line="240" w:lineRule="auto"/>
              <w:ind w:firstLine="0" w:firstLineChars="0"/>
              <w:jc w:val="both"/>
              <w:rPr>
                <w:color w:val="auto"/>
              </w:rPr>
            </w:pPr>
            <w:r>
              <w:rPr>
                <w:rFonts w:hint="eastAsia"/>
                <w:color w:val="auto"/>
              </w:rPr>
              <w:t>第二个档次（0.5分）：随车器材、随车工具齐全，质量达标，随车文件资料齐全但质量一般。</w:t>
            </w:r>
          </w:p>
          <w:p>
            <w:pPr>
              <w:adjustRightInd/>
              <w:spacing w:line="240" w:lineRule="auto"/>
              <w:ind w:firstLine="0" w:firstLineChars="0"/>
              <w:jc w:val="both"/>
              <w:rPr>
                <w:color w:val="auto"/>
              </w:rPr>
            </w:pPr>
            <w:r>
              <w:rPr>
                <w:rFonts w:hint="eastAsia"/>
                <w:color w:val="auto"/>
              </w:rPr>
              <w:t>第三个档次（0分）：随车器材、随车工具不齐全或存在质量隐患或随车文件资料不齐全。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jc w:val="center"/>
        </w:trPr>
        <w:tc>
          <w:tcPr>
            <w:tcW w:w="423" w:type="dxa"/>
            <w:vMerge w:val="continue"/>
            <w:tcMar>
              <w:top w:w="57" w:type="dxa"/>
              <w:left w:w="57" w:type="dxa"/>
              <w:bottom w:w="57" w:type="dxa"/>
              <w:right w:w="57" w:type="dxa"/>
            </w:tcMar>
          </w:tcPr>
          <w:p>
            <w:pPr>
              <w:kinsoku w:val="0"/>
              <w:autoSpaceDE w:val="0"/>
              <w:autoSpaceDN w:val="0"/>
              <w:adjustRightInd/>
              <w:spacing w:line="240" w:lineRule="auto"/>
              <w:ind w:firstLine="0" w:firstLineChars="0"/>
              <w:rPr>
                <w:color w:val="auto"/>
              </w:rPr>
            </w:pPr>
          </w:p>
        </w:tc>
        <w:tc>
          <w:tcPr>
            <w:tcW w:w="1017" w:type="dxa"/>
            <w:vMerge w:val="continue"/>
            <w:tcMar>
              <w:top w:w="57" w:type="dxa"/>
              <w:left w:w="57" w:type="dxa"/>
              <w:bottom w:w="57" w:type="dxa"/>
              <w:right w:w="57" w:type="dxa"/>
            </w:tcMar>
          </w:tcPr>
          <w:p>
            <w:pPr>
              <w:kinsoku w:val="0"/>
              <w:autoSpaceDE w:val="0"/>
              <w:autoSpaceDN w:val="0"/>
              <w:adjustRightInd/>
              <w:spacing w:line="240" w:lineRule="auto"/>
              <w:ind w:firstLine="0" w:firstLineChars="0"/>
              <w:rPr>
                <w:color w:val="auto"/>
              </w:rPr>
            </w:pPr>
          </w:p>
        </w:tc>
        <w:tc>
          <w:tcPr>
            <w:tcW w:w="1408" w:type="dxa"/>
            <w:tcMar>
              <w:top w:w="57" w:type="dxa"/>
              <w:left w:w="57" w:type="dxa"/>
              <w:bottom w:w="57" w:type="dxa"/>
              <w:right w:w="57" w:type="dxa"/>
            </w:tcMar>
            <w:vAlign w:val="center"/>
          </w:tcPr>
          <w:p>
            <w:pPr>
              <w:kinsoku w:val="0"/>
              <w:autoSpaceDE w:val="0"/>
              <w:autoSpaceDN w:val="0"/>
              <w:adjustRightInd/>
              <w:spacing w:line="240" w:lineRule="auto"/>
              <w:ind w:firstLine="0" w:firstLineChars="0"/>
              <w:jc w:val="center"/>
              <w:rPr>
                <w:color w:val="auto"/>
                <w:spacing w:val="13"/>
              </w:rPr>
            </w:pPr>
            <w:r>
              <w:rPr>
                <w:rFonts w:hint="eastAsia"/>
                <w:color w:val="auto"/>
                <w:spacing w:val="16"/>
              </w:rPr>
              <w:t>5)商务</w:t>
            </w:r>
            <w:r>
              <w:rPr>
                <w:rFonts w:hint="eastAsia"/>
                <w:color w:val="auto"/>
                <w:spacing w:val="13"/>
              </w:rPr>
              <w:t>部分</w:t>
            </w:r>
          </w:p>
          <w:p>
            <w:pPr>
              <w:kinsoku w:val="0"/>
              <w:autoSpaceDE w:val="0"/>
              <w:autoSpaceDN w:val="0"/>
              <w:adjustRightInd/>
              <w:spacing w:line="240" w:lineRule="auto"/>
              <w:ind w:firstLine="0" w:firstLineChars="0"/>
              <w:jc w:val="center"/>
              <w:rPr>
                <w:color w:val="auto"/>
                <w:spacing w:val="13"/>
              </w:rPr>
            </w:pPr>
            <w:r>
              <w:rPr>
                <w:rFonts w:hint="eastAsia"/>
                <w:color w:val="auto"/>
                <w:spacing w:val="13"/>
              </w:rPr>
              <w:t>得分F3</w:t>
            </w:r>
          </w:p>
          <w:p>
            <w:pPr>
              <w:kinsoku w:val="0"/>
              <w:autoSpaceDE w:val="0"/>
              <w:autoSpaceDN w:val="0"/>
              <w:adjustRightInd/>
              <w:spacing w:line="240" w:lineRule="auto"/>
              <w:ind w:firstLine="0" w:firstLineChars="0"/>
              <w:jc w:val="center"/>
              <w:rPr>
                <w:color w:val="auto"/>
                <w:spacing w:val="13"/>
              </w:rPr>
            </w:pPr>
            <w:r>
              <w:rPr>
                <w:rFonts w:hint="eastAsia"/>
                <w:color w:val="auto"/>
                <w:spacing w:val="13"/>
              </w:rPr>
              <w:t>(满分20分)</w:t>
            </w:r>
          </w:p>
        </w:tc>
        <w:tc>
          <w:tcPr>
            <w:tcW w:w="7818" w:type="dxa"/>
            <w:tcMar>
              <w:top w:w="57" w:type="dxa"/>
              <w:left w:w="57" w:type="dxa"/>
              <w:bottom w:w="57" w:type="dxa"/>
              <w:right w:w="57" w:type="dxa"/>
            </w:tcMar>
            <w:vAlign w:val="center"/>
          </w:tcPr>
          <w:p>
            <w:pPr>
              <w:adjustRightInd/>
              <w:spacing w:line="240" w:lineRule="auto"/>
              <w:ind w:firstLine="0" w:firstLineChars="0"/>
              <w:jc w:val="both"/>
              <w:rPr>
                <w:rFonts w:ascii="Calibri" w:hAnsi="Calibri"/>
                <w:b/>
                <w:bCs/>
                <w:color w:val="auto"/>
                <w:szCs w:val="20"/>
              </w:rPr>
            </w:pPr>
            <w:r>
              <w:rPr>
                <w:rFonts w:hint="eastAsia" w:ascii="Calibri" w:hAnsi="Calibri"/>
                <w:b/>
                <w:bCs/>
                <w:color w:val="auto"/>
                <w:szCs w:val="20"/>
              </w:rPr>
              <w:t>（一）节能环保（2分）</w:t>
            </w:r>
          </w:p>
          <w:p>
            <w:pPr>
              <w:adjustRightInd/>
              <w:spacing w:line="240" w:lineRule="auto"/>
              <w:ind w:firstLine="0" w:firstLineChars="0"/>
              <w:rPr>
                <w:color w:val="auto"/>
              </w:rPr>
            </w:pPr>
            <w:r>
              <w:rPr>
                <w:rFonts w:hint="eastAsia"/>
                <w:color w:val="auto"/>
              </w:rPr>
              <w:t>①车辆被认定为节能产品（非政府强制采购节能产品）的,得1分；</w:t>
            </w:r>
          </w:p>
          <w:p>
            <w:pPr>
              <w:adjustRightInd/>
              <w:spacing w:line="240" w:lineRule="auto"/>
              <w:ind w:firstLine="0" w:firstLineChars="0"/>
              <w:rPr>
                <w:color w:val="auto"/>
              </w:rPr>
            </w:pPr>
            <w:r>
              <w:rPr>
                <w:rFonts w:hint="eastAsia"/>
                <w:color w:val="auto"/>
              </w:rPr>
              <w:t>②车辆被认定为环境标志产品的，得1分；</w:t>
            </w:r>
          </w:p>
          <w:p>
            <w:pPr>
              <w:adjustRightInd/>
              <w:spacing w:line="240" w:lineRule="auto"/>
              <w:ind w:firstLine="0" w:firstLineChars="0"/>
              <w:rPr>
                <w:color w:val="auto"/>
              </w:rPr>
            </w:pPr>
            <w:r>
              <w:rPr>
                <w:rFonts w:hint="eastAsia"/>
                <w:color w:val="auto"/>
              </w:rPr>
              <w:t>注：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复印件加盖投标人公章）。</w:t>
            </w:r>
          </w:p>
          <w:p>
            <w:pPr>
              <w:adjustRightInd/>
              <w:spacing w:line="240" w:lineRule="auto"/>
              <w:ind w:firstLine="0" w:firstLineChars="0"/>
              <w:jc w:val="both"/>
              <w:rPr>
                <w:rFonts w:ascii="Calibri" w:hAnsi="Calibri"/>
                <w:b/>
                <w:bCs/>
                <w:color w:val="auto"/>
                <w:szCs w:val="20"/>
              </w:rPr>
            </w:pPr>
            <w:r>
              <w:rPr>
                <w:rFonts w:hint="eastAsia" w:ascii="Calibri" w:hAnsi="Calibri"/>
                <w:b/>
                <w:bCs/>
                <w:color w:val="auto"/>
                <w:szCs w:val="20"/>
              </w:rPr>
              <w:t>（二）供货方案（8分）</w:t>
            </w:r>
          </w:p>
          <w:p>
            <w:pPr>
              <w:adjustRightInd/>
              <w:spacing w:line="240" w:lineRule="auto"/>
              <w:ind w:firstLine="0" w:firstLineChars="0"/>
              <w:rPr>
                <w:color w:val="auto"/>
                <w:kern w:val="2"/>
              </w:rPr>
            </w:pPr>
            <w:r>
              <w:rPr>
                <w:rFonts w:hint="eastAsia"/>
                <w:b/>
                <w:bCs/>
                <w:color w:val="auto"/>
                <w:kern w:val="2"/>
              </w:rPr>
              <w:t>1、供货方案（满分2分）：</w:t>
            </w:r>
          </w:p>
          <w:p>
            <w:pPr>
              <w:adjustRightInd/>
              <w:spacing w:line="240" w:lineRule="auto"/>
              <w:ind w:firstLine="0" w:firstLineChars="0"/>
              <w:jc w:val="both"/>
              <w:rPr>
                <w:color w:val="auto"/>
              </w:rPr>
            </w:pPr>
            <w:r>
              <w:rPr>
                <w:rFonts w:hint="eastAsia"/>
                <w:color w:val="auto"/>
              </w:rPr>
              <w:t>第一个档次（2分）投标人针对本标包提出的供货方案安排合理、切实可行、科学规范、针对性强的；</w:t>
            </w:r>
          </w:p>
          <w:p>
            <w:pPr>
              <w:adjustRightInd/>
              <w:spacing w:line="240" w:lineRule="auto"/>
              <w:ind w:firstLine="0" w:firstLineChars="0"/>
              <w:jc w:val="both"/>
              <w:rPr>
                <w:color w:val="auto"/>
              </w:rPr>
            </w:pPr>
            <w:r>
              <w:rPr>
                <w:rFonts w:hint="eastAsia"/>
                <w:color w:val="auto"/>
              </w:rPr>
              <w:t>第二个档次（1分）投标人针对本项目提出的供货方案安排合理性一般、可行性一般、规范性一般、针对性一般的；</w:t>
            </w:r>
          </w:p>
          <w:p>
            <w:pPr>
              <w:adjustRightInd/>
              <w:spacing w:line="240" w:lineRule="auto"/>
              <w:ind w:firstLine="0" w:firstLineChars="0"/>
              <w:jc w:val="both"/>
              <w:rPr>
                <w:color w:val="auto"/>
              </w:rPr>
            </w:pPr>
            <w:r>
              <w:rPr>
                <w:rFonts w:hint="eastAsia"/>
                <w:color w:val="auto"/>
              </w:rPr>
              <w:t>第三个档次（0分）未提供供货方案的。</w:t>
            </w:r>
          </w:p>
          <w:p>
            <w:pPr>
              <w:widowControl w:val="0"/>
              <w:adjustRightInd/>
              <w:spacing w:line="240" w:lineRule="auto"/>
              <w:ind w:firstLine="0" w:firstLineChars="0"/>
              <w:jc w:val="both"/>
              <w:rPr>
                <w:rFonts w:ascii="Calibri" w:hAnsi="Calibri" w:cs="Times New Roman"/>
                <w:color w:val="auto"/>
                <w:kern w:val="2"/>
                <w:szCs w:val="24"/>
              </w:rPr>
            </w:pPr>
            <w:r>
              <w:rPr>
                <w:rFonts w:hint="eastAsia" w:ascii="Calibri" w:hAnsi="Calibri" w:cs="Times New Roman"/>
                <w:b/>
                <w:bCs/>
                <w:color w:val="auto"/>
                <w:kern w:val="2"/>
                <w:szCs w:val="11"/>
              </w:rPr>
              <w:t>2、供货进度计划安排（满分3分）</w:t>
            </w:r>
            <w:r>
              <w:rPr>
                <w:rFonts w:hint="eastAsia" w:ascii="Calibri" w:hAnsi="Calibri" w:cs="Times New Roman"/>
                <w:color w:val="auto"/>
                <w:kern w:val="2"/>
                <w:szCs w:val="11"/>
              </w:rPr>
              <w:t>：</w:t>
            </w:r>
          </w:p>
          <w:p>
            <w:pPr>
              <w:adjustRightInd/>
              <w:spacing w:line="240" w:lineRule="auto"/>
              <w:ind w:firstLine="422"/>
              <w:jc w:val="both"/>
              <w:rPr>
                <w:color w:val="auto"/>
              </w:rPr>
            </w:pPr>
            <w:r>
              <w:rPr>
                <w:rFonts w:hint="eastAsia"/>
                <w:b/>
                <w:bCs/>
                <w:color w:val="auto"/>
              </w:rPr>
              <w:t>4标包、5标包和8标包：</w:t>
            </w:r>
            <w:r>
              <w:rPr>
                <w:rFonts w:hint="eastAsia"/>
                <w:color w:val="auto"/>
              </w:rPr>
              <w:t>满足招标文件最低供货时间要求的，消防车辆每提前1天得0.015分。</w:t>
            </w:r>
          </w:p>
          <w:p>
            <w:pPr>
              <w:adjustRightInd/>
              <w:spacing w:line="240" w:lineRule="auto"/>
              <w:ind w:firstLine="422"/>
              <w:jc w:val="both"/>
              <w:rPr>
                <w:color w:val="auto"/>
              </w:rPr>
            </w:pPr>
            <w:r>
              <w:rPr>
                <w:rFonts w:hint="eastAsia"/>
                <w:b/>
                <w:bCs/>
                <w:color w:val="auto"/>
              </w:rPr>
              <w:t>其余标包：</w:t>
            </w:r>
            <w:r>
              <w:rPr>
                <w:rFonts w:hint="eastAsia"/>
                <w:color w:val="auto"/>
              </w:rPr>
              <w:t>满足招标文件最低供货时间要求的，消防车辆每提前1天得0.025分。</w:t>
            </w:r>
          </w:p>
          <w:p>
            <w:pPr>
              <w:widowControl w:val="0"/>
              <w:adjustRightInd/>
              <w:spacing w:line="240" w:lineRule="auto"/>
              <w:ind w:firstLine="0" w:firstLineChars="0"/>
              <w:jc w:val="both"/>
              <w:rPr>
                <w:rFonts w:ascii="Calibri" w:hAnsi="Calibri" w:cs="Times New Roman"/>
                <w:color w:val="auto"/>
                <w:kern w:val="2"/>
                <w:szCs w:val="24"/>
              </w:rPr>
            </w:pPr>
            <w:r>
              <w:rPr>
                <w:rFonts w:hint="eastAsia" w:ascii="Calibri" w:hAnsi="Calibri" w:cs="Times New Roman"/>
                <w:b/>
                <w:bCs/>
                <w:color w:val="auto"/>
                <w:kern w:val="2"/>
                <w:szCs w:val="11"/>
              </w:rPr>
              <w:t>3、培训安排（满分1分）</w:t>
            </w:r>
            <w:r>
              <w:rPr>
                <w:rFonts w:hint="eastAsia" w:ascii="Calibri" w:hAnsi="Calibri" w:cs="Times New Roman"/>
                <w:color w:val="auto"/>
                <w:kern w:val="2"/>
                <w:szCs w:val="11"/>
              </w:rPr>
              <w:t>：</w:t>
            </w:r>
          </w:p>
          <w:p>
            <w:pPr>
              <w:adjustRightInd/>
              <w:spacing w:line="240" w:lineRule="auto"/>
              <w:ind w:firstLine="0" w:firstLineChars="0"/>
              <w:jc w:val="both"/>
              <w:rPr>
                <w:color w:val="auto"/>
              </w:rPr>
            </w:pPr>
            <w:r>
              <w:rPr>
                <w:rFonts w:hint="eastAsia"/>
                <w:color w:val="auto"/>
              </w:rPr>
              <w:t>送货至最终使用单位后，每个单位每种器材开展一次不少于45分钟的现场培训，得1分。</w:t>
            </w:r>
          </w:p>
          <w:p>
            <w:pPr>
              <w:widowControl w:val="0"/>
              <w:adjustRightInd/>
              <w:spacing w:line="240" w:lineRule="auto"/>
              <w:ind w:firstLine="0" w:firstLineChars="0"/>
              <w:jc w:val="both"/>
              <w:rPr>
                <w:color w:val="auto"/>
                <w:kern w:val="2"/>
                <w:szCs w:val="24"/>
              </w:rPr>
            </w:pPr>
            <w:r>
              <w:rPr>
                <w:rFonts w:hint="eastAsia"/>
                <w:b/>
                <w:bCs/>
                <w:color w:val="auto"/>
                <w:kern w:val="2"/>
                <w:szCs w:val="11"/>
              </w:rPr>
              <w:t>4、违约责任（满分2分）：</w:t>
            </w:r>
          </w:p>
          <w:p>
            <w:pPr>
              <w:adjustRightInd/>
              <w:spacing w:line="240" w:lineRule="auto"/>
              <w:ind w:firstLine="0" w:firstLineChars="0"/>
              <w:jc w:val="both"/>
              <w:rPr>
                <w:color w:val="auto"/>
              </w:rPr>
            </w:pPr>
            <w:r>
              <w:rPr>
                <w:rFonts w:hint="eastAsia"/>
                <w:color w:val="auto"/>
              </w:rPr>
              <w:t>提供供货进度计划安排、培训安排的前提下，按下列规则进行评分：</w:t>
            </w:r>
          </w:p>
          <w:p>
            <w:pPr>
              <w:adjustRightInd/>
              <w:spacing w:line="240" w:lineRule="auto"/>
              <w:ind w:firstLine="0" w:firstLineChars="0"/>
              <w:jc w:val="both"/>
              <w:rPr>
                <w:color w:val="auto"/>
              </w:rPr>
            </w:pPr>
            <w:r>
              <w:rPr>
                <w:rFonts w:hint="eastAsia"/>
                <w:color w:val="auto"/>
              </w:rPr>
              <w:t>第一个档次（2分）供货进度计划安排、培训安排违约责任完整，责任主体落实明确，有具体、合理的违约金额的；</w:t>
            </w:r>
          </w:p>
          <w:p>
            <w:pPr>
              <w:adjustRightInd/>
              <w:spacing w:line="240" w:lineRule="auto"/>
              <w:ind w:firstLine="0" w:firstLineChars="0"/>
              <w:jc w:val="both"/>
              <w:rPr>
                <w:color w:val="auto"/>
              </w:rPr>
            </w:pPr>
            <w:r>
              <w:rPr>
                <w:rFonts w:hint="eastAsia"/>
                <w:color w:val="auto"/>
              </w:rPr>
              <w:t>第二个档次（1分）供货进度计划安排、培训安排违约责任完整，有责任主体落实，有违约金额的；</w:t>
            </w:r>
          </w:p>
          <w:p>
            <w:pPr>
              <w:adjustRightInd/>
              <w:spacing w:line="240" w:lineRule="auto"/>
              <w:ind w:firstLine="0" w:firstLineChars="0"/>
              <w:jc w:val="both"/>
              <w:rPr>
                <w:color w:val="auto"/>
              </w:rPr>
            </w:pPr>
            <w:r>
              <w:rPr>
                <w:rFonts w:hint="eastAsia"/>
                <w:color w:val="auto"/>
              </w:rPr>
              <w:t>第三个档次（0分）无供货进度计划安排或培训安排违约责任的。</w:t>
            </w:r>
          </w:p>
          <w:p>
            <w:pPr>
              <w:adjustRightInd/>
              <w:spacing w:line="240" w:lineRule="auto"/>
              <w:ind w:firstLine="0" w:firstLineChars="0"/>
              <w:jc w:val="both"/>
              <w:rPr>
                <w:rFonts w:ascii="Calibri" w:hAnsi="Calibri"/>
                <w:b/>
                <w:bCs/>
                <w:color w:val="auto"/>
                <w:szCs w:val="20"/>
              </w:rPr>
            </w:pPr>
            <w:r>
              <w:rPr>
                <w:rFonts w:hint="eastAsia" w:ascii="Calibri" w:hAnsi="Calibri"/>
                <w:b/>
                <w:bCs/>
                <w:color w:val="auto"/>
                <w:szCs w:val="20"/>
              </w:rPr>
              <w:t>（三）售后服务承诺（8分）</w:t>
            </w:r>
          </w:p>
          <w:p>
            <w:pPr>
              <w:adjustRightInd/>
              <w:spacing w:line="240" w:lineRule="auto"/>
              <w:ind w:firstLine="0" w:firstLineChars="0"/>
              <w:rPr>
                <w:color w:val="auto"/>
              </w:rPr>
            </w:pPr>
            <w:r>
              <w:rPr>
                <w:rFonts w:hint="eastAsia"/>
                <w:b/>
                <w:bCs/>
                <w:color w:val="auto"/>
              </w:rPr>
              <w:t>1、质保期（满分1分）：</w:t>
            </w:r>
          </w:p>
          <w:p>
            <w:pPr>
              <w:adjustRightInd/>
              <w:spacing w:line="240" w:lineRule="auto"/>
              <w:ind w:firstLine="0" w:firstLineChars="0"/>
              <w:jc w:val="both"/>
              <w:rPr>
                <w:color w:val="auto"/>
              </w:rPr>
            </w:pPr>
            <w:r>
              <w:rPr>
                <w:rFonts w:hint="eastAsia"/>
                <w:color w:val="auto"/>
              </w:rPr>
              <w:t>满足招标文件质保期要求的基础上，消防车辆每延长6个月得0.5分。</w:t>
            </w:r>
          </w:p>
          <w:p>
            <w:pPr>
              <w:numPr>
                <w:ilvl w:val="0"/>
                <w:numId w:val="8"/>
              </w:numPr>
              <w:adjustRightInd/>
              <w:spacing w:line="240" w:lineRule="auto"/>
              <w:ind w:firstLine="0" w:firstLineChars="0"/>
              <w:rPr>
                <w:b/>
                <w:bCs/>
                <w:color w:val="auto"/>
              </w:rPr>
            </w:pPr>
            <w:r>
              <w:rPr>
                <w:rFonts w:hint="eastAsia"/>
                <w:b/>
                <w:bCs/>
                <w:color w:val="auto"/>
              </w:rPr>
              <w:t>售后服务响应时间（满分1分）：</w:t>
            </w:r>
          </w:p>
          <w:p>
            <w:pPr>
              <w:adjustRightInd/>
              <w:spacing w:line="240" w:lineRule="auto"/>
              <w:ind w:firstLine="0" w:firstLineChars="0"/>
              <w:jc w:val="both"/>
              <w:rPr>
                <w:color w:val="auto"/>
              </w:rPr>
            </w:pPr>
            <w:r>
              <w:rPr>
                <w:rFonts w:hint="eastAsia"/>
                <w:color w:val="auto"/>
              </w:rPr>
              <w:t>投标人承诺按以下时限进行售后服务的（接到使用单位售后服务需求后，昆明地区于2小时到场，其余地区于12小时到场），得1分。</w:t>
            </w:r>
          </w:p>
          <w:p>
            <w:pPr>
              <w:numPr>
                <w:ilvl w:val="0"/>
                <w:numId w:val="8"/>
              </w:numPr>
              <w:adjustRightInd/>
              <w:spacing w:line="240" w:lineRule="auto"/>
              <w:ind w:firstLine="0" w:firstLineChars="0"/>
              <w:rPr>
                <w:b/>
                <w:bCs/>
                <w:color w:val="auto"/>
              </w:rPr>
            </w:pPr>
            <w:r>
              <w:rPr>
                <w:rFonts w:hint="eastAsia"/>
                <w:b/>
                <w:bCs/>
                <w:color w:val="auto"/>
              </w:rPr>
              <w:t>售后服务总体方案及保障措施（满分2分）：</w:t>
            </w:r>
          </w:p>
          <w:p>
            <w:pPr>
              <w:adjustRightInd/>
              <w:spacing w:line="240" w:lineRule="auto"/>
              <w:ind w:firstLine="0" w:firstLineChars="0"/>
              <w:jc w:val="both"/>
              <w:rPr>
                <w:color w:val="auto"/>
              </w:rPr>
            </w:pPr>
            <w:r>
              <w:rPr>
                <w:rFonts w:hint="eastAsia"/>
                <w:color w:val="auto"/>
              </w:rPr>
              <w:t>第一个档次(2分)：售后服务总体方案及保障措施内容完整、科学合理、针对性强，符合项目实际需求的；</w:t>
            </w:r>
          </w:p>
          <w:p>
            <w:pPr>
              <w:adjustRightInd/>
              <w:spacing w:line="240" w:lineRule="auto"/>
              <w:ind w:firstLine="0" w:firstLineChars="0"/>
              <w:jc w:val="both"/>
              <w:rPr>
                <w:color w:val="auto"/>
              </w:rPr>
            </w:pPr>
            <w:r>
              <w:rPr>
                <w:rFonts w:hint="eastAsia"/>
                <w:color w:val="auto"/>
              </w:rPr>
              <w:t>第二个档次（1分)：售后服务总体方案及保障措施内容可行，基本符合项目实际需求的；</w:t>
            </w:r>
          </w:p>
          <w:p>
            <w:pPr>
              <w:adjustRightInd/>
              <w:spacing w:line="240" w:lineRule="auto"/>
              <w:ind w:firstLine="0" w:firstLineChars="0"/>
              <w:jc w:val="both"/>
              <w:rPr>
                <w:color w:val="auto"/>
              </w:rPr>
            </w:pPr>
            <w:r>
              <w:rPr>
                <w:rFonts w:hint="eastAsia"/>
                <w:color w:val="auto"/>
              </w:rPr>
              <w:t>第三个档次（0分）：未提供售后服务总体方案及保障措施；</w:t>
            </w:r>
          </w:p>
          <w:p>
            <w:pPr>
              <w:numPr>
                <w:ilvl w:val="0"/>
                <w:numId w:val="8"/>
              </w:numPr>
              <w:adjustRightInd/>
              <w:spacing w:line="240" w:lineRule="auto"/>
              <w:ind w:firstLine="0" w:firstLineChars="0"/>
              <w:rPr>
                <w:color w:val="auto"/>
                <w:kern w:val="2"/>
              </w:rPr>
            </w:pPr>
            <w:r>
              <w:rPr>
                <w:rFonts w:hint="eastAsia"/>
                <w:b/>
                <w:bCs/>
                <w:color w:val="auto"/>
                <w:szCs w:val="11"/>
              </w:rPr>
              <w:t>保养（满分2分）：</w:t>
            </w:r>
          </w:p>
          <w:p>
            <w:pPr>
              <w:adjustRightInd/>
              <w:spacing w:line="240" w:lineRule="auto"/>
              <w:ind w:firstLine="0" w:firstLineChars="0"/>
              <w:jc w:val="both"/>
              <w:rPr>
                <w:color w:val="auto"/>
              </w:rPr>
            </w:pPr>
            <w:r>
              <w:rPr>
                <w:color w:val="auto"/>
              </w:rPr>
              <w:t>（1）</w:t>
            </w:r>
            <w:r>
              <w:rPr>
                <w:rFonts w:hint="eastAsia"/>
                <w:color w:val="auto"/>
              </w:rPr>
              <w:t>保养次数（1分）</w:t>
            </w:r>
          </w:p>
          <w:p>
            <w:pPr>
              <w:adjustRightInd/>
              <w:spacing w:line="240" w:lineRule="auto"/>
              <w:ind w:firstLine="0" w:firstLineChars="0"/>
              <w:jc w:val="both"/>
              <w:rPr>
                <w:color w:val="auto"/>
              </w:rPr>
            </w:pPr>
            <w:r>
              <w:rPr>
                <w:color w:val="auto"/>
              </w:rPr>
              <w:t>验收合格之日起半年内提供</w:t>
            </w:r>
            <w:r>
              <w:rPr>
                <w:rFonts w:hint="eastAsia"/>
                <w:color w:val="auto"/>
              </w:rPr>
              <w:t>首次</w:t>
            </w:r>
            <w:r>
              <w:rPr>
                <w:color w:val="auto"/>
              </w:rPr>
              <w:t>免费</w:t>
            </w:r>
            <w:r>
              <w:rPr>
                <w:rFonts w:hint="eastAsia"/>
                <w:color w:val="auto"/>
              </w:rPr>
              <w:t>保养</w:t>
            </w:r>
            <w:r>
              <w:rPr>
                <w:color w:val="auto"/>
              </w:rPr>
              <w:t>服务，得0.5分。</w:t>
            </w:r>
            <w:r>
              <w:rPr>
                <w:rFonts w:hint="eastAsia"/>
                <w:color w:val="auto"/>
              </w:rPr>
              <w:t>首保后，消防</w:t>
            </w:r>
            <w:r>
              <w:rPr>
                <w:color w:val="auto"/>
              </w:rPr>
              <w:t>车辆</w:t>
            </w:r>
            <w:r>
              <w:rPr>
                <w:rFonts w:hint="eastAsia"/>
                <w:color w:val="auto"/>
              </w:rPr>
              <w:t>以半年为周期，每增加一次免费保养，加0.5分</w:t>
            </w:r>
            <w:r>
              <w:rPr>
                <w:color w:val="auto"/>
              </w:rPr>
              <w:t>。</w:t>
            </w:r>
          </w:p>
          <w:p>
            <w:pPr>
              <w:adjustRightInd/>
              <w:spacing w:line="240" w:lineRule="auto"/>
              <w:ind w:firstLine="0" w:firstLineChars="0"/>
              <w:jc w:val="both"/>
              <w:rPr>
                <w:color w:val="auto"/>
              </w:rPr>
            </w:pPr>
            <w:r>
              <w:rPr>
                <w:color w:val="auto"/>
              </w:rPr>
              <w:t>（2）</w:t>
            </w:r>
            <w:r>
              <w:rPr>
                <w:rFonts w:hint="eastAsia"/>
                <w:color w:val="auto"/>
              </w:rPr>
              <w:t>保养内容完整性（1分）</w:t>
            </w:r>
          </w:p>
          <w:p>
            <w:pPr>
              <w:adjustRightInd/>
              <w:spacing w:line="240" w:lineRule="auto"/>
              <w:ind w:firstLine="0" w:firstLineChars="0"/>
              <w:jc w:val="both"/>
              <w:rPr>
                <w:color w:val="auto"/>
              </w:rPr>
            </w:pPr>
            <w:r>
              <w:rPr>
                <w:rFonts w:hint="eastAsia"/>
                <w:color w:val="auto"/>
              </w:rPr>
              <w:t>第一个档次(1分)：保养内容全面且明确，符合项目实际需求的；</w:t>
            </w:r>
          </w:p>
          <w:p>
            <w:pPr>
              <w:adjustRightInd/>
              <w:spacing w:line="240" w:lineRule="auto"/>
              <w:ind w:firstLine="0" w:firstLineChars="0"/>
              <w:jc w:val="both"/>
              <w:rPr>
                <w:color w:val="auto"/>
              </w:rPr>
            </w:pPr>
            <w:r>
              <w:rPr>
                <w:rFonts w:hint="eastAsia"/>
                <w:color w:val="auto"/>
              </w:rPr>
              <w:t>第二个档次（0.5分)：保养内容简单的；</w:t>
            </w:r>
          </w:p>
          <w:p>
            <w:pPr>
              <w:adjustRightInd/>
              <w:spacing w:line="240" w:lineRule="auto"/>
              <w:ind w:firstLine="0" w:firstLineChars="0"/>
              <w:jc w:val="both"/>
              <w:rPr>
                <w:color w:val="auto"/>
              </w:rPr>
            </w:pPr>
            <w:r>
              <w:rPr>
                <w:rFonts w:hint="eastAsia"/>
                <w:color w:val="auto"/>
              </w:rPr>
              <w:t>第三个档次（0分)：未明确保养内容的。</w:t>
            </w:r>
          </w:p>
          <w:p>
            <w:pPr>
              <w:adjustRightInd/>
              <w:spacing w:line="240" w:lineRule="auto"/>
              <w:ind w:firstLine="0" w:firstLineChars="0"/>
              <w:rPr>
                <w:color w:val="auto"/>
              </w:rPr>
            </w:pPr>
            <w:r>
              <w:rPr>
                <w:rFonts w:hint="eastAsia"/>
                <w:b/>
                <w:bCs/>
                <w:color w:val="auto"/>
                <w:szCs w:val="11"/>
              </w:rPr>
              <w:t>5、违约责任（满分2分）：</w:t>
            </w:r>
          </w:p>
          <w:p>
            <w:pPr>
              <w:adjustRightInd/>
              <w:spacing w:line="240" w:lineRule="auto"/>
              <w:ind w:firstLine="0" w:firstLineChars="0"/>
              <w:jc w:val="both"/>
              <w:rPr>
                <w:color w:val="auto"/>
              </w:rPr>
            </w:pPr>
            <w:r>
              <w:rPr>
                <w:rFonts w:hint="eastAsia"/>
                <w:color w:val="auto"/>
              </w:rPr>
              <w:t>提供售后服务响应时间、保养的前提下，按下列规则进行评分：</w:t>
            </w:r>
          </w:p>
          <w:p>
            <w:pPr>
              <w:adjustRightInd/>
              <w:spacing w:line="240" w:lineRule="auto"/>
              <w:ind w:firstLine="0" w:firstLineChars="0"/>
              <w:jc w:val="both"/>
              <w:rPr>
                <w:color w:val="auto"/>
              </w:rPr>
            </w:pPr>
            <w:r>
              <w:rPr>
                <w:rFonts w:hint="eastAsia"/>
                <w:color w:val="auto"/>
              </w:rPr>
              <w:t>第一个档次（2分）售后服务响应时间、保养违约责任完整，责任主体落实明确，有具体、合理的违约金额的；</w:t>
            </w:r>
          </w:p>
          <w:p>
            <w:pPr>
              <w:adjustRightInd/>
              <w:spacing w:line="240" w:lineRule="auto"/>
              <w:ind w:firstLine="0" w:firstLineChars="0"/>
              <w:jc w:val="both"/>
              <w:rPr>
                <w:color w:val="auto"/>
              </w:rPr>
            </w:pPr>
            <w:r>
              <w:rPr>
                <w:rFonts w:hint="eastAsia"/>
                <w:color w:val="auto"/>
              </w:rPr>
              <w:t>第二个档次（1分）售后服务响应时间、保养违约责任完整，有责任主体落实，有违约金额的；</w:t>
            </w:r>
          </w:p>
          <w:p>
            <w:pPr>
              <w:adjustRightInd/>
              <w:spacing w:line="240" w:lineRule="auto"/>
              <w:ind w:firstLine="0" w:firstLineChars="0"/>
              <w:jc w:val="both"/>
              <w:rPr>
                <w:color w:val="auto"/>
              </w:rPr>
            </w:pPr>
            <w:r>
              <w:rPr>
                <w:rFonts w:hint="eastAsia"/>
                <w:color w:val="auto"/>
              </w:rPr>
              <w:t>第三个档次（0分）无售后服务响应时间或保养违约责任的。</w:t>
            </w:r>
          </w:p>
          <w:p>
            <w:pPr>
              <w:kinsoku w:val="0"/>
              <w:autoSpaceDE w:val="0"/>
              <w:autoSpaceDN w:val="0"/>
              <w:adjustRightInd/>
              <w:spacing w:line="240" w:lineRule="auto"/>
              <w:ind w:firstLine="0" w:firstLineChars="0"/>
              <w:rPr>
                <w:b/>
                <w:bCs/>
                <w:color w:val="auto"/>
              </w:rPr>
            </w:pPr>
            <w:r>
              <w:rPr>
                <w:rFonts w:hint="eastAsia"/>
                <w:b/>
                <w:bCs/>
                <w:color w:val="auto"/>
              </w:rPr>
              <w:t>（四）类似业绩（满分2分）</w:t>
            </w:r>
          </w:p>
          <w:p>
            <w:pPr>
              <w:adjustRightInd/>
              <w:spacing w:line="240" w:lineRule="auto"/>
              <w:ind w:firstLine="0" w:firstLineChars="0"/>
              <w:jc w:val="both"/>
              <w:rPr>
                <w:color w:val="auto"/>
              </w:rPr>
            </w:pPr>
            <w:r>
              <w:rPr>
                <w:rFonts w:hint="eastAsia"/>
                <w:color w:val="auto"/>
              </w:rPr>
              <w:t>投标人2020年1月1日至本项目投标文件提交截止时间前已完成或正在实施的类似项目业绩。每提供一份证明材料得0.4分，满分2分。</w:t>
            </w:r>
          </w:p>
          <w:p>
            <w:pPr>
              <w:adjustRightInd/>
              <w:spacing w:line="240" w:lineRule="auto"/>
              <w:ind w:firstLine="0" w:firstLineChars="0"/>
              <w:jc w:val="both"/>
              <w:rPr>
                <w:color w:val="auto"/>
              </w:rPr>
            </w:pPr>
            <w:r>
              <w:rPr>
                <w:rFonts w:hint="eastAsia"/>
                <w:color w:val="auto"/>
              </w:rPr>
              <w:t>注：1.业绩证明材料为中标（成交）公示网页截图和合同（合同首页、标的及金额所在页及合同签字盖章页复印件）。无证明材料或证明材料不明确、无法体现业绩实质性内容的，不予认可。</w:t>
            </w:r>
          </w:p>
          <w:p>
            <w:pPr>
              <w:adjustRightInd/>
              <w:spacing w:line="240" w:lineRule="auto"/>
              <w:ind w:firstLine="0" w:firstLineChars="0"/>
              <w:jc w:val="both"/>
              <w:rPr>
                <w:color w:val="auto"/>
              </w:rPr>
            </w:pPr>
            <w:r>
              <w:rPr>
                <w:rFonts w:hint="eastAsia"/>
                <w:color w:val="auto"/>
              </w:rPr>
              <w:t>2.类似业绩是指“所投标包标的物”供货业绩。</w:t>
            </w:r>
          </w:p>
        </w:tc>
      </w:tr>
    </w:tbl>
    <w:p>
      <w:pPr>
        <w:rPr>
          <w:color w:val="auto"/>
        </w:rPr>
      </w:pPr>
    </w:p>
    <w:p>
      <w:pPr>
        <w:adjustRightInd/>
        <w:spacing w:line="240" w:lineRule="auto"/>
        <w:rPr>
          <w:color w:val="auto"/>
        </w:rPr>
      </w:pPr>
    </w:p>
    <w:p>
      <w:pPr>
        <w:spacing w:line="240" w:lineRule="auto"/>
        <w:ind w:firstLine="480"/>
        <w:rPr>
          <w:color w:val="auto"/>
          <w:sz w:val="24"/>
          <w:szCs w:val="24"/>
        </w:rPr>
      </w:pPr>
      <w:r>
        <w:rPr>
          <w:rFonts w:hint="eastAsia"/>
          <w:color w:val="auto"/>
          <w:sz w:val="24"/>
          <w:szCs w:val="24"/>
        </w:rPr>
        <w:br w:type="page"/>
      </w:r>
    </w:p>
    <w:p>
      <w:pPr>
        <w:pStyle w:val="3"/>
        <w:ind w:firstLine="482"/>
        <w:rPr>
          <w:color w:val="auto"/>
        </w:rPr>
      </w:pPr>
      <w:bookmarkStart w:id="81" w:name="_Toc5004"/>
      <w:r>
        <w:rPr>
          <w:rFonts w:hint="eastAsia"/>
          <w:color w:val="auto"/>
        </w:rPr>
        <w:t>1.评标方法：</w:t>
      </w:r>
      <w:bookmarkEnd w:id="81"/>
    </w:p>
    <w:p>
      <w:pPr>
        <w:rPr>
          <w:color w:val="auto"/>
        </w:rPr>
      </w:pPr>
      <w:r>
        <w:rPr>
          <w:rFonts w:hint="eastAsia"/>
          <w:color w:val="auto"/>
        </w:rPr>
        <w:t>1.1 本次评标采用综合评分法。评标委员会对满足招标文件全部实质性要求（即通过资格审查）的投标文件，按照本章前附表规定的评分标准进行打分，并按评标总得分计算公式计算评标总得分，按总得分由高到低的顺序推荐3名中标候选人；得分相同的，按报价部分得分由高到低顺序推荐;评标总得分及投标报价相等时，评标委员会将依次按技术及商务部分得分高优先的顺序推荐；所有得分均相等的，由评标委员会不记名投票推荐中标候选人。</w:t>
      </w:r>
    </w:p>
    <w:p>
      <w:pPr>
        <w:pStyle w:val="3"/>
        <w:ind w:firstLine="482"/>
        <w:rPr>
          <w:color w:val="auto"/>
        </w:rPr>
      </w:pPr>
      <w:bookmarkStart w:id="82" w:name="_Toc24109"/>
      <w:r>
        <w:rPr>
          <w:rFonts w:hint="eastAsia"/>
          <w:color w:val="auto"/>
        </w:rPr>
        <w:t>2.评标程序及标准</w:t>
      </w:r>
      <w:bookmarkEnd w:id="82"/>
      <w:r>
        <w:rPr>
          <w:rFonts w:hint="eastAsia"/>
          <w:color w:val="auto"/>
        </w:rPr>
        <w:t xml:space="preserve"> </w:t>
      </w:r>
    </w:p>
    <w:p>
      <w:pPr>
        <w:rPr>
          <w:color w:val="auto"/>
        </w:rPr>
      </w:pPr>
      <w:bookmarkStart w:id="83" w:name="_Toc1272"/>
      <w:bookmarkEnd w:id="83"/>
      <w:r>
        <w:rPr>
          <w:rFonts w:hint="eastAsia"/>
          <w:color w:val="auto"/>
        </w:rPr>
        <w:t xml:space="preserve">2.1 符合性审查 </w:t>
      </w:r>
    </w:p>
    <w:p>
      <w:pPr>
        <w:rPr>
          <w:color w:val="auto"/>
        </w:rPr>
      </w:pPr>
      <w:r>
        <w:rPr>
          <w:rFonts w:hint="eastAsia"/>
          <w:color w:val="auto"/>
        </w:rPr>
        <w:t xml:space="preserve">2.1.1 依据招标文件的规定，评标委员会对通过资格审查的投标人的投标文件进行符合性审查，以确定其是否满足招标文件的实质性要求，见评审方法前附表。 </w:t>
      </w:r>
    </w:p>
    <w:p>
      <w:pPr>
        <w:rPr>
          <w:color w:val="auto"/>
        </w:rPr>
      </w:pPr>
      <w:r>
        <w:rPr>
          <w:rFonts w:hint="eastAsia"/>
          <w:color w:val="auto"/>
        </w:rPr>
        <w:t xml:space="preserve">2.1.2 算术性错误修正。投标文件报价出现前后不一致的，按照下列规定修正： </w:t>
      </w:r>
    </w:p>
    <w:p>
      <w:pPr>
        <w:rPr>
          <w:color w:val="auto"/>
        </w:rPr>
      </w:pPr>
      <w:r>
        <w:rPr>
          <w:rFonts w:hint="eastAsia"/>
          <w:color w:val="auto"/>
        </w:rPr>
        <w:t xml:space="preserve">（一）投标文件中开标一览表（报价表）内容与投标文件中相应内容不一致的，以开标一览表（报价表）为准； </w:t>
      </w:r>
    </w:p>
    <w:p>
      <w:pPr>
        <w:rPr>
          <w:color w:val="auto"/>
        </w:rPr>
      </w:pPr>
      <w:r>
        <w:rPr>
          <w:rFonts w:hint="eastAsia"/>
          <w:color w:val="auto"/>
        </w:rPr>
        <w:t xml:space="preserve">（二）大写金额和小写金额不一致的，以大写金额为准； </w:t>
      </w:r>
    </w:p>
    <w:p>
      <w:pPr>
        <w:rPr>
          <w:color w:val="auto"/>
        </w:rPr>
      </w:pPr>
      <w:r>
        <w:rPr>
          <w:rFonts w:hint="eastAsia"/>
          <w:color w:val="auto"/>
        </w:rPr>
        <w:t xml:space="preserve">（三）单价金额小数点或者百分比有明显错位的，以开标一览表的总价为准，并修改单价； </w:t>
      </w:r>
    </w:p>
    <w:p>
      <w:pPr>
        <w:rPr>
          <w:color w:val="auto"/>
        </w:rPr>
      </w:pPr>
      <w:r>
        <w:rPr>
          <w:rFonts w:hint="eastAsia"/>
          <w:color w:val="auto"/>
        </w:rPr>
        <w:t xml:space="preserve">（四）总价金额与按单价汇总金额不一致的，以单价金额计算结果为准。 </w:t>
      </w:r>
    </w:p>
    <w:p>
      <w:pPr>
        <w:rPr>
          <w:color w:val="auto"/>
        </w:rPr>
      </w:pPr>
      <w:r>
        <w:rPr>
          <w:rFonts w:hint="eastAsia"/>
          <w:color w:val="auto"/>
        </w:rPr>
        <w:t>同时出现两种以上不一致的，按照前款规定的顺序修正。</w:t>
      </w:r>
    </w:p>
    <w:p>
      <w:pPr>
        <w:rPr>
          <w:color w:val="auto"/>
        </w:rPr>
      </w:pPr>
      <w:r>
        <w:rPr>
          <w:rFonts w:hint="eastAsia"/>
          <w:color w:val="auto"/>
        </w:rPr>
        <w:t xml:space="preserve">2.1.3 投标文件的澄清 </w:t>
      </w:r>
    </w:p>
    <w:p>
      <w:pPr>
        <w:rPr>
          <w:color w:val="auto"/>
        </w:rPr>
      </w:pPr>
      <w:r>
        <w:rPr>
          <w:rFonts w:hint="eastAsia"/>
          <w:color w:val="auto"/>
        </w:rPr>
        <w:t xml:space="preserve">（一）在评标过程中，评标委员会可以书面形式要求投标人对所提交的投标文件中含义不明确、同类问题表述不一致或者有明显文字和计算错误的内容，进行书面澄清或说明。评标委员会不接受投标人主动提出的澄清、说明。 </w:t>
      </w:r>
    </w:p>
    <w:p>
      <w:pPr>
        <w:rPr>
          <w:color w:val="auto"/>
        </w:rPr>
      </w:pPr>
      <w:r>
        <w:rPr>
          <w:rFonts w:hint="eastAsia"/>
          <w:color w:val="auto"/>
        </w:rPr>
        <w:t xml:space="preserve">（二）投标人的澄清、说明应当采用书面形式，由法定代表人或其授权的代表签字，澄清事项不得超出投标文件的范围并不得改变投标文件的实质性内容（算术性错误修正的除外）。投标人的书面澄清、说明属于投标文件的组成部分。 </w:t>
      </w:r>
    </w:p>
    <w:p>
      <w:pPr>
        <w:rPr>
          <w:color w:val="auto"/>
        </w:rPr>
      </w:pPr>
      <w:r>
        <w:rPr>
          <w:rFonts w:hint="eastAsia"/>
          <w:color w:val="auto"/>
        </w:rPr>
        <w:t xml:space="preserve">（三）评标委员会对投标人提交的澄清、说明有疑问的，可以要求投标人进一步澄清、说明。 </w:t>
      </w:r>
    </w:p>
    <w:p>
      <w:pPr>
        <w:rPr>
          <w:color w:val="auto"/>
        </w:rPr>
      </w:pPr>
      <w:r>
        <w:rPr>
          <w:rFonts w:hint="eastAsia"/>
          <w:color w:val="auto"/>
        </w:rPr>
        <w:t>2.2同品牌产品不同投标人的处理方式</w:t>
      </w:r>
    </w:p>
    <w:p>
      <w:pPr>
        <w:rPr>
          <w:color w:val="auto"/>
        </w:rPr>
      </w:pPr>
      <w:r>
        <w:rPr>
          <w:rFonts w:hint="eastAsia"/>
          <w:color w:val="auto"/>
        </w:rPr>
        <w:t>2.2.1</w:t>
      </w:r>
      <w:r>
        <w:rPr>
          <w:color w:val="auto"/>
        </w:rPr>
        <w:t>提供相同品牌产品且通过资格审查、符合性审查的不同投标人参加同一合同项下投标的，按1家投标人计算，评审后得分最高的同品牌投标人获得中标人推荐资格；评审得分相同的，由</w:t>
      </w:r>
      <w:r>
        <w:rPr>
          <w:rFonts w:hint="eastAsia"/>
          <w:color w:val="auto"/>
        </w:rPr>
        <w:t>招标</w:t>
      </w:r>
      <w:r>
        <w:rPr>
          <w:color w:val="auto"/>
        </w:rPr>
        <w:t>人或者</w:t>
      </w:r>
      <w:r>
        <w:rPr>
          <w:rFonts w:hint="eastAsia"/>
          <w:color w:val="auto"/>
        </w:rPr>
        <w:t>招标</w:t>
      </w:r>
      <w:r>
        <w:rPr>
          <w:color w:val="auto"/>
        </w:rPr>
        <w:t>人委托评标委员会按照招标文件规定的方式确定1个投标人获得中标人推荐资格，招标文件未规定的采取随机抽取方式确定，其他同品牌投标人不作为中标候选人。</w:t>
      </w:r>
    </w:p>
    <w:p>
      <w:pPr>
        <w:rPr>
          <w:color w:val="auto"/>
        </w:rPr>
      </w:pPr>
      <w:r>
        <w:rPr>
          <w:rFonts w:hint="eastAsia"/>
          <w:color w:val="auto"/>
        </w:rPr>
        <w:t>2.2.2</w:t>
      </w:r>
      <w:r>
        <w:rPr>
          <w:color w:val="auto"/>
        </w:rPr>
        <w:t>非单一产品采购项目，</w:t>
      </w:r>
      <w:r>
        <w:rPr>
          <w:rFonts w:hint="eastAsia"/>
          <w:color w:val="auto"/>
        </w:rPr>
        <w:t>招标</w:t>
      </w:r>
      <w:r>
        <w:rPr>
          <w:color w:val="auto"/>
        </w:rPr>
        <w:t>人应当根据采购项目技术构成、产品价格比重等合理确定核心产品，并在招标文件中载明。多家投标人提供的核心产品品牌相同的，按前两款规定处理。</w:t>
      </w:r>
    </w:p>
    <w:p>
      <w:pPr>
        <w:rPr>
          <w:color w:val="auto"/>
        </w:rPr>
      </w:pPr>
      <w:r>
        <w:rPr>
          <w:rFonts w:hint="eastAsia"/>
          <w:color w:val="auto"/>
        </w:rPr>
        <w:t>2.2.3本项目同一标包的不同投标人按上述原则处理。</w:t>
      </w:r>
    </w:p>
    <w:p>
      <w:pPr>
        <w:rPr>
          <w:color w:val="auto"/>
        </w:rPr>
      </w:pPr>
      <w:r>
        <w:rPr>
          <w:rFonts w:hint="eastAsia"/>
          <w:color w:val="auto"/>
        </w:rPr>
        <w:t xml:space="preserve">2.3详细评审 </w:t>
      </w:r>
    </w:p>
    <w:p>
      <w:pPr>
        <w:rPr>
          <w:color w:val="auto"/>
        </w:rPr>
      </w:pPr>
      <w:r>
        <w:rPr>
          <w:rFonts w:hint="eastAsia"/>
          <w:color w:val="auto"/>
        </w:rPr>
        <w:t xml:space="preserve">2.3.1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w:t>
      </w:r>
    </w:p>
    <w:p>
      <w:pPr>
        <w:rPr>
          <w:color w:val="auto"/>
        </w:rPr>
      </w:pPr>
      <w:r>
        <w:rPr>
          <w:rFonts w:hint="eastAsia"/>
          <w:color w:val="auto"/>
        </w:rPr>
        <w:t>2.3.2评标委员会按照招标文件中规定的评标方法和标准，对符合性审查合格的投标文件进行技术及商务评审，综合比较与评价,见评审方法前附表。</w:t>
      </w:r>
    </w:p>
    <w:p>
      <w:pPr>
        <w:rPr>
          <w:color w:val="auto"/>
        </w:rPr>
      </w:pPr>
      <w:r>
        <w:rPr>
          <w:rFonts w:hint="eastAsia"/>
          <w:color w:val="auto"/>
        </w:rPr>
        <w:t>2.3.3 评标委员会各成员要依法独立评审，并对评审意见承担个人责任。对投标人的客观评分项的评分 应当一致，对其他需要借助专业知识评判的主观评分项，应当严格按照评分细则公正评分。</w:t>
      </w:r>
    </w:p>
    <w:p>
      <w:pPr>
        <w:rPr>
          <w:color w:val="auto"/>
        </w:rPr>
      </w:pPr>
      <w:r>
        <w:rPr>
          <w:rFonts w:hint="eastAsia"/>
          <w:color w:val="auto"/>
        </w:rPr>
        <w:t>2.3.4 评标委员会成员对需要共同认定的事项存在争议的，按照少数服从多数的原则做出结论。持不同意见的评标委员会成员应当在评标报告上签署不同意见并说明理由，否则视为同意。</w:t>
      </w:r>
    </w:p>
    <w:p>
      <w:pPr>
        <w:pStyle w:val="3"/>
        <w:ind w:firstLine="482"/>
        <w:rPr>
          <w:color w:val="auto"/>
        </w:rPr>
      </w:pPr>
      <w:bookmarkStart w:id="84" w:name="_Toc29851"/>
      <w:r>
        <w:rPr>
          <w:rFonts w:hint="eastAsia"/>
          <w:color w:val="auto"/>
        </w:rPr>
        <w:t>3.评标结果</w:t>
      </w:r>
      <w:bookmarkEnd w:id="84"/>
      <w:r>
        <w:rPr>
          <w:rFonts w:hint="eastAsia"/>
          <w:color w:val="auto"/>
        </w:rPr>
        <w:t xml:space="preserve"> </w:t>
      </w:r>
    </w:p>
    <w:p>
      <w:pPr>
        <w:rPr>
          <w:color w:val="auto"/>
        </w:rPr>
      </w:pPr>
      <w:r>
        <w:rPr>
          <w:rFonts w:hint="eastAsia"/>
          <w:color w:val="auto"/>
        </w:rPr>
        <w:t>3.1 统分原则：投标人投标报价部分以外的得分为所有评委打分的算术平均值。</w:t>
      </w:r>
    </w:p>
    <w:p>
      <w:pPr>
        <w:rPr>
          <w:color w:val="auto"/>
        </w:rPr>
      </w:pPr>
      <w:r>
        <w:rPr>
          <w:rFonts w:hint="eastAsia"/>
          <w:color w:val="auto"/>
        </w:rPr>
        <w:t>3.2评标委员会按最终得分由高到低顺序推荐 3 名中标候选人，并提出书面评标报告。</w:t>
      </w:r>
    </w:p>
    <w:p>
      <w:pPr>
        <w:rPr>
          <w:color w:val="auto"/>
        </w:rPr>
      </w:pPr>
      <w:r>
        <w:rPr>
          <w:rFonts w:hint="eastAsia"/>
          <w:color w:val="auto"/>
        </w:rPr>
        <w:t>3.3 招标人根据评标委员会提出的书面评标报告和推荐的中标候选人名单，确定中标人。</w:t>
      </w:r>
    </w:p>
    <w:p>
      <w:pPr>
        <w:rPr>
          <w:color w:val="auto"/>
        </w:rPr>
      </w:pPr>
      <w:r>
        <w:rPr>
          <w:rFonts w:hint="eastAsia"/>
          <w:color w:val="auto"/>
        </w:rPr>
        <w:t>3.4 评标委员会发现招标文件存在歧义、重大缺陷导致评审工作无法进行，或者招标文件内容违反国家有关规定的，要停止评审工作并向招标人或招标代理机构书面说明情况，招标人或招标代理机构应当修改招标文件后重新组织采购活动；发现投标人具有行贿、提供虚假材料或者串通等违法行为的,应当及时向财政部门报告。</w:t>
      </w:r>
    </w:p>
    <w:sectPr>
      <w:footerReference r:id="rId14" w:type="default"/>
      <w:pgSz w:w="11906" w:h="16838"/>
      <w:pgMar w:top="1417" w:right="1417" w:bottom="1417" w:left="1587" w:header="1134" w:footer="850"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000000" w:sz="12" w:space="0"/>
      </w:pBdr>
      <w:spacing w:line="240" w:lineRule="auto"/>
      <w:ind w:firstLine="0" w:firstLineChars="0"/>
      <w:jc w:val="right"/>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000000" w:sz="12" w:space="0"/>
      </w:pBdr>
      <w:spacing w:line="240" w:lineRule="auto"/>
      <w:ind w:firstLine="0" w:firstLineChars="0"/>
      <w:jc w:val="right"/>
      <w:rPr>
        <w:sz w:val="18"/>
        <w:szCs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w="12700">
                        <a:noFill/>
                      </a:ln>
                    </wps:spPr>
                    <wps:txbx>
                      <w:txbxContent>
                        <w:p>
                          <w:pPr>
                            <w:pStyle w:val="15"/>
                            <w:ind w:firstLine="360"/>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130</w:t>
                          </w:r>
                          <w:r>
                            <w:fldChar w:fldCharType="end"/>
                          </w:r>
                          <w:r>
                            <w:t xml:space="preserve"> 页</w:t>
                          </w:r>
                        </w:p>
                      </w:txbxContent>
                    </wps:txbx>
                    <wps:bodyPr rot="0" vert="horz" wrap="none" lIns="0" tIns="0" rIns="0" bIns="0" anchor="t" anchorCtr="0">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XwSWJ9EAAAAF&#10;AQAADwAAAGRycy9kb3ducmV2LnhtbE2PQUsDMRCF74L/IYzgRWzSHmS7brYUF8GrrfScbqabxc1k&#10;SbLb6q93FEEvwzze8OZ71ebiBzFjTH0gDcuFAoHUBttTp+Ft/3xfgEjZkDVDINTwgQk29fVVZUob&#10;zvSK8y53gkMolUaDy3kspUytQ2/SIoxI7J1C9CazjJ200Zw53A9ypdSD9KYn/uDMiE8O2/fd5DW8&#10;TPsQ5xi2zdqp5q45HT7n7UHr25ulegSR8ZL/juEbn9GhZqZjmMgmMWjgIvlnsrcqCpbH30XWlfxP&#10;X38BUEsDBBQAAAAIAIdO4kBadwEW2AEAALADAAAOAAAAZHJzL2Uyb0RvYy54bWytU8uO0zAU3SPx&#10;D5b3NI8FVFHTEaIahIRgpIEPcB27seSXrt0m5QPgD1ixYc939Tu4dpLOaNjMgk1ybnxzfM7x9eZm&#10;NJqcBATlbEurVUmJsNx1yh5a+vXL7as1JSEy2zHtrGjpWQR6s335YjP4RtSud7oTQJDEhmbwLe1j&#10;9E1RBN4Lw8LKeWFxUTowLGIJh6IDNiC70UVdlq+LwUHnwXERAn7dTYt0ZoTnEDopFRc7x49G2Dix&#10;gtAsoqXQKx/oNquVUvD4WcogItEtRacxP3ETxPv0LLYb1hyA+V7xWQJ7joQnngxTFje9Uu1YZOQI&#10;6h8qozi44GRccWeKyUhOBF1U5ZNs7nvmRfaCUQd/DT38P1r+6XQHRHUtrSmxzOCBX37+uPz6c/n9&#10;nVRVymfwocG2e38HcxUQJrOjBJPeaIOMOdPzNVMxRsLxY7Wu1+sS4+a4thTIUzz87iHE98IZkkBL&#10;AQ8tZ8lOH0OcWpeWtJu2ZECq+g2yptq6W6X11KctMifBk8SE4rgfZ917153RLbhpDPASIOgdfKNk&#10;wBFoqcWJp0R/sJhwmpYFwAL2C2CW448tjZRM8F3MU5UEBf/2GFFU1p4kTPvOyvAgs/t56NKkPK5z&#10;18NF2/4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XwSWJ9EAAAAFAQAADwAAAAAAAAABACAAAAAi&#10;AAAAZHJzL2Rvd25yZXYueG1sUEsBAhQAFAAAAAgAh07iQFp3ARbYAQAAsAMAAA4AAAAAAAAAAQAg&#10;AAAAIAEAAGRycy9lMm9Eb2MueG1sUEsFBgAAAAAGAAYAWQEAAGoFAAAAAA==&#10;">
              <v:fill on="f" focussize="0,0"/>
              <v:stroke on="f" weight="1pt"/>
              <v:imagedata o:title=""/>
              <o:lock v:ext="edit" aspectratio="f"/>
              <v:textbox inset="0mm,0mm,0mm,0mm" style="mso-fit-shape-to-text:t;">
                <w:txbxContent>
                  <w:p>
                    <w:pPr>
                      <w:pStyle w:val="15"/>
                      <w:ind w:firstLine="360"/>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130</w:t>
                    </w:r>
                    <w:r>
                      <w:fldChar w:fldCharType="end"/>
                    </w:r>
                    <w:r>
                      <w:t xml:space="preserve"> 页</w:t>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jc w:val="right"/>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w="12700">
                        <a:noFill/>
                      </a:ln>
                    </wps:spPr>
                    <wps:txbx>
                      <w:txbxContent>
                        <w:p>
                          <w:pPr>
                            <w:pStyle w:val="15"/>
                            <w:ind w:firstLine="360"/>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130</w:t>
                          </w:r>
                          <w:r>
                            <w:fldChar w:fldCharType="end"/>
                          </w:r>
                          <w:r>
                            <w:t xml:space="preserve"> 页</w:t>
                          </w:r>
                        </w:p>
                      </w:txbxContent>
                    </wps:txbx>
                    <wps:bodyPr rot="0" vert="horz" wrap="none" lIns="0" tIns="0" rIns="0" bIns="0" anchor="t" anchorCtr="0">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XwSWJ9EAAAAF&#10;AQAADwAAAGRycy9kb3ducmV2LnhtbE2PQUsDMRCF74L/IYzgRWzSHmS7brYUF8GrrfScbqabxc1k&#10;SbLb6q93FEEvwzze8OZ71ebiBzFjTH0gDcuFAoHUBttTp+Ft/3xfgEjZkDVDINTwgQk29fVVZUob&#10;zvSK8y53gkMolUaDy3kspUytQ2/SIoxI7J1C9CazjJ200Zw53A9ypdSD9KYn/uDMiE8O2/fd5DW8&#10;TPsQ5xi2zdqp5q45HT7n7UHr25ulegSR8ZL/juEbn9GhZqZjmMgmMWjgIvlnsrcqCpbH30XWlfxP&#10;X38BUEsDBBQAAAAIAIdO4kB1Zv0P2QEAAK8DAAAOAAAAZHJzL2Uyb0RvYy54bWytU0GO0zAU3SNx&#10;B8t7mrQIqKKmoxHVICQEIw0cwHWcxpLtb327TcoB4Aas2LDnXD3HfDtpBw2bWcwmeT/+eX7v+Xt1&#10;NVjDDgqDBlfz+azkTDkJjXa7mn/7evNqyVmIwjXCgFM1P6rAr9YvX6x6X6kFdGAahYxIXKh6X/Mu&#10;Rl8VRZCdsiLMwCtHiy2gFZFK3BUNip7YrSkWZfm26AEbjyBVCPR1My7yiRGfQghtq6XagNxb5eLI&#10;isqISJZCp33g66y2bZWMX9o2qMhMzclpzE/ahPA2PYv1SlQ7FL7TcpIgniLhkScrtKNNL1QbEQXb&#10;o/6PymqJEKCNMwm2GI3kRMjFvHyUzV0nvMpeKOrgL6GH56OVnw+3yHRT89ecOWHpwE+/fp5+/z39&#10;+cHepHh6HyrquvO3OFWBYPI6tGjTm1ywIUd6vESqhsgkfZwvF8tlSWlLWjsXxFM8/O4xxA8KLEug&#10;5khnlqMUh08hjq3nlrSbcawnqsU7Yk21gxttzNhnHDEnwaPEhOKwHSbdW2iOZBZhnAK6AwQ6wO+c&#10;9TQBNXc08JyZj44CTsNyBngG2zMQTtKPNY+cjfB9zEOVBAV/vY8kKmtPEsZ9J2V0jtn9NHNpUP6t&#10;c9fDPVvf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8ElifRAAAABQEAAA8AAAAAAAAAAQAgAAAA&#10;IgAAAGRycy9kb3ducmV2LnhtbFBLAQIUABQAAAAIAIdO4kB1Zv0P2QEAAK8DAAAOAAAAAAAAAAEA&#10;IAAAACABAABkcnMvZTJvRG9jLnhtbFBLBQYAAAAABgAGAFkBAABrBQAAAAA=&#10;">
              <v:fill on="f" focussize="0,0"/>
              <v:stroke on="f" weight="1pt"/>
              <v:imagedata o:title=""/>
              <o:lock v:ext="edit" aspectratio="f"/>
              <v:textbox inset="0mm,0mm,0mm,0mm" style="mso-fit-shape-to-text:t;">
                <w:txbxContent>
                  <w:p>
                    <w:pPr>
                      <w:pStyle w:val="15"/>
                      <w:ind w:firstLine="360"/>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130</w:t>
                    </w:r>
                    <w:r>
                      <w:fldChar w:fldCharType="end"/>
                    </w:r>
                    <w:r>
                      <w:t xml:space="preserve"> 页</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000000" w:sz="12" w:space="0"/>
      </w:pBdr>
      <w:spacing w:line="219" w:lineRule="auto"/>
      <w:ind w:right="31" w:firstLine="0" w:firstLineChars="0"/>
      <w:rPr>
        <w:rFonts w:ascii="黑体" w:hAnsi="黑体" w:eastAsia="黑体" w:cs="黑体"/>
        <w:sz w:val="18"/>
        <w:szCs w:val="18"/>
      </w:rPr>
    </w:pPr>
    <w:r>
      <w:rPr>
        <w:rFonts w:hint="eastAsia" w:ascii="黑体" w:hAnsi="黑体" w:eastAsia="黑体" w:cs="黑体"/>
        <w:sz w:val="18"/>
        <w:szCs w:val="18"/>
        <w14:textOutline w14:w="3263" w14:cap="flat" w14:cmpd="sng" w14:algn="ctr">
          <w14:solidFill>
            <w14:srgbClr w14:val="000000"/>
          </w14:solidFill>
          <w14:prstDash w14:val="solid"/>
          <w14:miter w14:val="0"/>
        </w14:textOutline>
      </w:rPr>
      <w:t>云南省消防救援总队2023年“自然灾害应急能力提升工程”装备配备项目（车辆部分）第一批次招标文件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2"/>
      <w:numFmt w:val="chineseCounting"/>
      <w:suff w:val="nothing"/>
      <w:lvlText w:val="%1、"/>
      <w:lvlJc w:val="left"/>
      <w:rPr>
        <w:rFonts w:hint="eastAsia"/>
      </w:rPr>
    </w:lvl>
  </w:abstractNum>
  <w:abstractNum w:abstractNumId="1">
    <w:nsid w:val="00000002"/>
    <w:multiLevelType w:val="singleLevel"/>
    <w:tmpl w:val="00000002"/>
    <w:lvl w:ilvl="0" w:tentative="0">
      <w:start w:val="1"/>
      <w:numFmt w:val="decimal"/>
      <w:pStyle w:val="22"/>
      <w:suff w:val="space"/>
      <w:lvlText w:val="%1、"/>
      <w:lvlJc w:val="left"/>
      <w:pPr>
        <w:ind w:left="1050"/>
      </w:pPr>
    </w:lvl>
  </w:abstractNum>
  <w:abstractNum w:abstractNumId="2">
    <w:nsid w:val="00000003"/>
    <w:multiLevelType w:val="singleLevel"/>
    <w:tmpl w:val="00000003"/>
    <w:lvl w:ilvl="0" w:tentative="0">
      <w:start w:val="1"/>
      <w:numFmt w:val="decimal"/>
      <w:suff w:val="nothing"/>
      <w:lvlText w:val="（%1）"/>
      <w:lvlJc w:val="left"/>
    </w:lvl>
  </w:abstractNum>
  <w:abstractNum w:abstractNumId="3">
    <w:nsid w:val="00000004"/>
    <w:multiLevelType w:val="singleLevel"/>
    <w:tmpl w:val="00000004"/>
    <w:lvl w:ilvl="0" w:tentative="0">
      <w:start w:val="2"/>
      <w:numFmt w:val="decimal"/>
      <w:lvlText w:val="%1."/>
      <w:lvlJc w:val="left"/>
      <w:pPr>
        <w:tabs>
          <w:tab w:val="left" w:pos="312"/>
        </w:tabs>
      </w:pPr>
    </w:lvl>
  </w:abstractNum>
  <w:abstractNum w:abstractNumId="4">
    <w:nsid w:val="00000005"/>
    <w:multiLevelType w:val="singleLevel"/>
    <w:tmpl w:val="00000005"/>
    <w:lvl w:ilvl="0" w:tentative="0">
      <w:start w:val="1"/>
      <w:numFmt w:val="chineseCounting"/>
      <w:suff w:val="nothing"/>
      <w:lvlText w:val="%1、"/>
      <w:lvlJc w:val="left"/>
      <w:rPr>
        <w:rFonts w:hint="eastAsia"/>
      </w:rPr>
    </w:lvl>
  </w:abstractNum>
  <w:abstractNum w:abstractNumId="5">
    <w:nsid w:val="00000006"/>
    <w:multiLevelType w:val="singleLevel"/>
    <w:tmpl w:val="00000006"/>
    <w:lvl w:ilvl="0" w:tentative="0">
      <w:start w:val="2"/>
      <w:numFmt w:val="decimal"/>
      <w:suff w:val="nothing"/>
      <w:lvlText w:val="%1、"/>
      <w:lvlJc w:val="left"/>
    </w:lvl>
  </w:abstractNum>
  <w:abstractNum w:abstractNumId="6">
    <w:nsid w:val="00000007"/>
    <w:multiLevelType w:val="singleLevel"/>
    <w:tmpl w:val="00000007"/>
    <w:lvl w:ilvl="0" w:tentative="0">
      <w:start w:val="3"/>
      <w:numFmt w:val="decimal"/>
      <w:suff w:val="nothing"/>
      <w:lvlText w:val="%1)"/>
      <w:lvlJc w:val="left"/>
    </w:lvl>
  </w:abstractNum>
  <w:abstractNum w:abstractNumId="7">
    <w:nsid w:val="0053208E"/>
    <w:multiLevelType w:val="singleLevel"/>
    <w:tmpl w:val="0053208E"/>
    <w:lvl w:ilvl="0" w:tentative="0">
      <w:start w:val="1"/>
      <w:numFmt w:val="chineseCounting"/>
      <w:suff w:val="space"/>
      <w:lvlText w:val="第%1章"/>
      <w:lvlJc w:val="left"/>
      <w:rPr>
        <w:rFonts w:hint="eastAsia"/>
      </w:rPr>
    </w:lvl>
  </w:abstractNum>
  <w:num w:numId="1">
    <w:abstractNumId w:val="1"/>
  </w:num>
  <w:num w:numId="2">
    <w:abstractNumId w:val="7"/>
  </w:num>
  <w:num w:numId="3">
    <w:abstractNumId w:val="2"/>
  </w:num>
  <w:num w:numId="4">
    <w:abstractNumId w:val="4"/>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1"/>
  <w:bordersDoNotSurroundFooter w:val="1"/>
  <w:documentProtection w:enforcement="0"/>
  <w:defaultTabStop w:val="420"/>
  <w:drawingGridVerticalSpacing w:val="156"/>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Y2OGVhMTM1NjhjNWY0NjE0OWRlOWU0MTFiZThlZjUifQ=="/>
  </w:docVars>
  <w:rsids>
    <w:rsidRoot w:val="00B40D08"/>
    <w:rsid w:val="001D6667"/>
    <w:rsid w:val="0089054F"/>
    <w:rsid w:val="00B40D08"/>
    <w:rsid w:val="00BD46DF"/>
    <w:rsid w:val="098175B4"/>
    <w:rsid w:val="0B76376F"/>
    <w:rsid w:val="0DDA7292"/>
    <w:rsid w:val="11E9219A"/>
    <w:rsid w:val="1380653B"/>
    <w:rsid w:val="1520585E"/>
    <w:rsid w:val="167A5EDE"/>
    <w:rsid w:val="16B150D1"/>
    <w:rsid w:val="18ED431E"/>
    <w:rsid w:val="1E6E4153"/>
    <w:rsid w:val="22B10AB2"/>
    <w:rsid w:val="243A27E2"/>
    <w:rsid w:val="294B77A1"/>
    <w:rsid w:val="2A88659C"/>
    <w:rsid w:val="2CA2097F"/>
    <w:rsid w:val="2E3F60DE"/>
    <w:rsid w:val="2EA511B1"/>
    <w:rsid w:val="36624145"/>
    <w:rsid w:val="37A061ED"/>
    <w:rsid w:val="397160A6"/>
    <w:rsid w:val="3E4967D7"/>
    <w:rsid w:val="41710183"/>
    <w:rsid w:val="500876B4"/>
    <w:rsid w:val="509D2B56"/>
    <w:rsid w:val="543B5CF0"/>
    <w:rsid w:val="593A1FA8"/>
    <w:rsid w:val="5CC4270D"/>
    <w:rsid w:val="5CCF5950"/>
    <w:rsid w:val="5E0C65C1"/>
    <w:rsid w:val="5F93061C"/>
    <w:rsid w:val="64DE11CA"/>
    <w:rsid w:val="6C3C2767"/>
    <w:rsid w:val="6C663127"/>
    <w:rsid w:val="70246819"/>
    <w:rsid w:val="70625DB4"/>
    <w:rsid w:val="725400DF"/>
    <w:rsid w:val="74333E3F"/>
    <w:rsid w:val="7C157D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line="360" w:lineRule="auto"/>
      <w:ind w:firstLine="420" w:firstLineChars="200"/>
    </w:pPr>
    <w:rPr>
      <w:rFonts w:ascii="宋体" w:hAnsi="宋体" w:eastAsia="宋体" w:cs="宋体"/>
      <w:color w:val="000000"/>
      <w:sz w:val="21"/>
      <w:szCs w:val="21"/>
      <w:lang w:val="en-US" w:eastAsia="zh-CN" w:bidi="ar-SA"/>
    </w:rPr>
  </w:style>
  <w:style w:type="paragraph" w:styleId="2">
    <w:name w:val="heading 1"/>
    <w:basedOn w:val="1"/>
    <w:next w:val="1"/>
    <w:autoRedefine/>
    <w:qFormat/>
    <w:uiPriority w:val="0"/>
    <w:pPr>
      <w:keepNext/>
      <w:keepLines/>
      <w:ind w:firstLine="0" w:firstLineChars="0"/>
      <w:jc w:val="center"/>
      <w:outlineLvl w:val="0"/>
    </w:pPr>
    <w:rPr>
      <w:b/>
      <w:kern w:val="44"/>
      <w:sz w:val="28"/>
    </w:rPr>
  </w:style>
  <w:style w:type="paragraph" w:styleId="3">
    <w:name w:val="heading 2"/>
    <w:basedOn w:val="1"/>
    <w:next w:val="1"/>
    <w:link w:val="34"/>
    <w:autoRedefine/>
    <w:qFormat/>
    <w:uiPriority w:val="0"/>
    <w:pPr>
      <w:keepNext/>
      <w:keepLines/>
      <w:outlineLvl w:val="1"/>
    </w:pPr>
    <w:rPr>
      <w:b/>
      <w:sz w:val="24"/>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paragraph" w:styleId="5">
    <w:name w:val="heading 4"/>
    <w:basedOn w:val="1"/>
    <w:next w:val="1"/>
    <w:autoRedefine/>
    <w:qFormat/>
    <w:uiPriority w:val="0"/>
    <w:pPr>
      <w:keepNext/>
      <w:keepLines/>
      <w:spacing w:before="280" w:after="290" w:line="372" w:lineRule="auto"/>
      <w:outlineLvl w:val="3"/>
    </w:pPr>
    <w:rPr>
      <w:rFonts w:eastAsia="黑体"/>
      <w:b/>
      <w:sz w:val="28"/>
    </w:rPr>
  </w:style>
  <w:style w:type="paragraph" w:styleId="6">
    <w:name w:val="heading 5"/>
    <w:basedOn w:val="1"/>
    <w:next w:val="1"/>
    <w:autoRedefine/>
    <w:qFormat/>
    <w:uiPriority w:val="0"/>
    <w:pPr>
      <w:keepNext/>
      <w:keepLines/>
      <w:spacing w:before="280" w:after="290" w:line="372" w:lineRule="auto"/>
      <w:outlineLvl w:val="4"/>
    </w:pPr>
    <w:rPr>
      <w:b/>
      <w:sz w:val="28"/>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style>
  <w:style w:type="paragraph" w:styleId="8">
    <w:name w:val="Document Map"/>
    <w:basedOn w:val="1"/>
    <w:autoRedefine/>
    <w:qFormat/>
    <w:uiPriority w:val="0"/>
    <w:pPr>
      <w:shd w:val="clear" w:color="auto" w:fill="000080"/>
    </w:pPr>
    <w:rPr>
      <w:rFonts w:ascii="Times New Roman" w:hAnsi="Times New Roman" w:cs="Times New Roman"/>
      <w:sz w:val="24"/>
    </w:rPr>
  </w:style>
  <w:style w:type="paragraph" w:styleId="9">
    <w:name w:val="toa heading"/>
    <w:basedOn w:val="1"/>
    <w:next w:val="1"/>
    <w:autoRedefine/>
    <w:qFormat/>
    <w:uiPriority w:val="99"/>
    <w:pPr>
      <w:spacing w:before="120"/>
    </w:pPr>
    <w:rPr>
      <w:sz w:val="24"/>
    </w:rPr>
  </w:style>
  <w:style w:type="paragraph" w:styleId="10">
    <w:name w:val="annotation text"/>
    <w:basedOn w:val="1"/>
    <w:link w:val="39"/>
    <w:autoRedefine/>
    <w:qFormat/>
    <w:uiPriority w:val="0"/>
  </w:style>
  <w:style w:type="paragraph" w:styleId="11">
    <w:name w:val="Body Text"/>
    <w:basedOn w:val="1"/>
    <w:autoRedefine/>
    <w:qFormat/>
    <w:uiPriority w:val="0"/>
    <w:pPr>
      <w:spacing w:after="120"/>
    </w:pPr>
  </w:style>
  <w:style w:type="paragraph" w:styleId="12">
    <w:name w:val="Body Text Indent"/>
    <w:basedOn w:val="1"/>
    <w:autoRedefine/>
    <w:qFormat/>
    <w:uiPriority w:val="0"/>
    <w:pPr>
      <w:spacing w:after="120"/>
      <w:ind w:left="420" w:leftChars="200"/>
    </w:pPr>
    <w:rPr>
      <w:rFonts w:ascii="Calibri" w:hAnsi="Calibri"/>
      <w:szCs w:val="20"/>
    </w:rPr>
  </w:style>
  <w:style w:type="paragraph" w:styleId="13">
    <w:name w:val="Plain Text"/>
    <w:basedOn w:val="1"/>
    <w:autoRedefine/>
    <w:qFormat/>
    <w:uiPriority w:val="0"/>
    <w:rPr>
      <w:rFonts w:hAnsi="Courier New" w:cs="Courier New"/>
    </w:rPr>
  </w:style>
  <w:style w:type="paragraph" w:styleId="14">
    <w:name w:val="Balloon Text"/>
    <w:basedOn w:val="1"/>
    <w:link w:val="41"/>
    <w:autoRedefine/>
    <w:qFormat/>
    <w:uiPriority w:val="0"/>
    <w:rPr>
      <w:sz w:val="18"/>
      <w:szCs w:val="18"/>
    </w:rPr>
  </w:style>
  <w:style w:type="paragraph" w:styleId="15">
    <w:name w:val="footer"/>
    <w:basedOn w:val="1"/>
    <w:autoRedefine/>
    <w:qFormat/>
    <w:uiPriority w:val="0"/>
    <w:pPr>
      <w:tabs>
        <w:tab w:val="center" w:pos="4153"/>
        <w:tab w:val="right" w:pos="8306"/>
      </w:tabs>
    </w:pPr>
    <w:rPr>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7">
    <w:name w:val="toc 1"/>
    <w:basedOn w:val="1"/>
    <w:next w:val="1"/>
    <w:autoRedefine/>
    <w:qFormat/>
    <w:uiPriority w:val="0"/>
  </w:style>
  <w:style w:type="paragraph" w:styleId="18">
    <w:name w:val="table of figures"/>
    <w:basedOn w:val="1"/>
    <w:next w:val="1"/>
    <w:autoRedefine/>
    <w:qFormat/>
    <w:uiPriority w:val="99"/>
    <w:pPr>
      <w:ind w:left="200" w:leftChars="200" w:hanging="200" w:hangingChars="200"/>
    </w:pPr>
  </w:style>
  <w:style w:type="paragraph" w:styleId="19">
    <w:name w:val="toc 2"/>
    <w:basedOn w:val="1"/>
    <w:next w:val="1"/>
    <w:autoRedefine/>
    <w:qFormat/>
    <w:uiPriority w:val="0"/>
    <w:pPr>
      <w:ind w:left="420" w:leftChars="200"/>
    </w:pPr>
  </w:style>
  <w:style w:type="paragraph" w:styleId="20">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sz w:val="24"/>
    </w:rPr>
  </w:style>
  <w:style w:type="paragraph" w:styleId="21">
    <w:name w:val="Normal (Web)"/>
    <w:basedOn w:val="1"/>
    <w:autoRedefine/>
    <w:qFormat/>
    <w:uiPriority w:val="0"/>
    <w:pPr>
      <w:spacing w:before="100" w:beforeAutospacing="1" w:after="100" w:afterAutospacing="1"/>
    </w:pPr>
    <w:rPr>
      <w:sz w:val="24"/>
    </w:rPr>
  </w:style>
  <w:style w:type="paragraph" w:styleId="22">
    <w:name w:val="Title"/>
    <w:basedOn w:val="1"/>
    <w:autoRedefine/>
    <w:qFormat/>
    <w:uiPriority w:val="0"/>
    <w:pPr>
      <w:numPr>
        <w:ilvl w:val="0"/>
        <w:numId w:val="1"/>
      </w:numPr>
      <w:spacing w:beforeLines="50" w:afterLines="50"/>
      <w:jc w:val="center"/>
      <w:outlineLvl w:val="0"/>
    </w:pPr>
    <w:rPr>
      <w:b/>
      <w:bCs/>
      <w:sz w:val="52"/>
      <w:szCs w:val="32"/>
    </w:rPr>
  </w:style>
  <w:style w:type="paragraph" w:styleId="23">
    <w:name w:val="annotation subject"/>
    <w:basedOn w:val="10"/>
    <w:next w:val="10"/>
    <w:link w:val="40"/>
    <w:autoRedefine/>
    <w:qFormat/>
    <w:uiPriority w:val="0"/>
    <w:rPr>
      <w:b/>
      <w:bCs/>
    </w:rPr>
  </w:style>
  <w:style w:type="paragraph" w:styleId="24">
    <w:name w:val="Body Text First Indent"/>
    <w:basedOn w:val="11"/>
    <w:autoRedefine/>
    <w:qFormat/>
    <w:uiPriority w:val="0"/>
    <w:pPr>
      <w:ind w:firstLine="100" w:firstLineChars="100"/>
    </w:pPr>
  </w:style>
  <w:style w:type="paragraph" w:styleId="25">
    <w:name w:val="Body Text First Indent 2"/>
    <w:basedOn w:val="12"/>
    <w:autoRedefine/>
    <w:qFormat/>
    <w:uiPriority w:val="0"/>
    <w:rPr>
      <w:rFonts w:ascii="Times New Roman"/>
    </w:r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0"/>
    <w:rPr>
      <w:b/>
    </w:rPr>
  </w:style>
  <w:style w:type="character" w:styleId="30">
    <w:name w:val="Hyperlink"/>
    <w:basedOn w:val="28"/>
    <w:autoRedefine/>
    <w:qFormat/>
    <w:uiPriority w:val="0"/>
    <w:rPr>
      <w:color w:val="0563C1"/>
      <w:u w:val="single"/>
    </w:rPr>
  </w:style>
  <w:style w:type="character" w:styleId="31">
    <w:name w:val="annotation reference"/>
    <w:basedOn w:val="28"/>
    <w:autoRedefine/>
    <w:qFormat/>
    <w:uiPriority w:val="0"/>
    <w:rPr>
      <w:sz w:val="21"/>
      <w:szCs w:val="21"/>
    </w:rPr>
  </w:style>
  <w:style w:type="paragraph" w:customStyle="1" w:styleId="32">
    <w:name w:val="Default"/>
    <w:basedOn w:val="33"/>
    <w:autoRedefine/>
    <w:qFormat/>
    <w:uiPriority w:val="0"/>
    <w:pPr>
      <w:widowControl w:val="0"/>
      <w:autoSpaceDE w:val="0"/>
      <w:autoSpaceDN w:val="0"/>
      <w:adjustRightInd w:val="0"/>
    </w:pPr>
    <w:rPr>
      <w:rFonts w:ascii="Calibri" w:hAnsi="Calibri"/>
      <w:color w:val="000000"/>
      <w:sz w:val="24"/>
    </w:rPr>
  </w:style>
  <w:style w:type="paragraph" w:customStyle="1" w:styleId="33">
    <w:name w:val="正文1"/>
    <w:autoRedefine/>
    <w:qFormat/>
    <w:uiPriority w:val="0"/>
    <w:rPr>
      <w:rFonts w:ascii="Times New Roman" w:hAnsi="Times New Roman" w:eastAsia="宋体" w:cs="Times New Roman"/>
      <w:sz w:val="21"/>
      <w:szCs w:val="22"/>
      <w:lang w:val="en-US" w:eastAsia="zh-CN" w:bidi="ar-SA"/>
    </w:rPr>
  </w:style>
  <w:style w:type="character" w:customStyle="1" w:styleId="34">
    <w:name w:val="标题 2 字符"/>
    <w:link w:val="3"/>
    <w:autoRedefine/>
    <w:qFormat/>
    <w:uiPriority w:val="0"/>
    <w:rPr>
      <w:rFonts w:ascii="宋体" w:hAnsi="宋体" w:eastAsia="宋体" w:cs="宋体"/>
      <w:b/>
      <w:sz w:val="24"/>
    </w:rPr>
  </w:style>
  <w:style w:type="paragraph" w:customStyle="1" w:styleId="35">
    <w:name w:val="正文文本 21"/>
    <w:basedOn w:val="1"/>
    <w:autoRedefine/>
    <w:qFormat/>
    <w:uiPriority w:val="0"/>
    <w:pPr>
      <w:spacing w:line="500" w:lineRule="exact"/>
    </w:pPr>
    <w:rPr>
      <w:sz w:val="30"/>
      <w:szCs w:val="24"/>
    </w:rPr>
  </w:style>
  <w:style w:type="table" w:customStyle="1" w:styleId="36">
    <w:name w:val="Table Normal"/>
    <w:autoRedefine/>
    <w:qFormat/>
    <w:uiPriority w:val="0"/>
    <w:tblPr>
      <w:tblCellMar>
        <w:top w:w="0" w:type="dxa"/>
        <w:left w:w="0" w:type="dxa"/>
        <w:bottom w:w="0" w:type="dxa"/>
        <w:right w:w="0" w:type="dxa"/>
      </w:tblCellMar>
    </w:tblPr>
  </w:style>
  <w:style w:type="paragraph" w:customStyle="1" w:styleId="37">
    <w:name w:val="Normal_1"/>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38">
    <w:name w:val="未处理的提及1"/>
    <w:basedOn w:val="28"/>
    <w:autoRedefine/>
    <w:qFormat/>
    <w:uiPriority w:val="99"/>
    <w:rPr>
      <w:color w:val="605E5C"/>
      <w:shd w:val="clear" w:color="auto" w:fill="E1DFDD"/>
    </w:rPr>
  </w:style>
  <w:style w:type="character" w:customStyle="1" w:styleId="39">
    <w:name w:val="批注文字 字符"/>
    <w:basedOn w:val="28"/>
    <w:link w:val="10"/>
    <w:autoRedefine/>
    <w:qFormat/>
    <w:uiPriority w:val="0"/>
    <w:rPr>
      <w:rFonts w:ascii="Arial" w:hAnsi="Arial" w:eastAsia="Arial" w:cs="Arial"/>
      <w:color w:val="000000"/>
      <w:sz w:val="21"/>
      <w:szCs w:val="21"/>
    </w:rPr>
  </w:style>
  <w:style w:type="character" w:customStyle="1" w:styleId="40">
    <w:name w:val="批注主题 字符"/>
    <w:basedOn w:val="39"/>
    <w:link w:val="23"/>
    <w:autoRedefine/>
    <w:qFormat/>
    <w:uiPriority w:val="0"/>
    <w:rPr>
      <w:rFonts w:ascii="Arial" w:hAnsi="Arial" w:eastAsia="Arial" w:cs="Arial"/>
      <w:b/>
      <w:bCs/>
      <w:color w:val="000000"/>
      <w:sz w:val="21"/>
      <w:szCs w:val="21"/>
    </w:rPr>
  </w:style>
  <w:style w:type="character" w:customStyle="1" w:styleId="41">
    <w:name w:val="批注框文本 字符"/>
    <w:basedOn w:val="28"/>
    <w:link w:val="14"/>
    <w:autoRedefine/>
    <w:qFormat/>
    <w:uiPriority w:val="0"/>
    <w:rPr>
      <w:rFonts w:ascii="Arial" w:hAnsi="Arial" w:eastAsia="Arial" w:cs="Arial"/>
      <w:color w:val="000000"/>
      <w:sz w:val="18"/>
      <w:szCs w:val="18"/>
    </w:rPr>
  </w:style>
  <w:style w:type="paragraph" w:customStyle="1" w:styleId="42">
    <w:name w:val="修订1"/>
    <w:autoRedefine/>
    <w:qFormat/>
    <w:uiPriority w:val="99"/>
    <w:rPr>
      <w:rFonts w:ascii="Arial" w:hAnsi="Arial" w:eastAsia="Arial" w:cs="Arial"/>
      <w:color w:val="000000"/>
      <w:sz w:val="21"/>
      <w:szCs w:val="21"/>
      <w:lang w:val="en-US" w:eastAsia="zh-CN" w:bidi="ar-SA"/>
    </w:rPr>
  </w:style>
  <w:style w:type="character" w:customStyle="1" w:styleId="43">
    <w:name w:val="NormalCharacter"/>
    <w:autoRedefine/>
    <w:qFormat/>
    <w:uiPriority w:val="0"/>
    <w:rPr>
      <w:rFonts w:ascii="Times New Roman" w:hAnsi="Times New Roman" w:eastAsia="宋体"/>
    </w:rPr>
  </w:style>
  <w:style w:type="character" w:customStyle="1" w:styleId="44">
    <w:name w:val="grame"/>
    <w:basedOn w:val="28"/>
    <w:autoRedefine/>
    <w:qFormat/>
    <w:uiPriority w:val="0"/>
  </w:style>
  <w:style w:type="character" w:customStyle="1" w:styleId="45">
    <w:name w:val="font21"/>
    <w:basedOn w:val="28"/>
    <w:autoRedefine/>
    <w:qFormat/>
    <w:uiPriority w:val="0"/>
    <w:rPr>
      <w:rFonts w:hint="eastAsia" w:ascii="宋体" w:hAnsi="宋体" w:eastAsia="宋体" w:cs="宋体"/>
      <w:color w:val="000000"/>
      <w:sz w:val="24"/>
      <w:szCs w:val="24"/>
      <w:u w:val="none"/>
    </w:rPr>
  </w:style>
  <w:style w:type="character" w:customStyle="1" w:styleId="46">
    <w:name w:val="font81"/>
    <w:basedOn w:val="28"/>
    <w:autoRedefine/>
    <w:qFormat/>
    <w:uiPriority w:val="0"/>
    <w:rPr>
      <w:rFonts w:hint="default" w:ascii="Calibri" w:hAnsi="Calibri" w:cs="Calibri"/>
      <w:color w:val="000000"/>
      <w:sz w:val="24"/>
      <w:szCs w:val="24"/>
      <w:u w:val="none"/>
    </w:rPr>
  </w:style>
  <w:style w:type="paragraph" w:customStyle="1" w:styleId="47">
    <w:name w:val="节标题"/>
    <w:basedOn w:val="1"/>
    <w:autoRedefine/>
    <w:qFormat/>
    <w:uiPriority w:val="0"/>
    <w:pPr>
      <w:spacing w:line="289" w:lineRule="atLeast"/>
      <w:jc w:val="center"/>
    </w:pPr>
    <w:rPr>
      <w:sz w:val="28"/>
      <w:u w:color="000000"/>
    </w:rPr>
  </w:style>
  <w:style w:type="character" w:customStyle="1" w:styleId="48">
    <w:name w:val="font91"/>
    <w:basedOn w:val="28"/>
    <w:autoRedefine/>
    <w:qFormat/>
    <w:uiPriority w:val="0"/>
    <w:rPr>
      <w:rFonts w:ascii="Calibri" w:hAnsi="Calibri" w:cs="Calibri"/>
      <w:color w:val="000000"/>
      <w:sz w:val="24"/>
      <w:szCs w:val="24"/>
      <w:u w:val="none"/>
    </w:rPr>
  </w:style>
  <w:style w:type="paragraph" w:customStyle="1" w:styleId="49">
    <w:name w:val="修订2"/>
    <w:autoRedefine/>
    <w:qFormat/>
    <w:uiPriority w:val="99"/>
    <w:rPr>
      <w:rFonts w:ascii="Arial" w:hAnsi="Arial" w:eastAsia="Arial" w:cs="Arial"/>
      <w:color w:val="000000"/>
      <w:sz w:val="21"/>
      <w:szCs w:val="21"/>
      <w:lang w:val="en-US" w:eastAsia="zh-CN" w:bidi="ar-SA"/>
    </w:rPr>
  </w:style>
  <w:style w:type="paragraph" w:customStyle="1" w:styleId="50">
    <w:name w:val="WPSOffice手动目录 1"/>
    <w:autoRedefine/>
    <w:qFormat/>
    <w:uiPriority w:val="0"/>
    <w:rPr>
      <w:rFonts w:ascii="Times New Roman" w:hAnsi="Times New Roman" w:eastAsia="宋体" w:cs="Times New Roman"/>
      <w:lang w:val="en-US" w:eastAsia="zh-CN" w:bidi="ar-SA"/>
    </w:rPr>
  </w:style>
  <w:style w:type="paragraph" w:customStyle="1" w:styleId="51">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52">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53">
    <w:name w:val="修订3"/>
    <w:autoRedefine/>
    <w:qFormat/>
    <w:uiPriority w:val="99"/>
    <w:rPr>
      <w:rFonts w:ascii="宋体" w:hAnsi="宋体" w:eastAsia="宋体" w:cs="宋体"/>
      <w:color w:val="000000"/>
      <w:sz w:val="21"/>
      <w:szCs w:val="21"/>
      <w:lang w:val="en-US" w:eastAsia="zh-CN" w:bidi="ar-SA"/>
    </w:rPr>
  </w:style>
  <w:style w:type="paragraph" w:customStyle="1" w:styleId="54">
    <w:name w:val="纯文本1"/>
    <w:basedOn w:val="1"/>
    <w:autoRedefine/>
    <w:qFormat/>
    <w:uiPriority w:val="0"/>
    <w:rPr>
      <w:rFonts w:hAnsi="Courier New" w:cs="Courier New"/>
    </w:rPr>
  </w:style>
  <w:style w:type="paragraph" w:customStyle="1" w:styleId="55">
    <w:name w:val="修订4"/>
    <w:autoRedefine/>
    <w:qFormat/>
    <w:uiPriority w:val="99"/>
    <w:rPr>
      <w:rFonts w:ascii="宋体" w:hAnsi="宋体" w:eastAsia="宋体" w:cs="宋体"/>
      <w:color w:val="000000"/>
      <w:sz w:val="21"/>
      <w:szCs w:val="21"/>
      <w:lang w:val="en-US" w:eastAsia="zh-CN" w:bidi="ar-SA"/>
    </w:rPr>
  </w:style>
  <w:style w:type="paragraph" w:customStyle="1" w:styleId="56">
    <w:name w:val="Table Paragraph"/>
    <w:basedOn w:val="1"/>
    <w:autoRedefine/>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135</Pages>
  <Words>77440</Words>
  <Characters>92280</Characters>
  <Lines>755</Lines>
  <Paragraphs>212</Paragraphs>
  <TotalTime>17</TotalTime>
  <ScaleCrop>false</ScaleCrop>
  <LinksUpToDate>false</LinksUpToDate>
  <CharactersWithSpaces>99952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2024-05-14T06:58:00Z</dcterms:created>
  <dc:creator>宫玉隆</dc:creator>
  <cp:lastModifiedBy>小吉奥</cp:lastModifiedBy>
  <cp:lastPrinted>2024-05-14T09:31:00Z</cp:lastPrinted>
  <dcterms:modified xsi:type="dcterms:W3CDTF">2024-05-30T03:07:18Z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ACD0E05578B54A6F8DF70F84B45CE01C_13</vt:lpwstr>
  </property>
</Properties>
</file>