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olor w:val="auto"/>
          <w:sz w:val="24"/>
          <w:szCs w:val="28"/>
          <w:lang w:eastAsia="zh-CN"/>
        </w:rPr>
      </w:pPr>
      <w:r>
        <w:rPr>
          <w:rFonts w:hint="eastAsia"/>
          <w:b/>
          <w:color w:val="auto"/>
          <w:sz w:val="30"/>
          <w:szCs w:val="30"/>
        </w:rPr>
        <w:t>北京市大兴区政府采购公开招标公告</w:t>
      </w:r>
    </w:p>
    <w:p>
      <w:pPr>
        <w:pStyle w:val="3"/>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240" w:lineRule="auto"/>
        <w:jc w:val="left"/>
        <w:rPr>
          <w:rFonts w:ascii="仿宋" w:hAnsi="仿宋" w:eastAsia="仿宋"/>
          <w:color w:val="auto"/>
          <w:sz w:val="24"/>
          <w:szCs w:val="28"/>
        </w:rPr>
      </w:pPr>
      <w:r>
        <w:rPr>
          <w:rFonts w:hint="eastAsia" w:ascii="仿宋" w:hAnsi="仿宋" w:eastAsia="仿宋"/>
          <w:color w:val="auto"/>
          <w:sz w:val="24"/>
          <w:szCs w:val="28"/>
        </w:rPr>
        <w:t>项目概况</w:t>
      </w:r>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rPr>
      </w:pPr>
      <w:r>
        <w:rPr>
          <w:rFonts w:hint="eastAsia" w:ascii="仿宋" w:hAnsi="仿宋" w:eastAsia="仿宋" w:cs="仿宋"/>
          <w:color w:val="auto"/>
          <w:sz w:val="24"/>
          <w:szCs w:val="28"/>
        </w:rPr>
        <w:t>参加</w:t>
      </w:r>
      <w:r>
        <w:rPr>
          <w:rFonts w:hint="eastAsia" w:ascii="仿宋" w:hAnsi="仿宋" w:eastAsia="仿宋" w:cs="仿宋"/>
          <w:color w:val="auto"/>
          <w:sz w:val="24"/>
          <w:szCs w:val="24"/>
          <w:u w:val="none"/>
          <w:lang w:eastAsia="zh-CN"/>
        </w:rPr>
        <w:t>2024年大兴区政务云服务</w:t>
      </w:r>
      <w:r>
        <w:rPr>
          <w:rFonts w:hint="eastAsia" w:ascii="仿宋" w:hAnsi="仿宋" w:eastAsia="仿宋" w:cs="仿宋"/>
          <w:color w:val="auto"/>
          <w:sz w:val="24"/>
          <w:szCs w:val="28"/>
        </w:rPr>
        <w:t>的投标人以网上下载方式获取文件，招标</w:t>
      </w:r>
      <w:r>
        <w:rPr>
          <w:rFonts w:hint="eastAsia" w:ascii="仿宋" w:hAnsi="仿宋" w:eastAsia="仿宋" w:cs="仿宋"/>
          <w:color w:val="auto"/>
          <w:sz w:val="24"/>
          <w:szCs w:val="28"/>
          <w:highlight w:val="none"/>
        </w:rPr>
        <w:t>文件下载时间为</w:t>
      </w:r>
      <w:r>
        <w:rPr>
          <w:rFonts w:hint="eastAsia" w:ascii="仿宋" w:hAnsi="仿宋" w:eastAsia="仿宋" w:cs="仿宋"/>
          <w:color w:val="auto"/>
          <w:sz w:val="24"/>
          <w:szCs w:val="28"/>
          <w:highlight w:val="none"/>
          <w:lang w:eastAsia="zh-CN"/>
        </w:rPr>
        <w:t>2024年3月27日上午9:30至4月2日下午17:00</w:t>
      </w:r>
      <w:r>
        <w:rPr>
          <w:rFonts w:hint="eastAsia" w:ascii="仿宋" w:hAnsi="仿宋" w:eastAsia="仿宋" w:cs="仿宋"/>
          <w:color w:val="auto"/>
          <w:sz w:val="24"/>
          <w:szCs w:val="28"/>
          <w:highlight w:val="none"/>
        </w:rPr>
        <w:t>（北京时间），并于</w:t>
      </w:r>
      <w:r>
        <w:rPr>
          <w:rFonts w:hint="eastAsia" w:ascii="仿宋" w:hAnsi="仿宋" w:eastAsia="仿宋" w:cs="仿宋"/>
          <w:color w:val="auto"/>
          <w:sz w:val="24"/>
          <w:szCs w:val="28"/>
          <w:highlight w:val="none"/>
          <w:lang w:eastAsia="zh-CN"/>
        </w:rPr>
        <w:t>2024年4月18日上午9:30</w:t>
      </w:r>
      <w:r>
        <w:rPr>
          <w:rFonts w:hint="eastAsia" w:ascii="仿宋" w:hAnsi="仿宋" w:eastAsia="仿宋" w:cs="仿宋"/>
          <w:color w:val="auto"/>
          <w:sz w:val="24"/>
          <w:szCs w:val="28"/>
          <w:highlight w:val="none"/>
        </w:rPr>
        <w:t>（北京时间）前递交投标文件。</w:t>
      </w:r>
    </w:p>
    <w:p>
      <w:pPr>
        <w:pStyle w:val="4"/>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0" w:name="_Toc28359002"/>
      <w:bookmarkStart w:id="1" w:name="_Toc35393790"/>
      <w:bookmarkStart w:id="2" w:name="_Toc28359079"/>
      <w:bookmarkStart w:id="3" w:name="_Toc35393621"/>
      <w:bookmarkStart w:id="4" w:name="_Hlk24379207"/>
      <w:r>
        <w:rPr>
          <w:rFonts w:hint="eastAsia" w:ascii="黑体" w:hAnsi="黑体" w:eastAsia="仿宋" w:cs="宋体"/>
          <w:b w:val="0"/>
          <w:color w:val="auto"/>
          <w:sz w:val="24"/>
          <w:szCs w:val="28"/>
        </w:rPr>
        <w:t>一、项目基本情况</w:t>
      </w:r>
      <w:bookmarkEnd w:id="0"/>
      <w:bookmarkEnd w:id="1"/>
      <w:bookmarkEnd w:id="2"/>
      <w:bookmarkEnd w:id="3"/>
    </w:p>
    <w:p>
      <w:pPr>
        <w:pStyle w:val="26"/>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仿宋"/>
          <w:color w:val="auto"/>
          <w:sz w:val="24"/>
          <w:szCs w:val="28"/>
          <w:lang w:eastAsia="zh-CN"/>
        </w:rPr>
      </w:pPr>
      <w:r>
        <w:rPr>
          <w:rFonts w:hint="eastAsia" w:ascii="仿宋" w:hAnsi="仿宋" w:eastAsia="仿宋" w:cs="仿宋"/>
          <w:color w:val="auto"/>
          <w:sz w:val="24"/>
          <w:szCs w:val="28"/>
        </w:rPr>
        <w:t>项目编号：</w:t>
      </w:r>
      <w:r>
        <w:rPr>
          <w:rFonts w:hint="eastAsia" w:ascii="仿宋" w:hAnsi="仿宋" w:eastAsia="仿宋" w:cs="仿宋"/>
          <w:color w:val="auto"/>
          <w:sz w:val="24"/>
          <w:szCs w:val="28"/>
          <w:lang w:eastAsia="zh-CN"/>
        </w:rPr>
        <w:t>11011524210200016114-XM001</w:t>
      </w:r>
    </w:p>
    <w:p>
      <w:pPr>
        <w:pStyle w:val="26"/>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仿宋"/>
          <w:color w:val="auto"/>
          <w:sz w:val="24"/>
          <w:szCs w:val="28"/>
        </w:rPr>
      </w:pPr>
      <w:r>
        <w:rPr>
          <w:rFonts w:hint="eastAsia" w:ascii="仿宋" w:hAnsi="仿宋" w:eastAsia="仿宋" w:cs="仿宋"/>
          <w:color w:val="auto"/>
          <w:sz w:val="24"/>
          <w:szCs w:val="28"/>
        </w:rPr>
        <w:t>项目名称：</w:t>
      </w:r>
      <w:r>
        <w:rPr>
          <w:rFonts w:hint="eastAsia" w:ascii="仿宋" w:hAnsi="仿宋" w:eastAsia="仿宋" w:cs="仿宋"/>
          <w:color w:val="auto"/>
          <w:sz w:val="24"/>
          <w:szCs w:val="24"/>
          <w:u w:val="none"/>
          <w:lang w:eastAsia="zh-CN"/>
        </w:rPr>
        <w:t>2024年大兴区政务云服务</w:t>
      </w:r>
    </w:p>
    <w:bookmarkEnd w:id="4"/>
    <w:p>
      <w:pPr>
        <w:pStyle w:val="26"/>
        <w:keepNext w:val="0"/>
        <w:keepLines w:val="0"/>
        <w:pageBreakBefore w:val="0"/>
        <w:widowControl w:val="0"/>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仿宋"/>
          <w:color w:val="auto"/>
          <w:sz w:val="24"/>
          <w:szCs w:val="28"/>
        </w:rPr>
      </w:pPr>
      <w:r>
        <w:rPr>
          <w:rFonts w:hint="eastAsia" w:ascii="仿宋" w:hAnsi="仿宋" w:eastAsia="仿宋" w:cs="仿宋"/>
          <w:color w:val="auto"/>
          <w:sz w:val="24"/>
          <w:szCs w:val="28"/>
        </w:rPr>
        <w:t>预算金额：</w:t>
      </w:r>
      <w:r>
        <w:rPr>
          <w:rFonts w:hint="eastAsia" w:ascii="仿宋" w:hAnsi="仿宋" w:eastAsia="仿宋" w:cs="仿宋"/>
          <w:color w:val="auto"/>
          <w:sz w:val="24"/>
          <w:szCs w:val="24"/>
          <w:u w:val="none"/>
          <w:lang w:val="en-US" w:eastAsia="zh-CN"/>
        </w:rPr>
        <w:t>4000万元</w:t>
      </w:r>
    </w:p>
    <w:p>
      <w:pPr>
        <w:keepNext w:val="0"/>
        <w:keepLines w:val="0"/>
        <w:pageBreakBefore w:val="0"/>
        <w:widowControl w:val="0"/>
        <w:kinsoku/>
        <w:wordWrap/>
        <w:overflowPunct/>
        <w:topLinePunct w:val="0"/>
        <w:bidi w:val="0"/>
        <w:snapToGrid/>
        <w:spacing w:line="240" w:lineRule="auto"/>
        <w:ind w:firstLine="480" w:firstLineChars="200"/>
        <w:textAlignment w:val="auto"/>
        <w:rPr>
          <w:rFonts w:hint="eastAsia" w:ascii="仿宋" w:hAnsi="仿宋" w:eastAsia="仿宋" w:cs="仿宋"/>
          <w:color w:val="auto"/>
          <w:sz w:val="24"/>
          <w:szCs w:val="28"/>
        </w:rPr>
      </w:pPr>
      <w:r>
        <w:rPr>
          <w:rFonts w:hint="eastAsia" w:ascii="仿宋" w:hAnsi="仿宋" w:eastAsia="仿宋" w:cs="仿宋"/>
          <w:color w:val="auto"/>
          <w:sz w:val="24"/>
          <w:szCs w:val="28"/>
        </w:rPr>
        <w:t>采购需求：详见附件</w:t>
      </w:r>
    </w:p>
    <w:p>
      <w:pPr>
        <w:keepNext w:val="0"/>
        <w:keepLines w:val="0"/>
        <w:pageBreakBefore w:val="0"/>
        <w:widowControl w:val="0"/>
        <w:kinsoku/>
        <w:wordWrap/>
        <w:overflowPunct/>
        <w:topLinePunct w:val="0"/>
        <w:bidi w:val="0"/>
        <w:snapToGrid/>
        <w:spacing w:line="240" w:lineRule="auto"/>
        <w:ind w:firstLine="480" w:firstLineChars="200"/>
        <w:textAlignment w:val="auto"/>
        <w:rPr>
          <w:rFonts w:hint="eastAsia" w:ascii="仿宋" w:hAnsi="仿宋" w:eastAsia="仿宋" w:cs="仿宋"/>
          <w:color w:val="auto"/>
          <w:sz w:val="24"/>
          <w:szCs w:val="28"/>
        </w:rPr>
      </w:pPr>
      <w:r>
        <w:rPr>
          <w:rFonts w:hint="eastAsia" w:ascii="仿宋" w:hAnsi="仿宋" w:eastAsia="仿宋" w:cs="仿宋"/>
          <w:color w:val="auto"/>
          <w:sz w:val="24"/>
          <w:szCs w:val="28"/>
        </w:rPr>
        <w:t>合同履行期限：详见招标文件</w:t>
      </w:r>
    </w:p>
    <w:p>
      <w:pPr>
        <w:keepNext w:val="0"/>
        <w:keepLines w:val="0"/>
        <w:pageBreakBefore w:val="0"/>
        <w:widowControl w:val="0"/>
        <w:kinsoku/>
        <w:wordWrap/>
        <w:overflowPunct/>
        <w:topLinePunct w:val="0"/>
        <w:bidi w:val="0"/>
        <w:snapToGrid/>
        <w:spacing w:line="240" w:lineRule="auto"/>
        <w:ind w:firstLine="480" w:firstLineChars="200"/>
        <w:textAlignment w:val="auto"/>
        <w:rPr>
          <w:rFonts w:hint="eastAsia" w:ascii="仿宋" w:hAnsi="仿宋" w:eastAsia="仿宋" w:cs="仿宋"/>
          <w:color w:val="auto"/>
          <w:sz w:val="24"/>
          <w:szCs w:val="28"/>
        </w:rPr>
      </w:pPr>
      <w:r>
        <w:rPr>
          <w:rFonts w:hint="eastAsia" w:ascii="仿宋" w:hAnsi="仿宋" w:eastAsia="仿宋" w:cs="仿宋"/>
          <w:color w:val="auto"/>
          <w:sz w:val="24"/>
          <w:szCs w:val="28"/>
        </w:rPr>
        <w:t>本项目不接受联合体投标</w:t>
      </w:r>
      <w:bookmarkStart w:id="5" w:name="_Toc35393791"/>
      <w:bookmarkStart w:id="6" w:name="_Toc28359080"/>
      <w:bookmarkStart w:id="7" w:name="_Toc35393622"/>
      <w:bookmarkStart w:id="8" w:name="_Toc28359003"/>
    </w:p>
    <w:p>
      <w:pPr>
        <w:keepNext w:val="0"/>
        <w:keepLines w:val="0"/>
        <w:pageBreakBefore w:val="0"/>
        <w:widowControl w:val="0"/>
        <w:kinsoku/>
        <w:wordWrap w:val="0"/>
        <w:overflowPunct/>
        <w:topLinePunct w:val="0"/>
        <w:bidi w:val="0"/>
        <w:snapToGrid/>
        <w:spacing w:line="240" w:lineRule="auto"/>
        <w:ind w:firstLine="482" w:firstLineChars="200"/>
        <w:textAlignment w:val="auto"/>
        <w:rPr>
          <w:rFonts w:hint="eastAsia"/>
        </w:rPr>
      </w:pPr>
      <w:r>
        <w:rPr>
          <w:rFonts w:hint="eastAsia" w:ascii="仿宋" w:hAnsi="仿宋" w:eastAsia="仿宋"/>
          <w:b/>
          <w:bCs/>
          <w:sz w:val="24"/>
          <w:szCs w:val="28"/>
        </w:rPr>
        <w:t>本项目</w:t>
      </w:r>
      <w:r>
        <w:rPr>
          <w:rFonts w:hint="eastAsia" w:ascii="仿宋" w:hAnsi="仿宋" w:eastAsia="仿宋"/>
          <w:b/>
          <w:bCs/>
          <w:sz w:val="24"/>
          <w:szCs w:val="28"/>
          <w:lang w:eastAsia="zh-CN"/>
        </w:rPr>
        <w:t>非专门面向中小企业</w:t>
      </w:r>
    </w:p>
    <w:p>
      <w:pPr>
        <w:pStyle w:val="4"/>
        <w:pageBreakBefore w:val="0"/>
        <w:widowControl w:val="0"/>
        <w:kinsoku/>
        <w:wordWrap/>
        <w:overflowPunct/>
        <w:topLinePunct w:val="0"/>
        <w:bidi w:val="0"/>
        <w:snapToGrid/>
        <w:spacing w:line="240" w:lineRule="auto"/>
        <w:rPr>
          <w:rFonts w:ascii="黑体" w:hAnsi="黑体" w:eastAsia="仿宋" w:cs="宋体"/>
          <w:b w:val="0"/>
          <w:color w:val="auto"/>
          <w:sz w:val="24"/>
          <w:szCs w:val="28"/>
        </w:rPr>
      </w:pPr>
      <w:r>
        <w:rPr>
          <w:rFonts w:hint="eastAsia" w:ascii="黑体" w:hAnsi="黑体" w:eastAsia="仿宋" w:cs="宋体"/>
          <w:b w:val="0"/>
          <w:color w:val="auto"/>
          <w:sz w:val="24"/>
          <w:szCs w:val="28"/>
        </w:rPr>
        <w:t>二、申请人的资格要求：</w:t>
      </w:r>
      <w:bookmarkEnd w:id="5"/>
      <w:bookmarkEnd w:id="6"/>
      <w:bookmarkEnd w:id="7"/>
      <w:bookmarkEnd w:id="8"/>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lang w:val="en-US" w:eastAsia="zh-CN"/>
        </w:rPr>
      </w:pPr>
      <w:bookmarkStart w:id="9" w:name="_Toc35393623"/>
      <w:bookmarkStart w:id="10" w:name="_Toc28359081"/>
      <w:bookmarkStart w:id="11" w:name="_Toc28359004"/>
      <w:bookmarkStart w:id="12" w:name="_Toc35393792"/>
      <w:r>
        <w:rPr>
          <w:rFonts w:hint="eastAsia" w:ascii="仿宋" w:hAnsi="仿宋" w:eastAsia="仿宋" w:cs="Times New Roman"/>
          <w:color w:val="auto"/>
          <w:sz w:val="24"/>
          <w:szCs w:val="28"/>
          <w:lang w:val="en-US" w:eastAsia="zh-CN"/>
        </w:rPr>
        <w:t>1.营业执照副本、税务（国税、地税）登记证、组织机构代码证或三证合一（加盖单位公章的复印件）。</w:t>
      </w:r>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2.法定代表人声明或法定代表人授权书（法人签字或签章并加盖单位公章）。</w:t>
      </w:r>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3.法定代表人和被授权人的身份证（正反面复印件，须加盖投标人公章）。</w:t>
      </w:r>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4.投标人的资信证明：会计师事务所出具的2022年度财务审计报告（加盖单位公章的复印件）或银行出具的资信证明（原件或该原件的复印件，复印件加盖单位公章）或政府采购投标担保函（加盖单位公章的复印件）。</w:t>
      </w:r>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5.社会保障资金缴纳记录：提供近半年内连续两个月社会保障资金缴纳记录（加盖单位公章的复印件,包括社保和医保）。</w:t>
      </w:r>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6.依法缴纳税收的良好记录：提供近半年内连续两个月缴纳税收记录（加盖单位公章的复印件）。</w:t>
      </w:r>
    </w:p>
    <w:p>
      <w:pPr>
        <w:pStyle w:val="26"/>
        <w:pageBreakBefore w:val="0"/>
        <w:widowControl w:val="0"/>
        <w:numPr>
          <w:ilvl w:val="0"/>
          <w:numId w:val="0"/>
        </w:numPr>
        <w:kinsoku/>
        <w:wordWrap/>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7.参加本次政府采购活动前三年内，在经营活动中没有重大违法记录的声明（加盖单位公章）</w:t>
      </w:r>
    </w:p>
    <w:p>
      <w:pPr>
        <w:pStyle w:val="4"/>
        <w:pageBreakBefore w:val="0"/>
        <w:widowControl w:val="0"/>
        <w:kinsoku/>
        <w:wordWrap/>
        <w:overflowPunct/>
        <w:topLinePunct w:val="0"/>
        <w:bidi w:val="0"/>
        <w:snapToGrid/>
        <w:spacing w:line="240" w:lineRule="auto"/>
        <w:rPr>
          <w:rFonts w:hint="eastAsia" w:ascii="黑体" w:hAnsi="黑体" w:eastAsia="仿宋" w:cs="宋体"/>
          <w:b w:val="0"/>
          <w:color w:val="auto"/>
          <w:sz w:val="24"/>
          <w:szCs w:val="28"/>
        </w:rPr>
      </w:pPr>
      <w:r>
        <w:rPr>
          <w:rFonts w:hint="eastAsia" w:ascii="黑体" w:hAnsi="黑体" w:eastAsia="仿宋" w:cs="宋体"/>
          <w:b w:val="0"/>
          <w:color w:val="auto"/>
          <w:sz w:val="24"/>
          <w:szCs w:val="28"/>
        </w:rPr>
        <w:t>三、获取招标文件</w:t>
      </w:r>
      <w:bookmarkEnd w:id="9"/>
      <w:bookmarkEnd w:id="10"/>
      <w:bookmarkEnd w:id="11"/>
      <w:bookmarkEnd w:id="12"/>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招</w:t>
      </w:r>
      <w:r>
        <w:rPr>
          <w:rFonts w:hint="eastAsia" w:ascii="仿宋" w:hAnsi="仿宋" w:eastAsia="仿宋" w:cs="仿宋"/>
          <w:color w:val="auto"/>
          <w:sz w:val="24"/>
          <w:szCs w:val="24"/>
          <w:highlight w:val="none"/>
        </w:rPr>
        <w:t>标文件下载时间：</w:t>
      </w:r>
      <w:r>
        <w:rPr>
          <w:rFonts w:hint="eastAsia" w:ascii="仿宋" w:hAnsi="仿宋" w:eastAsia="仿宋" w:cs="仿宋"/>
          <w:color w:val="auto"/>
          <w:sz w:val="24"/>
          <w:szCs w:val="28"/>
          <w:highlight w:val="none"/>
          <w:lang w:eastAsia="zh-CN"/>
        </w:rPr>
        <w:t>2024年3月27日上午9:30至4月2日下午17:00</w:t>
      </w:r>
    </w:p>
    <w:p>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highlight w:val="none"/>
          <w:u w:val="single"/>
          <w:lang w:val="en-US" w:eastAsia="zh-CN"/>
        </w:rPr>
        <w:t>因本项目为全流程电子化项目</w:t>
      </w:r>
      <w:r>
        <w:rPr>
          <w:rFonts w:hint="eastAsia" w:ascii="仿宋" w:hAnsi="仿宋" w:eastAsia="仿宋" w:cs="仿宋"/>
          <w:b/>
          <w:bCs/>
          <w:color w:val="auto"/>
          <w:sz w:val="24"/>
          <w:szCs w:val="24"/>
          <w:highlight w:val="none"/>
          <w:lang w:val="en-US" w:eastAsia="zh-CN"/>
        </w:rPr>
        <w:t>，如有参</w:t>
      </w:r>
      <w:r>
        <w:rPr>
          <w:rFonts w:hint="eastAsia" w:ascii="仿宋" w:hAnsi="仿宋" w:eastAsia="仿宋" w:cs="仿宋"/>
          <w:b/>
          <w:bCs/>
          <w:color w:val="auto"/>
          <w:sz w:val="24"/>
          <w:szCs w:val="24"/>
          <w:lang w:val="en-US" w:eastAsia="zh-CN"/>
        </w:rPr>
        <w:t>加意向的供应商需注意以下事项：</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eastAsia="zh-CN"/>
        </w:rPr>
        <w:t>地点：</w:t>
      </w:r>
      <w:r>
        <w:rPr>
          <w:rFonts w:hint="eastAsia" w:ascii="仿宋" w:hAnsi="仿宋" w:eastAsia="仿宋" w:cs="仿宋"/>
          <w:color w:val="auto"/>
          <w:sz w:val="24"/>
          <w:szCs w:val="24"/>
        </w:rPr>
        <w:t>北京市政府采购电子交易平台</w:t>
      </w:r>
    </w:p>
    <w:p>
      <w:pPr>
        <w:pStyle w:val="18"/>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 w:hAnsi="仿宋" w:eastAsia="仿宋" w:cs="仿宋"/>
          <w:color w:val="auto"/>
          <w:sz w:val="24"/>
          <w:szCs w:val="24"/>
        </w:rPr>
      </w:pPr>
    </w:p>
    <w:p>
      <w:pPr>
        <w:pStyle w:val="18"/>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 w:hAnsi="仿宋" w:eastAsia="仿宋" w:cs="仿宋"/>
          <w:color w:val="auto"/>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方式：线上获取招标文件</w:t>
      </w:r>
    </w:p>
    <w:p>
      <w:pPr>
        <w:pStyle w:val="4"/>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13" w:name="_Toc28359005"/>
      <w:bookmarkStart w:id="14" w:name="_Toc28359082"/>
      <w:bookmarkStart w:id="15" w:name="_Toc35393624"/>
      <w:bookmarkStart w:id="16" w:name="_Toc35393793"/>
      <w:r>
        <w:rPr>
          <w:rFonts w:hint="eastAsia" w:ascii="黑体" w:hAnsi="黑体" w:eastAsia="仿宋" w:cs="宋体"/>
          <w:b w:val="0"/>
          <w:color w:val="auto"/>
          <w:sz w:val="24"/>
          <w:szCs w:val="28"/>
        </w:rPr>
        <w:t>四、提交投标文件</w:t>
      </w:r>
      <w:bookmarkEnd w:id="13"/>
      <w:bookmarkEnd w:id="14"/>
      <w:r>
        <w:rPr>
          <w:rFonts w:hint="eastAsia" w:ascii="黑体" w:hAnsi="黑体" w:eastAsia="仿宋" w:cs="宋体"/>
          <w:b w:val="0"/>
          <w:color w:val="auto"/>
          <w:sz w:val="24"/>
          <w:szCs w:val="28"/>
        </w:rPr>
        <w:t>截止时间、开标时间和地点</w:t>
      </w:r>
      <w:bookmarkEnd w:id="15"/>
      <w:bookmarkEnd w:id="16"/>
    </w:p>
    <w:p>
      <w:pPr>
        <w:pageBreakBefore w:val="0"/>
        <w:widowControl w:val="0"/>
        <w:kinsoku/>
        <w:wordWrap/>
        <w:overflowPunct/>
        <w:topLinePunct w:val="0"/>
        <w:bidi w:val="0"/>
        <w:snapToGrid/>
        <w:spacing w:line="240" w:lineRule="auto"/>
        <w:ind w:firstLine="480" w:firstLineChars="200"/>
        <w:jc w:val="left"/>
        <w:rPr>
          <w:rFonts w:ascii="仿宋" w:hAnsi="仿宋" w:eastAsia="仿宋"/>
          <w:color w:val="auto"/>
          <w:sz w:val="24"/>
          <w:szCs w:val="28"/>
          <w:highlight w:val="none"/>
        </w:rPr>
      </w:pPr>
      <w:r>
        <w:rPr>
          <w:rFonts w:hint="eastAsia" w:ascii="仿宋" w:hAnsi="仿宋" w:eastAsia="仿宋"/>
          <w:color w:val="auto"/>
          <w:sz w:val="24"/>
          <w:szCs w:val="28"/>
          <w:highlight w:val="none"/>
        </w:rPr>
        <w:t>提交投标文件截止时间</w:t>
      </w:r>
      <w:r>
        <w:rPr>
          <w:rFonts w:ascii="仿宋" w:hAnsi="仿宋" w:eastAsia="仿宋"/>
          <w:color w:val="auto"/>
          <w:sz w:val="24"/>
          <w:szCs w:val="28"/>
          <w:highlight w:val="none"/>
        </w:rPr>
        <w:t>：</w:t>
      </w:r>
      <w:r>
        <w:rPr>
          <w:rFonts w:hint="eastAsia" w:ascii="仿宋" w:hAnsi="仿宋" w:eastAsia="仿宋" w:cs="仿宋"/>
          <w:color w:val="auto"/>
          <w:sz w:val="24"/>
          <w:szCs w:val="28"/>
          <w:highlight w:val="none"/>
          <w:lang w:eastAsia="zh-CN"/>
        </w:rPr>
        <w:t>2024年4月18日</w:t>
      </w:r>
      <w:r>
        <w:rPr>
          <w:rFonts w:hint="eastAsia" w:ascii="仿宋" w:hAnsi="仿宋" w:eastAsia="仿宋"/>
          <w:color w:val="auto"/>
          <w:sz w:val="24"/>
          <w:szCs w:val="28"/>
          <w:highlight w:val="none"/>
          <w:lang w:eastAsia="zh-CN"/>
        </w:rPr>
        <w:t>上午9:30</w:t>
      </w:r>
      <w:r>
        <w:rPr>
          <w:rFonts w:hint="eastAsia" w:ascii="仿宋" w:hAnsi="仿宋" w:eastAsia="仿宋"/>
          <w:color w:val="auto"/>
          <w:sz w:val="24"/>
          <w:szCs w:val="28"/>
          <w:highlight w:val="none"/>
        </w:rPr>
        <w:t>（北京时间）</w:t>
      </w:r>
    </w:p>
    <w:p>
      <w:pPr>
        <w:pageBreakBefore w:val="0"/>
        <w:widowControl w:val="0"/>
        <w:kinsoku/>
        <w:wordWrap/>
        <w:overflowPunct/>
        <w:topLinePunct w:val="0"/>
        <w:bidi w:val="0"/>
        <w:snapToGrid/>
        <w:spacing w:line="240" w:lineRule="auto"/>
        <w:ind w:firstLine="480" w:firstLineChars="200"/>
        <w:jc w:val="left"/>
        <w:rPr>
          <w:rFonts w:ascii="仿宋" w:hAnsi="仿宋" w:eastAsia="仿宋"/>
          <w:color w:val="auto"/>
          <w:sz w:val="24"/>
          <w:szCs w:val="28"/>
          <w:highlight w:val="none"/>
        </w:rPr>
      </w:pPr>
      <w:r>
        <w:rPr>
          <w:rFonts w:hint="eastAsia" w:ascii="仿宋" w:hAnsi="仿宋" w:eastAsia="仿宋"/>
          <w:color w:val="auto"/>
          <w:sz w:val="24"/>
          <w:szCs w:val="28"/>
          <w:highlight w:val="none"/>
        </w:rPr>
        <w:t>开标时间：</w:t>
      </w:r>
      <w:r>
        <w:rPr>
          <w:rFonts w:hint="eastAsia" w:ascii="仿宋" w:hAnsi="仿宋" w:eastAsia="仿宋" w:cs="仿宋"/>
          <w:color w:val="auto"/>
          <w:sz w:val="24"/>
          <w:szCs w:val="28"/>
          <w:highlight w:val="none"/>
          <w:lang w:eastAsia="zh-CN"/>
        </w:rPr>
        <w:t>2024年4月18日</w:t>
      </w:r>
      <w:r>
        <w:rPr>
          <w:rFonts w:hint="eastAsia" w:ascii="仿宋" w:hAnsi="仿宋" w:eastAsia="仿宋"/>
          <w:color w:val="auto"/>
          <w:sz w:val="24"/>
          <w:szCs w:val="28"/>
          <w:highlight w:val="none"/>
          <w:lang w:eastAsia="zh-CN"/>
        </w:rPr>
        <w:t>上午9:30</w:t>
      </w:r>
      <w:r>
        <w:rPr>
          <w:rFonts w:hint="eastAsia" w:ascii="仿宋" w:hAnsi="仿宋" w:eastAsia="仿宋"/>
          <w:color w:val="auto"/>
          <w:sz w:val="24"/>
          <w:szCs w:val="28"/>
          <w:highlight w:val="none"/>
        </w:rPr>
        <w:t>（北京时间）</w:t>
      </w:r>
    </w:p>
    <w:p>
      <w:pPr>
        <w:pageBreakBefore w:val="0"/>
        <w:widowControl w:val="0"/>
        <w:kinsoku/>
        <w:wordWrap/>
        <w:overflowPunct/>
        <w:topLinePunct w:val="0"/>
        <w:bidi w:val="0"/>
        <w:snapToGrid/>
        <w:spacing w:line="240" w:lineRule="auto"/>
        <w:ind w:firstLine="480" w:firstLineChars="200"/>
        <w:jc w:val="left"/>
        <w:rPr>
          <w:rFonts w:hint="eastAsia" w:ascii="仿宋" w:hAnsi="仿宋" w:eastAsia="仿宋"/>
          <w:color w:val="auto"/>
          <w:sz w:val="24"/>
          <w:szCs w:val="28"/>
          <w:highlight w:val="none"/>
          <w:lang w:eastAsia="zh-CN"/>
        </w:rPr>
      </w:pPr>
      <w:r>
        <w:rPr>
          <w:rFonts w:hint="eastAsia" w:ascii="仿宋" w:hAnsi="仿宋" w:eastAsia="仿宋"/>
          <w:color w:val="auto"/>
          <w:sz w:val="24"/>
          <w:szCs w:val="28"/>
          <w:highlight w:val="none"/>
        </w:rPr>
        <w:t>开标地点：北京市大兴区公共资源交易分中心</w:t>
      </w:r>
      <w:r>
        <w:rPr>
          <w:rFonts w:hint="eastAsia" w:ascii="仿宋" w:hAnsi="仿宋" w:eastAsia="仿宋"/>
          <w:color w:val="auto"/>
          <w:sz w:val="24"/>
          <w:szCs w:val="28"/>
          <w:highlight w:val="none"/>
          <w:lang w:eastAsia="zh-CN"/>
        </w:rPr>
        <w:t>三层</w:t>
      </w:r>
    </w:p>
    <w:p>
      <w:pPr>
        <w:pageBreakBefore w:val="0"/>
        <w:widowControl w:val="0"/>
        <w:kinsoku/>
        <w:wordWrap/>
        <w:overflowPunct/>
        <w:topLinePunct w:val="0"/>
        <w:bidi w:val="0"/>
        <w:snapToGrid/>
        <w:spacing w:line="240" w:lineRule="auto"/>
        <w:ind w:firstLine="480" w:firstLineChars="200"/>
        <w:jc w:val="left"/>
        <w:rPr>
          <w:rFonts w:hint="eastAsia" w:ascii="仿宋" w:hAnsi="仿宋" w:eastAsia="仿宋"/>
          <w:color w:val="auto"/>
          <w:sz w:val="24"/>
          <w:szCs w:val="28"/>
          <w:highlight w:val="none"/>
          <w:lang w:eastAsia="zh-CN"/>
        </w:rPr>
      </w:pPr>
      <w:r>
        <w:rPr>
          <w:rFonts w:hint="eastAsia" w:ascii="仿宋" w:hAnsi="仿宋" w:eastAsia="仿宋"/>
          <w:color w:val="auto"/>
          <w:sz w:val="24"/>
          <w:szCs w:val="28"/>
          <w:highlight w:val="none"/>
        </w:rPr>
        <w:t>提交投标文件</w:t>
      </w:r>
      <w:r>
        <w:rPr>
          <w:rFonts w:hint="eastAsia" w:ascii="仿宋" w:hAnsi="仿宋" w:eastAsia="仿宋"/>
          <w:color w:val="auto"/>
          <w:sz w:val="24"/>
          <w:szCs w:val="28"/>
          <w:highlight w:val="none"/>
          <w:lang w:eastAsia="zh-CN"/>
        </w:rPr>
        <w:t>方式：</w:t>
      </w:r>
    </w:p>
    <w:p>
      <w:pPr>
        <w:pStyle w:val="26"/>
        <w:pageBreakBefore w:val="0"/>
        <w:widowControl w:val="0"/>
        <w:kinsoku/>
        <w:wordWrap/>
        <w:overflowPunct/>
        <w:topLinePunct w:val="0"/>
        <w:autoSpaceDE w:val="0"/>
        <w:autoSpaceDN w:val="0"/>
        <w:bidi w:val="0"/>
        <w:adjustRightInd w:val="0"/>
        <w:snapToGrid/>
        <w:spacing w:before="0" w:after="0" w:line="240" w:lineRule="auto"/>
        <w:ind w:firstLine="482" w:firstLineChars="200"/>
        <w:rPr>
          <w:rFonts w:hint="eastAsia" w:ascii="仿宋" w:hAnsi="仿宋" w:eastAsia="仿宋" w:cs="Times New Roman"/>
          <w:b/>
          <w:bCs/>
          <w:color w:val="auto"/>
          <w:kern w:val="2"/>
          <w:sz w:val="24"/>
          <w:szCs w:val="28"/>
          <w:highlight w:val="none"/>
          <w:lang w:val="en-US" w:eastAsia="zh-CN" w:bidi="ar-SA"/>
        </w:rPr>
      </w:pPr>
      <w:r>
        <w:rPr>
          <w:rFonts w:hint="eastAsia" w:ascii="仿宋" w:hAnsi="仿宋" w:eastAsia="仿宋" w:cs="Times New Roman"/>
          <w:b/>
          <w:bCs/>
          <w:color w:val="auto"/>
          <w:kern w:val="2"/>
          <w:sz w:val="24"/>
          <w:szCs w:val="28"/>
          <w:highlight w:val="none"/>
          <w:lang w:val="en-US" w:eastAsia="zh-CN" w:bidi="ar-SA"/>
        </w:rPr>
        <w:t>（1）线上递交</w:t>
      </w:r>
    </w:p>
    <w:p>
      <w:pPr>
        <w:pStyle w:val="26"/>
        <w:keepNext w:val="0"/>
        <w:keepLines w:val="0"/>
        <w:pageBreakBefore w:val="0"/>
        <w:widowControl w:val="0"/>
        <w:kinsoku/>
        <w:wordWrap w:val="0"/>
        <w:overflowPunct/>
        <w:topLinePunct w:val="0"/>
        <w:autoSpaceDE w:val="0"/>
        <w:autoSpaceDN w:val="0"/>
        <w:bidi w:val="0"/>
        <w:adjustRightInd w:val="0"/>
        <w:snapToGrid/>
        <w:spacing w:before="0" w:after="0" w:line="240" w:lineRule="auto"/>
        <w:ind w:firstLine="480" w:firstLineChars="200"/>
        <w:textAlignment w:val="auto"/>
        <w:rPr>
          <w:rFonts w:hint="eastAsia" w:ascii="仿宋" w:hAnsi="仿宋" w:eastAsia="仿宋" w:cs="Times New Roman"/>
          <w:color w:val="auto"/>
          <w:kern w:val="2"/>
          <w:sz w:val="24"/>
          <w:szCs w:val="28"/>
          <w:highlight w:val="none"/>
          <w:lang w:val="en-US" w:eastAsia="zh-CN" w:bidi="ar-SA"/>
        </w:rPr>
      </w:pPr>
      <w:r>
        <w:rPr>
          <w:rFonts w:hint="eastAsia" w:ascii="仿宋" w:hAnsi="仿宋" w:eastAsia="仿宋" w:cs="Times New Roman"/>
          <w:color w:val="auto"/>
          <w:kern w:val="2"/>
          <w:sz w:val="24"/>
          <w:szCs w:val="28"/>
          <w:highlight w:val="none"/>
          <w:lang w:val="en-US" w:eastAsia="zh-CN" w:bidi="ar-SA"/>
        </w:rPr>
        <w:t>投标人应在开标之日</w:t>
      </w:r>
      <w:r>
        <w:rPr>
          <w:rFonts w:hint="eastAsia" w:ascii="仿宋" w:hAnsi="仿宋" w:eastAsia="仿宋" w:cs="仿宋"/>
          <w:color w:val="auto"/>
          <w:sz w:val="24"/>
          <w:szCs w:val="28"/>
          <w:highlight w:val="none"/>
          <w:lang w:eastAsia="zh-CN"/>
        </w:rPr>
        <w:t>2024年4月18日</w:t>
      </w:r>
      <w:r>
        <w:rPr>
          <w:rFonts w:hint="eastAsia" w:ascii="仿宋" w:hAnsi="仿宋" w:eastAsia="仿宋"/>
          <w:color w:val="auto"/>
          <w:sz w:val="24"/>
          <w:szCs w:val="28"/>
          <w:highlight w:val="none"/>
          <w:lang w:eastAsia="zh-CN"/>
        </w:rPr>
        <w:t>上午9:30</w:t>
      </w:r>
      <w:r>
        <w:rPr>
          <w:rFonts w:hint="eastAsia" w:ascii="仿宋" w:hAnsi="仿宋" w:eastAsia="仿宋" w:cs="Times New Roman"/>
          <w:color w:val="auto"/>
          <w:kern w:val="2"/>
          <w:sz w:val="24"/>
          <w:szCs w:val="28"/>
          <w:highlight w:val="none"/>
          <w:lang w:val="en-US" w:eastAsia="zh-CN" w:bidi="ar-SA"/>
        </w:rPr>
        <w:t>（北京时间）前，在</w:t>
      </w:r>
      <w:r>
        <w:rPr>
          <w:rFonts w:hint="eastAsia" w:ascii="仿宋" w:hAnsi="仿宋" w:eastAsia="仿宋" w:cs="仿宋"/>
          <w:color w:val="auto"/>
          <w:kern w:val="0"/>
          <w:sz w:val="24"/>
          <w:szCs w:val="24"/>
          <w:highlight w:val="none"/>
        </w:rPr>
        <w:t>北京市政府采购电子交易平台</w:t>
      </w:r>
      <w:r>
        <w:rPr>
          <w:rFonts w:hint="eastAsia" w:ascii="仿宋" w:hAnsi="仿宋" w:eastAsia="仿宋" w:cs="Times New Roman"/>
          <w:color w:val="auto"/>
          <w:kern w:val="2"/>
          <w:sz w:val="24"/>
          <w:szCs w:val="28"/>
          <w:highlight w:val="none"/>
          <w:lang w:val="en-US" w:eastAsia="zh-CN" w:bidi="ar-SA"/>
        </w:rPr>
        <w:t>(</w:t>
      </w:r>
      <w:r>
        <w:rPr>
          <w:rFonts w:hint="eastAsia" w:ascii="仿宋" w:hAnsi="仿宋" w:eastAsia="仿宋" w:cs="仿宋"/>
          <w:color w:val="auto"/>
          <w:kern w:val="0"/>
          <w:sz w:val="24"/>
          <w:szCs w:val="24"/>
          <w:highlight w:val="none"/>
          <w:lang w:eastAsia="zh-CN"/>
        </w:rPr>
        <w:t>http://zbcg-bjzc.zhongcy.com/bjczj-portal-site/index.html#/home</w:t>
      </w:r>
      <w:r>
        <w:rPr>
          <w:rFonts w:hint="eastAsia" w:ascii="仿宋" w:hAnsi="仿宋" w:eastAsia="仿宋" w:cs="Times New Roman"/>
          <w:color w:val="auto"/>
          <w:kern w:val="2"/>
          <w:sz w:val="24"/>
          <w:szCs w:val="28"/>
          <w:highlight w:val="none"/>
          <w:lang w:val="en-US" w:eastAsia="zh-CN" w:bidi="ar-SA"/>
        </w:rPr>
        <w:t>)登陆政府采购系统，在线上传电子版投标文件，文件格式为TBJ格式的加密文件。未在线上上传电子版《投标文件》的，将视为投标无效。</w:t>
      </w:r>
    </w:p>
    <w:p>
      <w:pPr>
        <w:pStyle w:val="26"/>
        <w:pageBreakBefore w:val="0"/>
        <w:widowControl w:val="0"/>
        <w:kinsoku/>
        <w:wordWrap/>
        <w:overflowPunct/>
        <w:topLinePunct w:val="0"/>
        <w:autoSpaceDE w:val="0"/>
        <w:autoSpaceDN w:val="0"/>
        <w:bidi w:val="0"/>
        <w:adjustRightInd w:val="0"/>
        <w:snapToGrid/>
        <w:spacing w:before="0" w:after="0" w:line="240" w:lineRule="auto"/>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（2）投标现场需提供的资料</w:t>
      </w:r>
    </w:p>
    <w:p>
      <w:pPr>
        <w:pStyle w:val="2"/>
        <w:ind w:left="0" w:leftChars="0" w:firstLine="480" w:firstLineChars="200"/>
        <w:rPr>
          <w:rFonts w:hint="eastAsia" w:ascii="仿宋" w:hAnsi="仿宋" w:eastAsia="仿宋" w:cs="Times New Roman"/>
          <w:color w:val="auto"/>
          <w:kern w:val="2"/>
          <w:sz w:val="24"/>
          <w:szCs w:val="28"/>
          <w:lang w:val="en-US" w:eastAsia="zh-CN" w:bidi="ar-SA"/>
        </w:rPr>
      </w:pPr>
      <w:r>
        <w:rPr>
          <w:rFonts w:hint="eastAsia" w:ascii="仿宋" w:hAnsi="仿宋" w:eastAsia="仿宋" w:cs="Times New Roman"/>
          <w:color w:val="auto"/>
          <w:kern w:val="2"/>
          <w:sz w:val="24"/>
          <w:szCs w:val="28"/>
          <w:highlight w:val="none"/>
          <w:lang w:val="en-US" w:eastAsia="zh-CN" w:bidi="ar-SA"/>
        </w:rPr>
        <w:t>投标人需在</w:t>
      </w:r>
      <w:r>
        <w:rPr>
          <w:rFonts w:hint="eastAsia" w:ascii="仿宋" w:hAnsi="仿宋" w:eastAsia="仿宋" w:cs="仿宋"/>
          <w:color w:val="auto"/>
          <w:sz w:val="24"/>
          <w:szCs w:val="28"/>
          <w:highlight w:val="none"/>
          <w:lang w:eastAsia="zh-CN"/>
        </w:rPr>
        <w:t>2024年4月18日</w:t>
      </w:r>
      <w:r>
        <w:rPr>
          <w:rFonts w:hint="eastAsia" w:ascii="仿宋" w:hAnsi="仿宋" w:eastAsia="仿宋" w:cs="Times New Roman"/>
          <w:color w:val="auto"/>
          <w:kern w:val="2"/>
          <w:sz w:val="24"/>
          <w:szCs w:val="28"/>
          <w:highlight w:val="none"/>
          <w:lang w:val="en-US" w:eastAsia="zh-CN" w:bidi="ar-SA"/>
        </w:rPr>
        <w:t>上午9:30（北京时间）开标当日，由投标单位法人或授权人参加开标会（地点：北京市大兴区公共资源交易分中心三层）。届</w:t>
      </w:r>
      <w:r>
        <w:rPr>
          <w:rFonts w:hint="eastAsia" w:ascii="仿宋" w:hAnsi="仿宋" w:eastAsia="仿宋" w:cs="Times New Roman"/>
          <w:color w:val="auto"/>
          <w:kern w:val="2"/>
          <w:sz w:val="24"/>
          <w:szCs w:val="28"/>
          <w:lang w:val="en-US" w:eastAsia="zh-CN" w:bidi="ar-SA"/>
        </w:rPr>
        <w:t>时应提供以下资料：①《投标文件》纸质版正本1份，副本1份；②《开标一览表》纸质版1份（备用）。③投标U盘或光盘一份，U盘或光盘内容包括：加密《投标文件》TBJ格式1份、未加密《投标文件》TBJ格式文件1份，WORD或WPS格式《投标文件》1份、PDF格式《投标文件》1份。④携带制作电子版《投标文件》的CA证书（钥匙）。⑤法人代表授权书1份。以上资料需开标当日现场递交，大兴区政府采购中心不接受现场递交以外的投递形式，投标人采取其他投递形式致使投标无效，大兴区政府采购中心不承担任何责任。（现场递交系指投标人将投标文件相关资料直接递交给采购中心联系人，并签字确认）。</w:t>
      </w:r>
    </w:p>
    <w:p>
      <w:pPr>
        <w:pStyle w:val="4"/>
        <w:pageBreakBefore w:val="0"/>
        <w:widowControl w:val="0"/>
        <w:kinsoku/>
        <w:wordWrap/>
        <w:overflowPunct/>
        <w:topLinePunct w:val="0"/>
        <w:bidi w:val="0"/>
        <w:snapToGrid/>
        <w:spacing w:line="240" w:lineRule="auto"/>
        <w:rPr>
          <w:rFonts w:ascii="仿宋" w:hAnsi="仿宋" w:eastAsia="仿宋" w:cs="Times New Roman"/>
          <w:b w:val="0"/>
          <w:bCs w:val="0"/>
          <w:color w:val="auto"/>
          <w:sz w:val="24"/>
          <w:szCs w:val="28"/>
        </w:rPr>
      </w:pPr>
      <w:bookmarkStart w:id="17" w:name="_Toc28359007"/>
      <w:bookmarkStart w:id="18" w:name="_Toc35393794"/>
      <w:bookmarkStart w:id="19" w:name="_Toc35393625"/>
      <w:bookmarkStart w:id="20" w:name="_Toc28359084"/>
      <w:r>
        <w:rPr>
          <w:rFonts w:hint="eastAsia" w:ascii="仿宋" w:hAnsi="仿宋" w:eastAsia="仿宋" w:cs="Times New Roman"/>
          <w:b w:val="0"/>
          <w:bCs w:val="0"/>
          <w:color w:val="auto"/>
          <w:sz w:val="24"/>
          <w:szCs w:val="28"/>
        </w:rPr>
        <w:t>五、公告期限</w:t>
      </w:r>
      <w:bookmarkEnd w:id="17"/>
      <w:bookmarkEnd w:id="18"/>
      <w:bookmarkEnd w:id="19"/>
      <w:bookmarkEnd w:id="20"/>
    </w:p>
    <w:p>
      <w:pPr>
        <w:pageBreakBefore w:val="0"/>
        <w:widowControl w:val="0"/>
        <w:kinsoku/>
        <w:wordWrap/>
        <w:overflowPunct/>
        <w:topLinePunct w:val="0"/>
        <w:bidi w:val="0"/>
        <w:snapToGrid/>
        <w:spacing w:line="240" w:lineRule="auto"/>
        <w:ind w:firstLine="480" w:firstLineChars="200"/>
        <w:rPr>
          <w:rFonts w:ascii="仿宋" w:hAnsi="仿宋" w:eastAsia="仿宋" w:cs="宋体"/>
          <w:color w:val="auto"/>
          <w:kern w:val="0"/>
          <w:sz w:val="24"/>
          <w:szCs w:val="28"/>
        </w:rPr>
      </w:pPr>
      <w:r>
        <w:rPr>
          <w:rFonts w:hint="eastAsia" w:ascii="仿宋" w:hAnsi="仿宋" w:eastAsia="仿宋" w:cs="宋体"/>
          <w:color w:val="auto"/>
          <w:kern w:val="0"/>
          <w:sz w:val="24"/>
          <w:szCs w:val="28"/>
        </w:rPr>
        <w:t>自本公告发布之日起5个工作日。</w:t>
      </w:r>
    </w:p>
    <w:p>
      <w:pPr>
        <w:pStyle w:val="4"/>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21" w:name="_Toc35393795"/>
      <w:bookmarkStart w:id="22" w:name="_Toc35393626"/>
      <w:r>
        <w:rPr>
          <w:rFonts w:hint="eastAsia" w:ascii="黑体" w:hAnsi="黑体" w:eastAsia="仿宋" w:cs="宋体"/>
          <w:b w:val="0"/>
          <w:color w:val="auto"/>
          <w:sz w:val="24"/>
          <w:szCs w:val="28"/>
        </w:rPr>
        <w:t>六、其他补充事宜</w:t>
      </w:r>
      <w:bookmarkEnd w:id="21"/>
      <w:bookmarkEnd w:id="22"/>
    </w:p>
    <w:p>
      <w:pPr>
        <w:pStyle w:val="33"/>
        <w:ind w:firstLine="482" w:firstLineChars="200"/>
        <w:rPr>
          <w:rFonts w:hint="eastAsia" w:ascii="仿宋" w:hAnsi="仿宋" w:eastAsia="仿宋" w:cs="仿宋"/>
          <w:color w:val="auto"/>
          <w:kern w:val="0"/>
          <w:sz w:val="24"/>
          <w:szCs w:val="24"/>
        </w:rPr>
      </w:pPr>
      <w:r>
        <w:rPr>
          <w:rFonts w:hint="eastAsia" w:ascii="仿宋" w:hAnsi="仿宋" w:eastAsia="仿宋" w:cs="仿宋"/>
          <w:b/>
          <w:bCs/>
          <w:color w:val="auto"/>
          <w:sz w:val="24"/>
          <w:szCs w:val="24"/>
          <w:highlight w:val="none"/>
          <w:u w:val="single"/>
          <w:lang w:val="en-US" w:eastAsia="zh-CN"/>
        </w:rPr>
        <w:t>本项目为全流程电子化项目</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 w:hAnsi="仿宋" w:eastAsia="仿宋" w:cs="仿宋"/>
        </w:rPr>
      </w:pPr>
      <w:r>
        <w:rPr>
          <w:rFonts w:hint="eastAsia" w:ascii="仿宋" w:hAnsi="仿宋" w:eastAsia="仿宋" w:cs="仿宋"/>
          <w:color w:val="auto"/>
          <w:kern w:val="0"/>
          <w:sz w:val="24"/>
          <w:szCs w:val="24"/>
        </w:rPr>
        <w:t>获取招标文件平台：投标人应在北京市政府采购电子交易平台选择参与本项目并下载招标文件。</w:t>
      </w:r>
      <w:r>
        <w:rPr>
          <w:rFonts w:hint="eastAsia" w:ascii="仿宋" w:hAnsi="仿宋" w:eastAsia="仿宋" w:cs="仿宋"/>
          <w:b/>
          <w:bCs/>
          <w:color w:val="auto"/>
          <w:kern w:val="0"/>
          <w:sz w:val="24"/>
          <w:szCs w:val="24"/>
        </w:rPr>
        <w:t>投标人如在规定的获取招标文件时间内，未按上述</w:t>
      </w:r>
      <w:r>
        <w:rPr>
          <w:rFonts w:hint="eastAsia" w:ascii="仿宋" w:hAnsi="仿宋" w:eastAsia="仿宋" w:cs="仿宋"/>
          <w:b/>
          <w:bCs/>
          <w:color w:val="auto"/>
          <w:kern w:val="0"/>
          <w:sz w:val="24"/>
          <w:szCs w:val="24"/>
          <w:lang w:eastAsia="zh-CN"/>
        </w:rPr>
        <w:t>方式在</w:t>
      </w:r>
      <w:r>
        <w:rPr>
          <w:rFonts w:hint="eastAsia" w:ascii="仿宋" w:hAnsi="仿宋" w:eastAsia="仿宋" w:cs="仿宋"/>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供应商需在北京市政府采购电子交易平台</w:t>
      </w:r>
      <w:r>
        <w:rPr>
          <w:rFonts w:hint="eastAsia" w:ascii="仿宋" w:hAnsi="仿宋" w:eastAsia="仿宋" w:cs="仿宋"/>
          <w:color w:val="auto"/>
          <w:kern w:val="0"/>
          <w:sz w:val="24"/>
          <w:szCs w:val="24"/>
          <w:lang w:eastAsia="zh-CN"/>
        </w:rPr>
        <w:t>（http://zbcg-bjzc.zhongcy.com/bjczj-portal-site/index.html#/home）</w:t>
      </w:r>
      <w:r>
        <w:rPr>
          <w:rFonts w:hint="eastAsia" w:ascii="仿宋" w:hAnsi="仿宋" w:eastAsia="仿宋" w:cs="仿宋"/>
          <w:color w:val="auto"/>
          <w:kern w:val="0"/>
          <w:sz w:val="24"/>
          <w:szCs w:val="24"/>
        </w:rPr>
        <w:t>注册登录后，选择参与本项目并下载电子招标文件。供应商需在此平台上传电子投标文件。</w:t>
      </w:r>
    </w:p>
    <w:p>
      <w:pPr>
        <w:keepNext w:val="0"/>
        <w:keepLines w:val="0"/>
        <w:pageBreakBefore w:val="0"/>
        <w:widowControl w:val="0"/>
        <w:kinsoku/>
        <w:wordWrap w:val="0"/>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（1）办理数字证书：办理流程详见北京市政府采购电子交易平台（http://zbcg-bjzc.zhongcy.com/bjczj-portal-site/index.html#/home)中的数字证书办理平台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2）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数字证书服务热线：010-58515511</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Times New Roman"/>
          <w:color w:val="auto"/>
          <w:sz w:val="24"/>
          <w:szCs w:val="28"/>
          <w:lang w:val="en-US" w:eastAsia="zh-CN"/>
        </w:rPr>
      </w:pPr>
      <w:r>
        <w:rPr>
          <w:rFonts w:hint="eastAsia" w:ascii="仿宋" w:hAnsi="仿宋" w:eastAsia="仿宋" w:cs="Times New Roman"/>
          <w:color w:val="auto"/>
          <w:sz w:val="24"/>
          <w:szCs w:val="28"/>
          <w:lang w:val="en-US" w:eastAsia="zh-CN"/>
        </w:rPr>
        <w:t>技术支持服务热线：010-86483801</w:t>
      </w:r>
    </w:p>
    <w:p>
      <w:pPr>
        <w:pStyle w:val="4"/>
        <w:pageBreakBefore w:val="0"/>
        <w:widowControl w:val="0"/>
        <w:kinsoku/>
        <w:wordWrap/>
        <w:overflowPunct/>
        <w:topLinePunct w:val="0"/>
        <w:bidi w:val="0"/>
        <w:snapToGrid/>
        <w:spacing w:line="240" w:lineRule="auto"/>
        <w:rPr>
          <w:rFonts w:ascii="黑体" w:hAnsi="黑体" w:eastAsia="仿宋" w:cs="宋体"/>
          <w:b w:val="0"/>
          <w:color w:val="auto"/>
          <w:sz w:val="24"/>
          <w:szCs w:val="28"/>
        </w:rPr>
      </w:pPr>
      <w:bookmarkStart w:id="23" w:name="_Toc28359008"/>
      <w:bookmarkStart w:id="24" w:name="_Toc35393796"/>
      <w:bookmarkStart w:id="25" w:name="_Toc28359085"/>
      <w:bookmarkStart w:id="26" w:name="_Toc35393627"/>
      <w:r>
        <w:rPr>
          <w:rFonts w:hint="eastAsia" w:ascii="黑体" w:hAnsi="黑体" w:eastAsia="仿宋" w:cs="宋体"/>
          <w:b w:val="0"/>
          <w:color w:val="auto"/>
          <w:sz w:val="24"/>
          <w:szCs w:val="28"/>
        </w:rPr>
        <w:t>七、对本次招标提出询问，请按</w:t>
      </w:r>
      <w:r>
        <w:rPr>
          <w:rFonts w:ascii="黑体" w:hAnsi="黑体" w:eastAsia="仿宋" w:cs="宋体"/>
          <w:b w:val="0"/>
          <w:color w:val="auto"/>
          <w:sz w:val="24"/>
          <w:szCs w:val="28"/>
        </w:rPr>
        <w:t>以下方式</w:t>
      </w:r>
      <w:r>
        <w:rPr>
          <w:rFonts w:hint="eastAsia" w:ascii="黑体" w:hAnsi="黑体" w:eastAsia="仿宋" w:cs="宋体"/>
          <w:b w:val="0"/>
          <w:color w:val="auto"/>
          <w:sz w:val="24"/>
          <w:szCs w:val="28"/>
        </w:rPr>
        <w:t>联系。</w:t>
      </w:r>
      <w:bookmarkEnd w:id="23"/>
      <w:bookmarkEnd w:id="24"/>
      <w:bookmarkEnd w:id="25"/>
      <w:bookmarkEnd w:id="26"/>
    </w:p>
    <w:p>
      <w:pPr>
        <w:pageBreakBefore w:val="0"/>
        <w:widowControl w:val="0"/>
        <w:kinsoku/>
        <w:wordWrap/>
        <w:overflowPunct/>
        <w:topLinePunct w:val="0"/>
        <w:bidi w:val="0"/>
        <w:snapToGrid/>
        <w:spacing w:line="240" w:lineRule="auto"/>
        <w:ind w:firstLine="480" w:firstLineChars="200"/>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1.采购人信息人</w:t>
      </w:r>
    </w:p>
    <w:p>
      <w:pPr>
        <w:pageBreakBefore w:val="0"/>
        <w:widowControl w:val="0"/>
        <w:kinsoku/>
        <w:wordWrap/>
        <w:overflowPunct/>
        <w:topLinePunct w:val="0"/>
        <w:bidi w:val="0"/>
        <w:snapToGrid/>
        <w:spacing w:line="240" w:lineRule="auto"/>
        <w:ind w:firstLine="480" w:firstLineChars="200"/>
        <w:rPr>
          <w:rFonts w:hint="eastAsia" w:ascii="仿宋" w:hAnsi="仿宋" w:eastAsia="仿宋" w:cs="仿宋"/>
          <w:color w:val="auto"/>
          <w:kern w:val="2"/>
          <w:sz w:val="24"/>
          <w:szCs w:val="28"/>
          <w:lang w:val="zh-CN" w:eastAsia="zh-CN" w:bidi="ar-SA"/>
        </w:rPr>
      </w:pPr>
      <w:r>
        <w:rPr>
          <w:rFonts w:hint="eastAsia" w:ascii="仿宋" w:hAnsi="仿宋" w:eastAsia="仿宋" w:cs="仿宋"/>
          <w:color w:val="auto"/>
          <w:kern w:val="2"/>
          <w:sz w:val="24"/>
          <w:szCs w:val="28"/>
          <w:lang w:val="en-US" w:eastAsia="zh-CN" w:bidi="ar-SA"/>
        </w:rPr>
        <w:t>名称：</w:t>
      </w:r>
      <w:r>
        <w:rPr>
          <w:rFonts w:hint="eastAsia" w:ascii="仿宋" w:hAnsi="仿宋" w:eastAsia="仿宋" w:cs="仿宋"/>
          <w:color w:val="auto"/>
          <w:sz w:val="24"/>
          <w:szCs w:val="24"/>
          <w:lang w:val="en-US" w:eastAsia="zh-CN"/>
        </w:rPr>
        <w:t>北京市大兴区经济和信息化局</w:t>
      </w:r>
    </w:p>
    <w:p>
      <w:pPr>
        <w:pageBreakBefore w:val="0"/>
        <w:widowControl w:val="0"/>
        <w:kinsoku/>
        <w:wordWrap/>
        <w:overflowPunct/>
        <w:topLinePunct w:val="0"/>
        <w:bidi w:val="0"/>
        <w:snapToGrid/>
        <w:spacing w:line="240" w:lineRule="auto"/>
        <w:ind w:firstLine="480" w:firstLineChars="200"/>
        <w:rPr>
          <w:rFonts w:hint="default"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地址：</w:t>
      </w:r>
      <w:bookmarkStart w:id="27" w:name="_Hlk44403296"/>
      <w:r>
        <w:rPr>
          <w:rFonts w:hint="eastAsia" w:ascii="仿宋" w:hAnsi="仿宋" w:eastAsia="仿宋" w:cs="仿宋"/>
          <w:color w:val="auto"/>
          <w:sz w:val="24"/>
          <w:szCs w:val="24"/>
          <w:lang w:val="en-US" w:eastAsia="zh-CN"/>
        </w:rPr>
        <w:t>北京市大兴区黄村镇兴丰大街三段138号</w:t>
      </w:r>
    </w:p>
    <w:bookmarkEnd w:id="27"/>
    <w:p>
      <w:pPr>
        <w:pageBreakBefore w:val="0"/>
        <w:widowControl w:val="0"/>
        <w:kinsoku/>
        <w:wordWrap/>
        <w:overflowPunct/>
        <w:topLinePunct w:val="0"/>
        <w:bidi w:val="0"/>
        <w:snapToGrid/>
        <w:spacing w:line="240" w:lineRule="auto"/>
        <w:ind w:firstLine="480" w:firstLineChars="200"/>
        <w:rPr>
          <w:rFonts w:hint="default"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联系人：</w:t>
      </w:r>
      <w:r>
        <w:rPr>
          <w:rFonts w:hint="eastAsia" w:ascii="仿宋" w:hAnsi="仿宋" w:eastAsia="仿宋" w:cs="仿宋"/>
          <w:color w:val="auto"/>
          <w:sz w:val="24"/>
          <w:szCs w:val="24"/>
          <w:lang w:val="en-US" w:eastAsia="zh-CN"/>
        </w:rPr>
        <w:t>王老师</w:t>
      </w:r>
    </w:p>
    <w:p>
      <w:pPr>
        <w:pageBreakBefore w:val="0"/>
        <w:widowControl w:val="0"/>
        <w:kinsoku/>
        <w:wordWrap/>
        <w:overflowPunct/>
        <w:topLinePunct w:val="0"/>
        <w:bidi w:val="0"/>
        <w:snapToGrid/>
        <w:spacing w:line="240" w:lineRule="auto"/>
        <w:ind w:firstLine="480" w:firstLineChars="200"/>
        <w:rPr>
          <w:rFonts w:hint="default"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联系方式：</w:t>
      </w:r>
      <w:bookmarkStart w:id="28" w:name="_Hlk44403312"/>
      <w:r>
        <w:rPr>
          <w:rFonts w:hint="eastAsia" w:ascii="仿宋" w:hAnsi="仿宋" w:eastAsia="仿宋" w:cs="仿宋"/>
          <w:color w:val="auto"/>
          <w:kern w:val="2"/>
          <w:sz w:val="24"/>
          <w:szCs w:val="28"/>
          <w:lang w:val="en-US" w:eastAsia="zh-CN" w:bidi="ar-SA"/>
        </w:rPr>
        <w:t>010-89292005</w:t>
      </w:r>
    </w:p>
    <w:bookmarkEnd w:id="28"/>
    <w:p>
      <w:pPr>
        <w:pageBreakBefore w:val="0"/>
        <w:widowControl w:val="0"/>
        <w:kinsoku/>
        <w:wordWrap/>
        <w:overflowPunct/>
        <w:topLinePunct w:val="0"/>
        <w:bidi w:val="0"/>
        <w:snapToGrid/>
        <w:spacing w:before="157" w:beforeLines="50" w:line="240" w:lineRule="auto"/>
        <w:ind w:firstLine="480" w:firstLineChars="200"/>
        <w:rPr>
          <w:rFonts w:hint="eastAsia" w:ascii="仿宋" w:hAnsi="仿宋" w:eastAsia="仿宋" w:cs="仿宋"/>
          <w:color w:val="auto"/>
          <w:kern w:val="2"/>
          <w:sz w:val="24"/>
          <w:szCs w:val="28"/>
          <w:lang w:val="en-US" w:eastAsia="zh-CN" w:bidi="ar-SA"/>
        </w:rPr>
      </w:pPr>
      <w:bookmarkStart w:id="29" w:name="_Toc28359009"/>
      <w:bookmarkStart w:id="30" w:name="_Toc28359086"/>
      <w:r>
        <w:rPr>
          <w:rFonts w:hint="eastAsia" w:ascii="仿宋" w:hAnsi="仿宋" w:eastAsia="仿宋" w:cs="仿宋"/>
          <w:color w:val="auto"/>
          <w:kern w:val="2"/>
          <w:sz w:val="24"/>
          <w:szCs w:val="28"/>
          <w:lang w:val="en-US" w:eastAsia="zh-CN" w:bidi="ar-SA"/>
        </w:rPr>
        <w:t>2.采购代理机构信息</w:t>
      </w:r>
      <w:bookmarkEnd w:id="29"/>
      <w:bookmarkEnd w:id="30"/>
    </w:p>
    <w:p>
      <w:pPr>
        <w:pageBreakBefore w:val="0"/>
        <w:widowControl w:val="0"/>
        <w:kinsoku/>
        <w:wordWrap/>
        <w:overflowPunct/>
        <w:topLinePunct w:val="0"/>
        <w:bidi w:val="0"/>
        <w:snapToGrid/>
        <w:spacing w:line="240" w:lineRule="auto"/>
        <w:ind w:firstLine="480" w:firstLineChars="200"/>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名称：北京市大兴区政府采购中心</w:t>
      </w:r>
    </w:p>
    <w:p>
      <w:pPr>
        <w:pageBreakBefore w:val="0"/>
        <w:widowControl w:val="0"/>
        <w:kinsoku/>
        <w:wordWrap/>
        <w:overflowPunct/>
        <w:topLinePunct w:val="0"/>
        <w:bidi w:val="0"/>
        <w:snapToGrid/>
        <w:spacing w:line="240" w:lineRule="auto"/>
        <w:ind w:firstLine="480" w:firstLineChars="200"/>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地址：北京市大兴区公共资源交易分中心三层</w:t>
      </w:r>
    </w:p>
    <w:p>
      <w:pPr>
        <w:pageBreakBefore w:val="0"/>
        <w:widowControl w:val="0"/>
        <w:kinsoku/>
        <w:wordWrap/>
        <w:overflowPunct/>
        <w:topLinePunct w:val="0"/>
        <w:bidi w:val="0"/>
        <w:snapToGrid/>
        <w:spacing w:line="240" w:lineRule="auto"/>
        <w:ind w:firstLine="480" w:firstLineChars="200"/>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联系方式：</w:t>
      </w:r>
      <w:bookmarkStart w:id="31" w:name="_Toc28359087"/>
      <w:bookmarkStart w:id="32" w:name="_Toc28359010"/>
      <w:r>
        <w:rPr>
          <w:rFonts w:hint="eastAsia" w:ascii="仿宋" w:hAnsi="仿宋" w:eastAsia="仿宋" w:cs="仿宋"/>
          <w:color w:val="auto"/>
          <w:kern w:val="2"/>
          <w:sz w:val="24"/>
          <w:szCs w:val="28"/>
          <w:lang w:val="en-US" w:eastAsia="zh-CN" w:bidi="ar-SA"/>
        </w:rPr>
        <w:t>010-69231333、69231339</w:t>
      </w:r>
    </w:p>
    <w:p>
      <w:pPr>
        <w:pageBreakBefore w:val="0"/>
        <w:widowControl w:val="0"/>
        <w:kinsoku/>
        <w:wordWrap/>
        <w:overflowPunct/>
        <w:topLinePunct w:val="0"/>
        <w:bidi w:val="0"/>
        <w:snapToGrid/>
        <w:spacing w:before="157" w:beforeLines="50" w:line="240" w:lineRule="auto"/>
        <w:ind w:firstLine="480" w:firstLineChars="200"/>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3.项目联系方式</w:t>
      </w:r>
      <w:bookmarkEnd w:id="31"/>
      <w:bookmarkEnd w:id="32"/>
    </w:p>
    <w:p>
      <w:pPr>
        <w:pageBreakBefore w:val="0"/>
        <w:widowControl w:val="0"/>
        <w:kinsoku/>
        <w:wordWrap/>
        <w:overflowPunct/>
        <w:topLinePunct w:val="0"/>
        <w:bidi w:val="0"/>
        <w:snapToGrid/>
        <w:spacing w:line="240" w:lineRule="auto"/>
        <w:ind w:firstLine="480" w:firstLineChars="200"/>
        <w:rPr>
          <w:rFonts w:hint="eastAsia"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项目联系人：牛老师</w:t>
      </w:r>
    </w:p>
    <w:p>
      <w:pPr>
        <w:pageBreakBefore w:val="0"/>
        <w:widowControl w:val="0"/>
        <w:kinsoku/>
        <w:wordWrap/>
        <w:overflowPunct/>
        <w:topLinePunct w:val="0"/>
        <w:bidi w:val="0"/>
        <w:snapToGrid/>
        <w:spacing w:line="240" w:lineRule="auto"/>
        <w:ind w:firstLine="480" w:firstLineChars="200"/>
        <w:rPr>
          <w:rFonts w:hint="default"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电话：010-69231333转209</w:t>
      </w:r>
    </w:p>
    <w:p>
      <w:pPr>
        <w:widowControl/>
        <w:jc w:val="left"/>
        <w:rPr>
          <w:rFonts w:hint="eastAsia" w:ascii="仿宋" w:hAnsi="仿宋" w:eastAsia="仿宋" w:cs="仿宋"/>
          <w:color w:val="auto"/>
          <w:sz w:val="24"/>
          <w:szCs w:val="28"/>
        </w:rPr>
      </w:pPr>
      <w:r>
        <w:rPr>
          <w:rFonts w:hint="eastAsia" w:ascii="仿宋" w:hAnsi="仿宋" w:eastAsia="仿宋" w:cs="仿宋"/>
          <w:color w:val="auto"/>
          <w:sz w:val="24"/>
          <w:szCs w:val="28"/>
        </w:rPr>
        <w:t xml:space="preserve">                                  </w:t>
      </w:r>
    </w:p>
    <w:p>
      <w:pPr>
        <w:widowControl/>
        <w:jc w:val="left"/>
        <w:rPr>
          <w:rFonts w:ascii="仿宋" w:hAnsi="仿宋" w:eastAsia="仿宋"/>
          <w:color w:val="auto"/>
          <w:sz w:val="24"/>
          <w:szCs w:val="28"/>
        </w:rPr>
      </w:pPr>
    </w:p>
    <w:p>
      <w:pPr>
        <w:widowControl/>
        <w:ind w:firstLine="4320" w:firstLineChars="1800"/>
        <w:jc w:val="left"/>
        <w:rPr>
          <w:rFonts w:ascii="仿宋" w:hAnsi="仿宋" w:eastAsia="仿宋"/>
          <w:color w:val="auto"/>
          <w:sz w:val="24"/>
          <w:szCs w:val="28"/>
        </w:rPr>
      </w:pPr>
    </w:p>
    <w:p>
      <w:pPr>
        <w:widowControl/>
        <w:ind w:firstLine="4320" w:firstLineChars="1800"/>
        <w:jc w:val="left"/>
        <w:rPr>
          <w:rFonts w:ascii="仿宋" w:hAnsi="仿宋" w:eastAsia="仿宋"/>
          <w:color w:val="auto"/>
          <w:sz w:val="24"/>
          <w:szCs w:val="28"/>
        </w:rPr>
      </w:pPr>
      <w:r>
        <w:rPr>
          <w:rFonts w:ascii="仿宋" w:hAnsi="仿宋" w:eastAsia="仿宋"/>
          <w:color w:val="auto"/>
          <w:sz w:val="24"/>
          <w:szCs w:val="28"/>
        </w:rPr>
        <w:t xml:space="preserve"> </w:t>
      </w:r>
      <w:r>
        <w:rPr>
          <w:rFonts w:hint="eastAsia" w:ascii="仿宋" w:hAnsi="仿宋" w:eastAsia="仿宋"/>
          <w:color w:val="auto"/>
          <w:sz w:val="24"/>
          <w:szCs w:val="28"/>
        </w:rPr>
        <w:t>北京市大兴区政府采购中心</w:t>
      </w:r>
    </w:p>
    <w:p>
      <w:pPr>
        <w:widowControl/>
        <w:jc w:val="left"/>
        <w:rPr>
          <w:rFonts w:hint="default" w:ascii="仿宋" w:hAnsi="仿宋" w:eastAsia="仿宋"/>
          <w:color w:val="auto"/>
          <w:sz w:val="24"/>
          <w:szCs w:val="28"/>
          <w:highlight w:val="none"/>
          <w:lang w:val="en-US"/>
        </w:rPr>
      </w:pPr>
      <w:r>
        <w:rPr>
          <w:rFonts w:hint="eastAsia" w:ascii="仿宋" w:hAnsi="仿宋" w:eastAsia="仿宋"/>
          <w:color w:val="auto"/>
          <w:sz w:val="24"/>
          <w:szCs w:val="28"/>
        </w:rPr>
        <w:t xml:space="preserve"> </w:t>
      </w:r>
      <w:r>
        <w:rPr>
          <w:rFonts w:ascii="仿宋" w:hAnsi="仿宋" w:eastAsia="仿宋"/>
          <w:color w:val="auto"/>
          <w:sz w:val="24"/>
          <w:szCs w:val="28"/>
        </w:rPr>
        <w:t xml:space="preserve">                                     </w:t>
      </w:r>
      <w:r>
        <w:rPr>
          <w:rFonts w:hint="eastAsia" w:ascii="仿宋" w:hAnsi="仿宋" w:eastAsia="仿宋"/>
          <w:color w:val="auto"/>
          <w:sz w:val="24"/>
          <w:szCs w:val="28"/>
          <w:lang w:val="en-US" w:eastAsia="zh-CN"/>
        </w:rPr>
        <w:t xml:space="preserve">     </w:t>
      </w:r>
      <w:r>
        <w:rPr>
          <w:rFonts w:ascii="仿宋" w:hAnsi="仿宋" w:eastAsia="仿宋"/>
          <w:color w:val="auto"/>
          <w:sz w:val="24"/>
          <w:szCs w:val="28"/>
          <w:highlight w:val="none"/>
        </w:rPr>
        <w:t xml:space="preserve"> 202</w:t>
      </w:r>
      <w:r>
        <w:rPr>
          <w:rFonts w:hint="eastAsia" w:ascii="仿宋" w:hAnsi="仿宋" w:eastAsia="仿宋"/>
          <w:color w:val="auto"/>
          <w:sz w:val="24"/>
          <w:szCs w:val="28"/>
          <w:highlight w:val="none"/>
          <w:lang w:val="en-US" w:eastAsia="zh-CN"/>
        </w:rPr>
        <w:t>4</w:t>
      </w:r>
      <w:r>
        <w:rPr>
          <w:rFonts w:ascii="仿宋" w:hAnsi="仿宋" w:eastAsia="仿宋"/>
          <w:color w:val="auto"/>
          <w:sz w:val="24"/>
          <w:szCs w:val="28"/>
          <w:highlight w:val="none"/>
        </w:rPr>
        <w:t>.</w:t>
      </w:r>
      <w:r>
        <w:rPr>
          <w:rFonts w:hint="eastAsia" w:ascii="仿宋" w:hAnsi="仿宋" w:eastAsia="仿宋"/>
          <w:color w:val="auto"/>
          <w:sz w:val="24"/>
          <w:szCs w:val="28"/>
          <w:highlight w:val="none"/>
          <w:lang w:val="en-US" w:eastAsia="zh-CN"/>
        </w:rPr>
        <w:t>3</w:t>
      </w:r>
      <w:r>
        <w:rPr>
          <w:rFonts w:ascii="仿宋" w:hAnsi="仿宋" w:eastAsia="仿宋"/>
          <w:color w:val="auto"/>
          <w:sz w:val="24"/>
          <w:szCs w:val="28"/>
          <w:highlight w:val="none"/>
        </w:rPr>
        <w:t>.</w:t>
      </w:r>
      <w:r>
        <w:rPr>
          <w:rFonts w:hint="eastAsia" w:ascii="仿宋" w:hAnsi="仿宋" w:eastAsia="仿宋"/>
          <w:color w:val="auto"/>
          <w:sz w:val="24"/>
          <w:szCs w:val="28"/>
          <w:highlight w:val="none"/>
          <w:lang w:val="en-US" w:eastAsia="zh-CN"/>
        </w:rPr>
        <w:t>26</w:t>
      </w:r>
    </w:p>
    <w:p>
      <w:pPr>
        <w:widowControl/>
        <w:jc w:val="left"/>
        <w:rPr>
          <w:rFonts w:ascii="仿宋" w:hAnsi="仿宋" w:eastAsia="仿宋"/>
          <w:color w:val="auto"/>
          <w:sz w:val="28"/>
          <w:szCs w:val="28"/>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eastAsia="zh-CN"/>
        </w:rPr>
      </w:pPr>
    </w:p>
    <w:p>
      <w:pPr>
        <w:widowControl/>
        <w:jc w:val="lef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br w:type="page"/>
      </w:r>
    </w:p>
    <w:p>
      <w:pPr>
        <w:widowControl/>
        <w:jc w:val="lef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附件：</w:t>
      </w:r>
    </w:p>
    <w:p>
      <w:pPr>
        <w:adjustRightInd w:val="0"/>
        <w:spacing w:line="360" w:lineRule="atLeast"/>
        <w:ind w:left="2240" w:hanging="1928" w:hangingChars="800"/>
        <w:jc w:val="left"/>
        <w:textAlignment w:val="baseline"/>
        <w:rPr>
          <w:rFonts w:hint="eastAsia" w:ascii="仿宋_GB2312" w:hAnsi="仿宋_GB2312" w:eastAsia="仿宋_GB2312" w:cs="仿宋_GB2312"/>
          <w:b/>
          <w:color w:val="auto"/>
          <w:sz w:val="24"/>
          <w:szCs w:val="24"/>
          <w:shd w:val="clear" w:color="auto" w:fill="auto"/>
          <w:lang w:val="en-US" w:eastAsia="zh-CN"/>
        </w:rPr>
      </w:pPr>
      <w:r>
        <w:rPr>
          <w:rFonts w:hint="eastAsia" w:ascii="仿宋_GB2312" w:hAnsi="仿宋_GB2312" w:eastAsia="仿宋_GB2312" w:cs="仿宋_GB2312"/>
          <w:b/>
          <w:color w:val="auto"/>
          <w:sz w:val="24"/>
          <w:szCs w:val="24"/>
          <w:shd w:val="clear" w:color="auto" w:fill="auto"/>
          <w:lang w:val="en-US" w:eastAsia="zh-CN"/>
        </w:rPr>
        <w:t>项目名称：2024年大兴区政务云服务</w:t>
      </w:r>
    </w:p>
    <w:p>
      <w:pPr>
        <w:spacing w:line="36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本项目预算金额：人民币4000万元，服务期为自合同签订之日起12个月。</w:t>
      </w:r>
      <w:bookmarkStart w:id="33" w:name="_GoBack"/>
      <w:bookmarkEnd w:id="33"/>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采购需求</w:t>
      </w:r>
    </w:p>
    <w:p>
      <w:pPr>
        <w:adjustRightInd w:val="0"/>
        <w:spacing w:line="360" w:lineRule="atLeast"/>
        <w:ind w:left="2240" w:hanging="1928" w:hangingChars="800"/>
        <w:jc w:val="left"/>
        <w:textAlignment w:val="baseline"/>
        <w:rPr>
          <w:rFonts w:hint="eastAsia" w:ascii="仿宋_GB2312" w:hAnsi="仿宋_GB2312" w:eastAsia="仿宋_GB2312" w:cs="仿宋_GB2312"/>
          <w:b/>
          <w:color w:val="auto"/>
          <w:sz w:val="24"/>
          <w:szCs w:val="24"/>
          <w:shd w:val="clear" w:color="auto" w:fill="auto"/>
          <w:lang w:val="en-US" w:eastAsia="zh-CN"/>
        </w:rPr>
      </w:pPr>
    </w:p>
    <w:p>
      <w:pPr>
        <w:numPr>
          <w:ilvl w:val="0"/>
          <w:numId w:val="0"/>
        </w:numPr>
        <w:adjustRightInd w:val="0"/>
        <w:spacing w:line="360" w:lineRule="auto"/>
        <w:ind w:left="420" w:leftChars="0" w:hanging="420" w:firstLineChars="0"/>
        <w:jc w:val="left"/>
        <w:textAlignment w:val="baseline"/>
        <w:outlineLvl w:val="0"/>
        <w:rPr>
          <w:rFonts w:ascii="宋体" w:hAnsi="宋体" w:cs="宋体"/>
          <w:b/>
          <w:color w:val="auto"/>
          <w:sz w:val="24"/>
          <w:highlight w:val="none"/>
        </w:rPr>
      </w:pPr>
      <w:r>
        <w:rPr>
          <w:rFonts w:hint="eastAsia" w:ascii="Times New Roman Bold" w:hAnsi="Times New Roman Bold" w:eastAsia="宋体" w:cs="Times New Roman Bold"/>
          <w:b/>
          <w:bCs/>
          <w:color w:val="auto"/>
          <w:kern w:val="2"/>
          <w:sz w:val="24"/>
          <w:lang w:val="en-US" w:eastAsia="zh-CN" w:bidi="ar-SA"/>
        </w:rPr>
        <w:t>一、</w:t>
      </w:r>
      <w:r>
        <w:rPr>
          <w:rFonts w:hint="eastAsia" w:ascii="宋体" w:hAnsi="宋体" w:cs="宋体"/>
          <w:b/>
          <w:color w:val="auto"/>
          <w:sz w:val="24"/>
          <w:highlight w:val="none"/>
        </w:rPr>
        <w:t>采购清单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本项目以购买服务的方式按采购人业务需求购买计算、存储、网络、安全、数据库等资源，云服务商提供的服务需符合相关安全标准，服务期为自合同签订之日起12个月。</w:t>
      </w:r>
    </w:p>
    <w:p>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第1包:</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云服务承接大兴区公共服务及支撑类系统，采购金额2000万元；</w:t>
      </w:r>
    </w:p>
    <w:p>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第2包:</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云服务承接大兴区城市运行管理服务类系统，采购金额2000万元；</w:t>
      </w:r>
    </w:p>
    <w:p>
      <w:pPr>
        <w:numPr>
          <w:ilvl w:val="0"/>
          <w:numId w:val="0"/>
        </w:numPr>
        <w:adjustRightInd w:val="0"/>
        <w:spacing w:line="360" w:lineRule="auto"/>
        <w:ind w:left="420" w:leftChars="0" w:hanging="420" w:firstLineChars="0"/>
        <w:jc w:val="left"/>
        <w:textAlignment w:val="baseline"/>
        <w:outlineLvl w:val="0"/>
        <w:rPr>
          <w:rFonts w:ascii="宋体" w:hAnsi="宋体" w:cs="宋体"/>
          <w:b/>
          <w:color w:val="auto"/>
          <w:sz w:val="24"/>
          <w:highlight w:val="none"/>
        </w:rPr>
      </w:pPr>
      <w:r>
        <w:rPr>
          <w:rFonts w:hint="eastAsia" w:ascii="Times New Roman Bold" w:hAnsi="Times New Roman Bold" w:eastAsia="宋体" w:cs="Times New Roman Bold"/>
          <w:b/>
          <w:bCs/>
          <w:color w:val="auto"/>
          <w:kern w:val="2"/>
          <w:sz w:val="24"/>
          <w:lang w:val="en-US" w:eastAsia="zh-CN" w:bidi="ar-SA"/>
        </w:rPr>
        <w:t>二、</w:t>
      </w:r>
      <w:r>
        <w:rPr>
          <w:rFonts w:hint="eastAsia" w:ascii="宋体" w:hAnsi="宋体" w:cs="宋体"/>
          <w:b/>
          <w:color w:val="auto"/>
          <w:sz w:val="24"/>
          <w:highlight w:val="none"/>
        </w:rPr>
        <w:t>项目背景或简况</w:t>
      </w:r>
    </w:p>
    <w:p>
      <w:pPr>
        <w:numPr>
          <w:ilvl w:val="255"/>
          <w:numId w:val="0"/>
        </w:numPr>
        <w:spacing w:line="360" w:lineRule="auto"/>
        <w:ind w:firstLine="480" w:firstLineChars="200"/>
        <w:jc w:val="left"/>
        <w:rPr>
          <w:rFonts w:ascii="宋体" w:hAnsi="宋体" w:cs="宋体"/>
          <w:b/>
          <w:color w:val="auto"/>
          <w:sz w:val="24"/>
          <w:highlight w:val="none"/>
        </w:rPr>
      </w:pPr>
      <w:r>
        <w:rPr>
          <w:rFonts w:hint="eastAsia" w:ascii="宋体" w:hAnsi="宋体" w:cs="宋体"/>
          <w:color w:val="auto"/>
          <w:sz w:val="24"/>
          <w:highlight w:val="none"/>
        </w:rPr>
        <w:t>根据《北京市数字经济全产业链开放发展行动方案》、《北京市大兴区国民经济和社会发展第十四个五年规划和二〇三五年远景目标纲要》</w:t>
      </w:r>
      <w:r>
        <w:rPr>
          <w:rFonts w:hint="eastAsia" w:ascii="宋体" w:hAnsi="宋体" w:cs="宋体"/>
          <w:color w:val="auto"/>
          <w:sz w:val="24"/>
          <w:highlight w:val="none"/>
          <w:lang w:eastAsia="zh-CN"/>
        </w:rPr>
        <w:t>、</w:t>
      </w:r>
      <w:r>
        <w:rPr>
          <w:rFonts w:hint="eastAsia" w:ascii="宋体" w:hAnsi="宋体" w:cs="宋体"/>
          <w:color w:val="auto"/>
          <w:sz w:val="24"/>
          <w:highlight w:val="none"/>
        </w:rPr>
        <w:t>《大兴区新型智慧城市建设行动计划（</w:t>
      </w:r>
      <w:r>
        <w:rPr>
          <w:rFonts w:ascii="宋体" w:hAnsi="宋体" w:cs="宋体"/>
          <w:color w:val="auto"/>
          <w:sz w:val="24"/>
          <w:highlight w:val="none"/>
        </w:rPr>
        <w:t>2022-2025年）》</w:t>
      </w:r>
      <w:r>
        <w:rPr>
          <w:rFonts w:hint="eastAsia" w:ascii="宋体" w:hAnsi="宋体" w:cs="宋体"/>
          <w:color w:val="auto"/>
          <w:sz w:val="24"/>
          <w:highlight w:val="none"/>
        </w:rPr>
        <w:t>建设要求，结合《北京市大兴区经济和信息化委员会关于购买政务云服务的请示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兴经信委文</w:t>
      </w:r>
      <w:r>
        <w:rPr>
          <w:rFonts w:hint="eastAsia" w:ascii="微软雅黑" w:hAnsi="微软雅黑" w:eastAsia="微软雅黑" w:cs="微软雅黑"/>
          <w:color w:val="auto"/>
          <w:sz w:val="24"/>
          <w:highlight w:val="none"/>
          <w:lang w:val="en-US" w:eastAsia="zh-CN"/>
        </w:rPr>
        <w:t>〔</w:t>
      </w:r>
      <w:r>
        <w:rPr>
          <w:rFonts w:hint="eastAsia" w:ascii="宋体" w:hAnsi="宋体" w:cs="宋体"/>
          <w:color w:val="auto"/>
          <w:sz w:val="24"/>
          <w:highlight w:val="none"/>
          <w:lang w:val="en-US" w:eastAsia="zh-CN"/>
        </w:rPr>
        <w:t>2018</w:t>
      </w:r>
      <w:r>
        <w:rPr>
          <w:rFonts w:hint="eastAsia" w:ascii="微软雅黑" w:hAnsi="微软雅黑" w:eastAsia="微软雅黑" w:cs="微软雅黑"/>
          <w:color w:val="auto"/>
          <w:sz w:val="24"/>
          <w:highlight w:val="none"/>
          <w:lang w:val="en-US" w:eastAsia="zh-CN"/>
        </w:rPr>
        <w:t>〕</w:t>
      </w:r>
      <w:r>
        <w:rPr>
          <w:rFonts w:hint="eastAsia" w:ascii="宋体" w:hAnsi="宋体" w:cs="宋体"/>
          <w:color w:val="auto"/>
          <w:sz w:val="24"/>
          <w:highlight w:val="none"/>
          <w:lang w:val="en-US" w:eastAsia="zh-CN"/>
        </w:rPr>
        <w:t>70号</w:t>
      </w:r>
      <w:r>
        <w:rPr>
          <w:rFonts w:hint="eastAsia" w:ascii="宋体" w:hAnsi="宋体" w:cs="宋体"/>
          <w:color w:val="auto"/>
          <w:sz w:val="24"/>
          <w:highlight w:val="none"/>
          <w:lang w:eastAsia="zh-CN"/>
        </w:rPr>
        <w:t>）</w:t>
      </w:r>
      <w:r>
        <w:rPr>
          <w:rFonts w:hint="eastAsia" w:ascii="宋体" w:hAnsi="宋体" w:cs="宋体"/>
          <w:color w:val="auto"/>
          <w:sz w:val="24"/>
          <w:highlight w:val="none"/>
        </w:rPr>
        <w:t>的</w:t>
      </w:r>
      <w:r>
        <w:rPr>
          <w:rFonts w:hint="eastAsia" w:ascii="宋体" w:hAnsi="宋体" w:cs="宋体"/>
          <w:color w:val="auto"/>
          <w:sz w:val="24"/>
          <w:highlight w:val="none"/>
          <w:lang w:val="en-US" w:eastAsia="zh-CN"/>
        </w:rPr>
        <w:t>批示</w:t>
      </w:r>
      <w:r>
        <w:rPr>
          <w:rFonts w:hint="eastAsia" w:ascii="宋体" w:hAnsi="宋体" w:cs="宋体"/>
          <w:color w:val="auto"/>
          <w:sz w:val="24"/>
          <w:highlight w:val="none"/>
        </w:rPr>
        <w:t>，参照北京市政务云“企业投资建设，政府购买服务”模式，遵循“统筹规划、适度超前、资源共享、确保安全”的原则，构建全区集约化的云资源服务。提供专属机房、机柜、云主机、云存储、云网络、云安全、业务迁移、基础软件、视频云等服务，满足全区各单位政务外网、互联网等业务系统入云需求。</w:t>
      </w:r>
    </w:p>
    <w:p>
      <w:pPr>
        <w:numPr>
          <w:ilvl w:val="0"/>
          <w:numId w:val="0"/>
        </w:numPr>
        <w:adjustRightInd w:val="0"/>
        <w:spacing w:line="360" w:lineRule="auto"/>
        <w:ind w:left="420" w:leftChars="0" w:hanging="420" w:firstLineChars="0"/>
        <w:jc w:val="left"/>
        <w:textAlignment w:val="baseline"/>
        <w:outlineLvl w:val="0"/>
        <w:rPr>
          <w:rFonts w:ascii="宋体" w:hAnsi="宋体" w:cs="宋体"/>
          <w:b/>
          <w:color w:val="auto"/>
          <w:sz w:val="24"/>
          <w:highlight w:val="none"/>
        </w:rPr>
      </w:pPr>
      <w:r>
        <w:rPr>
          <w:rFonts w:hint="eastAsia" w:ascii="Times New Roman Bold" w:hAnsi="Times New Roman Bold" w:eastAsia="宋体" w:cs="Times New Roman Bold"/>
          <w:b/>
          <w:bCs/>
          <w:color w:val="auto"/>
          <w:kern w:val="2"/>
          <w:sz w:val="24"/>
          <w:lang w:val="en-US" w:eastAsia="zh-CN" w:bidi="ar-SA"/>
        </w:rPr>
        <w:t>三、</w:t>
      </w:r>
      <w:r>
        <w:rPr>
          <w:rFonts w:hint="eastAsia" w:ascii="宋体" w:hAnsi="宋体" w:cs="宋体"/>
          <w:b/>
          <w:color w:val="auto"/>
          <w:sz w:val="24"/>
          <w:highlight w:val="none"/>
        </w:rPr>
        <w:t>技术参数要求、服务要求</w:t>
      </w:r>
    </w:p>
    <w:p>
      <w:pPr>
        <w:spacing w:line="360" w:lineRule="auto"/>
        <w:outlineLvl w:val="1"/>
        <w:rPr>
          <w:rFonts w:ascii="宋体" w:hAnsi="宋体" w:cs="宋体"/>
          <w:color w:val="auto"/>
          <w:sz w:val="24"/>
          <w:highlight w:val="none"/>
        </w:rPr>
      </w:pPr>
      <w:r>
        <w:rPr>
          <w:rFonts w:hint="eastAsia" w:ascii="宋体" w:hAnsi="宋体" w:cs="宋体"/>
          <w:b/>
          <w:bCs/>
          <w:color w:val="auto"/>
          <w:sz w:val="24"/>
          <w:highlight w:val="none"/>
        </w:rPr>
        <w:t>1</w:t>
      </w:r>
      <w:r>
        <w:rPr>
          <w:rFonts w:ascii="宋体" w:hAnsi="宋体" w:cs="宋体"/>
          <w:b/>
          <w:bCs/>
          <w:color w:val="auto"/>
          <w:sz w:val="24"/>
          <w:highlight w:val="none"/>
        </w:rPr>
        <w:t>.</w:t>
      </w:r>
      <w:r>
        <w:rPr>
          <w:rFonts w:hint="eastAsia" w:ascii="宋体" w:hAnsi="宋体" w:cs="宋体"/>
          <w:b/>
          <w:bCs/>
          <w:color w:val="auto"/>
          <w:sz w:val="24"/>
          <w:highlight w:val="none"/>
        </w:rPr>
        <w:t>第1包服务需求</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1）基础服务</w:t>
      </w:r>
      <w:r>
        <w:rPr>
          <w:rFonts w:hint="eastAsia" w:ascii="宋体" w:hAnsi="宋体" w:cs="宋体"/>
          <w:color w:val="auto"/>
          <w:sz w:val="24"/>
          <w:highlight w:val="none"/>
          <w:lang w:val="en-US" w:eastAsia="zh-CN"/>
        </w:rPr>
        <w:t>目录</w:t>
      </w:r>
    </w:p>
    <w:tbl>
      <w:tblPr>
        <w:tblStyle w:val="20"/>
        <w:tblW w:w="8880"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630"/>
        <w:gridCol w:w="1174"/>
        <w:gridCol w:w="990"/>
        <w:gridCol w:w="1100"/>
        <w:gridCol w:w="940"/>
        <w:gridCol w:w="3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804" w:type="dxa"/>
            <w:gridSpan w:val="2"/>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货物或服务名称</w:t>
            </w:r>
          </w:p>
        </w:tc>
        <w:tc>
          <w:tcPr>
            <w:tcW w:w="990"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数量</w:t>
            </w:r>
          </w:p>
        </w:tc>
        <w:tc>
          <w:tcPr>
            <w:tcW w:w="1100"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计价单位</w:t>
            </w:r>
          </w:p>
        </w:tc>
        <w:tc>
          <w:tcPr>
            <w:tcW w:w="940"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报价单位</w:t>
            </w:r>
          </w:p>
        </w:tc>
        <w:tc>
          <w:tcPr>
            <w:tcW w:w="3318"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1001</w:t>
            </w:r>
          </w:p>
        </w:tc>
        <w:tc>
          <w:tcPr>
            <w:tcW w:w="63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基础设施服务</w:t>
            </w: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机柜服务</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架</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19英寸标准机柜。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1002</w:t>
            </w:r>
          </w:p>
        </w:tc>
        <w:tc>
          <w:tcPr>
            <w:tcW w:w="630"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计算服务</w:t>
            </w:r>
          </w:p>
        </w:tc>
        <w:tc>
          <w:tcPr>
            <w:tcW w:w="117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云主机服务</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4000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vCPU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vCPU（主频不低于2.4GHz）</w:t>
            </w:r>
            <w:r>
              <w:rPr>
                <w:rFonts w:hint="eastAsia" w:ascii="宋体" w:hAnsi="宋体" w:cs="宋体"/>
                <w:b/>
                <w:bCs/>
                <w:color w:val="FF0000"/>
                <w:kern w:val="0"/>
                <w:sz w:val="24"/>
                <w:highlight w:val="none"/>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1003</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8800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内存</w:t>
            </w:r>
            <w:r>
              <w:rPr>
                <w:rFonts w:hint="eastAsia" w:ascii="宋体" w:hAnsi="宋体" w:cs="宋体"/>
                <w:b/>
                <w:bCs/>
                <w:color w:val="FF0000"/>
                <w:kern w:val="0"/>
                <w:sz w:val="24"/>
                <w:highlight w:val="none"/>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1004</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物理服务器</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物理服务器配置1: 2路10核2. 0Ghz，64G内存， 2块600G SAS硬盘,2个HBA卡，2个万兆端口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1005</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物理服务器配置2: 4路10核2.0Ghz，128G内存，2块600G SAS硬盘，2个HBA卡，2个万兆端口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1006</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物理服务器配置3: 8路10核2.0Ghz，256G内存，2块600G SAS硬盘，2个HBA卡，2个万兆端口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1007</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物理服务器配置4: 2路14核2.4Ghz，128G内存，12块6T SATA硬盘，SAS HBA 6G，2个万兆端口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1008</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物理服务器配置5: 2路14核2.4Ghz，384G内存，2块800G SSD硬盘，10块6T SATA硬盘，SAS HBA 6G，2个万兆端口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1009</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物理服务器配置6: 2路14核2.4Ghz，384G内存，3块480G SSD硬盘，9块2T SATA硬盘，SAS HBA 6G，2个万兆端口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1010</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图形图像计算服务</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GPU显存不低于8G， 最大单精度浮点计算能力不低于0.15TFLOPS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1011</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16</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GPU显存不低于12G， 最大单精度浮点计算能力不低于5TFLOPS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1012</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16</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GPU显存不低于16G， 最大单精度浮点计算能力不低于7TFLOPS，最大双精度浮点计算能力不低于0.2TFLOPS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1013</w:t>
            </w:r>
          </w:p>
        </w:tc>
        <w:tc>
          <w:tcPr>
            <w:tcW w:w="630"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存储服务</w:t>
            </w: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普通性能存储</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280000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GB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普通存储(单盘技术指标:单盘IOPS 1000-3000 )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1014</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高性能存储</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100000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GB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高性能存储(单盘技术指标:单盘IOPS 3000-20000 )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1015</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静态存储</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107</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TB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大容量、高可靠的分布式数据存储服务，具备PB级线性扩展能力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1016</w:t>
            </w:r>
          </w:p>
        </w:tc>
        <w:tc>
          <w:tcPr>
            <w:tcW w:w="630"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网络服务</w:t>
            </w:r>
          </w:p>
        </w:tc>
        <w:tc>
          <w:tcPr>
            <w:tcW w:w="117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互联网链路服务</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Mb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互联网链路带宽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1017</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170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IP</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互联网IP地址租用服务、并提供备案服务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1018</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主机负载均衡服务</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15</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 xml:space="preserve">IP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主机负载均衡服务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1019</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远程接入服务</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65</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IP</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远程接入服务账号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1020</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VPN服务</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账号</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SSL VPN接入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1021</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Mb带宽</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IPSec VPN接入带宽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1022</w:t>
            </w:r>
          </w:p>
        </w:tc>
        <w:tc>
          <w:tcPr>
            <w:tcW w:w="630"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WAF防护</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IP</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web应用防火墙服务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1023</w:t>
            </w:r>
          </w:p>
        </w:tc>
        <w:tc>
          <w:tcPr>
            <w:tcW w:w="63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云主机深度监控服务</w:t>
            </w:r>
          </w:p>
        </w:tc>
        <w:tc>
          <w:tcPr>
            <w:tcW w:w="117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特定云主机深度监控及运维保障服务（7*24小时值守）</w:t>
            </w:r>
          </w:p>
        </w:tc>
        <w:tc>
          <w:tcPr>
            <w:tcW w:w="99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台</w:t>
            </w:r>
            <w:r>
              <w:rPr>
                <w:rFonts w:hint="eastAsia" w:ascii="宋体" w:hAnsi="宋体" w:cs="宋体"/>
                <w:color w:val="auto"/>
                <w:kern w:val="0"/>
                <w:sz w:val="24"/>
                <w:highlight w:val="none"/>
              </w:rPr>
              <w:t>主机</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18"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7*24小时深度监测云主机资源、硬件设备监控、云平台层应急处置等内容</w:t>
            </w:r>
          </w:p>
        </w:tc>
      </w:tr>
    </w:tbl>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2）扩展服务目录</w:t>
      </w:r>
    </w:p>
    <w:tbl>
      <w:tblPr>
        <w:tblStyle w:val="20"/>
        <w:tblW w:w="89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667"/>
        <w:gridCol w:w="1134"/>
        <w:gridCol w:w="709"/>
        <w:gridCol w:w="1417"/>
        <w:gridCol w:w="1985"/>
        <w:gridCol w:w="2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46"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801" w:type="dxa"/>
            <w:gridSpan w:val="2"/>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货物或服务名称</w:t>
            </w:r>
          </w:p>
        </w:tc>
        <w:tc>
          <w:tcPr>
            <w:tcW w:w="709"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数量</w:t>
            </w:r>
          </w:p>
        </w:tc>
        <w:tc>
          <w:tcPr>
            <w:tcW w:w="1417"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计价单位</w:t>
            </w:r>
          </w:p>
        </w:tc>
        <w:tc>
          <w:tcPr>
            <w:tcW w:w="1985" w:type="dxa"/>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报价单位</w:t>
            </w:r>
          </w:p>
        </w:tc>
        <w:tc>
          <w:tcPr>
            <w:tcW w:w="2263"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2001</w:t>
            </w:r>
          </w:p>
        </w:tc>
        <w:tc>
          <w:tcPr>
            <w:tcW w:w="667" w:type="dxa"/>
            <w:vMerge w:val="restart"/>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基础软件支撑服务</w:t>
            </w:r>
          </w:p>
        </w:tc>
        <w:tc>
          <w:tcPr>
            <w:tcW w:w="1134" w:type="dxa"/>
            <w:vMerge w:val="restart"/>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商用操作系统套餐</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台</w:t>
            </w:r>
            <w:r>
              <w:rPr>
                <w:rFonts w:hint="eastAsia" w:ascii="宋体" w:hAnsi="宋体" w:cs="宋体"/>
                <w:color w:val="auto"/>
                <w:kern w:val="0"/>
                <w:sz w:val="24"/>
                <w:highlight w:val="none"/>
              </w:rPr>
              <w:t>云主机</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Windows Server套餐: WindowsServer租用、安装及维护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2002</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vMerge w:val="continue"/>
            <w:shd w:val="clear" w:color="auto" w:fill="auto"/>
          </w:tcPr>
          <w:p>
            <w:pPr>
              <w:widowControl/>
              <w:spacing w:line="360" w:lineRule="auto"/>
              <w:jc w:val="center"/>
              <w:rPr>
                <w:rFonts w:ascii="宋体" w:hAnsi="宋体" w:cs="宋体"/>
                <w:color w:val="auto"/>
                <w:kern w:val="0"/>
                <w:sz w:val="24"/>
                <w:highlight w:val="none"/>
              </w:rPr>
            </w:pP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150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台</w:t>
            </w:r>
            <w:r>
              <w:rPr>
                <w:rFonts w:hint="eastAsia" w:ascii="宋体" w:hAnsi="宋体" w:cs="宋体"/>
                <w:color w:val="auto"/>
                <w:kern w:val="0"/>
                <w:sz w:val="24"/>
                <w:highlight w:val="none"/>
              </w:rPr>
              <w:t>云主机</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pStyle w:val="1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国产操作系统套餐:  国产操作系统服务租用、安装及维护。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2003</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国产商用应用中间件套餐</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国产商用应用中间件租用、安装及维护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2004</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开源应用中间件套餐</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主流开源应用中间件安装及维护服务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2005</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商用数据库套餐</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国产商用数据库租用、安装及维护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2006</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开源数据库套餐</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开源数据库安装及维护服务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2007</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批处理数据仓库</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2CPU</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国产商用批处理数据仓库租用、安装及维护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2008</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实时数据仓库</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2CPU</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国产商用实时数据仓库租用、安装及维护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2009</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流数据处理引擎</w:t>
            </w:r>
          </w:p>
        </w:tc>
        <w:tc>
          <w:tcPr>
            <w:tcW w:w="709" w:type="dxa"/>
            <w:shd w:val="clear" w:color="auto" w:fill="auto"/>
          </w:tcPr>
          <w:p>
            <w:pPr>
              <w:widowControl/>
              <w:tabs>
                <w:tab w:val="center" w:pos="377"/>
                <w:tab w:val="left" w:pos="552"/>
              </w:tabs>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ab/>
            </w: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2CPU</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国产商用流数据处理引擎租用、安装及维护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2010</w:t>
            </w:r>
          </w:p>
        </w:tc>
        <w:tc>
          <w:tcPr>
            <w:tcW w:w="667" w:type="dxa"/>
            <w:vMerge w:val="restart"/>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安全服务</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云端抗DDOS服务</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站点</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云端抗DDOS服务，攻击流量在10G以内。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2011</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云端APT防护服务</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云端APT防护服务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2012</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主机杀毒服务</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450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主机杀毒服务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2013</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主机防护</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450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主机防护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2014</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主机安全加固</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主机安全加固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2015</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网页防篡改服务</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监控点</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网页防篡改服务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2016</w:t>
            </w:r>
          </w:p>
        </w:tc>
        <w:tc>
          <w:tcPr>
            <w:tcW w:w="667" w:type="dxa"/>
            <w:vMerge w:val="restart"/>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安全检测监测、审计服务</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主机漏洞扫描</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450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主机漏洞扫描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2017</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主机日志分析</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450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主机日志分析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2018</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数据库审计服务</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28</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数据库审计服务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2019</w:t>
            </w:r>
          </w:p>
        </w:tc>
        <w:tc>
          <w:tcPr>
            <w:tcW w:w="667" w:type="dxa"/>
            <w:vMerge w:val="restart"/>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其他服务</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CDN加速</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提供内容加速及视频加速服务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2020</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本地备份服务</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10000</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本地备份服务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4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2021</w:t>
            </w:r>
          </w:p>
        </w:tc>
        <w:tc>
          <w:tcPr>
            <w:tcW w:w="667" w:type="dxa"/>
            <w:vMerge w:val="continue"/>
            <w:shd w:val="clear" w:color="auto" w:fill="auto"/>
          </w:tcPr>
          <w:p>
            <w:pPr>
              <w:widowControl/>
              <w:spacing w:line="360" w:lineRule="auto"/>
              <w:jc w:val="left"/>
              <w:rPr>
                <w:rFonts w:ascii="宋体" w:hAnsi="宋体" w:cs="宋体"/>
                <w:color w:val="auto"/>
                <w:kern w:val="0"/>
                <w:sz w:val="24"/>
                <w:highlight w:val="none"/>
              </w:rPr>
            </w:pP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异地备份服务</w:t>
            </w:r>
          </w:p>
        </w:tc>
        <w:tc>
          <w:tcPr>
            <w:tcW w:w="709" w:type="dxa"/>
            <w:shd w:val="clear" w:color="auto" w:fill="auto"/>
          </w:tcPr>
          <w:p>
            <w:pPr>
              <w:widowControl/>
              <w:spacing w:line="360" w:lineRule="auto"/>
              <w:jc w:val="center"/>
              <w:rPr>
                <w:rFonts w:ascii="宋体" w:hAnsi="宋体" w:cs="宋体"/>
                <w:color w:val="auto"/>
                <w:kern w:val="0"/>
                <w:sz w:val="24"/>
                <w:highlight w:val="none"/>
              </w:rPr>
            </w:pPr>
            <w:r>
              <w:rPr>
                <w:rFonts w:ascii="宋体" w:hAnsi="宋体" w:cs="宋体"/>
                <w:color w:val="auto"/>
                <w:kern w:val="0"/>
                <w:sz w:val="24"/>
                <w:highlight w:val="none"/>
              </w:rPr>
              <w:t>1</w:t>
            </w:r>
          </w:p>
        </w:tc>
        <w:tc>
          <w:tcPr>
            <w:tcW w:w="1417"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985" w:type="dxa"/>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异地备份服务</w:t>
            </w:r>
          </w:p>
        </w:tc>
      </w:tr>
    </w:tbl>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3）视频云服务目录</w:t>
      </w:r>
    </w:p>
    <w:tbl>
      <w:tblPr>
        <w:tblStyle w:val="20"/>
        <w:tblW w:w="89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488"/>
        <w:gridCol w:w="1152"/>
        <w:gridCol w:w="1026"/>
        <w:gridCol w:w="1134"/>
        <w:gridCol w:w="1276"/>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31"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640" w:type="dxa"/>
            <w:gridSpan w:val="2"/>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货物或服务名称</w:t>
            </w:r>
          </w:p>
        </w:tc>
        <w:tc>
          <w:tcPr>
            <w:tcW w:w="1026"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数量</w:t>
            </w:r>
          </w:p>
        </w:tc>
        <w:tc>
          <w:tcPr>
            <w:tcW w:w="1134"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计价单位</w:t>
            </w:r>
          </w:p>
        </w:tc>
        <w:tc>
          <w:tcPr>
            <w:tcW w:w="1276" w:type="dxa"/>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报价单位</w:t>
            </w:r>
          </w:p>
        </w:tc>
        <w:tc>
          <w:tcPr>
            <w:tcW w:w="3114" w:type="dxa"/>
            <w:shd w:val="clear" w:color="auto" w:fill="auto"/>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3001</w:t>
            </w:r>
          </w:p>
        </w:tc>
        <w:tc>
          <w:tcPr>
            <w:tcW w:w="488" w:type="dxa"/>
            <w:vMerge w:val="restart"/>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视频云服务</w:t>
            </w:r>
          </w:p>
        </w:tc>
        <w:tc>
          <w:tcPr>
            <w:tcW w:w="1152" w:type="dxa"/>
            <w:vMerge w:val="restart"/>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视频云存储管理</w:t>
            </w: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4209</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TB</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本地视频云存储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3002</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center"/>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视频传输专线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3003</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center"/>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视频云存储管理平台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3004</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restart"/>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视频云解析</w:t>
            </w: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350</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活动目标识别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3005</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left"/>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50</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人脸识别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3006</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left"/>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50</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人数统计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3007</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left"/>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张</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元/张</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人脸结构化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3008</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left"/>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张</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元/张</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车辆结构化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3009</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left"/>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次</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人脸比对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3010</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left"/>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次</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车辆比对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31"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3011</w:t>
            </w:r>
          </w:p>
        </w:tc>
        <w:tc>
          <w:tcPr>
            <w:tcW w:w="488" w:type="dxa"/>
            <w:vMerge w:val="continue"/>
          </w:tcPr>
          <w:p>
            <w:pPr>
              <w:widowControl/>
              <w:spacing w:line="360" w:lineRule="auto"/>
              <w:jc w:val="left"/>
              <w:rPr>
                <w:rFonts w:ascii="宋体" w:hAnsi="宋体" w:cs="宋体"/>
                <w:color w:val="auto"/>
                <w:kern w:val="0"/>
                <w:sz w:val="24"/>
                <w:highlight w:val="none"/>
              </w:rPr>
            </w:pPr>
          </w:p>
        </w:tc>
        <w:tc>
          <w:tcPr>
            <w:tcW w:w="1152" w:type="dxa"/>
            <w:vMerge w:val="continue"/>
          </w:tcPr>
          <w:p>
            <w:pPr>
              <w:widowControl/>
              <w:spacing w:line="360" w:lineRule="auto"/>
              <w:jc w:val="left"/>
              <w:rPr>
                <w:rFonts w:ascii="宋体" w:hAnsi="宋体" w:cs="宋体"/>
                <w:color w:val="auto"/>
                <w:kern w:val="0"/>
                <w:sz w:val="24"/>
                <w:highlight w:val="none"/>
              </w:rPr>
            </w:pPr>
          </w:p>
        </w:tc>
        <w:tc>
          <w:tcPr>
            <w:tcW w:w="1026"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次</w:t>
            </w:r>
          </w:p>
        </w:tc>
        <w:tc>
          <w:tcPr>
            <w:tcW w:w="1276" w:type="dxa"/>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3114" w:type="dxa"/>
            <w:shd w:val="clear" w:color="auto" w:fill="auto"/>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车牌比对</w:t>
            </w:r>
          </w:p>
        </w:tc>
      </w:tr>
    </w:tbl>
    <w:p>
      <w:pPr>
        <w:spacing w:line="240" w:lineRule="auto"/>
        <w:ind w:left="0" w:firstLine="0" w:firstLineChars="0"/>
        <w:outlineLvl w:val="9"/>
        <w:rPr>
          <w:rFonts w:ascii="宋体" w:hAnsi="宋体" w:cs="宋体"/>
          <w:b/>
          <w:bCs/>
          <w:color w:val="auto"/>
          <w:sz w:val="24"/>
          <w:highlight w:val="none"/>
        </w:rPr>
      </w:pPr>
      <w:r>
        <w:rPr>
          <w:rFonts w:ascii="宋体" w:hAnsi="宋体" w:cs="宋体"/>
          <w:b/>
          <w:bCs/>
          <w:color w:val="auto"/>
          <w:sz w:val="24"/>
          <w:highlight w:val="none"/>
        </w:rPr>
        <w:br w:type="page"/>
      </w:r>
    </w:p>
    <w:p>
      <w:pPr>
        <w:spacing w:line="360" w:lineRule="auto"/>
        <w:ind w:left="482" w:hanging="482" w:hangingChars="200"/>
        <w:outlineLvl w:val="1"/>
        <w:rPr>
          <w:rFonts w:hint="eastAsia" w:ascii="宋体" w:hAnsi="宋体" w:eastAsia="宋体" w:cs="宋体"/>
          <w:b/>
          <w:bCs/>
          <w:color w:val="auto"/>
          <w:sz w:val="24"/>
          <w:highlight w:val="none"/>
          <w:lang w:val="en-US" w:eastAsia="zh-CN"/>
        </w:rPr>
      </w:pPr>
      <w:r>
        <w:rPr>
          <w:rFonts w:ascii="宋体" w:hAnsi="宋体" w:cs="宋体"/>
          <w:b/>
          <w:bCs/>
          <w:color w:val="auto"/>
          <w:sz w:val="24"/>
          <w:highlight w:val="none"/>
        </w:rPr>
        <w:t>2.</w:t>
      </w:r>
      <w:r>
        <w:rPr>
          <w:rFonts w:hint="eastAsia" w:ascii="宋体" w:hAnsi="宋体" w:cs="宋体"/>
          <w:b/>
          <w:bCs/>
          <w:color w:val="auto"/>
          <w:sz w:val="24"/>
          <w:highlight w:val="none"/>
        </w:rPr>
        <w:t>第2包服务需求</w:t>
      </w:r>
      <w:r>
        <w:rPr>
          <w:rFonts w:hint="eastAsia" w:ascii="宋体" w:hAnsi="宋体" w:cs="宋体"/>
          <w:b/>
          <w:bCs/>
          <w:color w:val="auto"/>
          <w:sz w:val="24"/>
          <w:highlight w:val="none"/>
        </w:rPr>
        <w:br w:type="textWrapping"/>
      </w:r>
      <w:r>
        <w:rPr>
          <w:rFonts w:hint="eastAsia" w:ascii="宋体" w:hAnsi="宋体" w:cs="宋体"/>
          <w:color w:val="auto"/>
          <w:sz w:val="24"/>
          <w:highlight w:val="none"/>
        </w:rPr>
        <w:t>1）基础服务</w:t>
      </w:r>
      <w:r>
        <w:rPr>
          <w:rFonts w:hint="eastAsia" w:ascii="宋体" w:hAnsi="宋体" w:cs="宋体"/>
          <w:color w:val="auto"/>
          <w:sz w:val="24"/>
          <w:highlight w:val="none"/>
          <w:lang w:val="en-US" w:eastAsia="zh-CN"/>
        </w:rPr>
        <w:t>目录</w:t>
      </w:r>
    </w:p>
    <w:tbl>
      <w:tblPr>
        <w:tblStyle w:val="20"/>
        <w:tblW w:w="89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518"/>
        <w:gridCol w:w="1324"/>
        <w:gridCol w:w="990"/>
        <w:gridCol w:w="1100"/>
        <w:gridCol w:w="940"/>
        <w:gridCol w:w="3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842" w:type="dxa"/>
            <w:gridSpan w:val="2"/>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货物或服务名称</w:t>
            </w:r>
          </w:p>
        </w:tc>
        <w:tc>
          <w:tcPr>
            <w:tcW w:w="990" w:type="dxa"/>
            <w:shd w:val="clear" w:color="auto" w:fill="auto"/>
            <w:vAlign w:val="center"/>
          </w:tcPr>
          <w:p>
            <w:pPr>
              <w:widowControl/>
              <w:spacing w:line="360" w:lineRule="auto"/>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数量</w:t>
            </w:r>
          </w:p>
        </w:tc>
        <w:tc>
          <w:tcPr>
            <w:tcW w:w="1100"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计价单位</w:t>
            </w:r>
          </w:p>
        </w:tc>
        <w:tc>
          <w:tcPr>
            <w:tcW w:w="940"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报价单位</w:t>
            </w:r>
          </w:p>
        </w:tc>
        <w:tc>
          <w:tcPr>
            <w:tcW w:w="3333"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1001</w:t>
            </w:r>
          </w:p>
        </w:tc>
        <w:tc>
          <w:tcPr>
            <w:tcW w:w="51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基础设施服务</w:t>
            </w: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机柜服务</w:t>
            </w: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6</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架</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19英寸标准机柜。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1002</w:t>
            </w:r>
          </w:p>
        </w:tc>
        <w:tc>
          <w:tcPr>
            <w:tcW w:w="518"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计算服务</w:t>
            </w:r>
          </w:p>
        </w:tc>
        <w:tc>
          <w:tcPr>
            <w:tcW w:w="1324" w:type="dxa"/>
            <w:vMerge w:val="restart"/>
            <w:shd w:val="clear" w:color="auto" w:fill="auto"/>
            <w:vAlign w:val="center"/>
          </w:tcPr>
          <w:p>
            <w:pPr>
              <w:widowControl/>
              <w:spacing w:line="360" w:lineRule="auto"/>
              <w:jc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云主机服务</w:t>
            </w: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3800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vCPU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vCPU（主频不低于2.4GHz）</w:t>
            </w:r>
            <w:r>
              <w:rPr>
                <w:rFonts w:hint="eastAsia" w:ascii="宋体" w:hAnsi="宋体" w:cs="宋体"/>
                <w:b/>
                <w:bCs/>
                <w:color w:val="FF0000"/>
                <w:kern w:val="0"/>
                <w:sz w:val="24"/>
                <w:highlight w:val="none"/>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1003</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11000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内存</w:t>
            </w:r>
            <w:r>
              <w:rPr>
                <w:rFonts w:hint="eastAsia" w:ascii="宋体" w:hAnsi="宋体" w:cs="宋体"/>
                <w:b/>
                <w:bCs/>
                <w:color w:val="FF0000"/>
                <w:kern w:val="0"/>
                <w:sz w:val="24"/>
                <w:highlight w:val="none"/>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1004</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物理服务器</w:t>
            </w: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物理服务器配置1: 2路10核2. 0Ghz，64G内存， 2块600G SAS硬盘,2个HBA卡，2个万兆端口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1005</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物理服务器配置2: 4路10核2.0Ghz，128G内存，2块600G SAS硬盘，2个HBA卡，2个万兆端口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1006</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物理服务器配置3: 8路10核2.0Ghz，256G内存，2块600G SAS硬盘，2个HBA卡，2个万兆端口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1007</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物理服务器配置4: 2路14核2.4Ghz，128G内存，12块6T SATA硬盘，SAS HBA 6G，2个万兆端口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1008</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物理服务器配置5: 2路14核2.4Ghz，384G内存，2块800G SSD硬盘，10块6T SATA硬盘，SAS HBA 6G，2个万兆端口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1009</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物理服务器配置6: 2路14核2.4Ghz，384G内存，3块480G SSD硬盘，9块2T SATA硬盘，SAS HBA 6G，2个万兆端口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1010</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图形图像计算服务</w:t>
            </w: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2</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GPU显存不低于8G， 最大单精度浮点计算能力不低于0.15TFLOPS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1011</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GPU显存不低于12G， 最大单精度浮点计算能力不低于5TFLOPS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1012</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20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GPU</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GPU显存不低于16G， 最大单精度浮点计算能力不低于7TFLOPS，最大双精度浮点计算能力不低于0.2TFLOPS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1013</w:t>
            </w:r>
          </w:p>
        </w:tc>
        <w:tc>
          <w:tcPr>
            <w:tcW w:w="518"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存储服务</w:t>
            </w: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普通性能存储</w:t>
            </w: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172000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GB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普通存储(单盘技术指标:单盘IOPS 1000-3000 )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1014</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高性能存储</w:t>
            </w: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218000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GB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高性能存储(单盘技术指标:单盘IOPS 3000-20000 )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1015</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静态存储</w:t>
            </w: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TB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大容量、高可靠的分布式数据存储服务，具备PB级线性扩展能力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1016</w:t>
            </w:r>
          </w:p>
        </w:tc>
        <w:tc>
          <w:tcPr>
            <w:tcW w:w="518"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网络服务</w:t>
            </w:r>
          </w:p>
        </w:tc>
        <w:tc>
          <w:tcPr>
            <w:tcW w:w="132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互联网链路服务</w:t>
            </w: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2400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Mb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互联网链路带宽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1017</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52</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IP</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互联网IP地址租用服务、并提供备案服务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1018</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主机负载均衡服务</w:t>
            </w: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28</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 xml:space="preserve">IP </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主机负载均衡服务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1019</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远程接入服务</w:t>
            </w: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56</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IP</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远程接入服务账号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1020</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VPN服务</w:t>
            </w: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账号</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SSL VPN接入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1021</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Mb带宽</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IPSec VPN接入带宽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1022</w:t>
            </w:r>
          </w:p>
        </w:tc>
        <w:tc>
          <w:tcPr>
            <w:tcW w:w="518" w:type="dxa"/>
            <w:vMerge w:val="continue"/>
            <w:shd w:val="clear" w:color="auto" w:fill="auto"/>
            <w:vAlign w:val="center"/>
          </w:tcPr>
          <w:p>
            <w:pPr>
              <w:widowControl/>
              <w:spacing w:line="360" w:lineRule="auto"/>
              <w:jc w:val="left"/>
              <w:rPr>
                <w:rFonts w:ascii="宋体" w:hAnsi="宋体" w:cs="宋体"/>
                <w:color w:val="auto"/>
                <w:kern w:val="0"/>
                <w:sz w:val="24"/>
                <w:highlight w:val="none"/>
              </w:rPr>
            </w:pP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WAF防护</w:t>
            </w:r>
          </w:p>
        </w:tc>
        <w:tc>
          <w:tcPr>
            <w:tcW w:w="990" w:type="dxa"/>
            <w:shd w:val="clear" w:color="auto" w:fill="auto"/>
            <w:vAlign w:val="center"/>
          </w:tcPr>
          <w:p>
            <w:pPr>
              <w:widowControl/>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41</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IP</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web应用防火墙服务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1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1023</w:t>
            </w:r>
          </w:p>
        </w:tc>
        <w:tc>
          <w:tcPr>
            <w:tcW w:w="518"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云主机深度监控服务</w:t>
            </w:r>
          </w:p>
        </w:tc>
        <w:tc>
          <w:tcPr>
            <w:tcW w:w="132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特定云主机深度监控及运维保障服务（7*24小时值守）</w:t>
            </w:r>
          </w:p>
        </w:tc>
        <w:tc>
          <w:tcPr>
            <w:tcW w:w="990" w:type="dxa"/>
            <w:shd w:val="clear" w:color="auto" w:fill="auto"/>
            <w:vAlign w:val="center"/>
          </w:tcPr>
          <w:p>
            <w:pPr>
              <w:widowControl/>
              <w:spacing w:line="360" w:lineRule="auto"/>
              <w:jc w:val="center"/>
              <w:textAlignment w:val="center"/>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bidi="ar"/>
              </w:rPr>
              <w:t>90</w:t>
            </w:r>
          </w:p>
        </w:tc>
        <w:tc>
          <w:tcPr>
            <w:tcW w:w="110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台</w:t>
            </w:r>
            <w:r>
              <w:rPr>
                <w:rFonts w:hint="eastAsia" w:ascii="宋体" w:hAnsi="宋体" w:cs="宋体"/>
                <w:color w:val="auto"/>
                <w:kern w:val="0"/>
                <w:sz w:val="24"/>
                <w:highlight w:val="none"/>
              </w:rPr>
              <w:t>主机</w:t>
            </w:r>
          </w:p>
        </w:tc>
        <w:tc>
          <w:tcPr>
            <w:tcW w:w="940"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333" w:type="dxa"/>
            <w:shd w:val="clear" w:color="auto" w:fill="auto"/>
            <w:vAlign w:val="center"/>
          </w:tcPr>
          <w:p>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7*24小时深度监测云主机资源、硬件设备监控、云平台层应急处置等内容</w:t>
            </w:r>
          </w:p>
        </w:tc>
      </w:tr>
    </w:tbl>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2）扩展服务目录</w:t>
      </w:r>
    </w:p>
    <w:tbl>
      <w:tblPr>
        <w:tblStyle w:val="20"/>
        <w:tblW w:w="89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712"/>
        <w:gridCol w:w="1134"/>
        <w:gridCol w:w="709"/>
        <w:gridCol w:w="1417"/>
        <w:gridCol w:w="1985"/>
        <w:gridCol w:w="2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01"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846" w:type="dxa"/>
            <w:gridSpan w:val="2"/>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货物或服务名称</w:t>
            </w:r>
          </w:p>
        </w:tc>
        <w:tc>
          <w:tcPr>
            <w:tcW w:w="709" w:type="dxa"/>
            <w:shd w:val="clear" w:color="auto" w:fill="auto"/>
            <w:vAlign w:val="center"/>
          </w:tcPr>
          <w:p>
            <w:pPr>
              <w:widowControl/>
              <w:spacing w:line="360" w:lineRule="auto"/>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数量</w:t>
            </w:r>
          </w:p>
        </w:tc>
        <w:tc>
          <w:tcPr>
            <w:tcW w:w="1417"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计价单位</w:t>
            </w:r>
          </w:p>
        </w:tc>
        <w:tc>
          <w:tcPr>
            <w:tcW w:w="1985" w:type="dxa"/>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报价单位</w:t>
            </w:r>
          </w:p>
        </w:tc>
        <w:tc>
          <w:tcPr>
            <w:tcW w:w="2263"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2001</w:t>
            </w:r>
          </w:p>
        </w:tc>
        <w:tc>
          <w:tcPr>
            <w:tcW w:w="712"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基础软件支</w:t>
            </w:r>
          </w:p>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撑</w:t>
            </w:r>
          </w:p>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服</w:t>
            </w:r>
          </w:p>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务</w:t>
            </w:r>
          </w:p>
        </w:tc>
        <w:tc>
          <w:tcPr>
            <w:tcW w:w="1134"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商用操作系统套餐</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134</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台</w:t>
            </w:r>
            <w:r>
              <w:rPr>
                <w:rFonts w:hint="eastAsia" w:ascii="宋体" w:hAnsi="宋体" w:cs="宋体"/>
                <w:color w:val="auto"/>
                <w:kern w:val="0"/>
                <w:sz w:val="24"/>
                <w:highlight w:val="none"/>
              </w:rPr>
              <w:t>云主机</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Windows Server套餐: WindowsServer租用、安装及维护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2002</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300</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台</w:t>
            </w:r>
            <w:r>
              <w:rPr>
                <w:rFonts w:hint="eastAsia" w:ascii="宋体" w:hAnsi="宋体" w:cs="宋体"/>
                <w:color w:val="auto"/>
                <w:kern w:val="0"/>
                <w:sz w:val="24"/>
                <w:highlight w:val="none"/>
              </w:rPr>
              <w:t>云主机</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pStyle w:val="1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国产操作系统套餐:  国产操作系统服务租用、安装及维护。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2003</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国产商用应用中间件套餐</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国产商用应用中间件租用、安装及维护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2004</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开源应用中间件套餐</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主流开源应用中间件安装及维护服务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2005</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商用数据库套餐</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国产商用数据库租用、安装及维护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2006</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开源数据库套餐</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开源数据库安装及维护服务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2007</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批处理数据仓库</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2CPU</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国产商用批处理数据仓库租用、安装及维护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2008</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实时数据仓库</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2CPU</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国产商用实时数据仓库租用、安装及维护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2009</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流数据处理引擎</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2CPU</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国产商用流数据处理引擎租用、安装及维护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2010</w:t>
            </w:r>
          </w:p>
        </w:tc>
        <w:tc>
          <w:tcPr>
            <w:tcW w:w="712"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安</w:t>
            </w:r>
          </w:p>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全</w:t>
            </w:r>
          </w:p>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服</w:t>
            </w:r>
          </w:p>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务</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云端抗DDOS服务</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17</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站点</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云端抗DDOS服务，攻击流量在10G以内。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2011</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云端APT防护服务</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48</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云端APT防护服务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2012</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主机杀毒服务</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495</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主机杀毒服务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2013</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主机防护</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495</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2014</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主机安全加固</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主机安全加固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2015</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网页防篡改服务</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31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个</w:t>
            </w:r>
            <w:r>
              <w:rPr>
                <w:rFonts w:hint="eastAsia" w:ascii="宋体" w:hAnsi="宋体" w:cs="宋体"/>
                <w:color w:val="auto"/>
                <w:kern w:val="0"/>
                <w:sz w:val="24"/>
                <w:highlight w:val="none"/>
              </w:rPr>
              <w:t>监控点</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网页防篡改服务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2016</w:t>
            </w:r>
          </w:p>
        </w:tc>
        <w:tc>
          <w:tcPr>
            <w:tcW w:w="712"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安全检测监测、审计服务</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主机漏洞扫描</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1000</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主机漏洞扫描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2017</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主机日志分析</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600</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台</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主机日志分析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2018</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数据库审计服务</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52</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数据库审计服务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2019</w:t>
            </w:r>
          </w:p>
        </w:tc>
        <w:tc>
          <w:tcPr>
            <w:tcW w:w="712"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其他服务</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CDN加速</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提供内容加速及视频加速服务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2020</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本地备份服务</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20000</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本地备份服务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2021</w:t>
            </w:r>
          </w:p>
        </w:tc>
        <w:tc>
          <w:tcPr>
            <w:tcW w:w="712" w:type="dxa"/>
            <w:vMerge w:val="continue"/>
            <w:shd w:val="clear" w:color="auto" w:fill="auto"/>
            <w:vAlign w:val="center"/>
          </w:tcPr>
          <w:p>
            <w:pPr>
              <w:widowControl/>
              <w:spacing w:line="360" w:lineRule="auto"/>
              <w:jc w:val="center"/>
              <w:rPr>
                <w:rFonts w:ascii="宋体" w:hAnsi="宋体" w:cs="宋体"/>
                <w:color w:val="auto"/>
                <w:kern w:val="0"/>
                <w:sz w:val="24"/>
                <w:highlight w:val="none"/>
              </w:rPr>
            </w:pP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异地备份服务</w:t>
            </w:r>
          </w:p>
        </w:tc>
        <w:tc>
          <w:tcPr>
            <w:tcW w:w="709" w:type="dxa"/>
            <w:shd w:val="clear" w:color="auto" w:fill="auto"/>
            <w:vAlign w:val="center"/>
          </w:tcPr>
          <w:p>
            <w:pPr>
              <w:widowControl/>
              <w:spacing w:line="360" w:lineRule="auto"/>
              <w:jc w:val="center"/>
              <w:textAlignment w:val="center"/>
              <w:rPr>
                <w:rFonts w:ascii="宋体" w:hAnsi="宋体" w:cs="宋体"/>
                <w:color w:val="auto"/>
                <w:kern w:val="0"/>
                <w:sz w:val="24"/>
                <w:szCs w:val="24"/>
                <w:highlight w:val="none"/>
              </w:rPr>
            </w:pPr>
            <w:r>
              <w:rPr>
                <w:rFonts w:ascii="宋体" w:hAnsi="宋体" w:cs="宋体"/>
                <w:color w:val="auto"/>
                <w:kern w:val="0"/>
                <w:sz w:val="24"/>
                <w:szCs w:val="24"/>
                <w:highlight w:val="none"/>
                <w:lang w:bidi="ar"/>
              </w:rPr>
              <w:t>1</w:t>
            </w:r>
          </w:p>
        </w:tc>
        <w:tc>
          <w:tcPr>
            <w:tcW w:w="1417"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985"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2263"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异地备份服务</w:t>
            </w:r>
          </w:p>
        </w:tc>
      </w:tr>
    </w:tbl>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3）视频云服务目录</w:t>
      </w:r>
    </w:p>
    <w:tbl>
      <w:tblPr>
        <w:tblStyle w:val="20"/>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518"/>
        <w:gridCol w:w="1152"/>
        <w:gridCol w:w="1026"/>
        <w:gridCol w:w="1134"/>
        <w:gridCol w:w="1276"/>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01"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670" w:type="dxa"/>
            <w:gridSpan w:val="2"/>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货物或服务名称</w:t>
            </w:r>
          </w:p>
        </w:tc>
        <w:tc>
          <w:tcPr>
            <w:tcW w:w="1026"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数量</w:t>
            </w:r>
          </w:p>
        </w:tc>
        <w:tc>
          <w:tcPr>
            <w:tcW w:w="1134"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计价单位</w:t>
            </w:r>
          </w:p>
        </w:tc>
        <w:tc>
          <w:tcPr>
            <w:tcW w:w="1276" w:type="dxa"/>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报价单位</w:t>
            </w:r>
          </w:p>
        </w:tc>
        <w:tc>
          <w:tcPr>
            <w:tcW w:w="3084" w:type="dxa"/>
            <w:shd w:val="clear" w:color="auto" w:fill="auto"/>
            <w:vAlign w:val="center"/>
          </w:tcPr>
          <w:p>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3001</w:t>
            </w:r>
          </w:p>
        </w:tc>
        <w:tc>
          <w:tcPr>
            <w:tcW w:w="518"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视频云服务</w:t>
            </w:r>
          </w:p>
        </w:tc>
        <w:tc>
          <w:tcPr>
            <w:tcW w:w="1152"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视频云存储管理</w:t>
            </w: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TB</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本地视频云存储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3002</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Gb</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视频传输专线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3003</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视频云存储管理平台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3004</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restart"/>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视频云解析</w:t>
            </w: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活动目标识别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3005</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人脸识别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3006</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路</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元/月</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人数统计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3007</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张</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元/张</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人脸结构化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3008</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张</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元/张</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车辆结构化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3009</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次</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人脸比对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3010</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次</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车辆比对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1"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3011</w:t>
            </w:r>
          </w:p>
        </w:tc>
        <w:tc>
          <w:tcPr>
            <w:tcW w:w="518" w:type="dxa"/>
            <w:vMerge w:val="continue"/>
            <w:vAlign w:val="center"/>
          </w:tcPr>
          <w:p>
            <w:pPr>
              <w:widowControl/>
              <w:spacing w:line="360" w:lineRule="auto"/>
              <w:jc w:val="center"/>
              <w:rPr>
                <w:rFonts w:ascii="宋体" w:hAnsi="宋体" w:cs="宋体"/>
                <w:color w:val="auto"/>
                <w:kern w:val="0"/>
                <w:sz w:val="24"/>
                <w:highlight w:val="none"/>
              </w:rPr>
            </w:pPr>
          </w:p>
        </w:tc>
        <w:tc>
          <w:tcPr>
            <w:tcW w:w="1152" w:type="dxa"/>
            <w:vMerge w:val="continue"/>
            <w:vAlign w:val="center"/>
          </w:tcPr>
          <w:p>
            <w:pPr>
              <w:widowControl/>
              <w:spacing w:line="360" w:lineRule="auto"/>
              <w:jc w:val="center"/>
              <w:rPr>
                <w:rFonts w:ascii="宋体" w:hAnsi="宋体" w:cs="宋体"/>
                <w:color w:val="auto"/>
                <w:kern w:val="0"/>
                <w:sz w:val="24"/>
                <w:highlight w:val="none"/>
              </w:rPr>
            </w:pPr>
          </w:p>
        </w:tc>
        <w:tc>
          <w:tcPr>
            <w:tcW w:w="1026"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13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次</w:t>
            </w:r>
          </w:p>
        </w:tc>
        <w:tc>
          <w:tcPr>
            <w:tcW w:w="1276" w:type="dxa"/>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元/次</w:t>
            </w:r>
          </w:p>
        </w:tc>
        <w:tc>
          <w:tcPr>
            <w:tcW w:w="3084" w:type="dxa"/>
            <w:shd w:val="clear" w:color="auto" w:fill="auto"/>
            <w:vAlign w:val="center"/>
          </w:tcPr>
          <w:p>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车牌比对</w:t>
            </w:r>
          </w:p>
        </w:tc>
      </w:tr>
    </w:tbl>
    <w:p>
      <w:pPr>
        <w:spacing w:line="360" w:lineRule="auto"/>
        <w:rPr>
          <w:rFonts w:ascii="宋体" w:hAnsi="宋体" w:cs="宋体"/>
          <w:color w:val="auto"/>
          <w:highlight w:val="none"/>
        </w:rPr>
      </w:pPr>
    </w:p>
    <w:p>
      <w:pPr>
        <w:spacing w:line="360" w:lineRule="auto"/>
        <w:ind w:left="420" w:hanging="420" w:hangingChars="200"/>
        <w:rPr>
          <w:rFonts w:ascii="宋体" w:hAnsi="宋体" w:cs="宋体"/>
          <w:color w:val="auto"/>
          <w:highlight w:val="none"/>
        </w:rPr>
      </w:pPr>
      <w:r>
        <w:rPr>
          <w:rFonts w:hint="eastAsia" w:ascii="宋体" w:hAnsi="宋体" w:cs="宋体"/>
          <w:color w:val="auto"/>
          <w:highlight w:val="none"/>
        </w:rPr>
        <w:t>注：</w:t>
      </w:r>
    </w:p>
    <w:p>
      <w:pPr>
        <w:spacing w:line="360" w:lineRule="auto"/>
        <w:ind w:left="420" w:hanging="420" w:hangingChars="200"/>
        <w:rPr>
          <w:rFonts w:ascii="宋体" w:hAnsi="宋体" w:cs="宋体"/>
          <w:color w:val="auto"/>
          <w:highlight w:val="none"/>
        </w:rPr>
      </w:pPr>
      <w:r>
        <w:rPr>
          <w:rFonts w:hint="eastAsia" w:ascii="宋体" w:hAnsi="宋体" w:cs="宋体"/>
          <w:color w:val="auto"/>
          <w:highlight w:val="none"/>
        </w:rPr>
        <w:t>1.以上两包各项服务需求数量为预估数量，实际数量以服务期内上云系统实际发生为准。</w:t>
      </w:r>
    </w:p>
    <w:p>
      <w:pPr>
        <w:numPr>
          <w:ilvl w:val="255"/>
          <w:numId w:val="0"/>
        </w:numPr>
        <w:spacing w:line="360" w:lineRule="auto"/>
        <w:rPr>
          <w:rFonts w:ascii="宋体" w:hAnsi="宋体" w:cs="宋体"/>
          <w:color w:val="auto"/>
          <w:highlight w:val="none"/>
        </w:rPr>
      </w:pPr>
      <w:r>
        <w:rPr>
          <w:rFonts w:hint="eastAsia" w:ascii="宋体" w:hAnsi="宋体" w:cs="宋体"/>
          <w:color w:val="auto"/>
          <w:highlight w:val="none"/>
        </w:rPr>
        <w:t>2.采购人最终结算付费金额，以中标供应商提供的各项服务实际数量为依据进行计算，但各包总金额均不超过预算金额。</w:t>
      </w:r>
    </w:p>
    <w:p>
      <w:pPr>
        <w:numPr>
          <w:ilvl w:val="255"/>
          <w:numId w:val="0"/>
        </w:numPr>
        <w:spacing w:line="360" w:lineRule="auto"/>
        <w:rPr>
          <w:rFonts w:ascii="宋体" w:hAnsi="宋体" w:cs="宋体"/>
          <w:color w:val="auto"/>
          <w:highlight w:val="none"/>
        </w:rPr>
      </w:pPr>
      <w:r>
        <w:rPr>
          <w:rFonts w:ascii="宋体" w:hAnsi="宋体" w:cs="宋体"/>
          <w:color w:val="auto"/>
          <w:highlight w:val="none"/>
        </w:rPr>
        <w:t>3.</w:t>
      </w:r>
      <w:r>
        <w:rPr>
          <w:rFonts w:hint="eastAsia" w:ascii="宋体" w:hAnsi="宋体" w:cs="宋体"/>
          <w:color w:val="auto"/>
          <w:highlight w:val="none"/>
        </w:rPr>
        <w:t>云服务商各项服务分项报价为服务项单价。</w:t>
      </w:r>
    </w:p>
    <w:p>
      <w:pPr>
        <w:adjustRightInd w:val="0"/>
        <w:spacing w:line="360" w:lineRule="auto"/>
        <w:jc w:val="left"/>
        <w:textAlignment w:val="baseline"/>
        <w:rPr>
          <w:rFonts w:ascii="宋体" w:hAnsi="宋体" w:cs="宋体"/>
          <w:b/>
          <w:color w:val="auto"/>
          <w:sz w:val="24"/>
          <w:highlight w:val="none"/>
        </w:rPr>
      </w:pPr>
    </w:p>
    <w:p>
      <w:pPr>
        <w:adjustRightInd w:val="0"/>
        <w:spacing w:line="360" w:lineRule="auto"/>
        <w:jc w:val="left"/>
        <w:textAlignment w:val="baseline"/>
        <w:outlineLvl w:val="1"/>
        <w:rPr>
          <w:rFonts w:ascii="宋体" w:hAnsi="宋体" w:cs="宋体"/>
          <w:b/>
          <w:color w:val="auto"/>
          <w:sz w:val="24"/>
          <w:highlight w:val="none"/>
        </w:rPr>
      </w:pPr>
      <w:r>
        <w:rPr>
          <w:rFonts w:ascii="宋体" w:hAnsi="宋体" w:cs="宋体"/>
          <w:b/>
          <w:color w:val="auto"/>
          <w:sz w:val="24"/>
          <w:highlight w:val="none"/>
        </w:rPr>
        <w:t>3.</w:t>
      </w:r>
      <w:r>
        <w:rPr>
          <w:rFonts w:hint="eastAsia" w:ascii="宋体" w:hAnsi="宋体" w:cs="宋体"/>
          <w:b/>
          <w:color w:val="auto"/>
          <w:sz w:val="24"/>
          <w:highlight w:val="none"/>
        </w:rPr>
        <w:t>技术要求</w:t>
      </w:r>
    </w:p>
    <w:p>
      <w:pPr>
        <w:adjustRightInd w:val="0"/>
        <w:spacing w:line="360" w:lineRule="auto"/>
        <w:ind w:firstLine="240" w:firstLineChars="100"/>
        <w:jc w:val="left"/>
        <w:textAlignment w:val="baseline"/>
        <w:rPr>
          <w:rFonts w:ascii="宋体" w:hAnsi="宋体" w:cs="宋体"/>
          <w:b/>
          <w:color w:val="auto"/>
          <w:sz w:val="24"/>
          <w:highlight w:val="none"/>
        </w:rPr>
      </w:pPr>
      <w:r>
        <w:rPr>
          <w:rFonts w:hint="eastAsia" w:ascii="宋体" w:hAnsi="宋体" w:cs="宋体"/>
          <w:bCs/>
          <w:color w:val="auto"/>
          <w:sz w:val="24"/>
          <w:highlight w:val="none"/>
        </w:rPr>
        <w:t>第一包与第二包技术要求相同，具体如下：</w:t>
      </w:r>
    </w:p>
    <w:p>
      <w:pPr>
        <w:pStyle w:val="57"/>
        <w:numPr>
          <w:ilvl w:val="3"/>
          <w:numId w:val="0"/>
        </w:numPr>
        <w:ind w:left="567" w:hanging="567"/>
        <w:outlineLvl w:val="2"/>
        <w:rPr>
          <w:rFonts w:ascii="宋体" w:hAnsi="宋体" w:cs="宋体"/>
          <w:bCs w:val="0"/>
          <w:color w:val="auto"/>
          <w:highlight w:val="none"/>
        </w:rPr>
      </w:pPr>
      <w:r>
        <w:rPr>
          <w:rFonts w:ascii="宋体" w:hAnsi="宋体" w:cs="宋体"/>
          <w:bCs w:val="0"/>
          <w:color w:val="auto"/>
          <w:highlight w:val="none"/>
        </w:rPr>
        <w:t>3.1专属机房要求</w:t>
      </w:r>
    </w:p>
    <w:tbl>
      <w:tblPr>
        <w:tblStyle w:val="20"/>
        <w:tblW w:w="8831" w:type="dxa"/>
        <w:jc w:val="center"/>
        <w:shd w:val="clear" w:color="auto" w:fill="FFFFFF"/>
        <w:tblLayout w:type="fixed"/>
        <w:tblCellMar>
          <w:top w:w="0" w:type="dxa"/>
          <w:left w:w="0" w:type="dxa"/>
          <w:bottom w:w="0" w:type="dxa"/>
          <w:right w:w="0" w:type="dxa"/>
        </w:tblCellMar>
      </w:tblPr>
      <w:tblGrid>
        <w:gridCol w:w="1183"/>
        <w:gridCol w:w="883"/>
        <w:gridCol w:w="1590"/>
        <w:gridCol w:w="5175"/>
      </w:tblGrid>
      <w:tr>
        <w:tblPrEx>
          <w:shd w:val="clear" w:color="auto" w:fill="FFFFFF"/>
          <w:tblCellMar>
            <w:top w:w="0" w:type="dxa"/>
            <w:left w:w="0" w:type="dxa"/>
            <w:bottom w:w="0" w:type="dxa"/>
            <w:right w:w="0" w:type="dxa"/>
          </w:tblCellMar>
        </w:tblPrEx>
        <w:trPr>
          <w:trHeight w:val="300" w:hRule="atLeast"/>
          <w:tblHeader/>
          <w:jc w:val="center"/>
        </w:trPr>
        <w:tc>
          <w:tcPr>
            <w:tcW w:w="1183"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指标项目分类</w:t>
            </w:r>
          </w:p>
        </w:tc>
        <w:tc>
          <w:tcPr>
            <w:tcW w:w="883"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序号</w:t>
            </w:r>
          </w:p>
        </w:tc>
        <w:tc>
          <w:tcPr>
            <w:tcW w:w="159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指标项目</w:t>
            </w:r>
          </w:p>
        </w:tc>
        <w:tc>
          <w:tcPr>
            <w:tcW w:w="517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参数要求</w:t>
            </w:r>
          </w:p>
        </w:tc>
      </w:tr>
      <w:tr>
        <w:tblPrEx>
          <w:shd w:val="clear" w:color="auto" w:fill="FFFFFF"/>
          <w:tblCellMar>
            <w:top w:w="0" w:type="dxa"/>
            <w:left w:w="0" w:type="dxa"/>
            <w:bottom w:w="0" w:type="dxa"/>
            <w:right w:w="0" w:type="dxa"/>
          </w:tblCellMar>
        </w:tblPrEx>
        <w:trPr>
          <w:trHeight w:val="370" w:hRule="atLeast"/>
          <w:jc w:val="center"/>
        </w:trPr>
        <w:tc>
          <w:tcPr>
            <w:tcW w:w="1183" w:type="dxa"/>
            <w:vMerge w:val="restart"/>
            <w:tcBorders>
              <w:left w:val="single" w:color="auto" w:sz="6" w:space="0"/>
              <w:right w:val="single" w:color="auto" w:sz="6" w:space="0"/>
            </w:tcBorders>
            <w:shd w:val="clear" w:color="auto" w:fill="FFFFFF"/>
            <w:vAlign w:val="center"/>
          </w:tcPr>
          <w:p>
            <w:pPr>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基础要求</w:t>
            </w: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1</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机房等级</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满足</w:t>
            </w:r>
            <w:r>
              <w:rPr>
                <w:rFonts w:ascii="宋体" w:hAnsi="宋体" w:cs="宋体"/>
                <w:color w:val="auto"/>
                <w:spacing w:val="8"/>
                <w:kern w:val="0"/>
                <w:sz w:val="24"/>
                <w:highlight w:val="none"/>
              </w:rPr>
              <w:t>GB50174-2008《电子信息系统机房设计规范》B级机房要求</w:t>
            </w:r>
          </w:p>
        </w:tc>
      </w:tr>
      <w:tr>
        <w:tblPrEx>
          <w:shd w:val="clear" w:color="auto" w:fill="FFFFFF"/>
          <w:tblCellMar>
            <w:top w:w="0" w:type="dxa"/>
            <w:left w:w="0" w:type="dxa"/>
            <w:bottom w:w="0" w:type="dxa"/>
            <w:right w:w="0" w:type="dxa"/>
          </w:tblCellMar>
        </w:tblPrEx>
        <w:trPr>
          <w:trHeight w:val="370" w:hRule="atLeast"/>
          <w:jc w:val="center"/>
        </w:trPr>
        <w:tc>
          <w:tcPr>
            <w:tcW w:w="1183" w:type="dxa"/>
            <w:vMerge w:val="continue"/>
            <w:tcBorders>
              <w:left w:val="single" w:color="auto" w:sz="6" w:space="0"/>
              <w:right w:val="single" w:color="auto" w:sz="6" w:space="0"/>
            </w:tcBorders>
            <w:shd w:val="clear" w:color="auto" w:fill="FFFFFF"/>
            <w:vAlign w:val="center"/>
          </w:tcPr>
          <w:p>
            <w:pPr>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2</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等级保护</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物理环境满足信息系统安全等级保护3级要求</w:t>
            </w:r>
          </w:p>
        </w:tc>
      </w:tr>
      <w:tr>
        <w:tblPrEx>
          <w:shd w:val="clear" w:color="auto" w:fill="FFFFFF"/>
          <w:tblCellMar>
            <w:top w:w="0" w:type="dxa"/>
            <w:left w:w="0" w:type="dxa"/>
            <w:bottom w:w="0" w:type="dxa"/>
            <w:right w:w="0" w:type="dxa"/>
          </w:tblCellMar>
        </w:tblPrEx>
        <w:trPr>
          <w:trHeight w:val="370" w:hRule="atLeast"/>
          <w:jc w:val="center"/>
        </w:trPr>
        <w:tc>
          <w:tcPr>
            <w:tcW w:w="1183" w:type="dxa"/>
            <w:vMerge w:val="continue"/>
            <w:tcBorders>
              <w:left w:val="single" w:color="auto" w:sz="6" w:space="0"/>
              <w:right w:val="single" w:color="auto" w:sz="6" w:space="0"/>
            </w:tcBorders>
            <w:shd w:val="clear" w:color="auto" w:fill="FFFFFF"/>
            <w:vAlign w:val="center"/>
          </w:tcPr>
          <w:p>
            <w:pPr>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3</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物理隔离</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本次所使用的机柜资源与机房内其他机柜资源物理隔离，可使用如围笼等手段。</w:t>
            </w:r>
          </w:p>
        </w:tc>
      </w:tr>
      <w:tr>
        <w:tblPrEx>
          <w:shd w:val="clear" w:color="auto" w:fill="FFFFFF"/>
          <w:tblCellMar>
            <w:top w:w="0" w:type="dxa"/>
            <w:left w:w="0" w:type="dxa"/>
            <w:bottom w:w="0" w:type="dxa"/>
            <w:right w:w="0" w:type="dxa"/>
          </w:tblCellMar>
        </w:tblPrEx>
        <w:trPr>
          <w:trHeight w:val="370" w:hRule="atLeast"/>
          <w:jc w:val="center"/>
        </w:trPr>
        <w:tc>
          <w:tcPr>
            <w:tcW w:w="1183" w:type="dxa"/>
            <w:vMerge w:val="continue"/>
            <w:tcBorders>
              <w:left w:val="single" w:color="auto" w:sz="6" w:space="0"/>
              <w:right w:val="single" w:color="auto" w:sz="6" w:space="0"/>
            </w:tcBorders>
            <w:shd w:val="clear" w:color="auto" w:fill="FFFFFF"/>
            <w:vAlign w:val="center"/>
          </w:tcPr>
          <w:p>
            <w:pPr>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4</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机房距离要求</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要求数据中心机房与大兴区经信局（大兴区兴丰大街三段138号）的直线距离小于10公里。提供数据中心详细地址及百度地图测距截图。</w:t>
            </w:r>
          </w:p>
        </w:tc>
      </w:tr>
      <w:tr>
        <w:tblPrEx>
          <w:shd w:val="clear" w:color="auto" w:fill="FFFFFF"/>
          <w:tblCellMar>
            <w:top w:w="0" w:type="dxa"/>
            <w:left w:w="0" w:type="dxa"/>
            <w:bottom w:w="0" w:type="dxa"/>
            <w:right w:w="0" w:type="dxa"/>
          </w:tblCellMar>
        </w:tblPrEx>
        <w:trPr>
          <w:trHeight w:val="380" w:hRule="atLeast"/>
          <w:jc w:val="center"/>
        </w:trPr>
        <w:tc>
          <w:tcPr>
            <w:tcW w:w="1183" w:type="dxa"/>
            <w:vMerge w:val="continue"/>
            <w:tcBorders>
              <w:left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5</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市电</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采用两路不同变电站输出的独立市电，独立UPS 不间断电源保障和紧急状况下第一时间的响应与支持，切换过程不得影响业务正常运行。</w:t>
            </w:r>
          </w:p>
        </w:tc>
      </w:tr>
      <w:tr>
        <w:tblPrEx>
          <w:shd w:val="clear" w:color="auto" w:fill="FFFFFF"/>
          <w:tblCellMar>
            <w:top w:w="0" w:type="dxa"/>
            <w:left w:w="0" w:type="dxa"/>
            <w:bottom w:w="0" w:type="dxa"/>
            <w:right w:w="0" w:type="dxa"/>
          </w:tblCellMar>
        </w:tblPrEx>
        <w:trPr>
          <w:trHeight w:val="380" w:hRule="atLeast"/>
          <w:jc w:val="center"/>
        </w:trPr>
        <w:tc>
          <w:tcPr>
            <w:tcW w:w="1183" w:type="dxa"/>
            <w:vMerge w:val="continue"/>
            <w:tcBorders>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6</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机柜</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需提供充足的机柜空间。</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安防</w:t>
            </w: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7</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机房防范</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机房进出需要有7×24小时保安执勤、出入登记。</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continue"/>
            <w:tcBorders>
              <w:top w:val="nil"/>
              <w:left w:val="single" w:color="auto" w:sz="6" w:space="0"/>
              <w:bottom w:val="single" w:color="auto" w:sz="6" w:space="0"/>
              <w:right w:val="single" w:color="auto" w:sz="6" w:space="0"/>
            </w:tcBorders>
            <w:shd w:val="clear" w:color="auto" w:fill="FFFFFF"/>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8</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运行管理</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配备专业的运行团队负责基础设施7×24小时运行管理。</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continue"/>
            <w:tcBorders>
              <w:top w:val="nil"/>
              <w:left w:val="single" w:color="auto" w:sz="6" w:space="0"/>
              <w:bottom w:val="single" w:color="auto" w:sz="6" w:space="0"/>
              <w:right w:val="single" w:color="auto" w:sz="6" w:space="0"/>
            </w:tcBorders>
            <w:shd w:val="clear" w:color="auto" w:fill="FFFFFF"/>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9</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视频监控</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本项目资源所在物理隔离区域的出入口、通道及关键点进行7×24小时视频监控，视频监控录像留存时间大于6个月，采购人有权随时调阅。</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continue"/>
            <w:tcBorders>
              <w:top w:val="nil"/>
              <w:left w:val="single" w:color="auto" w:sz="6" w:space="0"/>
              <w:bottom w:val="single" w:color="auto" w:sz="6" w:space="0"/>
              <w:right w:val="single" w:color="auto" w:sz="6" w:space="0"/>
            </w:tcBorders>
            <w:shd w:val="clear" w:color="auto" w:fill="FFFFFF"/>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10</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门禁系统</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配备单独门禁系统，门禁系统的管理权限由采购人控制，采购人有权随时调阅出入记录。</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restart"/>
            <w:tcBorders>
              <w:top w:val="nil"/>
              <w:left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运维</w:t>
            </w: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11</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应急演练</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需具备应急机制和应急预案并定期进行应急演练。</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continue"/>
            <w:tcBorders>
              <w:left w:val="single" w:color="auto" w:sz="6" w:space="0"/>
              <w:right w:val="single" w:color="auto" w:sz="6" w:space="0"/>
            </w:tcBorders>
            <w:shd w:val="clear" w:color="auto" w:fill="FFFFFF"/>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12</w:t>
            </w:r>
          </w:p>
        </w:tc>
        <w:tc>
          <w:tcPr>
            <w:tcW w:w="15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服务响应</w:t>
            </w:r>
          </w:p>
        </w:tc>
        <w:tc>
          <w:tcPr>
            <w:tcW w:w="51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提供7×24小时热线人工值守以及响应电话，全天候技术支持响应，故障确认时间≤10分钟，故障恢复时间&lt;30分钟，网络设备还原时间&lt;20分钟；扩容、割接提前3天通知。</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continue"/>
            <w:tcBorders>
              <w:left w:val="single" w:color="auto" w:sz="6" w:space="0"/>
              <w:right w:val="single" w:color="auto" w:sz="6" w:space="0"/>
            </w:tcBorders>
            <w:shd w:val="clear" w:color="auto" w:fill="FFFFFF"/>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nil"/>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13</w:t>
            </w:r>
          </w:p>
        </w:tc>
        <w:tc>
          <w:tcPr>
            <w:tcW w:w="1590" w:type="dxa"/>
            <w:tcBorders>
              <w:top w:val="nil"/>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维护保养</w:t>
            </w:r>
          </w:p>
        </w:tc>
        <w:tc>
          <w:tcPr>
            <w:tcW w:w="5175" w:type="dxa"/>
            <w:tcBorders>
              <w:top w:val="nil"/>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需对机房基础设施定期维护保养，能够根据采购人的要求提供相应的维护记录。</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continue"/>
            <w:tcBorders>
              <w:left w:val="single" w:color="auto" w:sz="6" w:space="0"/>
              <w:right w:val="single" w:color="auto" w:sz="6" w:space="0"/>
            </w:tcBorders>
            <w:shd w:val="clear" w:color="auto" w:fill="FFFFFF"/>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single" w:color="auto" w:sz="4" w:space="0"/>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14</w:t>
            </w:r>
          </w:p>
        </w:tc>
        <w:tc>
          <w:tcPr>
            <w:tcW w:w="1590" w:type="dxa"/>
            <w:tcBorders>
              <w:top w:val="single" w:color="auto" w:sz="4" w:space="0"/>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办公</w:t>
            </w:r>
          </w:p>
        </w:tc>
        <w:tc>
          <w:tcPr>
            <w:tcW w:w="5175" w:type="dxa"/>
            <w:tcBorders>
              <w:top w:val="single" w:color="auto" w:sz="4" w:space="0"/>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提供2个办公位，并提供运维所需网络接入。</w:t>
            </w:r>
          </w:p>
        </w:tc>
      </w:tr>
      <w:tr>
        <w:tblPrEx>
          <w:shd w:val="clear" w:color="auto" w:fill="FFFFFF"/>
          <w:tblCellMar>
            <w:top w:w="0" w:type="dxa"/>
            <w:left w:w="0" w:type="dxa"/>
            <w:bottom w:w="0" w:type="dxa"/>
            <w:right w:w="0" w:type="dxa"/>
          </w:tblCellMar>
        </w:tblPrEx>
        <w:trPr>
          <w:trHeight w:val="400" w:hRule="atLeast"/>
          <w:jc w:val="center"/>
        </w:trPr>
        <w:tc>
          <w:tcPr>
            <w:tcW w:w="1183" w:type="dxa"/>
            <w:vMerge w:val="continue"/>
            <w:tcBorders>
              <w:left w:val="single" w:color="auto" w:sz="6" w:space="0"/>
              <w:bottom w:val="single" w:color="auto" w:sz="4" w:space="0"/>
              <w:right w:val="single" w:color="auto" w:sz="6" w:space="0"/>
            </w:tcBorders>
            <w:shd w:val="clear" w:color="auto" w:fill="FFFFFF"/>
            <w:vAlign w:val="center"/>
          </w:tcPr>
          <w:p>
            <w:pPr>
              <w:widowControl/>
              <w:spacing w:line="360" w:lineRule="auto"/>
              <w:jc w:val="center"/>
              <w:rPr>
                <w:rFonts w:ascii="宋体" w:hAnsi="宋体" w:cs="宋体"/>
                <w:color w:val="auto"/>
                <w:spacing w:val="8"/>
                <w:kern w:val="0"/>
                <w:sz w:val="24"/>
                <w:highlight w:val="none"/>
              </w:rPr>
            </w:pPr>
          </w:p>
        </w:tc>
        <w:tc>
          <w:tcPr>
            <w:tcW w:w="883" w:type="dxa"/>
            <w:tcBorders>
              <w:top w:val="single" w:color="auto" w:sz="4" w:space="0"/>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ascii="宋体" w:hAnsi="宋体" w:cs="宋体"/>
                <w:color w:val="auto"/>
                <w:spacing w:val="8"/>
                <w:kern w:val="0"/>
                <w:sz w:val="24"/>
                <w:highlight w:val="none"/>
              </w:rPr>
              <w:t>15</w:t>
            </w:r>
          </w:p>
        </w:tc>
        <w:tc>
          <w:tcPr>
            <w:tcW w:w="1590" w:type="dxa"/>
            <w:tcBorders>
              <w:top w:val="single" w:color="auto" w:sz="4" w:space="0"/>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基础环境监控</w:t>
            </w:r>
          </w:p>
        </w:tc>
        <w:tc>
          <w:tcPr>
            <w:tcW w:w="5175" w:type="dxa"/>
            <w:tcBorders>
              <w:top w:val="single" w:color="auto" w:sz="4" w:space="0"/>
              <w:left w:val="nil"/>
              <w:bottom w:val="single" w:color="auto" w:sz="4" w:space="0"/>
              <w:right w:val="single" w:color="auto" w:sz="6" w:space="0"/>
            </w:tcBorders>
            <w:shd w:val="clear" w:color="auto" w:fill="FFFFFF"/>
            <w:tcMar>
              <w:top w:w="0" w:type="dxa"/>
              <w:left w:w="105" w:type="dxa"/>
              <w:bottom w:w="0" w:type="dxa"/>
              <w:right w:w="105" w:type="dxa"/>
            </w:tcMar>
            <w:vAlign w:val="center"/>
          </w:tcPr>
          <w:p>
            <w:pPr>
              <w:widowControl/>
              <w:spacing w:line="360" w:lineRule="auto"/>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具备7×24小时实时监测机房基础设施（如空调、UPS、市电等）运行状态的能力</w:t>
            </w:r>
            <w:r>
              <w:rPr>
                <w:rFonts w:hint="eastAsia" w:ascii="宋体" w:hAnsi="宋体" w:cs="宋体"/>
                <w:color w:val="auto"/>
                <w:sz w:val="24"/>
                <w:highlight w:val="none"/>
              </w:rPr>
              <w:t>（实现PC端、移动端调取其管理平台的方式）</w:t>
            </w:r>
            <w:r>
              <w:rPr>
                <w:rFonts w:hint="eastAsia" w:ascii="宋体" w:hAnsi="宋体" w:cs="宋体"/>
                <w:color w:val="auto"/>
                <w:spacing w:val="8"/>
                <w:kern w:val="0"/>
                <w:sz w:val="24"/>
                <w:highlight w:val="none"/>
              </w:rPr>
              <w:t>，</w:t>
            </w:r>
            <w:r>
              <w:rPr>
                <w:rFonts w:hint="eastAsia" w:ascii="宋体" w:hAnsi="宋体" w:cs="宋体"/>
                <w:color w:val="auto"/>
                <w:sz w:val="24"/>
                <w:highlight w:val="none"/>
              </w:rPr>
              <w:t>能够通过短信、邮件、声光报警等方式进行告警</w:t>
            </w:r>
            <w:r>
              <w:rPr>
                <w:rFonts w:hint="eastAsia" w:ascii="宋体" w:hAnsi="宋体" w:cs="宋体"/>
                <w:color w:val="auto"/>
                <w:spacing w:val="8"/>
                <w:kern w:val="0"/>
                <w:sz w:val="24"/>
                <w:highlight w:val="none"/>
              </w:rPr>
              <w:t>。</w:t>
            </w:r>
          </w:p>
        </w:tc>
      </w:tr>
    </w:tbl>
    <w:p>
      <w:pPr>
        <w:pStyle w:val="57"/>
        <w:numPr>
          <w:ilvl w:val="3"/>
          <w:numId w:val="0"/>
        </w:numPr>
        <w:ind w:left="567" w:hanging="567"/>
        <w:outlineLvl w:val="2"/>
        <w:rPr>
          <w:rFonts w:ascii="宋体" w:hAnsi="宋体" w:cs="宋体"/>
          <w:bCs w:val="0"/>
          <w:color w:val="auto"/>
          <w:highlight w:val="none"/>
        </w:rPr>
      </w:pPr>
      <w:r>
        <w:rPr>
          <w:rFonts w:ascii="宋体" w:hAnsi="宋体" w:cs="宋体"/>
          <w:bCs w:val="0"/>
          <w:color w:val="auto"/>
          <w:highlight w:val="none"/>
        </w:rPr>
        <w:t>3.</w:t>
      </w:r>
      <w:r>
        <w:rPr>
          <w:rFonts w:hint="eastAsia" w:ascii="宋体" w:hAnsi="宋体" w:cs="宋体"/>
          <w:bCs w:val="0"/>
          <w:color w:val="auto"/>
          <w:highlight w:val="none"/>
          <w:lang w:val="en-US"/>
        </w:rPr>
        <w:t>2</w:t>
      </w:r>
      <w:r>
        <w:rPr>
          <w:rFonts w:ascii="宋体" w:hAnsi="宋体" w:cs="宋体"/>
          <w:bCs w:val="0"/>
          <w:color w:val="auto"/>
          <w:highlight w:val="none"/>
        </w:rPr>
        <w:t>网络技术要求</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根据政务网络安全管理、信息安全等级保护等要求，在政务云中明确部署和划分互联网区、政务外网区和物联专网区，三个区域之间应按照要求进行安全隔离并提供必要的安全保障，分别承载政务外网、互联网和物联专网区应用，政务外网应用、互联网应用、物联专网区实现安全隔离。</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政务云平台核心骨干设备、出口设备、骨干线路等需要支持冗余备份，云内骨干线路带宽≥40G带宽，服务器业务≥10G带宽。</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云平台需满足基于SDN、VxLAN技术提供相关网络服务，SDN可以与云平台能实现自动化动态的网络资源调配和隔离，支持与互联网、政务外网、物联专网及行业部门专网的连接。</w:t>
      </w:r>
    </w:p>
    <w:p>
      <w:pPr>
        <w:pStyle w:val="57"/>
        <w:numPr>
          <w:ilvl w:val="3"/>
          <w:numId w:val="0"/>
        </w:numPr>
        <w:ind w:left="567" w:hanging="567"/>
        <w:outlineLvl w:val="2"/>
        <w:rPr>
          <w:rFonts w:ascii="宋体" w:hAnsi="宋体" w:cs="宋体"/>
          <w:bCs w:val="0"/>
          <w:color w:val="auto"/>
          <w:highlight w:val="none"/>
          <w:lang w:val="en-US"/>
        </w:rPr>
      </w:pPr>
      <w:r>
        <w:rPr>
          <w:rFonts w:ascii="宋体" w:hAnsi="宋体" w:cs="宋体"/>
          <w:bCs w:val="0"/>
          <w:color w:val="auto"/>
          <w:highlight w:val="none"/>
        </w:rPr>
        <w:t>3.</w:t>
      </w:r>
      <w:r>
        <w:rPr>
          <w:rFonts w:ascii="宋体" w:hAnsi="宋体" w:cs="宋体"/>
          <w:bCs w:val="0"/>
          <w:color w:val="auto"/>
          <w:highlight w:val="none"/>
          <w:lang w:val="en-US"/>
        </w:rPr>
        <w:t>3</w:t>
      </w:r>
      <w:r>
        <w:rPr>
          <w:rFonts w:hint="eastAsia" w:ascii="宋体" w:hAnsi="宋体" w:cs="宋体"/>
          <w:bCs w:val="0"/>
          <w:color w:val="auto"/>
          <w:highlight w:val="none"/>
          <w:lang w:val="en-US"/>
        </w:rPr>
        <w:t>网络接入</w:t>
      </w:r>
      <w:r>
        <w:rPr>
          <w:rFonts w:ascii="宋体" w:hAnsi="宋体" w:cs="宋体"/>
          <w:bCs w:val="0"/>
          <w:color w:val="auto"/>
          <w:highlight w:val="none"/>
        </w:rPr>
        <w:t>要求</w:t>
      </w:r>
    </w:p>
    <w:p>
      <w:pPr>
        <w:pStyle w:val="58"/>
        <w:numPr>
          <w:ilvl w:val="255"/>
          <w:numId w:val="0"/>
        </w:numPr>
        <w:spacing w:line="360" w:lineRule="auto"/>
        <w:ind w:firstLine="240" w:firstLineChars="100"/>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1.网络接入服务：提供（上下行速率一致）互联网专线的接入，且物理走向不能相同。每条专线提供至少32个可用IP地址。</w:t>
      </w:r>
    </w:p>
    <w:p>
      <w:pPr>
        <w:pStyle w:val="58"/>
        <w:numPr>
          <w:ilvl w:val="255"/>
          <w:numId w:val="0"/>
        </w:numPr>
        <w:spacing w:line="360" w:lineRule="auto"/>
        <w:ind w:left="210" w:leftChars="100"/>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2.电子政务外网接入要求：具备电子政务外网的接入条件，链路稳定可靠。</w:t>
      </w:r>
    </w:p>
    <w:p>
      <w:pPr>
        <w:pStyle w:val="57"/>
        <w:numPr>
          <w:ilvl w:val="3"/>
          <w:numId w:val="0"/>
        </w:numPr>
        <w:ind w:left="567" w:hanging="567"/>
        <w:outlineLvl w:val="2"/>
        <w:rPr>
          <w:rFonts w:ascii="宋体" w:hAnsi="宋体" w:cs="宋体"/>
          <w:bCs w:val="0"/>
          <w:color w:val="auto"/>
          <w:highlight w:val="none"/>
        </w:rPr>
      </w:pPr>
      <w:r>
        <w:rPr>
          <w:rFonts w:ascii="宋体" w:hAnsi="宋体" w:cs="宋体"/>
          <w:bCs w:val="0"/>
          <w:color w:val="auto"/>
          <w:highlight w:val="none"/>
        </w:rPr>
        <w:t>3.</w:t>
      </w:r>
      <w:r>
        <w:rPr>
          <w:rFonts w:ascii="宋体" w:hAnsi="宋体" w:cs="宋体"/>
          <w:bCs w:val="0"/>
          <w:color w:val="auto"/>
          <w:highlight w:val="none"/>
          <w:lang w:val="en-US"/>
        </w:rPr>
        <w:t>4</w:t>
      </w:r>
      <w:r>
        <w:rPr>
          <w:rFonts w:ascii="宋体" w:hAnsi="宋体" w:cs="宋体"/>
          <w:bCs w:val="0"/>
          <w:color w:val="auto"/>
          <w:highlight w:val="none"/>
        </w:rPr>
        <w:t>云计算平台技术要求</w:t>
      </w:r>
    </w:p>
    <w:p>
      <w:pPr>
        <w:pStyle w:val="58"/>
        <w:numPr>
          <w:ilvl w:val="255"/>
          <w:numId w:val="0"/>
        </w:num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云计算平台整体技术架构应优先采用主流技术框架，优先选择国产具有自主知识产权且具有成功案例的软硬件产品，为平台后续长期、安全、稳定的运行提供基础。云平台能够支撑目前市场上主流的操作系统和数据库产品。</w:t>
      </w:r>
    </w:p>
    <w:p>
      <w:pPr>
        <w:pStyle w:val="58"/>
        <w:numPr>
          <w:ilvl w:val="255"/>
          <w:numId w:val="0"/>
        </w:num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云计算平台整体应满足信息安全等级保护三级要求，应提供完善的安全体系架构，包含但不限于物理安全、网络安全、虚拟化安全、云平台安全和安全管理等层面内容，并为主机安全、应用安全、数据安全提供必要的服务能力。</w:t>
      </w:r>
    </w:p>
    <w:p>
      <w:pPr>
        <w:pStyle w:val="58"/>
        <w:numPr>
          <w:ilvl w:val="255"/>
          <w:numId w:val="0"/>
        </w:num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云计算平台应提供完善的接口，包含但不限管理平台、虚拟化平台、用户服务平台、网络、存储系统等标准接口，具备纳管相关物理设备及系统的能力，同时具备与云监管平台对接的能力。</w:t>
      </w:r>
    </w:p>
    <w:p>
      <w:pPr>
        <w:pStyle w:val="58"/>
        <w:numPr>
          <w:ilvl w:val="255"/>
          <w:numId w:val="0"/>
        </w:num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w:t>
      </w:r>
      <w:r>
        <w:rPr>
          <w:rFonts w:hint="eastAsia" w:ascii="宋体" w:hAnsi="宋体" w:cs="宋体"/>
          <w:color w:val="auto"/>
          <w:sz w:val="24"/>
          <w:highlight w:val="none"/>
        </w:rPr>
        <w:t>政务云不允许云服务商与互联网公有云构建混合云进行统一的资源调度管理。为保证系统数据的安全性，云管理平台软件要求不依赖外网可进行独立部署。</w:t>
      </w:r>
    </w:p>
    <w:p>
      <w:pPr>
        <w:pStyle w:val="58"/>
        <w:numPr>
          <w:ilvl w:val="255"/>
          <w:numId w:val="0"/>
        </w:num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云平台应打通虚拟机之间数据壁垒，促进数据整合。应具备提供全方位的大数据安全防护的能力，包括多租户的隔离及面向互联网应用的完备的安全防护体系。</w:t>
      </w:r>
    </w:p>
    <w:p>
      <w:pPr>
        <w:pStyle w:val="58"/>
        <w:numPr>
          <w:ilvl w:val="255"/>
          <w:numId w:val="0"/>
        </w:num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6</w:t>
      </w:r>
      <w:r>
        <w:rPr>
          <w:rFonts w:ascii="宋体" w:hAnsi="宋体" w:cs="宋体"/>
          <w:color w:val="auto"/>
          <w:sz w:val="24"/>
          <w:highlight w:val="none"/>
        </w:rPr>
        <w:t>.</w:t>
      </w:r>
      <w:r>
        <w:rPr>
          <w:rFonts w:hint="eastAsia" w:ascii="宋体" w:hAnsi="宋体" w:cs="宋体"/>
          <w:color w:val="auto"/>
          <w:sz w:val="24"/>
          <w:highlight w:val="none"/>
        </w:rPr>
        <w:t>云服务商所投云平台支持1:1以及N:1容灾服务。</w:t>
      </w:r>
    </w:p>
    <w:p>
      <w:pPr>
        <w:pStyle w:val="58"/>
        <w:numPr>
          <w:ilvl w:val="255"/>
          <w:numId w:val="0"/>
        </w:num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7.</w:t>
      </w:r>
      <w:r>
        <w:rPr>
          <w:rFonts w:hint="eastAsia" w:ascii="宋体" w:hAnsi="宋体" w:cs="宋体"/>
          <w:color w:val="auto"/>
          <w:sz w:val="24"/>
          <w:highlight w:val="none"/>
        </w:rPr>
        <w:t>在本轮服务期内，所使用的政务云平台及提供云服务要满足使用单位提出的所有信创改造需求，并配合上云使用单位完成国产化适配改造工作。</w:t>
      </w:r>
    </w:p>
    <w:p>
      <w:pPr>
        <w:pStyle w:val="57"/>
        <w:numPr>
          <w:ilvl w:val="3"/>
          <w:numId w:val="0"/>
        </w:numPr>
        <w:ind w:left="567" w:hanging="567"/>
        <w:outlineLvl w:val="2"/>
        <w:rPr>
          <w:rFonts w:ascii="宋体" w:hAnsi="宋体" w:cs="宋体"/>
          <w:bCs w:val="0"/>
          <w:color w:val="auto"/>
          <w:highlight w:val="none"/>
          <w:lang w:val="en-US"/>
        </w:rPr>
      </w:pPr>
      <w:r>
        <w:rPr>
          <w:rFonts w:ascii="宋体" w:hAnsi="宋体" w:cs="宋体"/>
          <w:bCs w:val="0"/>
          <w:color w:val="auto"/>
          <w:highlight w:val="none"/>
        </w:rPr>
        <w:t>3.</w:t>
      </w:r>
      <w:r>
        <w:rPr>
          <w:rFonts w:ascii="宋体" w:hAnsi="宋体" w:cs="宋体"/>
          <w:bCs w:val="0"/>
          <w:color w:val="auto"/>
          <w:highlight w:val="none"/>
          <w:lang w:val="en-US"/>
        </w:rPr>
        <w:t>5</w:t>
      </w:r>
      <w:r>
        <w:rPr>
          <w:rFonts w:ascii="宋体" w:hAnsi="宋体" w:cs="宋体"/>
          <w:bCs w:val="0"/>
          <w:color w:val="auto"/>
          <w:highlight w:val="none"/>
        </w:rPr>
        <w:t>安全要求</w:t>
      </w:r>
    </w:p>
    <w:p>
      <w:pPr>
        <w:pStyle w:val="58"/>
        <w:numPr>
          <w:ilvl w:val="255"/>
          <w:numId w:val="0"/>
        </w:num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云服务商所提供政务云要符合国家、北京市以及大兴区关于政务网络安全、密码安全的相关要求，并根据最新要求及时整改提升。</w:t>
      </w:r>
    </w:p>
    <w:p>
      <w:pPr>
        <w:pStyle w:val="58"/>
        <w:numPr>
          <w:ilvl w:val="255"/>
          <w:numId w:val="0"/>
        </w:num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w:t>
      </w:r>
      <w:r>
        <w:rPr>
          <w:rFonts w:hint="eastAsia" w:ascii="宋体" w:hAnsi="宋体" w:cs="宋体"/>
          <w:color w:val="auto"/>
          <w:sz w:val="24"/>
          <w:highlight w:val="none"/>
        </w:rPr>
        <w:t>在单一政务云平台内部，云服务商需要实现不同使用单位间业务应用系统及数据的安全隔离；</w:t>
      </w:r>
    </w:p>
    <w:p>
      <w:pPr>
        <w:pStyle w:val="58"/>
        <w:numPr>
          <w:ilvl w:val="255"/>
          <w:numId w:val="0"/>
        </w:num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w:t>
      </w:r>
      <w:r>
        <w:rPr>
          <w:rFonts w:hint="eastAsia" w:ascii="宋体" w:hAnsi="宋体" w:cs="宋体"/>
          <w:color w:val="auto"/>
          <w:sz w:val="24"/>
          <w:highlight w:val="none"/>
        </w:rPr>
        <w:t>云服务商需要分别搭建政务云的物联专网区、互联网区和政务外网区，三个区域采用逻辑网络系统、安全系统和云操作系统软件；</w:t>
      </w:r>
    </w:p>
    <w:p>
      <w:pPr>
        <w:pStyle w:val="58"/>
        <w:numPr>
          <w:ilvl w:val="255"/>
          <w:numId w:val="0"/>
        </w:num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w:t>
      </w:r>
      <w:r>
        <w:rPr>
          <w:rFonts w:hint="eastAsia" w:ascii="宋体" w:hAnsi="宋体" w:cs="宋体"/>
          <w:color w:val="auto"/>
          <w:sz w:val="24"/>
          <w:highlight w:val="none"/>
        </w:rPr>
        <w:t>云服务商在未经过使用单位邮件、书面材料确认前提下，不能查看、修改、拷贝使用单位业务系统文件和数据。</w:t>
      </w:r>
    </w:p>
    <w:p>
      <w:pPr>
        <w:pStyle w:val="58"/>
        <w:numPr>
          <w:ilvl w:val="255"/>
          <w:numId w:val="0"/>
        </w:num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5</w:t>
      </w:r>
      <w:r>
        <w:rPr>
          <w:rFonts w:ascii="宋体" w:hAnsi="宋体" w:cs="宋体"/>
          <w:color w:val="auto"/>
          <w:sz w:val="24"/>
          <w:highlight w:val="none"/>
        </w:rPr>
        <w:t>.</w:t>
      </w:r>
      <w:r>
        <w:rPr>
          <w:rFonts w:hint="eastAsia" w:ascii="宋体" w:hAnsi="宋体" w:cs="宋体"/>
          <w:color w:val="auto"/>
          <w:sz w:val="24"/>
          <w:highlight w:val="none"/>
        </w:rPr>
        <w:t>政务云需满足的国家相关网络安全标准、行业标准、地方标准或者其他标准、规范，并根据最新要求及时整改提升。</w:t>
      </w:r>
    </w:p>
    <w:p>
      <w:pPr>
        <w:pStyle w:val="57"/>
        <w:numPr>
          <w:ilvl w:val="3"/>
          <w:numId w:val="0"/>
        </w:numPr>
        <w:ind w:left="567" w:hanging="567"/>
        <w:outlineLvl w:val="2"/>
        <w:rPr>
          <w:rFonts w:ascii="宋体" w:hAnsi="宋体" w:cs="宋体"/>
          <w:bCs w:val="0"/>
          <w:color w:val="auto"/>
          <w:highlight w:val="none"/>
          <w:lang w:val="en-US"/>
        </w:rPr>
      </w:pPr>
      <w:r>
        <w:rPr>
          <w:rFonts w:ascii="宋体" w:hAnsi="宋体" w:cs="宋体"/>
          <w:bCs w:val="0"/>
          <w:color w:val="auto"/>
          <w:highlight w:val="none"/>
        </w:rPr>
        <w:t>3.</w:t>
      </w:r>
      <w:r>
        <w:rPr>
          <w:rFonts w:hint="eastAsia" w:ascii="宋体" w:hAnsi="宋体" w:cs="宋体"/>
          <w:bCs w:val="0"/>
          <w:color w:val="auto"/>
          <w:highlight w:val="none"/>
          <w:lang w:val="en-US"/>
        </w:rPr>
        <w:t>6扩展</w:t>
      </w:r>
      <w:r>
        <w:rPr>
          <w:rFonts w:ascii="宋体" w:hAnsi="宋体" w:cs="宋体"/>
          <w:bCs w:val="0"/>
          <w:color w:val="auto"/>
          <w:highlight w:val="none"/>
        </w:rPr>
        <w:t>要求</w:t>
      </w:r>
    </w:p>
    <w:tbl>
      <w:tblPr>
        <w:tblStyle w:val="20"/>
        <w:tblW w:w="8823" w:type="dxa"/>
        <w:jc w:val="center"/>
        <w:shd w:val="clear" w:color="auto" w:fill="FFFFFF"/>
        <w:tblLayout w:type="fixed"/>
        <w:tblCellMar>
          <w:top w:w="0" w:type="dxa"/>
          <w:left w:w="0" w:type="dxa"/>
          <w:bottom w:w="0" w:type="dxa"/>
          <w:right w:w="0" w:type="dxa"/>
        </w:tblCellMar>
      </w:tblPr>
      <w:tblGrid>
        <w:gridCol w:w="660"/>
        <w:gridCol w:w="2678"/>
        <w:gridCol w:w="5485"/>
      </w:tblGrid>
      <w:tr>
        <w:tblPrEx>
          <w:tblCellMar>
            <w:top w:w="0" w:type="dxa"/>
            <w:left w:w="0" w:type="dxa"/>
            <w:bottom w:w="0" w:type="dxa"/>
            <w:right w:w="0" w:type="dxa"/>
          </w:tblCellMar>
        </w:tblPrEx>
        <w:trPr>
          <w:trHeight w:val="190" w:hRule="atLeast"/>
          <w:tblHeader/>
          <w:jc w:val="center"/>
        </w:trPr>
        <w:tc>
          <w:tcPr>
            <w:tcW w:w="660" w:type="dxa"/>
            <w:tcBorders>
              <w:top w:val="single" w:color="000000" w:sz="6" w:space="0"/>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序号</w:t>
            </w:r>
          </w:p>
        </w:tc>
        <w:tc>
          <w:tcPr>
            <w:tcW w:w="2678" w:type="dxa"/>
            <w:tcBorders>
              <w:top w:val="single" w:color="000000" w:sz="6" w:space="0"/>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指标项目</w:t>
            </w:r>
          </w:p>
        </w:tc>
        <w:tc>
          <w:tcPr>
            <w:tcW w:w="5485" w:type="dxa"/>
            <w:tcBorders>
              <w:top w:val="single" w:color="000000" w:sz="6" w:space="0"/>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参数要求</w:t>
            </w:r>
          </w:p>
        </w:tc>
      </w:tr>
      <w:tr>
        <w:tblPrEx>
          <w:tblCellMar>
            <w:top w:w="0" w:type="dxa"/>
            <w:left w:w="0" w:type="dxa"/>
            <w:bottom w:w="0" w:type="dxa"/>
            <w:right w:w="0" w:type="dxa"/>
          </w:tblCellMar>
        </w:tblPrEx>
        <w:trPr>
          <w:trHeight w:val="1904" w:hRule="atLeast"/>
          <w:jc w:val="center"/>
        </w:trPr>
        <w:tc>
          <w:tcPr>
            <w:tcW w:w="660" w:type="dxa"/>
            <w:tcBorders>
              <w:top w:val="single" w:color="000000" w:sz="6" w:space="0"/>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1</w:t>
            </w:r>
          </w:p>
        </w:tc>
        <w:tc>
          <w:tcPr>
            <w:tcW w:w="2678" w:type="dxa"/>
            <w:tcBorders>
              <w:top w:val="single" w:color="000000" w:sz="6" w:space="0"/>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动态调整机制要求</w:t>
            </w:r>
          </w:p>
        </w:tc>
        <w:tc>
          <w:tcPr>
            <w:tcW w:w="5485" w:type="dxa"/>
            <w:tcBorders>
              <w:top w:val="single" w:color="000000" w:sz="6" w:space="0"/>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云平台应具备资源动态调整机制，根据业务系统运行情况进行资源的动态调整，对于临时性需求承诺短期内提供免费的云资源扩展服务（不超过原有云资源的20%）。</w:t>
            </w:r>
          </w:p>
        </w:tc>
      </w:tr>
      <w:tr>
        <w:tblPrEx>
          <w:shd w:val="clear" w:color="auto" w:fill="FFFFFF"/>
          <w:tblCellMar>
            <w:top w:w="0" w:type="dxa"/>
            <w:left w:w="0" w:type="dxa"/>
            <w:bottom w:w="0" w:type="dxa"/>
            <w:right w:w="0" w:type="dxa"/>
          </w:tblCellMar>
        </w:tblPrEx>
        <w:trPr>
          <w:trHeight w:val="270" w:hRule="atLeast"/>
          <w:jc w:val="center"/>
        </w:trPr>
        <w:tc>
          <w:tcPr>
            <w:tcW w:w="660" w:type="dxa"/>
            <w:tcBorders>
              <w:top w:val="single" w:color="000000" w:sz="6" w:space="0"/>
              <w:left w:val="single" w:color="000000" w:sz="6" w:space="0"/>
              <w:bottom w:val="single" w:color="auto" w:sz="4"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2</w:t>
            </w:r>
          </w:p>
        </w:tc>
        <w:tc>
          <w:tcPr>
            <w:tcW w:w="2678" w:type="dxa"/>
            <w:tcBorders>
              <w:top w:val="single" w:color="000000" w:sz="6" w:space="0"/>
              <w:left w:val="single" w:color="000000" w:sz="6" w:space="0"/>
              <w:bottom w:val="single" w:color="auto" w:sz="4"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业务数据要求</w:t>
            </w:r>
          </w:p>
        </w:tc>
        <w:tc>
          <w:tcPr>
            <w:tcW w:w="5485" w:type="dxa"/>
            <w:tcBorders>
              <w:top w:val="single" w:color="000000" w:sz="6" w:space="0"/>
              <w:left w:val="single" w:color="000000" w:sz="6" w:space="0"/>
              <w:bottom w:val="single" w:color="auto" w:sz="4" w:space="0"/>
              <w:right w:val="single" w:color="000000" w:sz="6" w:space="0"/>
            </w:tcBorders>
            <w:shd w:val="clear" w:color="auto" w:fill="FFFFFF"/>
            <w:tcMar>
              <w:top w:w="2" w:type="dxa"/>
              <w:left w:w="2" w:type="dxa"/>
              <w:bottom w:w="2" w:type="dxa"/>
              <w:right w:w="2" w:type="dxa"/>
            </w:tcMar>
            <w:vAlign w:val="center"/>
          </w:tcPr>
          <w:p>
            <w:pPr>
              <w:widowControl/>
              <w:spacing w:line="360" w:lineRule="auto"/>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使用单位业务数据不得离开政务云机房</w:t>
            </w:r>
          </w:p>
        </w:tc>
      </w:tr>
      <w:tr>
        <w:tblPrEx>
          <w:tblCellMar>
            <w:top w:w="0" w:type="dxa"/>
            <w:left w:w="0" w:type="dxa"/>
            <w:bottom w:w="0" w:type="dxa"/>
            <w:right w:w="0" w:type="dxa"/>
          </w:tblCellMar>
        </w:tblPrEx>
        <w:trPr>
          <w:trHeight w:val="27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3</w:t>
            </w:r>
          </w:p>
        </w:tc>
        <w:tc>
          <w:tcPr>
            <w:tcW w:w="2678" w:type="dxa"/>
            <w:tcBorders>
              <w:top w:val="single" w:color="auto" w:sz="4" w:space="0"/>
              <w:left w:val="single" w:color="auto" w:sz="4" w:space="0"/>
              <w:bottom w:val="single" w:color="auto" w:sz="4" w:space="0"/>
              <w:right w:val="single" w:color="auto" w:sz="4" w:space="0"/>
            </w:tcBorders>
            <w:shd w:val="clear" w:color="auto" w:fill="FFFFFF"/>
            <w:tcMar>
              <w:top w:w="2" w:type="dxa"/>
              <w:left w:w="2" w:type="dxa"/>
              <w:bottom w:w="2" w:type="dxa"/>
              <w:right w:w="2" w:type="dxa"/>
            </w:tcMar>
            <w:vAlign w:val="center"/>
          </w:tcPr>
          <w:p>
            <w:pPr>
              <w:widowControl/>
              <w:spacing w:line="360" w:lineRule="auto"/>
              <w:jc w:val="center"/>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等保和安全要求</w:t>
            </w:r>
          </w:p>
        </w:tc>
        <w:tc>
          <w:tcPr>
            <w:tcW w:w="5485" w:type="dxa"/>
            <w:tcBorders>
              <w:top w:val="single" w:color="auto" w:sz="4" w:space="0"/>
              <w:left w:val="single" w:color="auto" w:sz="4" w:space="0"/>
              <w:bottom w:val="single" w:color="auto" w:sz="4" w:space="0"/>
              <w:right w:val="single" w:color="auto" w:sz="4" w:space="0"/>
            </w:tcBorders>
            <w:shd w:val="clear" w:color="auto" w:fill="FFFFFF"/>
            <w:tcMar>
              <w:top w:w="2" w:type="dxa"/>
              <w:left w:w="2" w:type="dxa"/>
              <w:bottom w:w="2" w:type="dxa"/>
              <w:right w:w="2" w:type="dxa"/>
            </w:tcMar>
            <w:vAlign w:val="center"/>
          </w:tcPr>
          <w:p>
            <w:pPr>
              <w:widowControl/>
              <w:spacing w:line="360" w:lineRule="auto"/>
              <w:jc w:val="left"/>
              <w:rPr>
                <w:rFonts w:ascii="宋体" w:hAnsi="宋体" w:cs="宋体"/>
                <w:color w:val="auto"/>
                <w:spacing w:val="8"/>
                <w:kern w:val="0"/>
                <w:sz w:val="24"/>
                <w:highlight w:val="none"/>
              </w:rPr>
            </w:pPr>
            <w:r>
              <w:rPr>
                <w:rFonts w:hint="eastAsia" w:ascii="宋体" w:hAnsi="宋体" w:cs="宋体"/>
                <w:color w:val="auto"/>
                <w:spacing w:val="8"/>
                <w:kern w:val="0"/>
                <w:sz w:val="24"/>
                <w:highlight w:val="none"/>
              </w:rPr>
              <w:t>云服务商所提供云平台应符合国家及行业标准、规范，云计算平台必须满足信息安全等级保护三级要求。云服务商建成的云计算平台必须通过信息系统安全等级保护三级测评，并及时完成公安部门备案手续，云管理单位有权按照测评结果要求云服务商进行整改，云服务商需完成整改工作并通过安全测评。</w:t>
            </w:r>
          </w:p>
        </w:tc>
      </w:tr>
      <w:tr>
        <w:tblPrEx>
          <w:shd w:val="clear" w:color="auto" w:fill="FFFFFF"/>
          <w:tblCellMar>
            <w:top w:w="0" w:type="dxa"/>
            <w:left w:w="0" w:type="dxa"/>
            <w:bottom w:w="0" w:type="dxa"/>
            <w:right w:w="0" w:type="dxa"/>
          </w:tblCellMar>
        </w:tblPrEx>
        <w:trPr>
          <w:trHeight w:val="270" w:hRule="atLeast"/>
          <w:jc w:val="center"/>
        </w:trPr>
        <w:tc>
          <w:tcPr>
            <w:tcW w:w="660" w:type="dxa"/>
            <w:tcBorders>
              <w:top w:val="single" w:color="auto" w:sz="4" w:space="0"/>
              <w:left w:val="single" w:color="auto" w:sz="4" w:space="0"/>
              <w:bottom w:val="single" w:color="auto" w:sz="4" w:space="0"/>
              <w:right w:val="single" w:color="auto" w:sz="4" w:space="0"/>
            </w:tcBorders>
            <w:shd w:val="clear" w:color="auto" w:fill="FFFFFF"/>
            <w:tcMar>
              <w:top w:w="2" w:type="dxa"/>
              <w:left w:w="2" w:type="dxa"/>
              <w:bottom w:w="2" w:type="dxa"/>
              <w:right w:w="2" w:type="dxa"/>
            </w:tcMar>
            <w:vAlign w:val="center"/>
          </w:tcPr>
          <w:p>
            <w:pPr>
              <w:widowControl/>
              <w:spacing w:line="360" w:lineRule="auto"/>
              <w:jc w:val="center"/>
              <w:rPr>
                <w:rFonts w:hint="eastAsia" w:ascii="宋体" w:hAnsi="宋体" w:cs="宋体"/>
                <w:color w:val="auto"/>
                <w:spacing w:val="8"/>
                <w:kern w:val="0"/>
                <w:sz w:val="24"/>
                <w:highlight w:val="none"/>
              </w:rPr>
            </w:pPr>
            <w:r>
              <w:rPr>
                <w:rFonts w:hint="eastAsia" w:ascii="宋体" w:hAnsi="宋体" w:cs="宋体"/>
                <w:color w:val="auto"/>
                <w:spacing w:val="8"/>
                <w:kern w:val="0"/>
                <w:sz w:val="24"/>
                <w:highlight w:val="none"/>
              </w:rPr>
              <w:t>4</w:t>
            </w:r>
          </w:p>
        </w:tc>
        <w:tc>
          <w:tcPr>
            <w:tcW w:w="2678" w:type="dxa"/>
            <w:tcBorders>
              <w:top w:val="single" w:color="auto" w:sz="4" w:space="0"/>
              <w:left w:val="single" w:color="auto" w:sz="4" w:space="0"/>
              <w:bottom w:val="single" w:color="auto" w:sz="4" w:space="0"/>
              <w:right w:val="single" w:color="auto" w:sz="4" w:space="0"/>
            </w:tcBorders>
            <w:shd w:val="clear" w:color="auto" w:fill="FFFFFF"/>
            <w:tcMar>
              <w:top w:w="2" w:type="dxa"/>
              <w:left w:w="2" w:type="dxa"/>
              <w:bottom w:w="2" w:type="dxa"/>
              <w:right w:w="2" w:type="dxa"/>
            </w:tcMar>
            <w:vAlign w:val="center"/>
          </w:tcPr>
          <w:p>
            <w:pPr>
              <w:widowControl/>
              <w:spacing w:line="360" w:lineRule="auto"/>
              <w:jc w:val="center"/>
              <w:rPr>
                <w:rFonts w:hint="eastAsia" w:ascii="宋体" w:hAnsi="宋体" w:cs="宋体"/>
                <w:color w:val="auto"/>
                <w:spacing w:val="8"/>
                <w:kern w:val="0"/>
                <w:sz w:val="24"/>
                <w:highlight w:val="none"/>
              </w:rPr>
            </w:pPr>
            <w:r>
              <w:rPr>
                <w:rFonts w:hint="eastAsia" w:ascii="宋体" w:hAnsi="宋体" w:cs="宋体"/>
                <w:color w:val="auto"/>
                <w:spacing w:val="8"/>
                <w:kern w:val="0"/>
                <w:sz w:val="24"/>
                <w:highlight w:val="none"/>
              </w:rPr>
              <w:t>国家商用密码要求</w:t>
            </w:r>
          </w:p>
        </w:tc>
        <w:tc>
          <w:tcPr>
            <w:tcW w:w="5485" w:type="dxa"/>
            <w:tcBorders>
              <w:top w:val="single" w:color="auto" w:sz="4" w:space="0"/>
              <w:left w:val="single" w:color="auto" w:sz="4" w:space="0"/>
              <w:bottom w:val="single" w:color="auto" w:sz="4" w:space="0"/>
              <w:right w:val="single" w:color="auto" w:sz="4" w:space="0"/>
            </w:tcBorders>
            <w:shd w:val="clear" w:color="auto" w:fill="FFFFFF"/>
            <w:tcMar>
              <w:top w:w="2" w:type="dxa"/>
              <w:left w:w="2" w:type="dxa"/>
              <w:bottom w:w="2" w:type="dxa"/>
              <w:right w:w="2" w:type="dxa"/>
            </w:tcMar>
            <w:vAlign w:val="center"/>
          </w:tcPr>
          <w:p>
            <w:pPr>
              <w:widowControl/>
              <w:spacing w:line="360" w:lineRule="auto"/>
              <w:jc w:val="left"/>
              <w:rPr>
                <w:rFonts w:hint="eastAsia" w:ascii="宋体" w:hAnsi="宋体" w:cs="宋体"/>
                <w:color w:val="auto"/>
                <w:spacing w:val="8"/>
                <w:kern w:val="0"/>
                <w:sz w:val="24"/>
                <w:highlight w:val="none"/>
              </w:rPr>
            </w:pPr>
            <w:r>
              <w:rPr>
                <w:rFonts w:hint="eastAsia" w:ascii="宋体" w:hAnsi="宋体" w:cs="宋体"/>
                <w:color w:val="auto"/>
                <w:spacing w:val="8"/>
                <w:kern w:val="0"/>
                <w:sz w:val="24"/>
                <w:highlight w:val="none"/>
              </w:rPr>
              <w:t>云服务商所提供云平台应符合国家及行业标准、规范，云计算平台必须满足国家商用密码三级要求。云服务商建成的云计算平台必须通过国家商用密码应用安全性评估三级测评，并及时完成管理部门备案手续，云管理单位有权按照测评结果要求云服务商进行整改，云服务商需完成整改工作并通过国密测评。</w:t>
            </w:r>
          </w:p>
        </w:tc>
      </w:tr>
    </w:tbl>
    <w:p>
      <w:pPr>
        <w:pStyle w:val="2"/>
        <w:rPr>
          <w:color w:val="auto"/>
          <w:highlight w:val="none"/>
        </w:rPr>
      </w:pPr>
    </w:p>
    <w:p>
      <w:pPr>
        <w:widowControl/>
        <w:jc w:val="left"/>
        <w:rPr>
          <w:rFonts w:ascii="仿宋" w:hAnsi="仿宋" w:eastAsia="仿宋"/>
          <w:color w:val="auto"/>
          <w:sz w:val="28"/>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Times New Roman Bold">
    <w:altName w:val="Times New Roman"/>
    <w:panose1 w:val="02020803070505020304"/>
    <w:charset w:val="00"/>
    <w:family w:val="auto"/>
    <w:pitch w:val="default"/>
    <w:sig w:usb0="00000000" w:usb1="00000000"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suff w:val="nothing"/>
      <w:lvlText w:val="第%1部分"/>
      <w:lvlJc w:val="center"/>
      <w:pPr>
        <w:ind w:left="-288" w:firstLine="288"/>
      </w:pPr>
      <w:rPr>
        <w:rFonts w:hint="eastAsia"/>
        <w:sz w:val="28"/>
        <w:szCs w:val="28"/>
      </w:rPr>
    </w:lvl>
    <w:lvl w:ilvl="1" w:tentative="0">
      <w:start w:val="1"/>
      <w:numFmt w:val="chineseCountingThousand"/>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6C7B0377"/>
    <w:multiLevelType w:val="multilevel"/>
    <w:tmpl w:val="6C7B0377"/>
    <w:lvl w:ilvl="0" w:tentative="0">
      <w:start w:val="1"/>
      <w:numFmt w:val="decimal"/>
      <w:pStyle w:val="50"/>
      <w:lvlText w:val="%1、"/>
      <w:lvlJc w:val="left"/>
      <w:pPr>
        <w:ind w:left="420" w:hanging="420"/>
      </w:pPr>
      <w:rPr>
        <w:rFonts w:cs="Times New Roman"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0ZTQwYjYwYmExMTVjZWUyZWM0N2RmYjk2M2JmZmYifQ=="/>
  </w:docVars>
  <w:rsids>
    <w:rsidRoot w:val="001B3F75"/>
    <w:rsid w:val="00032891"/>
    <w:rsid w:val="0005754E"/>
    <w:rsid w:val="000D0ED2"/>
    <w:rsid w:val="001B3F75"/>
    <w:rsid w:val="001D78B3"/>
    <w:rsid w:val="001E4B93"/>
    <w:rsid w:val="002247FC"/>
    <w:rsid w:val="00281F5E"/>
    <w:rsid w:val="002C548C"/>
    <w:rsid w:val="0030565B"/>
    <w:rsid w:val="00324167"/>
    <w:rsid w:val="004057FC"/>
    <w:rsid w:val="004C5C0C"/>
    <w:rsid w:val="005252F4"/>
    <w:rsid w:val="00616D72"/>
    <w:rsid w:val="00644BEF"/>
    <w:rsid w:val="008509DB"/>
    <w:rsid w:val="00940EF8"/>
    <w:rsid w:val="0099184E"/>
    <w:rsid w:val="009C73F0"/>
    <w:rsid w:val="009D765F"/>
    <w:rsid w:val="00A657FB"/>
    <w:rsid w:val="00AD4BE1"/>
    <w:rsid w:val="00B06CE4"/>
    <w:rsid w:val="00B11114"/>
    <w:rsid w:val="00BB4C51"/>
    <w:rsid w:val="00C11035"/>
    <w:rsid w:val="00DC3768"/>
    <w:rsid w:val="00E55097"/>
    <w:rsid w:val="01902E5C"/>
    <w:rsid w:val="020D2BD6"/>
    <w:rsid w:val="027C3F58"/>
    <w:rsid w:val="03441120"/>
    <w:rsid w:val="03AF15E8"/>
    <w:rsid w:val="041400C8"/>
    <w:rsid w:val="051B1C90"/>
    <w:rsid w:val="05DA19E4"/>
    <w:rsid w:val="064E5119"/>
    <w:rsid w:val="0685119E"/>
    <w:rsid w:val="070E75C2"/>
    <w:rsid w:val="07680C20"/>
    <w:rsid w:val="07701404"/>
    <w:rsid w:val="079B1DF6"/>
    <w:rsid w:val="0895489E"/>
    <w:rsid w:val="08AD23E7"/>
    <w:rsid w:val="098F6BCE"/>
    <w:rsid w:val="0B0F3788"/>
    <w:rsid w:val="0B4167BD"/>
    <w:rsid w:val="0B653A5D"/>
    <w:rsid w:val="0BE0082A"/>
    <w:rsid w:val="0C477AF1"/>
    <w:rsid w:val="0CB02B61"/>
    <w:rsid w:val="0CD5078C"/>
    <w:rsid w:val="0D82785A"/>
    <w:rsid w:val="0DEA5A80"/>
    <w:rsid w:val="0DF706C0"/>
    <w:rsid w:val="0E5D7E71"/>
    <w:rsid w:val="0EAA255A"/>
    <w:rsid w:val="0ECA6A31"/>
    <w:rsid w:val="0FE21939"/>
    <w:rsid w:val="10685515"/>
    <w:rsid w:val="10B574E7"/>
    <w:rsid w:val="13397399"/>
    <w:rsid w:val="13C86069"/>
    <w:rsid w:val="14E54849"/>
    <w:rsid w:val="152D09DB"/>
    <w:rsid w:val="160F159D"/>
    <w:rsid w:val="162B0FD3"/>
    <w:rsid w:val="16773DCA"/>
    <w:rsid w:val="16D26A99"/>
    <w:rsid w:val="19743C90"/>
    <w:rsid w:val="1A073E3A"/>
    <w:rsid w:val="1CBD279E"/>
    <w:rsid w:val="1CC93180"/>
    <w:rsid w:val="1D8B5D8C"/>
    <w:rsid w:val="1E6827FE"/>
    <w:rsid w:val="1F791EFD"/>
    <w:rsid w:val="1F87370A"/>
    <w:rsid w:val="1FDE5624"/>
    <w:rsid w:val="201B3873"/>
    <w:rsid w:val="20215D46"/>
    <w:rsid w:val="20631369"/>
    <w:rsid w:val="20F269E1"/>
    <w:rsid w:val="21D87F0D"/>
    <w:rsid w:val="22D9594A"/>
    <w:rsid w:val="23336466"/>
    <w:rsid w:val="24076518"/>
    <w:rsid w:val="24123A8F"/>
    <w:rsid w:val="245B6575"/>
    <w:rsid w:val="24925787"/>
    <w:rsid w:val="24B631AC"/>
    <w:rsid w:val="256E15A5"/>
    <w:rsid w:val="25DE44F0"/>
    <w:rsid w:val="261B3398"/>
    <w:rsid w:val="26244339"/>
    <w:rsid w:val="26653D3B"/>
    <w:rsid w:val="27035062"/>
    <w:rsid w:val="277C3713"/>
    <w:rsid w:val="27AB44D6"/>
    <w:rsid w:val="280332F2"/>
    <w:rsid w:val="28335AC5"/>
    <w:rsid w:val="283D3F26"/>
    <w:rsid w:val="28BC340C"/>
    <w:rsid w:val="2ABA0257"/>
    <w:rsid w:val="2AFD0BD7"/>
    <w:rsid w:val="2B1F711E"/>
    <w:rsid w:val="2B722EEE"/>
    <w:rsid w:val="2BA30E48"/>
    <w:rsid w:val="2CDA5DA7"/>
    <w:rsid w:val="2CE64834"/>
    <w:rsid w:val="2D0642AC"/>
    <w:rsid w:val="2D393A11"/>
    <w:rsid w:val="2D446130"/>
    <w:rsid w:val="2D9B4590"/>
    <w:rsid w:val="2E0E5D43"/>
    <w:rsid w:val="2E5346AA"/>
    <w:rsid w:val="2E6953E5"/>
    <w:rsid w:val="2EA02EE6"/>
    <w:rsid w:val="2FB22D11"/>
    <w:rsid w:val="2FFA78E6"/>
    <w:rsid w:val="300A7E69"/>
    <w:rsid w:val="31472883"/>
    <w:rsid w:val="31AA255E"/>
    <w:rsid w:val="334E6E9B"/>
    <w:rsid w:val="33E740EE"/>
    <w:rsid w:val="340737ED"/>
    <w:rsid w:val="3492329A"/>
    <w:rsid w:val="35255689"/>
    <w:rsid w:val="368E2AE7"/>
    <w:rsid w:val="37492AD5"/>
    <w:rsid w:val="375E7DD2"/>
    <w:rsid w:val="378546E4"/>
    <w:rsid w:val="3943417B"/>
    <w:rsid w:val="394A7995"/>
    <w:rsid w:val="39A94DE8"/>
    <w:rsid w:val="3BA45DC3"/>
    <w:rsid w:val="3CE06E98"/>
    <w:rsid w:val="3CEA1EDD"/>
    <w:rsid w:val="3DD661D1"/>
    <w:rsid w:val="3EBC0120"/>
    <w:rsid w:val="3EEC19A5"/>
    <w:rsid w:val="3F1F3324"/>
    <w:rsid w:val="3F4C7572"/>
    <w:rsid w:val="3F5E60B7"/>
    <w:rsid w:val="3F6D7CAD"/>
    <w:rsid w:val="3FCD0370"/>
    <w:rsid w:val="3FF379A5"/>
    <w:rsid w:val="408D1D98"/>
    <w:rsid w:val="40FF1BB1"/>
    <w:rsid w:val="415D69D9"/>
    <w:rsid w:val="418C21A2"/>
    <w:rsid w:val="41C36CF4"/>
    <w:rsid w:val="42280F83"/>
    <w:rsid w:val="42407E9D"/>
    <w:rsid w:val="42F06B1A"/>
    <w:rsid w:val="4306320C"/>
    <w:rsid w:val="43081F14"/>
    <w:rsid w:val="43581D9C"/>
    <w:rsid w:val="44B073AF"/>
    <w:rsid w:val="45896108"/>
    <w:rsid w:val="45921FC5"/>
    <w:rsid w:val="46467A3E"/>
    <w:rsid w:val="464A3E0F"/>
    <w:rsid w:val="468528C4"/>
    <w:rsid w:val="46943F6D"/>
    <w:rsid w:val="476D2F68"/>
    <w:rsid w:val="48134247"/>
    <w:rsid w:val="48777ABF"/>
    <w:rsid w:val="48EA0B18"/>
    <w:rsid w:val="49881965"/>
    <w:rsid w:val="49D308C7"/>
    <w:rsid w:val="4A4B3519"/>
    <w:rsid w:val="4AC05AFC"/>
    <w:rsid w:val="4B351B2A"/>
    <w:rsid w:val="4B3B13DF"/>
    <w:rsid w:val="4B4B1CB3"/>
    <w:rsid w:val="4C2363A0"/>
    <w:rsid w:val="4C8420F1"/>
    <w:rsid w:val="4D3032B0"/>
    <w:rsid w:val="4E195D5D"/>
    <w:rsid w:val="4EF010C9"/>
    <w:rsid w:val="4F884057"/>
    <w:rsid w:val="4F9161A6"/>
    <w:rsid w:val="501E4192"/>
    <w:rsid w:val="50751F1F"/>
    <w:rsid w:val="508A2CFE"/>
    <w:rsid w:val="51717EBA"/>
    <w:rsid w:val="52382FC4"/>
    <w:rsid w:val="525A6FB5"/>
    <w:rsid w:val="52643C20"/>
    <w:rsid w:val="52AF18BE"/>
    <w:rsid w:val="53655F65"/>
    <w:rsid w:val="539909F3"/>
    <w:rsid w:val="54090123"/>
    <w:rsid w:val="548E3D51"/>
    <w:rsid w:val="55D4467A"/>
    <w:rsid w:val="55F13450"/>
    <w:rsid w:val="56147A55"/>
    <w:rsid w:val="56262DC0"/>
    <w:rsid w:val="563D3EF6"/>
    <w:rsid w:val="574D64C3"/>
    <w:rsid w:val="57767EDB"/>
    <w:rsid w:val="57785CF4"/>
    <w:rsid w:val="57AB43E4"/>
    <w:rsid w:val="58681980"/>
    <w:rsid w:val="5A0172F4"/>
    <w:rsid w:val="5B535721"/>
    <w:rsid w:val="5BE44B85"/>
    <w:rsid w:val="5C0B0C27"/>
    <w:rsid w:val="5C962627"/>
    <w:rsid w:val="5E425869"/>
    <w:rsid w:val="5F731192"/>
    <w:rsid w:val="5F733786"/>
    <w:rsid w:val="5F7A21CF"/>
    <w:rsid w:val="5FB04BA6"/>
    <w:rsid w:val="607443BF"/>
    <w:rsid w:val="60896BF0"/>
    <w:rsid w:val="60A16D82"/>
    <w:rsid w:val="60BC5109"/>
    <w:rsid w:val="60FA4AE1"/>
    <w:rsid w:val="61651844"/>
    <w:rsid w:val="61692A70"/>
    <w:rsid w:val="61DA03FA"/>
    <w:rsid w:val="62803F7E"/>
    <w:rsid w:val="638B5088"/>
    <w:rsid w:val="63BE2DBB"/>
    <w:rsid w:val="64071D13"/>
    <w:rsid w:val="641B0B81"/>
    <w:rsid w:val="64946DB5"/>
    <w:rsid w:val="650A20B4"/>
    <w:rsid w:val="651628F0"/>
    <w:rsid w:val="661720C2"/>
    <w:rsid w:val="682364E1"/>
    <w:rsid w:val="685B6B8D"/>
    <w:rsid w:val="68677CD0"/>
    <w:rsid w:val="689F623C"/>
    <w:rsid w:val="68A30AF4"/>
    <w:rsid w:val="68AA736A"/>
    <w:rsid w:val="69C434A7"/>
    <w:rsid w:val="69E05224"/>
    <w:rsid w:val="6AA64EED"/>
    <w:rsid w:val="6AEF2AFE"/>
    <w:rsid w:val="6B2F3761"/>
    <w:rsid w:val="6BBB38D5"/>
    <w:rsid w:val="6C713CF1"/>
    <w:rsid w:val="6C837C4E"/>
    <w:rsid w:val="6C8742D0"/>
    <w:rsid w:val="6CC55C96"/>
    <w:rsid w:val="6D7E320D"/>
    <w:rsid w:val="6DE15942"/>
    <w:rsid w:val="6E275846"/>
    <w:rsid w:val="6E2E707B"/>
    <w:rsid w:val="6EC61859"/>
    <w:rsid w:val="6EEC4425"/>
    <w:rsid w:val="6F2E722A"/>
    <w:rsid w:val="6F621BD6"/>
    <w:rsid w:val="70104BCC"/>
    <w:rsid w:val="707B187C"/>
    <w:rsid w:val="707B4C37"/>
    <w:rsid w:val="7080353F"/>
    <w:rsid w:val="709D3039"/>
    <w:rsid w:val="711820CB"/>
    <w:rsid w:val="711C4AC1"/>
    <w:rsid w:val="71513888"/>
    <w:rsid w:val="724A396F"/>
    <w:rsid w:val="740F4EB7"/>
    <w:rsid w:val="74FE1E74"/>
    <w:rsid w:val="75D367BA"/>
    <w:rsid w:val="75FD5828"/>
    <w:rsid w:val="765D2221"/>
    <w:rsid w:val="767C6572"/>
    <w:rsid w:val="76A35268"/>
    <w:rsid w:val="76AB1D30"/>
    <w:rsid w:val="774F1FC4"/>
    <w:rsid w:val="77AA120A"/>
    <w:rsid w:val="78737DCF"/>
    <w:rsid w:val="795D4AF4"/>
    <w:rsid w:val="79DB30F4"/>
    <w:rsid w:val="79E2287D"/>
    <w:rsid w:val="7AE3014E"/>
    <w:rsid w:val="7B2C6241"/>
    <w:rsid w:val="7B3E63F6"/>
    <w:rsid w:val="7BB045DE"/>
    <w:rsid w:val="7C706161"/>
    <w:rsid w:val="7C713077"/>
    <w:rsid w:val="7C851B86"/>
    <w:rsid w:val="7CA50E42"/>
    <w:rsid w:val="7DEA01B9"/>
    <w:rsid w:val="7E1A0ECD"/>
    <w:rsid w:val="7E5F2152"/>
    <w:rsid w:val="7EAE3DFC"/>
    <w:rsid w:val="7EB37EC2"/>
    <w:rsid w:val="7EDD28A0"/>
    <w:rsid w:val="7F2F001D"/>
    <w:rsid w:val="7FED15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7"/>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8"/>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6"/>
    <w:autoRedefine/>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7">
    <w:name w:val="heading 4"/>
    <w:basedOn w:val="1"/>
    <w:next w:val="1"/>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2">
    <w:name w:val="Default Paragraph Font"/>
    <w:autoRedefine/>
    <w:unhideWhenUsed/>
    <w:qFormat/>
    <w:uiPriority w:val="1"/>
  </w:style>
  <w:style w:type="table" w:default="1" w:styleId="20">
    <w:name w:val="Normal Table"/>
    <w:autoRedefine/>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widowControl/>
      <w:ind w:left="840" w:leftChars="400"/>
      <w:jc w:val="left"/>
    </w:pPr>
    <w:rPr>
      <w:rFonts w:ascii="Times New Roman" w:hAnsi="Times New Roman" w:eastAsia="宋体" w:cs="Times New Roman"/>
      <w:szCs w:val="24"/>
    </w:rPr>
  </w:style>
  <w:style w:type="paragraph" w:customStyle="1" w:styleId="6">
    <w:name w:val="my正文"/>
    <w:autoRedefine/>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styleId="8">
    <w:name w:val="Normal Indent"/>
    <w:basedOn w:val="1"/>
    <w:autoRedefine/>
    <w:unhideWhenUsed/>
    <w:qFormat/>
    <w:uiPriority w:val="0"/>
    <w:pPr>
      <w:ind w:firstLine="420" w:firstLineChars="200"/>
    </w:pPr>
  </w:style>
  <w:style w:type="paragraph" w:styleId="9">
    <w:name w:val="Document Map"/>
    <w:basedOn w:val="1"/>
    <w:autoRedefine/>
    <w:unhideWhenUsed/>
    <w:qFormat/>
    <w:uiPriority w:val="99"/>
    <w:rPr>
      <w:rFonts w:ascii="Microsoft YaHei UI" w:eastAsia="Microsoft YaHei UI"/>
      <w:sz w:val="18"/>
      <w:szCs w:val="18"/>
    </w:rPr>
  </w:style>
  <w:style w:type="paragraph" w:styleId="10">
    <w:name w:val="annotation text"/>
    <w:basedOn w:val="1"/>
    <w:autoRedefine/>
    <w:unhideWhenUsed/>
    <w:qFormat/>
    <w:uiPriority w:val="99"/>
    <w:pPr>
      <w:jc w:val="left"/>
    </w:pPr>
  </w:style>
  <w:style w:type="paragraph" w:styleId="11">
    <w:name w:val="Body Text"/>
    <w:basedOn w:val="1"/>
    <w:next w:val="12"/>
    <w:autoRedefine/>
    <w:unhideWhenUsed/>
    <w:qFormat/>
    <w:uiPriority w:val="99"/>
    <w:pPr>
      <w:spacing w:after="120"/>
    </w:pPr>
  </w:style>
  <w:style w:type="paragraph" w:customStyle="1" w:styleId="12">
    <w:name w:val="目录 11"/>
    <w:next w:val="1"/>
    <w:autoRedefine/>
    <w:qFormat/>
    <w:uiPriority w:val="0"/>
    <w:pPr>
      <w:wordWrap w:val="0"/>
      <w:jc w:val="both"/>
    </w:pPr>
    <w:rPr>
      <w:rFonts w:ascii="Calibri" w:hAnsi="Calibri" w:eastAsia="宋体" w:cs="Calibri"/>
      <w:sz w:val="21"/>
      <w:szCs w:val="22"/>
      <w:lang w:val="en-US" w:eastAsia="zh-CN" w:bidi="ar-SA"/>
    </w:rPr>
  </w:style>
  <w:style w:type="paragraph" w:styleId="13">
    <w:name w:val="List 2"/>
    <w:basedOn w:val="1"/>
    <w:autoRedefine/>
    <w:qFormat/>
    <w:uiPriority w:val="0"/>
    <w:pPr>
      <w:ind w:left="100" w:leftChars="200" w:hanging="200" w:hangingChars="200"/>
    </w:pPr>
  </w:style>
  <w:style w:type="paragraph" w:styleId="14">
    <w:name w:val="Plain Text"/>
    <w:basedOn w:val="1"/>
    <w:next w:val="1"/>
    <w:link w:val="30"/>
    <w:autoRedefine/>
    <w:qFormat/>
    <w:uiPriority w:val="0"/>
    <w:rPr>
      <w:rFonts w:ascii="宋体" w:hAnsi="Courier New" w:eastAsia="等线" w:cs="黑体"/>
      <w:szCs w:val="22"/>
    </w:rPr>
  </w:style>
  <w:style w:type="paragraph" w:styleId="15">
    <w:name w:val="footer"/>
    <w:basedOn w:val="1"/>
    <w:autoRedefine/>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6">
    <w:name w:val="toc 2"/>
    <w:basedOn w:val="1"/>
    <w:next w:val="1"/>
    <w:autoRedefine/>
    <w:unhideWhenUsed/>
    <w:qFormat/>
    <w:uiPriority w:val="39"/>
    <w:pPr>
      <w:tabs>
        <w:tab w:val="left" w:pos="900"/>
        <w:tab w:val="left" w:pos="1050"/>
        <w:tab w:val="left" w:pos="1080"/>
        <w:tab w:val="right" w:leader="dot" w:pos="8296"/>
      </w:tabs>
      <w:ind w:left="420" w:leftChars="200" w:firstLine="210" w:firstLineChars="100"/>
    </w:pPr>
  </w:style>
  <w:style w:type="paragraph" w:styleId="17">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paragraph" w:styleId="18">
    <w:name w:val="index 1"/>
    <w:basedOn w:val="1"/>
    <w:next w:val="1"/>
    <w:autoRedefine/>
    <w:unhideWhenUsed/>
    <w:qFormat/>
    <w:uiPriority w:val="99"/>
    <w:pPr>
      <w:framePr w:wrap="around" w:vAnchor="margin" w:hAnchor="text" w:y="1"/>
    </w:pPr>
    <w:rPr>
      <w:b/>
    </w:rPr>
  </w:style>
  <w:style w:type="paragraph" w:styleId="19">
    <w:name w:val="Title"/>
    <w:basedOn w:val="1"/>
    <w:next w:val="1"/>
    <w:autoRedefine/>
    <w:qFormat/>
    <w:uiPriority w:val="10"/>
    <w:pPr>
      <w:widowControl/>
      <w:spacing w:before="240" w:after="60"/>
      <w:jc w:val="center"/>
      <w:outlineLvl w:val="0"/>
    </w:pPr>
    <w:rPr>
      <w:rFonts w:eastAsia="宋体" w:asciiTheme="majorHAnsi" w:hAnsiTheme="majorHAnsi" w:cstheme="majorBidi"/>
      <w:b/>
      <w:bCs/>
      <w:sz w:val="32"/>
      <w:szCs w:val="32"/>
    </w:rPr>
  </w:style>
  <w:style w:type="table" w:styleId="21">
    <w:name w:val="Table Grid"/>
    <w:basedOn w:val="2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22"/>
    <w:rPr>
      <w:b/>
      <w:bCs/>
    </w:rPr>
  </w:style>
  <w:style w:type="character" w:styleId="24">
    <w:name w:val="Hyperlink"/>
    <w:basedOn w:val="22"/>
    <w:autoRedefine/>
    <w:unhideWhenUsed/>
    <w:qFormat/>
    <w:uiPriority w:val="99"/>
    <w:rPr>
      <w:color w:val="0563C1"/>
      <w:u w:val="single"/>
    </w:rPr>
  </w:style>
  <w:style w:type="paragraph" w:customStyle="1" w:styleId="25">
    <w:name w:val="List Paragraph"/>
    <w:basedOn w:val="1"/>
    <w:autoRedefine/>
    <w:qFormat/>
    <w:uiPriority w:val="34"/>
    <w:pPr>
      <w:ind w:firstLine="420" w:firstLineChars="200"/>
    </w:pPr>
  </w:style>
  <w:style w:type="paragraph" w:customStyle="1" w:styleId="26">
    <w:name w:val="Normal_0"/>
    <w:autoRedefine/>
    <w:qFormat/>
    <w:uiPriority w:val="0"/>
    <w:pPr>
      <w:spacing w:before="120" w:after="240"/>
      <w:jc w:val="both"/>
    </w:pPr>
    <w:rPr>
      <w:rFonts w:ascii="Calibri" w:hAnsi="Calibri" w:eastAsia="Calibri" w:cs="Times New Roman"/>
      <w:kern w:val="0"/>
      <w:sz w:val="22"/>
      <w:szCs w:val="22"/>
      <w:lang w:val="en-US" w:eastAsia="en-US" w:bidi="ar-SA"/>
    </w:rPr>
  </w:style>
  <w:style w:type="character" w:customStyle="1" w:styleId="27">
    <w:name w:val="标题 1 字符"/>
    <w:basedOn w:val="22"/>
    <w:link w:val="3"/>
    <w:autoRedefine/>
    <w:qFormat/>
    <w:uiPriority w:val="9"/>
    <w:rPr>
      <w:rFonts w:ascii="Times New Roman" w:hAnsi="Times New Roman" w:eastAsia="宋体" w:cs="Times New Roman"/>
      <w:b/>
      <w:bCs/>
      <w:kern w:val="44"/>
      <w:sz w:val="44"/>
      <w:szCs w:val="44"/>
    </w:rPr>
  </w:style>
  <w:style w:type="character" w:customStyle="1" w:styleId="28">
    <w:name w:val="标题 2 字符"/>
    <w:basedOn w:val="22"/>
    <w:link w:val="4"/>
    <w:autoRedefine/>
    <w:qFormat/>
    <w:uiPriority w:val="0"/>
    <w:rPr>
      <w:rFonts w:ascii="Arial" w:hAnsi="Arial" w:eastAsia="黑体" w:cs="Arial"/>
      <w:b/>
      <w:bCs/>
      <w:sz w:val="32"/>
      <w:szCs w:val="32"/>
    </w:rPr>
  </w:style>
  <w:style w:type="character" w:customStyle="1" w:styleId="29">
    <w:name w:val="纯文本 字符"/>
    <w:basedOn w:val="22"/>
    <w:autoRedefine/>
    <w:semiHidden/>
    <w:qFormat/>
    <w:uiPriority w:val="99"/>
    <w:rPr>
      <w:rFonts w:ascii="等线" w:hAnsi="Courier New" w:cs="Courier New"/>
      <w:szCs w:val="21"/>
    </w:rPr>
  </w:style>
  <w:style w:type="character" w:customStyle="1" w:styleId="30">
    <w:name w:val="纯文本 字符1"/>
    <w:basedOn w:val="22"/>
    <w:link w:val="14"/>
    <w:autoRedefine/>
    <w:qFormat/>
    <w:uiPriority w:val="0"/>
    <w:rPr>
      <w:rFonts w:ascii="宋体" w:hAnsi="Courier New"/>
    </w:rPr>
  </w:style>
  <w:style w:type="character" w:customStyle="1" w:styleId="31">
    <w:name w:val="font112"/>
    <w:autoRedefine/>
    <w:qFormat/>
    <w:uiPriority w:val="0"/>
    <w:rPr>
      <w:rFonts w:hint="eastAsia" w:ascii="宋体" w:hAnsi="宋体" w:eastAsia="宋体" w:cs="宋体"/>
      <w:b/>
      <w:color w:val="000000"/>
      <w:sz w:val="22"/>
      <w:szCs w:val="22"/>
      <w:u w:val="none"/>
    </w:rPr>
  </w:style>
  <w:style w:type="character" w:customStyle="1" w:styleId="32">
    <w:name w:val="font121"/>
    <w:autoRedefine/>
    <w:qFormat/>
    <w:uiPriority w:val="0"/>
    <w:rPr>
      <w:rFonts w:hint="eastAsia" w:ascii="宋体" w:hAnsi="宋体" w:eastAsia="宋体" w:cs="宋体"/>
      <w:color w:val="000000"/>
      <w:sz w:val="24"/>
      <w:szCs w:val="24"/>
      <w:u w:val="none"/>
    </w:rPr>
  </w:style>
  <w:style w:type="paragraph" w:customStyle="1" w:styleId="33">
    <w:name w:val="列出段落1"/>
    <w:basedOn w:val="1"/>
    <w:autoRedefine/>
    <w:qFormat/>
    <w:uiPriority w:val="34"/>
    <w:pPr>
      <w:widowControl/>
      <w:ind w:firstLine="420" w:firstLineChars="200"/>
      <w:jc w:val="left"/>
    </w:pPr>
    <w:rPr>
      <w:rFonts w:eastAsia="宋体"/>
      <w:kern w:val="0"/>
      <w:sz w:val="22"/>
      <w:szCs w:val="22"/>
    </w:rPr>
  </w:style>
  <w:style w:type="paragraph" w:customStyle="1" w:styleId="34">
    <w:name w:val="章标题"/>
    <w:basedOn w:val="3"/>
    <w:autoRedefine/>
    <w:qFormat/>
    <w:uiPriority w:val="99"/>
    <w:pPr>
      <w:keepNext/>
      <w:keepLines/>
      <w:spacing w:before="340" w:after="330" w:line="578" w:lineRule="auto"/>
      <w:jc w:val="center"/>
    </w:pPr>
    <w:rPr>
      <w:rFonts w:ascii="Times New Roman" w:hAnsi="Times New Roman" w:cs="Times New Roman"/>
      <w:kern w:val="44"/>
    </w:rPr>
  </w:style>
  <w:style w:type="paragraph" w:customStyle="1" w:styleId="35">
    <w:name w:val="标题1"/>
    <w:basedOn w:val="19"/>
    <w:autoRedefine/>
    <w:qFormat/>
    <w:uiPriority w:val="0"/>
    <w:pPr>
      <w:spacing w:after="240"/>
    </w:pPr>
    <w:rPr>
      <w:rFonts w:ascii="Arial" w:hAnsi="Arial" w:cs="Times New Roman"/>
      <w:bCs w:val="0"/>
      <w:spacing w:val="2"/>
      <w:sz w:val="24"/>
      <w:szCs w:val="20"/>
      <w:lang w:val="zh-CN"/>
    </w:rPr>
  </w:style>
  <w:style w:type="character" w:customStyle="1" w:styleId="36">
    <w:name w:val="标题 1 Char Char Char Char"/>
    <w:autoRedefine/>
    <w:qFormat/>
    <w:uiPriority w:val="0"/>
    <w:rPr>
      <w:rFonts w:eastAsia="宋体"/>
      <w:b/>
      <w:bCs/>
      <w:kern w:val="44"/>
      <w:sz w:val="44"/>
      <w:szCs w:val="44"/>
      <w:lang w:val="en-US" w:eastAsia="zh-CN" w:bidi="ar-SA"/>
    </w:rPr>
  </w:style>
  <w:style w:type="paragraph" w:customStyle="1" w:styleId="37">
    <w:name w:val="A2"/>
    <w:basedOn w:val="4"/>
    <w:autoRedefine/>
    <w:qFormat/>
    <w:uiPriority w:val="0"/>
    <w:pPr>
      <w:numPr>
        <w:ilvl w:val="0"/>
        <w:numId w:val="0"/>
      </w:numPr>
      <w:adjustRightInd/>
      <w:spacing w:line="360" w:lineRule="auto"/>
      <w:ind w:left="28"/>
      <w:jc w:val="both"/>
      <w:textAlignment w:val="auto"/>
    </w:pPr>
    <w:rPr>
      <w:kern w:val="2"/>
      <w:sz w:val="28"/>
      <w:lang w:val="zh-CN"/>
    </w:rPr>
  </w:style>
  <w:style w:type="paragraph" w:customStyle="1" w:styleId="38">
    <w:name w:val="列表段落1"/>
    <w:basedOn w:val="1"/>
    <w:autoRedefine/>
    <w:qFormat/>
    <w:uiPriority w:val="99"/>
    <w:pPr>
      <w:ind w:firstLine="420" w:firstLineChars="200"/>
    </w:pPr>
  </w:style>
  <w:style w:type="character" w:customStyle="1" w:styleId="39">
    <w:name w:val="font11"/>
    <w:basedOn w:val="22"/>
    <w:autoRedefine/>
    <w:qFormat/>
    <w:uiPriority w:val="0"/>
    <w:rPr>
      <w:rFonts w:hint="eastAsia" w:ascii="宋体" w:hAnsi="宋体" w:eastAsia="宋体" w:cs="宋体"/>
      <w:color w:val="FF0000"/>
      <w:sz w:val="20"/>
      <w:szCs w:val="20"/>
      <w:u w:val="none"/>
    </w:rPr>
  </w:style>
  <w:style w:type="character" w:customStyle="1" w:styleId="40">
    <w:name w:val="font21"/>
    <w:basedOn w:val="22"/>
    <w:autoRedefine/>
    <w:qFormat/>
    <w:uiPriority w:val="0"/>
    <w:rPr>
      <w:rFonts w:hint="eastAsia" w:ascii="宋体" w:hAnsi="宋体" w:eastAsia="宋体" w:cs="宋体"/>
      <w:color w:val="000000"/>
      <w:sz w:val="20"/>
      <w:szCs w:val="20"/>
      <w:u w:val="none"/>
    </w:rPr>
  </w:style>
  <w:style w:type="paragraph" w:customStyle="1" w:styleId="41">
    <w:name w:val="~S1实施方案正文"/>
    <w:basedOn w:val="1"/>
    <w:autoRedefine/>
    <w:qFormat/>
    <w:uiPriority w:val="99"/>
    <w:pPr>
      <w:spacing w:line="360" w:lineRule="auto"/>
      <w:ind w:firstLine="200" w:firstLineChars="200"/>
      <w:jc w:val="left"/>
    </w:pPr>
    <w:rPr>
      <w:rFonts w:ascii="仿宋" w:eastAsia="仿宋"/>
      <w:sz w:val="30"/>
    </w:rPr>
  </w:style>
  <w:style w:type="paragraph" w:customStyle="1" w:styleId="42">
    <w:name w:val="！BECC正文1"/>
    <w:basedOn w:val="1"/>
    <w:autoRedefine/>
    <w:qFormat/>
    <w:uiPriority w:val="0"/>
    <w:pPr>
      <w:spacing w:line="360" w:lineRule="auto"/>
      <w:ind w:firstLine="480" w:firstLineChars="200"/>
    </w:pPr>
    <w:rPr>
      <w:rFonts w:ascii="Times New Roman" w:hAnsi="Times New Roman"/>
      <w:kern w:val="2"/>
      <w:sz w:val="24"/>
      <w:szCs w:val="24"/>
    </w:rPr>
  </w:style>
  <w:style w:type="paragraph" w:customStyle="1" w:styleId="43">
    <w:name w:val="(1)"/>
    <w:next w:val="1"/>
    <w:autoRedefine/>
    <w:qFormat/>
    <w:uiPriority w:val="0"/>
    <w:pPr>
      <w:tabs>
        <w:tab w:val="left" w:pos="813"/>
      </w:tabs>
      <w:spacing w:line="360" w:lineRule="auto"/>
      <w:ind w:left="813" w:hanging="567"/>
    </w:pPr>
    <w:rPr>
      <w:rFonts w:ascii="宋体" w:hAnsi="宋体" w:eastAsia="宋体" w:cs="Times New Roman"/>
      <w:sz w:val="24"/>
      <w:szCs w:val="21"/>
      <w:lang w:val="en-US" w:eastAsia="zh-CN" w:bidi="ar-SA"/>
    </w:rPr>
  </w:style>
  <w:style w:type="paragraph" w:customStyle="1" w:styleId="44">
    <w:name w:val="_正文"/>
    <w:autoRedefine/>
    <w:qFormat/>
    <w:uiPriority w:val="0"/>
    <w:pPr>
      <w:spacing w:line="360" w:lineRule="auto"/>
    </w:pPr>
    <w:rPr>
      <w:rFonts w:ascii="宋体" w:hAnsi="宋体" w:eastAsia="仿宋_GB2312" w:cs="Times New Roman"/>
      <w:sz w:val="24"/>
      <w:szCs w:val="44"/>
      <w:lang w:val="en-US" w:eastAsia="zh-CN" w:bidi="ar-SA"/>
    </w:rPr>
  </w:style>
  <w:style w:type="paragraph" w:customStyle="1" w:styleId="45">
    <w:name w:val="_Style 3"/>
    <w:autoRedefine/>
    <w:qFormat/>
    <w:uiPriority w:val="34"/>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正文文本样式"/>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47">
    <w:name w:val="正文-l"/>
    <w:next w:val="1"/>
    <w:autoRedefine/>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48">
    <w:name w:val="Z招标文件正文"/>
    <w:autoRedefine/>
    <w:qFormat/>
    <w:uiPriority w:val="0"/>
    <w:pPr>
      <w:spacing w:beforeLines="50" w:line="360" w:lineRule="auto"/>
      <w:ind w:firstLine="480" w:firstLineChars="200"/>
    </w:pPr>
    <w:rPr>
      <w:rFonts w:ascii="Calibri" w:hAnsi="Calibri" w:eastAsia="宋体" w:cs="Times New Roman"/>
      <w:sz w:val="24"/>
      <w:szCs w:val="21"/>
      <w:lang w:val="en-US" w:eastAsia="zh-CN" w:bidi="ar-SA"/>
    </w:rPr>
  </w:style>
  <w:style w:type="paragraph" w:customStyle="1" w:styleId="49">
    <w:name w:val="首行缩进正文"/>
    <w:autoRedefine/>
    <w:qFormat/>
    <w:uiPriority w:val="0"/>
    <w:pPr>
      <w:widowControl w:val="0"/>
      <w:spacing w:before="160" w:after="160" w:line="440" w:lineRule="atLeast"/>
      <w:ind w:firstLine="200" w:firstLineChars="200"/>
      <w:jc w:val="both"/>
    </w:pPr>
    <w:rPr>
      <w:rFonts w:ascii="Arial Narrow" w:hAnsi="Arial Narrow" w:eastAsiaTheme="minorEastAsia" w:cstheme="minorBidi"/>
      <w:kern w:val="2"/>
      <w:sz w:val="24"/>
      <w:szCs w:val="24"/>
      <w:lang w:val="en-US" w:eastAsia="zh-CN" w:bidi="ar-SA"/>
    </w:rPr>
  </w:style>
  <w:style w:type="paragraph" w:customStyle="1" w:styleId="50">
    <w:name w:val="样式1 1."/>
    <w:autoRedefine/>
    <w:qFormat/>
    <w:uiPriority w:val="0"/>
    <w:pPr>
      <w:widowControl w:val="0"/>
      <w:numPr>
        <w:ilvl w:val="0"/>
        <w:numId w:val="2"/>
      </w:numPr>
      <w:spacing w:line="360" w:lineRule="auto"/>
      <w:ind w:firstLine="0" w:firstLineChars="0"/>
      <w:jc w:val="both"/>
    </w:pPr>
    <w:rPr>
      <w:rFonts w:ascii="Arial Narrow" w:hAnsi="Arial Narrow" w:eastAsia="宋体" w:cs="Times New Roman"/>
      <w:sz w:val="24"/>
      <w:szCs w:val="21"/>
      <w:lang w:val="en-US" w:eastAsia="zh-CN" w:bidi="ar-SA"/>
    </w:rPr>
  </w:style>
  <w:style w:type="paragraph" w:customStyle="1" w:styleId="51">
    <w:name w:val="正文-zy"/>
    <w:autoRedefine/>
    <w:qFormat/>
    <w:uiPriority w:val="0"/>
    <w:pPr>
      <w:widowControl w:val="0"/>
      <w:spacing w:line="360" w:lineRule="auto"/>
      <w:ind w:firstLine="480" w:firstLineChars="200"/>
      <w:jc w:val="both"/>
    </w:pPr>
    <w:rPr>
      <w:rFonts w:ascii="Calibri" w:hAnsi="Calibri" w:eastAsia="宋体" w:cs="Times New Roman"/>
      <w:sz w:val="24"/>
      <w:szCs w:val="20"/>
      <w:lang w:val="zh-CN" w:eastAsia="zh-CN" w:bidi="ar-SA"/>
    </w:rPr>
  </w:style>
  <w:style w:type="table" w:customStyle="1" w:styleId="52">
    <w:name w:val="网格型1"/>
    <w:basedOn w:val="20"/>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
    <w:name w:val="列出段落3"/>
    <w:basedOn w:val="1"/>
    <w:autoRedefine/>
    <w:unhideWhenUsed/>
    <w:qFormat/>
    <w:uiPriority w:val="99"/>
    <w:pPr>
      <w:autoSpaceDE/>
      <w:autoSpaceDN/>
      <w:spacing w:line="480" w:lineRule="exact"/>
      <w:ind w:firstLine="420" w:firstLineChars="200"/>
    </w:pPr>
    <w:rPr>
      <w:rFonts w:ascii="Times New Roman" w:hAnsi="Times New Roman" w:cs="Times New Roman"/>
      <w:kern w:val="2"/>
      <w:sz w:val="24"/>
      <w:szCs w:val="20"/>
    </w:rPr>
  </w:style>
  <w:style w:type="paragraph" w:customStyle="1" w:styleId="54">
    <w:name w:val="列出段落"/>
    <w:autoRedefine/>
    <w:qFormat/>
    <w:uiPriority w:val="0"/>
    <w:pPr>
      <w:framePr w:wrap="around" w:vAnchor="margin" w:hAnchor="text" w:y="1"/>
      <w:widowControl w:val="0"/>
      <w:ind w:firstLine="420"/>
      <w:jc w:val="both"/>
    </w:pPr>
    <w:rPr>
      <w:rFonts w:ascii="Calibri" w:hAnsi="Calibri" w:eastAsia="Calibri" w:cs="Calibri"/>
      <w:color w:val="000000"/>
      <w:kern w:val="2"/>
      <w:sz w:val="21"/>
      <w:szCs w:val="21"/>
      <w:lang w:val="en-US" w:eastAsia="zh-CN" w:bidi="ar-SA"/>
    </w:rPr>
  </w:style>
  <w:style w:type="paragraph" w:customStyle="1" w:styleId="55">
    <w:name w:val="标书正文1"/>
    <w:basedOn w:val="1"/>
    <w:autoRedefine/>
    <w:qFormat/>
    <w:uiPriority w:val="0"/>
    <w:pPr>
      <w:spacing w:line="520" w:lineRule="exact"/>
      <w:ind w:firstLine="640" w:firstLineChars="200"/>
    </w:pPr>
  </w:style>
  <w:style w:type="table" w:customStyle="1" w:styleId="56">
    <w:name w:val="Table Normal"/>
    <w:autoRedefine/>
    <w:qFormat/>
    <w:uiPriority w:val="0"/>
    <w:tblPr>
      <w:tblCellMar>
        <w:top w:w="0" w:type="dxa"/>
        <w:left w:w="0" w:type="dxa"/>
        <w:bottom w:w="0" w:type="dxa"/>
        <w:right w:w="0" w:type="dxa"/>
      </w:tblCellMar>
    </w:tblPr>
  </w:style>
  <w:style w:type="paragraph" w:customStyle="1" w:styleId="57">
    <w:name w:val="4 级标题"/>
    <w:basedOn w:val="7"/>
    <w:autoRedefine/>
    <w:qFormat/>
    <w:uiPriority w:val="0"/>
    <w:pPr>
      <w:tabs>
        <w:tab w:val="left" w:pos="864"/>
      </w:tabs>
      <w:spacing w:before="120" w:after="120" w:line="360" w:lineRule="auto"/>
      <w:ind w:left="567" w:right="27" w:rightChars="13" w:hanging="567"/>
    </w:pPr>
    <w:rPr>
      <w:rFonts w:eastAsia="宋体"/>
      <w:sz w:val="24"/>
      <w:lang w:val="zh-CN"/>
    </w:rPr>
  </w:style>
  <w:style w:type="paragraph" w:customStyle="1" w:styleId="58">
    <w:name w:val="列出段落2"/>
    <w:basedOn w:val="1"/>
    <w:autoRedefine/>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83</Pages>
  <Words>44037</Words>
  <Characters>47173</Characters>
  <Lines>235</Lines>
  <Paragraphs>66</Paragraphs>
  <TotalTime>2</TotalTime>
  <ScaleCrop>false</ScaleCrop>
  <LinksUpToDate>false</LinksUpToDate>
  <CharactersWithSpaces>47401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2020-06-29T09:02:00Z</dcterms:created>
  <dc:creator>王小红</dc:creator>
  <cp:lastModifiedBy>金金</cp:lastModifiedBy>
  <dcterms:modified xsi:type="dcterms:W3CDTF">2024-03-26T05:50:06Z</dcterms:modified>
  <dc:title>北京市大兴区政府采购公开招标公告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EEFE50AB87E84D5C8C9C190D555B00DE_13</vt:lpwstr>
  </property>
</Properties>
</file>